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rPr>
        <w:t xml:space="preserve">ΣΥΝΕΔΡΙΑΣΗ </w:t>
      </w:r>
      <w:r>
        <w:rPr/>
        <w:br/>
        <w:t>το μέλλον της Ευρώπης</w:t>
      </w:r>
    </w:p>
    <w:p>
      <w:pPr>
        <w:pStyle w:val="P68B1DB1Normal2"/>
        <w:widowControl w:val="false"/>
        <w:spacing w:lineRule="exact" w:line="557"/>
        <w:ind w:left="56" w:right="1390" w:firstLine="8"/>
        <w:jc w:val="left"/>
        <w:rPr>
          <w:rFonts w:ascii="Arial" w:hAnsi="Arial"/>
          <w:color w:val="0000BE"/>
          <w:sz w:val="44"/>
        </w:rPr>
      </w:pPr>
      <w:r>
        <w:rPr/>
        <w:t xml:space="preserve">ΈΚΘΕΣΗ ΤΕΛΙΚΏΝ ΑΠΟΤΕΛΕΣΜΆΤΩΝ </w:t>
      </w:r>
    </w:p>
    <w:p>
      <w:pPr>
        <w:pStyle w:val="P68B1DB1Normal3"/>
        <w:widowControl w:val="false"/>
        <w:spacing w:lineRule="exact" w:line="557"/>
        <w:ind w:left="56" w:right="1390" w:hanging="0"/>
        <w:jc w:val="left"/>
        <w:rPr>
          <w:rFonts w:ascii="Roboto" w:hAnsi="Roboto"/>
          <w:color w:val="0000BE"/>
          <w:sz w:val="28"/>
        </w:rPr>
      </w:pPr>
      <w:r>
        <w:rPr/>
        <w:t>Μάιος 2022</w:t>
      </w:r>
      <w:r>
        <w:rPr>
          <w:rFonts w:ascii="Roboto" w:hAnsi="Roboto"/>
        </w:rPr>
        <w:t xml:space="preserve"> </w:t>
      </w:r>
    </w:p>
    <w:p>
      <w:pPr>
        <w:pStyle w:val="Normal"/>
        <w:rPr/>
      </w:pPr>
      <w:r>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ΕΙΚΟΝΑ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ΟΝΑ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ΠΛΑΙΣΙΟ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ΕΙΚΟΝΑ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ΟΝΑ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Διάσκεψη για το</w:t>
                            </w:r>
                            <w:r>
                              <w:rPr>
                                <w:b/>
                              </w:rPr>
                              <w:t>μέλλον</w:t>
                            </w:r>
                            <w:r>
                              <w:rPr/>
                              <w:t xml:space="preserve"> της</w:t>
                            </w:r>
                            <w:r>
                              <w:rPr>
                                <w:b/>
                              </w:rPr>
                              <w:t>Ευρώπης</w:t>
                            </w:r>
                          </w:p>
                        </w:txbxContent>
                      </wps:txbx>
                      <wps:bodyPr lIns="54000" rIns="54000" tIns="54000" bIns="54000">
                        <a:noAutofit/>
                      </wps:bodyPr>
                    </wps:wsp>
                  </a:graphicData>
                </a:graphic>
              </wp:anchor>
            </w:drawing>
          </mc:Choice>
          <mc:Fallback>
            <w:pict>
              <v:rect id="shape_0" ID="ΠΛΑΙΣΙΟ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ΕΙΚΟΝΑ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ΟΝΑ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Διάσκεψη για το</w:t>
                      </w:r>
                      <w:r>
                        <w:rPr>
                          <w:b/>
                        </w:rPr>
                        <w:t>μέλλον</w:t>
                      </w:r>
                      <w:r>
                        <w:rPr/>
                        <w:t xml:space="preserve"> της</w:t>
                      </w:r>
                      <w:r>
                        <w:rPr>
                          <w:b/>
                        </w:rPr>
                        <w:t>Ευρώπης</w:t>
                      </w:r>
                    </w:p>
                  </w:txbxContent>
                </v:textbox>
              </v:rect>
            </w:pict>
          </mc:Fallback>
        </mc:AlternateContent>
      </w:r>
      <w:r>
        <w:rPr>
          <w:color w:val="0000BE"/>
          <w:sz w:val="48"/>
        </w:rPr>
        <w:t>Το</w:t>
      </w:r>
      <w:r>
        <w:rPr>
          <w:b/>
          <w:color w:val="0000BE"/>
          <w:sz w:val="48"/>
        </w:rPr>
        <w:t>μέλλον</w:t>
      </w:r>
      <w:r>
        <w:rPr>
          <w:color w:val="0000BE"/>
          <w:sz w:val="48"/>
        </w:rPr>
        <w:t xml:space="preserve"> είναι</w:t>
      </w:r>
      <w:r>
        <w:rPr/>
        <w:t xml:space="preserve"> </w:t>
      </w:r>
    </w:p>
    <w:p>
      <w:pPr>
        <w:pStyle w:val="P68B1DB1Normal5"/>
        <w:widowControl w:val="false"/>
        <w:spacing w:lineRule="exact" w:line="576"/>
        <w:ind w:left="51" w:right="0" w:hanging="0"/>
        <w:jc w:val="left"/>
        <w:rPr>
          <w:rFonts w:ascii="Arial" w:hAnsi="Arial"/>
        </w:rPr>
      </w:pPr>
      <w:r>
        <w:rPr/>
        <w:t>στα χέρια σου</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432800"/>
                <wp:effectExtent l="0" t="0" r="0" b="0"/>
                <wp:wrapSquare wrapText="bothSides"/>
                <wp:docPr id="6" name="ΠΛΑΙΣΙΟ 16"/>
                <a:graphic xmlns:a="http://schemas.openxmlformats.org/drawingml/2006/main">
                  <a:graphicData uri="http://schemas.microsoft.com/office/word/2010/wordprocessingShape">
                    <wps:wsp>
                      <wps:cNvSpPr/>
                      <wps:spPr>
                        <a:xfrm>
                          <a:off x="0" y="0"/>
                          <a:ext cx="6019920" cy="843228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rPr>
                              <w:t>Έγγραφο που συντάχθηκε από τον Pierre Dieumegard</w:t>
                            </w:r>
                            <w:r>
                              <w:rPr>
                                <w:color w:val="auto"/>
                              </w:rPr>
                              <w:drawing>
                                <wp:inline distT="0" distB="0" distL="0" distR="0">
                                  <wp:extent cx="2494280" cy="765175"/>
                                  <wp:effectExtent l="0" t="0" r="0" b="0"/>
                                  <wp:docPr id="8" name="ΕΙΚΟΝΑ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ΟΝΑ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για την Ευρώπη-Δημοκρατία-Εσπεράντο</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Στόχος αυτού του «προσωρινού» εγγράφου είναι να δοθεί η δυνατότητα σε περισσότερους πολίτες της Ευρωπαϊκής Ένωσης να κατανοήσουν τα έγγραφα που παράγονται για την Ευρωπαϊκή Ένωση (και χρηματοδοτούνται από τις συνεισφορές τους). Το </w:t>
                            </w:r>
                            <w:hyperlink r:id="rId5">
                              <w:r>
                                <w:rPr>
                                  <w:rStyle w:val="LienInternet"/>
                                  <w:rFonts w:ascii="Times New Roman" w:hAnsi="Times New Roman"/>
                                  <w:color w:val="auto"/>
                                  <w:sz w:val="24"/>
                                </w:rPr>
                                <w:t xml:space="preserve">πρωτότυπο έγγραφοστα γαλλικά σε μορφή pdf </w:t>
                              </w:r>
                            </w:hyperlink>
                            <w:r>
                              <w:rPr>
                                <w:rFonts w:ascii="Times New Roman" w:hAnsi="Times New Roman"/>
                                <w:color w:val="auto"/>
                                <w:sz w:val="24"/>
                              </w:rPr>
                              <w:t xml:space="preserve">έχει μορφοποιηθεί με τη χρήση λογισμικού Libre Office. Η μετάφραση σε όλες τις επίσημες γλώσσες της Ευρωπαϊκής Ένωσης γίνεται μέσω του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Έχουμε κάνει αυτό το έργο λόγω της ανάγκης για καλύτερη πολυγλωσσία στην Ευρωπαϊκή Ένωση: χωρίς μεταφράσεις, ένα μεγάλο μέρος του πληθυσμού αποκλείεται από τη συζήτηση. </w:t>
                            </w:r>
                            <w:r>
                              <w:rPr>
                                <w:b/>
                                <w:color w:val="auto"/>
                              </w:rPr>
                              <w:t>Είναι επιθυμητό η διοίκηση της Ευρωπαϊκής Ένωσης να αναλάβει τη μετάφραση σημαντικών εγγράφων, έτσι ώστε όλοι οι Ευρωπαίοι να μπορούν να κατανοήσουν τι αφορά αυτό και να συζητήσουν μαζί το κοινό τους μέλλον.</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Για την καλή άμεση επικοινωνία μεταξύ των ευρωπαίων πολιτών, για αξιόπιστες μεταφράσεις, η διεθνής Εσπεράντο γλώσσα θα ήταν πολύ χρήσιμη λόγω της απλότητας, της κανονικότητας και της ακρίβειας της.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Στο διαδίκτυο: </w:t>
                            </w:r>
                          </w:p>
                          <w:p>
                            <w:pPr>
                              <w:pStyle w:val="Normal"/>
                              <w:rPr/>
                            </w:pPr>
                            <w:r>
                              <w:rPr>
                                <w:rFonts w:ascii="Times New Roman" w:hAnsi="Times New Roman"/>
                                <w:color w:val="auto"/>
                                <w:sz w:val="24"/>
                              </w:rPr>
                              <w:t xml:space="preserve"> </w:t>
                            </w:r>
                            <w:r>
                              <w:rPr>
                                <w:rFonts w:ascii="Times New Roman" w:hAnsi="Times New Roman"/>
                                <w:color w:val="auto"/>
                                <w:sz w:val="24"/>
                              </w:rPr>
                              <w:t xml:space="preserve">Ομοσπονδία Ερόπο-Δημοκρατίου-Εσπεράντο:   </w:t>
                            </w:r>
                            <w:hyperlink r:id="rId7">
                              <w:r>
                                <w:rPr>
                                  <w:rStyle w:val="LienInternet"/>
                                  <w:rFonts w:ascii="Times New Roman" w:hAnsi="Times New Roman"/>
                                  <w:color w:val="auto"/>
                                  <w:sz w:val="24"/>
                                </w:rPr>
                                <w:t>μέγεθος: 100</w:t>
                              </w:r>
                            </w:hyperlink>
                            <w:r>
                              <w:rPr>
                                <w:rFonts w:ascii="Times New Roman" w:hAnsi="Times New Roman"/>
                                <w:color w:val="auto"/>
                                <w:sz w:val="24"/>
                              </w:rPr>
                              <w:t xml:space="preserve"> % (ή μέγεθος: </w:t>
                            </w:r>
                            <w:hyperlink r:id="rId8">
                              <w:r>
                                <w:rPr>
                                  <w:rStyle w:val="LienInternet"/>
                                  <w:rFonts w:ascii="Times New Roman" w:hAnsi="Times New Roman"/>
                                  <w:color w:val="auto"/>
                                  <w:sz w:val="24"/>
                                </w:rPr>
                                <w:t>100</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Ένωση Ευρώπης-Δημοκρατίας-Εσπεράντο (Γαλλία):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Ευρωπαϊκά έγγραφα σε όλες τις επίσημες γλώσσες: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Σε σύγκριση με το αρχικό έγγραφο, υπάρχουν ορισμένες αλλαγές (βελτιώσεις;): </w:t>
                            </w:r>
                          </w:p>
                          <w:p>
                            <w:pPr>
                              <w:pStyle w:val="P68B1DB1Normal7"/>
                              <w:rPr>
                                <w:rFonts w:ascii="Times New Roman" w:hAnsi="Times New Roman"/>
                                <w:sz w:val="24"/>
                              </w:rPr>
                            </w:pPr>
                            <w:r>
                              <w:rPr>
                                <w:color w:val="auto"/>
                              </w:rPr>
                              <w:t xml:space="preserve">— </w:t>
                            </w:r>
                            <w:r>
                              <w:rPr>
                                <w:color w:val="auto"/>
                              </w:rPr>
                              <w:t>ορισμένα ορθογραφικά λάθη έχουν διορθωθεί. Μήπως υπήρξαν και άλλα λάθη;</w:t>
                            </w:r>
                          </w:p>
                          <w:p>
                            <w:pPr>
                              <w:pStyle w:val="P68B1DB1Normal7"/>
                              <w:rPr>
                                <w:rFonts w:ascii="Times New Roman" w:hAnsi="Times New Roman"/>
                                <w:sz w:val="24"/>
                              </w:rPr>
                            </w:pPr>
                            <w:r>
                              <w:rPr>
                                <w:color w:val="auto"/>
                              </w:rPr>
                              <w:t xml:space="preserve">— </w:t>
                            </w:r>
                            <w:r>
                              <w:rPr>
                                <w:color w:val="auto"/>
                              </w:rPr>
                              <w:t>η διάταξη έχει εναρμονιστεί και όλες οι σελίδες αριθμούνται κατάλληλα (το αρχικό έγγραφο ήταν μια παράθεση ξεχωριστών αρχείων pdf με ανεξάρτητες αριθμήσεις).</w:t>
                            </w:r>
                          </w:p>
                          <w:p>
                            <w:pPr>
                              <w:pStyle w:val="P68B1DB1Normal7"/>
                              <w:rPr>
                                <w:rFonts w:ascii="Times New Roman" w:hAnsi="Times New Roman"/>
                                <w:sz w:val="24"/>
                              </w:rPr>
                            </w:pPr>
                            <w:r>
                              <w:rPr>
                                <w:color w:val="auto"/>
                              </w:rPr>
                              <w:t xml:space="preserve">— </w:t>
                            </w:r>
                            <w:r>
                              <w:rPr>
                                <w:color w:val="auto"/>
                              </w:rPr>
                              <w:t>οι τελικές σημειώσεις έχουν μετατραπεί σε σημειώσεις τέλους (στο κάτω μέρος των σελίδων).</w:t>
                            </w:r>
                          </w:p>
                          <w:p>
                            <w:pPr>
                              <w:pStyle w:val="P68B1DB1Normal7"/>
                              <w:spacing w:before="57" w:after="57"/>
                              <w:rPr>
                                <w:color w:val="auto"/>
                              </w:rPr>
                            </w:pPr>
                            <w:r>
                              <w:rPr>
                                <w:color w:val="auto"/>
                              </w:rPr>
                              <w:t xml:space="preserve">— </w:t>
                            </w:r>
                            <w:r>
                              <w:rPr>
                                <w:color w:val="auto"/>
                              </w:rPr>
                              <w:t>τα αρχικά έγγραφα με τη μορφή εικόνων μετατράπηκαν σε πίνακες για να μεταφραστούν εύκολα.</w:t>
                            </w:r>
                          </w:p>
                        </w:txbxContent>
                      </wps:txbx>
                      <wps:bodyPr lIns="54000" rIns="54000" tIns="54000" bIns="54000">
                        <a:noAutofit/>
                      </wps:bodyPr>
                    </wps:wsp>
                  </a:graphicData>
                </a:graphic>
              </wp:anchor>
            </w:drawing>
          </mc:Choice>
          <mc:Fallback>
            <w:pict>
              <v:rect id="shape_0" ID="ΠΛΑΙΣΙΟ 16" fillcolor="white" stroked="t" style="position:absolute;margin-left:0.35pt;margin-top:6.75pt;width:473.95pt;height:663.9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rPr>
                        <w:t>Έγγραφο που συντάχθηκε από τον Pierre Dieumegard</w:t>
                      </w:r>
                      <w:r>
                        <w:rPr>
                          <w:color w:val="auto"/>
                        </w:rPr>
                        <w:drawing>
                          <wp:inline distT="0" distB="0" distL="0" distR="0">
                            <wp:extent cx="2494280" cy="765175"/>
                            <wp:effectExtent l="0" t="0" r="0" b="0"/>
                            <wp:docPr id="9" name="ΕΙΚΟΝΑ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ΟΝΑ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για την Ευρώπη-Δημοκρατία-Εσπεράντο</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Στόχος αυτού του «προσωρινού» εγγράφου είναι να δοθεί η δυνατότητα σε περισσότερους πολίτες της Ευρωπαϊκής Ένωσης να κατανοήσουν τα έγγραφα που παράγονται για την Ευρωπαϊκή Ένωση (και χρηματοδοτούνται από τις συνεισφορές τους). Το </w:t>
                      </w:r>
                      <w:hyperlink r:id="rId11">
                        <w:r>
                          <w:rPr>
                            <w:rStyle w:val="LienInternet"/>
                            <w:rFonts w:ascii="Times New Roman" w:hAnsi="Times New Roman"/>
                            <w:color w:val="auto"/>
                            <w:sz w:val="24"/>
                          </w:rPr>
                          <w:t xml:space="preserve">πρωτότυπο έγγραφοστα γαλλικά σε μορφή pdf </w:t>
                        </w:r>
                      </w:hyperlink>
                      <w:r>
                        <w:rPr>
                          <w:rFonts w:ascii="Times New Roman" w:hAnsi="Times New Roman"/>
                          <w:color w:val="auto"/>
                          <w:sz w:val="24"/>
                        </w:rPr>
                        <w:t xml:space="preserve">έχει μορφοποιηθεί με τη χρήση λογισμικού Libre Office. Η μετάφραση σε όλες τις επίσημες γλώσσες της Ευρωπαϊκής Ένωσης γίνεται μέσω του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Έχουμε κάνει αυτό το έργο λόγω της ανάγκης για καλύτερη πολυγλωσσία στην Ευρωπαϊκή Ένωση: χωρίς μεταφράσεις, ένα μεγάλο μέρος του πληθυσμού αποκλείεται από τη συζήτηση. </w:t>
                      </w:r>
                      <w:r>
                        <w:rPr>
                          <w:b/>
                          <w:color w:val="auto"/>
                        </w:rPr>
                        <w:t>Είναι επιθυμητό η διοίκηση της Ευρωπαϊκής Ένωσης να αναλάβει τη μετάφραση σημαντικών εγγράφων, έτσι ώστε όλοι οι Ευρωπαίοι να μπορούν να κατανοήσουν τι αφορά αυτό και να συζητήσουν μαζί το κοινό τους μέλλον.</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Για την καλή άμεση επικοινωνία μεταξύ των ευρωπαίων πολιτών, για αξιόπιστες μεταφράσεις, η διεθνής Εσπεράντο γλώσσα θα ήταν πολύ χρήσιμη λόγω της απλότητας, της κανονικότητας και της ακρίβειας της.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Στο διαδίκτυο: </w:t>
                      </w:r>
                    </w:p>
                    <w:p>
                      <w:pPr>
                        <w:pStyle w:val="Normal"/>
                        <w:rPr/>
                      </w:pPr>
                      <w:r>
                        <w:rPr>
                          <w:rFonts w:ascii="Times New Roman" w:hAnsi="Times New Roman"/>
                          <w:color w:val="auto"/>
                          <w:sz w:val="24"/>
                        </w:rPr>
                        <w:t xml:space="preserve"> </w:t>
                      </w:r>
                      <w:r>
                        <w:rPr>
                          <w:rFonts w:ascii="Times New Roman" w:hAnsi="Times New Roman"/>
                          <w:color w:val="auto"/>
                          <w:sz w:val="24"/>
                        </w:rPr>
                        <w:t xml:space="preserve">Ομοσπονδία Ερόπο-Δημοκρατίου-Εσπεράντο:   </w:t>
                      </w:r>
                      <w:hyperlink r:id="rId13">
                        <w:r>
                          <w:rPr>
                            <w:rStyle w:val="LienInternet"/>
                            <w:rFonts w:ascii="Times New Roman" w:hAnsi="Times New Roman"/>
                            <w:color w:val="auto"/>
                            <w:sz w:val="24"/>
                          </w:rPr>
                          <w:t>μέγεθος: 100</w:t>
                        </w:r>
                      </w:hyperlink>
                      <w:r>
                        <w:rPr>
                          <w:rFonts w:ascii="Times New Roman" w:hAnsi="Times New Roman"/>
                          <w:color w:val="auto"/>
                          <w:sz w:val="24"/>
                        </w:rPr>
                        <w:t xml:space="preserve"> % (ή μέγεθος: </w:t>
                      </w:r>
                      <w:hyperlink r:id="rId14">
                        <w:r>
                          <w:rPr>
                            <w:rStyle w:val="LienInternet"/>
                            <w:rFonts w:ascii="Times New Roman" w:hAnsi="Times New Roman"/>
                            <w:color w:val="auto"/>
                            <w:sz w:val="24"/>
                          </w:rPr>
                          <w:t>100</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Ένωση Ευρώπης-Δημοκρατίας-Εσπεράντο (Γαλλία):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Ευρωπαϊκά έγγραφα σε όλες τις επίσημες γλώσσες: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Σε σύγκριση με το αρχικό έγγραφο, υπάρχουν ορισμένες αλλαγές (βελτιώσεις;): </w:t>
                      </w:r>
                    </w:p>
                    <w:p>
                      <w:pPr>
                        <w:pStyle w:val="P68B1DB1Normal7"/>
                        <w:rPr>
                          <w:rFonts w:ascii="Times New Roman" w:hAnsi="Times New Roman"/>
                          <w:sz w:val="24"/>
                        </w:rPr>
                      </w:pPr>
                      <w:r>
                        <w:rPr>
                          <w:color w:val="auto"/>
                        </w:rPr>
                        <w:t xml:space="preserve">— </w:t>
                      </w:r>
                      <w:r>
                        <w:rPr>
                          <w:color w:val="auto"/>
                        </w:rPr>
                        <w:t>ορισμένα ορθογραφικά λάθη έχουν διορθωθεί. Μήπως υπήρξαν και άλλα λάθη;</w:t>
                      </w:r>
                    </w:p>
                    <w:p>
                      <w:pPr>
                        <w:pStyle w:val="P68B1DB1Normal7"/>
                        <w:rPr>
                          <w:rFonts w:ascii="Times New Roman" w:hAnsi="Times New Roman"/>
                          <w:sz w:val="24"/>
                        </w:rPr>
                      </w:pPr>
                      <w:r>
                        <w:rPr>
                          <w:color w:val="auto"/>
                        </w:rPr>
                        <w:t xml:space="preserve">— </w:t>
                      </w:r>
                      <w:r>
                        <w:rPr>
                          <w:color w:val="auto"/>
                        </w:rPr>
                        <w:t>η διάταξη έχει εναρμονιστεί και όλες οι σελίδες αριθμούνται κατάλληλα (το αρχικό έγγραφο ήταν μια παράθεση ξεχωριστών αρχείων pdf με ανεξάρτητες αριθμήσεις).</w:t>
                      </w:r>
                    </w:p>
                    <w:p>
                      <w:pPr>
                        <w:pStyle w:val="P68B1DB1Normal7"/>
                        <w:rPr>
                          <w:rFonts w:ascii="Times New Roman" w:hAnsi="Times New Roman"/>
                          <w:sz w:val="24"/>
                        </w:rPr>
                      </w:pPr>
                      <w:r>
                        <w:rPr>
                          <w:color w:val="auto"/>
                        </w:rPr>
                        <w:t xml:space="preserve">— </w:t>
                      </w:r>
                      <w:r>
                        <w:rPr>
                          <w:color w:val="auto"/>
                        </w:rPr>
                        <w:t>οι τελικές σημειώσεις έχουν μετατραπεί σε σημειώσεις τέλους (στο κάτω μέρος των σελίδων).</w:t>
                      </w:r>
                    </w:p>
                    <w:p>
                      <w:pPr>
                        <w:pStyle w:val="P68B1DB1Normal7"/>
                        <w:spacing w:before="57" w:after="57"/>
                        <w:rPr>
                          <w:color w:val="auto"/>
                        </w:rPr>
                      </w:pPr>
                      <w:r>
                        <w:rPr>
                          <w:color w:val="auto"/>
                        </w:rPr>
                        <w:t xml:space="preserve">— </w:t>
                      </w:r>
                      <w:r>
                        <w:rPr>
                          <w:color w:val="auto"/>
                        </w:rPr>
                        <w:t>τα αρχικά έγγραφα με τη μορφή εικόνων μετατράπηκαν σε πίνακες για να μεταφραστούν εύκολα.</w:t>
                      </w:r>
                    </w:p>
                  </w:txbxContent>
                </v:textbox>
              </v:rect>
            </w:pict>
          </mc:Fallback>
        </mc:AlternateContent>
      </w:r>
    </w:p>
    <w:p>
      <w:pPr>
        <w:pStyle w:val="Normal"/>
        <w:rPr/>
      </w:pPr>
      <w:r>
        <w:rPr/>
      </w:r>
      <w:r>
        <w:br w:type="page"/>
      </w:r>
    </w:p>
    <w:sdt>
      <w:sdtPr>
        <w:docPartObj>
          <w:docPartGallery w:val="Table of Contents"/>
          <w:docPartUnique w:val="true"/>
        </w:docPartObj>
      </w:sdtPr>
      <w:sdtContent>
        <w:p>
          <w:pPr>
            <w:pStyle w:val="TOAHeading"/>
            <w:rPr/>
          </w:pPr>
          <w:r>
            <w:rPr/>
            <w:t>Πίνακας περιεχομένων</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Ι. Η αρχιτεκτονική του συνεδρίου</w:t>
              <w:tab/>
              <w:t>7</w:t>
            </w:r>
          </w:hyperlink>
        </w:p>
        <w:p>
          <w:pPr>
            <w:pStyle w:val="Tabledesmatiresniveau2"/>
            <w:tabs>
              <w:tab w:val="right" w:pos="9638" w:leader="dot"/>
            </w:tabs>
            <w:rPr/>
          </w:pPr>
          <w:hyperlink w:anchor="__RefHeading___Toc298048_1346298689">
            <w:r>
              <w:rPr>
                <w:rStyle w:val="Sautdindex"/>
              </w:rPr>
              <w:t>1. Κοινή δήλωση</w:t>
              <w:tab/>
              <w:t>8</w:t>
            </w:r>
          </w:hyperlink>
        </w:p>
        <w:p>
          <w:pPr>
            <w:pStyle w:val="Tabledesmatiresniveau2"/>
            <w:tabs>
              <w:tab w:val="right" w:pos="9638" w:leader="dot"/>
            </w:tabs>
            <w:rPr/>
          </w:pPr>
          <w:hyperlink w:anchor="__RefHeading___Toc298050_1346298689">
            <w:r>
              <w:rPr>
                <w:rStyle w:val="Sautdindex"/>
              </w:rPr>
              <w:t>2. ΕΣΩΤΕΡΙΚΟΣ ΚΑΝΟΝΙΣΜΟΣ</w:t>
              <w:tab/>
              <w:t>9</w:t>
            </w:r>
          </w:hyperlink>
        </w:p>
        <w:p>
          <w:pPr>
            <w:pStyle w:val="Tabledesmatiresniveau2"/>
            <w:tabs>
              <w:tab w:val="right" w:pos="9638" w:leader="dot"/>
            </w:tabs>
            <w:rPr/>
          </w:pPr>
          <w:hyperlink w:anchor="__RefHeading___Toc298052_1346298689">
            <w:r>
              <w:rPr>
                <w:rStyle w:val="Sautdindex"/>
              </w:rPr>
              <w:t>3. ΕΚΔΗΛΩΣΕΙΣ σχετικα με το ΣΥΝΕΔΡΙΟ</w:t>
              <w:tab/>
              <w:t>9</w:t>
            </w:r>
          </w:hyperlink>
        </w:p>
        <w:p>
          <w:pPr>
            <w:pStyle w:val="Tabledesmatiresniveau2"/>
            <w:tabs>
              <w:tab w:val="right" w:pos="9638" w:leader="dot"/>
            </w:tabs>
            <w:rPr/>
          </w:pPr>
          <w:hyperlink w:anchor="__RefHeading___Toc298054_1346298689">
            <w:r>
              <w:rPr>
                <w:rStyle w:val="Sautdindex"/>
              </w:rPr>
              <w:t>4. Υλοποίηση της πολύγλωσσης ψηφιακής πλατφόρμας</w:t>
              <w:tab/>
              <w:t>9</w:t>
            </w:r>
          </w:hyperlink>
        </w:p>
        <w:p>
          <w:pPr>
            <w:pStyle w:val="Tabledesmatiresniveau2"/>
            <w:tabs>
              <w:tab w:val="right" w:pos="9638" w:leader="dot"/>
            </w:tabs>
            <w:rPr/>
          </w:pPr>
          <w:hyperlink w:anchor="__RefHeading___Toc298056_1346298689">
            <w:r>
              <w:rPr>
                <w:rStyle w:val="Sautdindex"/>
              </w:rPr>
              <w:t>5. Ομάδες Ευρωπαίων πολιτών</w:t>
              <w:tab/>
              <w:t>10</w:t>
            </w:r>
          </w:hyperlink>
        </w:p>
        <w:p>
          <w:pPr>
            <w:pStyle w:val="Tabledesmatiresniveau2"/>
            <w:tabs>
              <w:tab w:val="right" w:pos="9638" w:leader="dot"/>
            </w:tabs>
            <w:rPr/>
          </w:pPr>
          <w:hyperlink w:anchor="__RefHeading___Toc298058_1346298689">
            <w:r>
              <w:rPr>
                <w:rStyle w:val="Sautdindex"/>
              </w:rPr>
              <w:t>6. Εθνικές ομάδες πολιτών</w:t>
              <w:tab/>
              <w:t>10</w:t>
            </w:r>
          </w:hyperlink>
        </w:p>
        <w:p>
          <w:pPr>
            <w:pStyle w:val="Tabledesmatiresniveau1"/>
            <w:tabs>
              <w:tab w:val="right" w:pos="9638" w:leader="dot"/>
            </w:tabs>
            <w:rPr/>
          </w:pPr>
          <w:hyperlink w:anchor="__RefHeading___Toc298188_1346298689">
            <w:r>
              <w:rPr>
                <w:rStyle w:val="Sautdindex"/>
              </w:rPr>
              <w:t>ΌΧΙ, ΌΧΙ, ΌΧΙ, ΌΧΙ. Η συμβολή των πολιτών στη διάσκεψη</w:t>
              <w:tab/>
              <w:t>11</w:t>
            </w:r>
          </w:hyperlink>
        </w:p>
        <w:p>
          <w:pPr>
            <w:pStyle w:val="Tabledesmatiresniveau2"/>
            <w:tabs>
              <w:tab w:val="right" w:pos="9638" w:leader="dot"/>
            </w:tabs>
            <w:rPr/>
          </w:pPr>
          <w:hyperlink w:anchor="__RefHeading___Toc298190_1346298689">
            <w:r>
              <w:rPr>
                <w:rStyle w:val="Sautdindex"/>
              </w:rPr>
              <w:t>Α. Πολύγλωσση ψηφιακή πλατφόρμα</w:t>
              <w:tab/>
              <w:t>12</w:t>
            </w:r>
          </w:hyperlink>
        </w:p>
        <w:p>
          <w:pPr>
            <w:pStyle w:val="Tabledesmatiresniveau2"/>
            <w:tabs>
              <w:tab w:val="right" w:pos="9638" w:leader="dot"/>
            </w:tabs>
            <w:rPr/>
          </w:pPr>
          <w:hyperlink w:anchor="__RefHeading___Toc298192_1346298689">
            <w:r>
              <w:rPr>
                <w:rStyle w:val="Sautdindex"/>
              </w:rPr>
              <w:t>Β. Επιτροπές πολιτών</w:t>
              <w:tab/>
              <w:t>17</w:t>
            </w:r>
          </w:hyperlink>
        </w:p>
        <w:p>
          <w:pPr>
            <w:pStyle w:val="Tabledesmatiresniveau2"/>
            <w:tabs>
              <w:tab w:val="right" w:pos="9638" w:leader="dot"/>
            </w:tabs>
            <w:rPr/>
          </w:pPr>
          <w:hyperlink w:anchor="__RefHeading___Toc298228_1346298689">
            <w:r>
              <w:rPr>
                <w:rStyle w:val="Sautdindex"/>
              </w:rPr>
              <w:t>Ο C. Εκδηλώσεις που διοργανώνονται στο πλαίσιο του συνεδρίου</w:t>
              <w:tab/>
              <w:t>28</w:t>
            </w:r>
          </w:hyperlink>
        </w:p>
        <w:p>
          <w:pPr>
            <w:pStyle w:val="Tabledesmatiresniveau1"/>
            <w:tabs>
              <w:tab w:val="right" w:pos="9638" w:leader="dot"/>
            </w:tabs>
            <w:rPr/>
          </w:pPr>
          <w:hyperlink w:anchor="__RefHeading___Toc298238_1346298689">
            <w:r>
              <w:rPr>
                <w:rStyle w:val="Sautdindex"/>
              </w:rPr>
              <w:t>Ο ΤΡΊΤΟΣ. Η Ολομέλεια της Διάσκεψης</w:t>
              <w:tab/>
              <w:t>38</w:t>
            </w:r>
          </w:hyperlink>
        </w:p>
        <w:p>
          <w:pPr>
            <w:pStyle w:val="Tabledesmatiresniveau2"/>
            <w:tabs>
              <w:tab w:val="right" w:pos="9638" w:leader="dot"/>
            </w:tabs>
            <w:rPr/>
          </w:pPr>
          <w:hyperlink w:anchor="__RefHeading___Toc298240_1346298689">
            <w:r>
              <w:rPr>
                <w:rStyle w:val="Sautdindex"/>
              </w:rPr>
              <w:t>Α. Ρόλος και λειτουργία της Ολομέλειας</w:t>
              <w:tab/>
              <w:t>39</w:t>
            </w:r>
          </w:hyperlink>
        </w:p>
        <w:p>
          <w:pPr>
            <w:pStyle w:val="Tabledesmatiresniveau2"/>
            <w:tabs>
              <w:tab w:val="right" w:pos="9638" w:leader="dot"/>
            </w:tabs>
            <w:rPr/>
          </w:pPr>
          <w:hyperlink w:anchor="__RefHeading___Toc298242_1346298689">
            <w:r>
              <w:rPr>
                <w:rStyle w:val="Sautdindex"/>
              </w:rPr>
              <w:t>Β. Ομάδες εργασίας</w:t>
              <w:tab/>
              <w:t>40</w:t>
            </w:r>
          </w:hyperlink>
        </w:p>
        <w:p>
          <w:pPr>
            <w:pStyle w:val="Tabledesmatiresniveau2"/>
            <w:tabs>
              <w:tab w:val="right" w:pos="9638" w:leader="dot"/>
            </w:tabs>
            <w:rPr/>
          </w:pPr>
          <w:hyperlink w:anchor="__RefHeading___Toc298244_1346298689">
            <w:r>
              <w:rPr>
                <w:rStyle w:val="Sautdindex"/>
              </w:rPr>
              <w:t>Γ. Χρονολογική περίληψη</w:t>
              <w:tab/>
              <w:t>41</w:t>
            </w:r>
          </w:hyperlink>
        </w:p>
        <w:p>
          <w:pPr>
            <w:pStyle w:val="Tabledesmatiresniveau1"/>
            <w:tabs>
              <w:tab w:val="right" w:pos="9638" w:leader="dot"/>
            </w:tabs>
            <w:rPr/>
          </w:pPr>
          <w:hyperlink w:anchor="__RefHeading___Toc298246_1346298689">
            <w:r>
              <w:rPr>
                <w:rStyle w:val="Sautdindex"/>
              </w:rPr>
              <w:t>Ο IV. Οι προτάσεις της Ολομέλειας</w:t>
              <w:tab/>
              <w:t>47</w:t>
            </w:r>
          </w:hyperlink>
        </w:p>
        <w:p>
          <w:pPr>
            <w:pStyle w:val="Tabledesmatiresniveau2"/>
            <w:tabs>
              <w:tab w:val="right" w:pos="9638" w:leader="dot"/>
            </w:tabs>
            <w:rPr/>
          </w:pPr>
          <w:hyperlink w:anchor="__RefHeading___Toc298248_1346298689">
            <w:r>
              <w:rPr>
                <w:rStyle w:val="Sautdindex"/>
              </w:rPr>
              <w:t>Κλιματική αλλαγή και περιβάλλον</w:t>
              <w:tab/>
              <w:t>48</w:t>
            </w:r>
          </w:hyperlink>
        </w:p>
        <w:p>
          <w:pPr>
            <w:pStyle w:val="Tabledesmatiresniveau2"/>
            <w:tabs>
              <w:tab w:val="right" w:pos="9638" w:leader="dot"/>
            </w:tabs>
            <w:rPr/>
          </w:pPr>
          <w:hyperlink w:anchor="__RefHeading___Toc298272_1346298689">
            <w:r>
              <w:rPr>
                <w:rStyle w:val="Sautdindex"/>
              </w:rPr>
              <w:t>«Υγεία»</w:t>
              <w:tab/>
              <w:t>54</w:t>
            </w:r>
          </w:hyperlink>
        </w:p>
        <w:p>
          <w:pPr>
            <w:pStyle w:val="Tabledesmatiresniveau2"/>
            <w:tabs>
              <w:tab w:val="right" w:pos="9638" w:leader="dot"/>
            </w:tabs>
            <w:rPr/>
          </w:pPr>
          <w:hyperlink w:anchor="__RefHeading___Toc298288_1346298689">
            <w:r>
              <w:rPr>
                <w:rStyle w:val="Sautdindex"/>
              </w:rPr>
              <w:t>Μια ισχυρότερη οικονομία, κοινωνική δικαιοσύνη και απασχόληση</w:t>
              <w:tab/>
              <w:t>58</w:t>
            </w:r>
          </w:hyperlink>
        </w:p>
        <w:p>
          <w:pPr>
            <w:pStyle w:val="Tabledesmatiresniveau2"/>
            <w:tabs>
              <w:tab w:val="right" w:pos="9638" w:leader="dot"/>
            </w:tabs>
            <w:rPr/>
          </w:pPr>
          <w:hyperlink w:anchor="__RefHeading___Toc298302_1346298689">
            <w:r>
              <w:rPr>
                <w:rStyle w:val="Sautdindex"/>
              </w:rPr>
              <w:t>«Η ΕΕ στον κόσμο»</w:t>
              <w:tab/>
              <w:t>67</w:t>
            </w:r>
          </w:hyperlink>
        </w:p>
        <w:p>
          <w:pPr>
            <w:pStyle w:val="Tabledesmatiresniveau2"/>
            <w:tabs>
              <w:tab w:val="right" w:pos="9638" w:leader="dot"/>
            </w:tabs>
            <w:rPr/>
          </w:pPr>
          <w:hyperlink w:anchor="__RefHeading___Toc298320_1346298689">
            <w:r>
              <w:rPr>
                <w:rStyle w:val="Sautdindex"/>
              </w:rPr>
              <w:t>Αξίες και δικαιώματα, κράτος δικαίου, ασφάλεια</w:t>
              <w:tab/>
              <w:t>74</w:t>
            </w:r>
          </w:hyperlink>
        </w:p>
        <w:p>
          <w:pPr>
            <w:pStyle w:val="Tabledesmatiresniveau2"/>
            <w:tabs>
              <w:tab w:val="right" w:pos="9638" w:leader="dot"/>
            </w:tabs>
            <w:rPr/>
          </w:pPr>
          <w:hyperlink w:anchor="__RefHeading___Toc298334_1346298689">
            <w:r>
              <w:rPr>
                <w:rStyle w:val="Sautdindex"/>
              </w:rPr>
              <w:t>«Ψηφιακός μετασχηματισμός»</w:t>
              <w:tab/>
              <w:t>79</w:t>
            </w:r>
          </w:hyperlink>
        </w:p>
        <w:p>
          <w:pPr>
            <w:pStyle w:val="Tabledesmatiresniveau2"/>
            <w:tabs>
              <w:tab w:val="right" w:pos="9638" w:leader="dot"/>
            </w:tabs>
            <w:rPr/>
          </w:pPr>
          <w:hyperlink w:anchor="__RefHeading___Toc298346_1346298689">
            <w:r>
              <w:rPr>
                <w:rStyle w:val="Sautdindex"/>
              </w:rPr>
              <w:t>«Ευρωπαϊκή Δημοκρατία»</w:t>
              <w:tab/>
              <w:t>85</w:t>
            </w:r>
          </w:hyperlink>
        </w:p>
        <w:p>
          <w:pPr>
            <w:pStyle w:val="Tabledesmatiresniveau2"/>
            <w:tabs>
              <w:tab w:val="right" w:pos="9638" w:leader="dot"/>
            </w:tabs>
            <w:rPr/>
          </w:pPr>
          <w:hyperlink w:anchor="__RefHeading___Toc298358_1346298689">
            <w:r>
              <w:rPr>
                <w:rStyle w:val="Sautdindex"/>
              </w:rPr>
              <w:t>«Μετανάστες»</w:t>
              <w:tab/>
              <w:t>92</w:t>
            </w:r>
          </w:hyperlink>
        </w:p>
        <w:p>
          <w:pPr>
            <w:pStyle w:val="Tabledesmatiresniveau2"/>
            <w:tabs>
              <w:tab w:val="right" w:pos="9638" w:leader="dot"/>
            </w:tabs>
            <w:rPr/>
          </w:pPr>
          <w:hyperlink w:anchor="__RefHeading___Toc298370_1346298689">
            <w:r>
              <w:rPr>
                <w:rStyle w:val="Sautdindex"/>
              </w:rPr>
              <w:t>Εκπαίδευση, πολιτισμός, νεολαία και αθλητισμός</w:t>
              <w:tab/>
              <w:t>96</w:t>
            </w:r>
          </w:hyperlink>
        </w:p>
        <w:p>
          <w:pPr>
            <w:pStyle w:val="Tabledesmatiresniveau1"/>
            <w:tabs>
              <w:tab w:val="right" w:pos="9638" w:leader="dot"/>
            </w:tabs>
            <w:rPr/>
          </w:pPr>
          <w:hyperlink w:anchor="__RefHeading___Toc298380_1346298689">
            <w:r>
              <w:rPr>
                <w:rStyle w:val="Sautdindex"/>
              </w:rPr>
              <w:t>Τελικές παρατηρήσεις της Εκτελεστικής Επιτροπής</w:t>
              <w:tab/>
              <w:t>101</w:t>
            </w:r>
          </w:hyperlink>
        </w:p>
        <w:p>
          <w:pPr>
            <w:pStyle w:val="Tabledesmatiresniveau1"/>
            <w:tabs>
              <w:tab w:val="right" w:pos="9638" w:leader="dot"/>
            </w:tabs>
            <w:rPr/>
          </w:pPr>
          <w:hyperlink w:anchor="__RefHeading___Toc297141_1346298689">
            <w:r>
              <w:rPr>
                <w:rStyle w:val="Sautdindex"/>
              </w:rPr>
              <w:t>Παράρτημα I — Συστάσεις των τεσσάρων ομάδων ευρωπαίων πολιτών</w:t>
              <w:tab/>
              <w:t>104</w:t>
            </w:r>
          </w:hyperlink>
        </w:p>
        <w:p>
          <w:pPr>
            <w:pStyle w:val="Tabledesmatiresniveau2"/>
            <w:tabs>
              <w:tab w:val="right" w:pos="9638" w:leader="dot"/>
            </w:tabs>
            <w:rPr/>
          </w:pPr>
          <w:hyperlink w:anchor="__RefHeading___Toc297143_1346298689">
            <w:r>
              <w:rPr>
                <w:rStyle w:val="Sautdindex"/>
              </w:rPr>
              <w:t>Ομάδα Ευρωπαίων Πολιτών 1: Μια ισχυρότερη οικονομία, κοινωνική δικαιοσύνη και απασχόληση/εκπαίδευση, πολιτισμός, νεολαία και αθλητισμός/ψηφιακός μετασχηματισμός</w:t>
              <w:tab/>
              <w:t>105</w:t>
            </w:r>
          </w:hyperlink>
        </w:p>
        <w:p>
          <w:pPr>
            <w:pStyle w:val="Tabledesmatiresniveau2"/>
            <w:tabs>
              <w:tab w:val="right" w:pos="9638" w:leader="dot"/>
            </w:tabs>
            <w:rPr/>
          </w:pPr>
          <w:hyperlink w:anchor="__RefHeading___Toc297195_1346298689">
            <w:r>
              <w:rPr>
                <w:rStyle w:val="Sautdindex"/>
              </w:rPr>
              <w:t>Ομάδα Ευρωπαίων Πολιτών 2: «Ευρωπαϊκή Δημοκρατία· αξίες και δικαιώματα, κράτος δικαίου, ασφάλεια</w:t>
              <w:tab/>
              <w:t>124</w:t>
            </w:r>
          </w:hyperlink>
        </w:p>
        <w:p>
          <w:pPr>
            <w:pStyle w:val="Tabledesmatiresniveau2"/>
            <w:tabs>
              <w:tab w:val="right" w:pos="9638" w:leader="dot"/>
            </w:tabs>
            <w:rPr/>
          </w:pPr>
          <w:hyperlink w:anchor="__RefHeading___Toc297245_1346298689">
            <w:r>
              <w:rPr>
                <w:rStyle w:val="Sautdindex"/>
              </w:rPr>
              <w:t>Ομάδα Ευρωπαίων Πολιτών 3: Κλιματική αλλαγή και περιβάλλον/υγεία</w:t>
              <w:tab/>
              <w:t>139</w:t>
            </w:r>
          </w:hyperlink>
        </w:p>
        <w:p>
          <w:pPr>
            <w:pStyle w:val="Tabledesmatiresniveau2"/>
            <w:tabs>
              <w:tab w:val="right" w:pos="9638" w:leader="dot"/>
            </w:tabs>
            <w:rPr/>
          </w:pPr>
          <w:hyperlink w:anchor="__RefHeading___Toc297297_1346298689">
            <w:r>
              <w:rPr>
                <w:rStyle w:val="Sautdindex"/>
              </w:rPr>
              <w:t>Ομάδα Ευρωπαίων Πολιτών 4: «Η ΕΕ στον κόσμο/Μετανάστευση»</w:t>
              <w:tab/>
              <w:t>158</w:t>
            </w:r>
          </w:hyperlink>
        </w:p>
        <w:p>
          <w:pPr>
            <w:pStyle w:val="Tabledesmatiresniveau1"/>
            <w:tabs>
              <w:tab w:val="right" w:pos="9638" w:leader="dot"/>
            </w:tabs>
            <w:rPr/>
          </w:pPr>
          <w:hyperlink w:anchor="__RefHeading___Toc297345_1346298689">
            <w:r>
              <w:rPr>
                <w:rStyle w:val="Sautdindex"/>
              </w:rPr>
              <w:t>II A — Εθνικές ομάδες: Βέλγιο</w:t>
              <w:tab/>
              <w:t>172</w:t>
            </w:r>
          </w:hyperlink>
        </w:p>
        <w:p>
          <w:pPr>
            <w:pStyle w:val="Tabledesmatiresniveau1"/>
            <w:tabs>
              <w:tab w:val="right" w:pos="9638" w:leader="dot"/>
            </w:tabs>
            <w:rPr/>
          </w:pPr>
          <w:hyperlink w:anchor="__RefHeading___Toc297349_1346298689">
            <w:r>
              <w:rPr>
                <w:rStyle w:val="Sautdindex"/>
              </w:rPr>
              <w:t>ΙΙ Β Εθνικές επιτροπές: Γαλλία</w:t>
              <w:tab/>
              <w:t>188</w:t>
            </w:r>
          </w:hyperlink>
        </w:p>
        <w:p>
          <w:pPr>
            <w:pStyle w:val="Tabledesmatiresniveau2"/>
            <w:tabs>
              <w:tab w:val="right" w:pos="9638" w:leader="dot"/>
            </w:tabs>
            <w:rPr/>
          </w:pPr>
          <w:hyperlink w:anchor="__RefHeading___Toc300448_1346298689">
            <w:r>
              <w:rPr>
                <w:rStyle w:val="Sautdindex"/>
              </w:rPr>
              <w:t>Εισαγωγή</w:t>
              <w:tab/>
              <w:t>191</w:t>
            </w:r>
          </w:hyperlink>
        </w:p>
        <w:p>
          <w:pPr>
            <w:pStyle w:val="Tabledesmatiresniveau2"/>
            <w:tabs>
              <w:tab w:val="right" w:pos="9638" w:leader="dot"/>
            </w:tabs>
            <w:rPr/>
          </w:pPr>
          <w:hyperlink w:anchor="__RefHeading___Toc300450_1346298689">
            <w:r>
              <w:rPr>
                <w:rStyle w:val="Sautdindex"/>
              </w:rPr>
              <w:t>Παρουσίαση των κυριότερων αποτελεσμάτων</w:t>
              <w:tab/>
              <w:t>194</w:t>
            </w:r>
          </w:hyperlink>
        </w:p>
        <w:p>
          <w:pPr>
            <w:pStyle w:val="Tabledesmatiresniveau2"/>
            <w:tabs>
              <w:tab w:val="right" w:pos="9638" w:leader="dot"/>
            </w:tabs>
            <w:rPr/>
          </w:pPr>
          <w:hyperlink w:anchor="__RefHeading___Toc300452_1346298689">
            <w:r>
              <w:rPr>
                <w:rStyle w:val="Sautdindex"/>
              </w:rPr>
              <w:t>Παρουσίαση των επιτροπών των περιφερειακών συνεδρίων</w:t>
              <w:tab/>
              <w:t>196</w:t>
            </w:r>
          </w:hyperlink>
        </w:p>
        <w:p>
          <w:pPr>
            <w:pStyle w:val="Tabledesmatiresniveau2"/>
            <w:tabs>
              <w:tab w:val="right" w:pos="9638" w:leader="dot"/>
            </w:tabs>
            <w:rPr/>
          </w:pPr>
          <w:hyperlink w:anchor="__RefHeading___Toc300454_1346298689">
            <w:r>
              <w:rPr>
                <w:rStyle w:val="Sautdindex"/>
              </w:rPr>
              <w:t>Μεθοδολογικές δεσμεύσεις και προκαταλήψεις</w:t>
              <w:tab/>
              <w:t>198</w:t>
            </w:r>
          </w:hyperlink>
        </w:p>
        <w:p>
          <w:pPr>
            <w:pStyle w:val="Tabledesmatiresniveau2"/>
            <w:tabs>
              <w:tab w:val="right" w:pos="9638" w:leader="dot"/>
            </w:tabs>
            <w:rPr/>
          </w:pPr>
          <w:hyperlink w:anchor="__RefHeading___Toc297351_1346298689">
            <w:r>
              <w:rPr>
                <w:rStyle w:val="Sautdindex"/>
              </w:rPr>
              <w:t>Δεύτερο μέρος: παρουσίαση των αποτελεσμάτων της διαβούλευσης «Λόγια για τη νεολαία»</w:t>
              <w:tab/>
              <w:t>218</w:t>
            </w:r>
          </w:hyperlink>
        </w:p>
        <w:p>
          <w:pPr>
            <w:pStyle w:val="Tabledesmatiresniveau2"/>
            <w:tabs>
              <w:tab w:val="right" w:pos="9638" w:leader="dot"/>
            </w:tabs>
            <w:rPr/>
          </w:pPr>
          <w:hyperlink w:anchor="__RefHeading___Toc300458_1346298689">
            <w:r>
              <w:rPr>
                <w:rStyle w:val="Sautdindex"/>
              </w:rPr>
              <w:t>Συμπέρασμα</w:t>
              <w:tab/>
              <w:t>222</w:t>
            </w:r>
          </w:hyperlink>
        </w:p>
        <w:p>
          <w:pPr>
            <w:pStyle w:val="Tabledesmatiresniveau1"/>
            <w:tabs>
              <w:tab w:val="right" w:pos="9638" w:leader="dot"/>
            </w:tabs>
            <w:rPr/>
          </w:pPr>
          <w:hyperlink w:anchor="__RefHeading___Toc297353_1346298689">
            <w:r>
              <w:rPr>
                <w:rStyle w:val="Sautdindex"/>
              </w:rPr>
              <w:t>II Γ Εθνικές επιτροπές: Γερμανία</w:t>
              <w:tab/>
              <w:t>223</w:t>
            </w:r>
          </w:hyperlink>
        </w:p>
        <w:p>
          <w:pPr>
            <w:pStyle w:val="Tabledesmatiresniveau1"/>
            <w:tabs>
              <w:tab w:val="right" w:pos="9638" w:leader="dot"/>
            </w:tabs>
            <w:rPr/>
          </w:pPr>
          <w:hyperlink w:anchor="__RefHeading___Toc297355_1346298689">
            <w:r>
              <w:rPr>
                <w:rStyle w:val="Sautdindex"/>
              </w:rPr>
              <w:t>ΙΙ Δ Εθνικές επιτροπές: Ιταλία</w:t>
              <w:tab/>
              <w:t>229</w:t>
            </w:r>
          </w:hyperlink>
        </w:p>
        <w:p>
          <w:pPr>
            <w:pStyle w:val="Tabledesmatiresniveau2"/>
            <w:tabs>
              <w:tab w:val="right" w:pos="9638" w:leader="dot"/>
            </w:tabs>
            <w:rPr/>
          </w:pPr>
          <w:hyperlink w:anchor="__RefHeading___Toc300314_1346298689">
            <w:r>
              <w:rPr>
                <w:rStyle w:val="Sautdindex"/>
              </w:rPr>
              <w:t>4. ΠΡΟΓΡΑΜΜΑ ΕΡΓΑΣΙΑΣ</w:t>
              <w:tab/>
              <w:t>236</w:t>
            </w:r>
          </w:hyperlink>
        </w:p>
        <w:p>
          <w:pPr>
            <w:pStyle w:val="Tabledesmatiresniveau2"/>
            <w:tabs>
              <w:tab w:val="right" w:pos="9638" w:leader="dot"/>
            </w:tabs>
            <w:rPr/>
          </w:pPr>
          <w:hyperlink w:anchor="__RefHeading___Toc300322_1346298689">
            <w:r>
              <w:rPr>
                <w:rStyle w:val="Sautdindex"/>
              </w:rPr>
              <w:t>6. Τελική αξιολόγηση από τους συμμετέχοντες</w:t>
              <w:tab/>
              <w:t>245</w:t>
            </w:r>
          </w:hyperlink>
        </w:p>
        <w:p>
          <w:pPr>
            <w:pStyle w:val="Tabledesmatiresniveau1"/>
            <w:tabs>
              <w:tab w:val="right" w:pos="9638" w:leader="dot"/>
            </w:tabs>
            <w:rPr/>
          </w:pPr>
          <w:hyperlink w:anchor="__RefHeading___Toc298382_1346298689">
            <w:r>
              <w:rPr>
                <w:rStyle w:val="Sautdindex"/>
              </w:rPr>
              <w:t>II Ε Εθνικές ομάδες: Λιθουανία</w:t>
              <w:tab/>
              <w:t>248</w:t>
            </w:r>
          </w:hyperlink>
        </w:p>
        <w:p>
          <w:pPr>
            <w:pStyle w:val="Tabledesmatiresniveau1"/>
            <w:tabs>
              <w:tab w:val="right" w:pos="9638" w:leader="dot"/>
            </w:tabs>
            <w:rPr/>
          </w:pPr>
          <w:hyperlink w:anchor="__RefHeading___Toc297357_1346298689">
            <w:r>
              <w:rPr>
                <w:rStyle w:val="Sautdindex"/>
              </w:rPr>
              <w:t>ΙΙ ΣΤ Εθνικές επιτροπές: Κάτω Χώρες</w:t>
              <w:tab/>
              <w:t>257</w:t>
            </w:r>
          </w:hyperlink>
        </w:p>
        <w:p>
          <w:pPr>
            <w:pStyle w:val="Tabledesmatiresniveau1"/>
            <w:tabs>
              <w:tab w:val="right" w:pos="9638" w:leader="dot"/>
            </w:tabs>
            <w:rPr/>
          </w:pPr>
          <w:hyperlink w:anchor="__RefHeading___Toc297359_1346298689">
            <w:r>
              <w:rPr>
                <w:rStyle w:val="Sautdindex"/>
              </w:rPr>
              <w:t>III — Αναφορές στα αποτελέσματα εθνικών εκδηλώσεων</w:t>
              <w:tab/>
              <w:t>315</w:t>
            </w:r>
          </w:hyperlink>
        </w:p>
        <w:p>
          <w:pPr>
            <w:pStyle w:val="Tabledesmatiresniveau1"/>
            <w:tabs>
              <w:tab w:val="right" w:pos="9638" w:leader="dot"/>
            </w:tabs>
            <w:rPr/>
          </w:pPr>
          <w:hyperlink w:anchor="__RefHeading___Toc344888_2081073262">
            <w:r>
              <w:rPr>
                <w:rStyle w:val="Sautdindex"/>
              </w:rPr>
              <w:t>IV — Παραπομπή στην έκθεση της πολύγλωσσης ψηφιακής πλατφόρμας</w:t>
              <w:tab/>
              <w:t>316</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ΕΙΚΟΝΑ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ΟΝΑ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Εισαγωγή</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Στις 10 Μαρτίου 2021, ο Πρόεδρος του Ευρωπαϊκού Κοινοβουλίου, David Sassoli, ο Πρωθυπουργός της Πορτογαλίας António Costa, εξ ονόματος του Συμβουλίου της ΕΕ, και η Πρόεδρος της Ευρωπαϊκής Επιτροπής, Ursula von der Leyen, υπέγραψαν την κοινή δήλωση σχετικά με τη Διάσκεψη για το μέλλον της Ευρώπης. Η δέσμευση που ανέλαβαν ήταν απλή: επρόκειτο για μια άσκηση με επίκεντρο τον πολίτη, η οποία βασίστηκε σε μια προσέγγιση από τη βάση προς την κορυφή, προκειμένου να διασφαλιστεί ότι όλοι οι Ευρωπαίοι έχουν λόγο σε αυτό που αναμένουν από την Ευρωπαϊκή Ένωση και διαδραματίζουν ενισχυμένο ρόλο στη διαμόρφωση του μέλλοντος της Ένωσης. Το έργο τους, από την άλλη πλευρά, ήταν εξαιρετικά δύσκολο: στόχος ήταν να οργανωθεί, για πρώτη φορά, μια διακρατική, πολυγλωσσική και διοργανική άσκηση διαβουλευτικής δημοκρατίας με τη συμμετοχή χιλιάδων ευρωπαίων πολιτών καθώς και πολιτικών παραγόντων, κοινωνικών εταίρων, εκπροσώπων της κοινωνίας των πολιτών και βασικών ενδιαφερόμενων μερών κατά την έννοια του άρθρου 16 του εσωτερικού κανονισμού της Διάσκεψης.</w:t>
      </w:r>
    </w:p>
    <w:p>
      <w:pPr>
        <w:pStyle w:val="Normal"/>
        <w:rPr/>
      </w:pPr>
      <w:r>
        <w:rPr/>
        <w:t>Στις 9 Μαΐου 2022, μετά από μήνες εντατικών διαβουλεύσεων, η Διάσκεψη ολοκλήρωσε τις εργασίες της, παρουσιάζοντας στα τρία θεσμικά όργανα της ΕΕ έκθεση σχετικά με τα τελικά της αποτελέσματα με 49 προτάσεις. Οι προτάσεις αυτές ανταποκρίνονται στις προσδοκίες των ευρωπαίων πολιτών για εννέα θέματα: Ισχυρότερη οικονομία, κοινωνική δικαιοσύνη και απασχόληση· Εκπαίδευση, πολιτισμός, νεολαία και αθλητισμός· Ψηφιακός μετασχηματισμός· Την ευρωπαϊκή δημοκρατία· Αξίες και δικαιώματα, κράτος δικαίου, ασφάλεια· Την κλιματική αλλαγή και το περιβάλλον· Υγεία· Η ΕΕ στον κόσμο· και τη μετανάστευση. Όλα αυτά τα θέματα παρατίθενται στην παρούσα τελική έκθεση, η οποία αποσκοπεί επίσης να παράσχει μια επισκόπηση των διαφόρων δραστηριοτήτων που αναλαμβάνονται στο πλαίσιο αυτής της μοναδικής διαδικασίας, της Διάσκεψης για το Μέλλον της Ευρώπης.</w:t>
      </w:r>
    </w:p>
    <w:p>
      <w:pPr>
        <w:pStyle w:val="Corpsdetexte"/>
        <w:rPr/>
      </w:pPr>
      <w:r>
        <w:rPr/>
        <w:t>Υπό την ηγεσία τριών συμπροέδρων (Guy Verhofstadt για το Ευρωπαϊκό Κοινοβούλιο· Ana Paula Zacarias, Gašper Dovžan και Clément Beaune, διαδοχικά για το Συμβούλιο της ΕΕ· και Dubravka Šuica για την Ευρωπαϊκή Επιτροπή) υπό την ηγεσία εκτελεστικής επιτροπής (που απαρτίζεται εξίσου από εκπροσώπους των τριών θεσμικών οργάνων καθώς και από παρατηρητές των κύριων ενδιαφερόμενων μερών), η διάσκεψη ήταν μια άνευ προηγουμένου εμπειρία διακρατικής διαβουλευτικής δημοκρατίας. Έχει επίσης αποδείξει την ιστορική σημασία και σημασία της στο πλαίσιο της πανδημίας COVID-19 και της ρωσικής επιθετικότητας κατά της Ουκρανίας. Η Διάσκεψη για το Μέλλον της Ευρώπης είχε ως αποτέλεσμα τη δημιουργία μιας πολύγλωσσης ψηφιακής πλατφόρμας για τους ευρωπαίους πολίτες με σκοπό τη συμβολή και στις 24 γλώσσες της ΕΕ και τη διοργάνωση τεσσάρων ομάδων ευρωπαίων πολιτών, έξι εθνικών ομάδων πολιτών, χιλιάδων εθνικών και τοπικών εκδηλώσεων και επτά συνελεύσεων ολομέλειας της διάσκεψης. Είναι αποτέλεσμα μιας άνευ προηγουμένου προθυμίας των θεσμικών οργάνων της ΕΕ, των κρατών μελών, αλλά και κυρίως των ευρωπαίων πολιτών, να συζητήσουν τις προτεραιότητες της Ευρωπαϊκής Ένωσης και τις προκλήσεις που αντιμετωπίζει και να υιοθετήσουν μια νέα προσέγγιση στο ευρωπαϊκό εγχείρημα.</w:t>
      </w:r>
    </w:p>
    <w:p>
      <w:pPr>
        <w:pStyle w:val="Corpsdetexte"/>
        <w:rPr/>
      </w:pPr>
      <w:r>
        <w:rPr/>
        <w:t>Ωστόσο, αυτό είναι μόνο η αρχή. Σύμφωνα με το ιδρυτικό κείμενο της διάσκεψης, τα τρία θεσμικά όργανα θα εξετάσουν σύντομα τον τρόπο αποτελεσματικής εφαρμογής της παρούσας έκθεσης, καθένα στο πλαίσιο των αρμοδιοτήτων του και σύμφωνα με τις Συνθήκες. Ο καθορισμός των τριών θεσμικών οργάνων στο πλαίσιο αυτό είναι υψίστης σημασίας.</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Ι. Η αρχιτεκτονική του συνεδρίου</w:t>
      </w:r>
    </w:p>
    <w:p>
      <w:pPr>
        <w:pStyle w:val="Corpsdetexte"/>
        <w:rPr>
          <w:sz w:val="40"/>
        </w:rPr>
      </w:pPr>
      <w:r>
        <w:rPr>
          <w:sz w:val="40"/>
        </w:rPr>
        <w:t>Η Διάσκεψη για το Μέλλον της Ευρώπης</w:t>
      </w:r>
      <w:r>
        <w:rPr>
          <w:rStyle w:val="Ancredenotedebasdepage"/>
          <w:rStyle w:val="Ancredenotedebasdepage"/>
          <w:sz w:val="40"/>
        </w:rPr>
        <w:footnoteReference w:id="2"/>
      </w:r>
      <w:r>
        <w:rPr>
          <w:sz w:val="40"/>
        </w:rPr>
        <w:t xml:space="preserve"> ήταν μια νέα και καινοτόμος διαδικασία, η οποία άνοιξε ένα νέο χώρο συζήτησης με τους πολίτες, προκειμένου να εξεταστούν οι προτεραιότητες και οι προκλήσεις της Ευρώπης, με σκοπό την εδραίωση της δημοκρατικής νομιμότητας του ευρωπαϊκού εγχειρήματος και την προώθηση της προσήλωσης των πολιτών στις κοινές μας αξίες και στόχους. Η διάσκεψη ήταν μια άσκηση με επίκεντρο τον πολίτη που βασίστηκε σε μια προσέγγιση από τη βάση προς την κορυφή, με στόχο να διασφαλιστεί ότι οι Ευρωπαίοι θα έχουν λόγο σε αυτό που αναμένουν από την Ευρωπαϊκή Ένωση. Ήταν μια κοινή πρωτοβουλία του Ευρωπαϊκού Κοινοβουλίου, του Συμβουλίου και της Ευρωπαϊκής Επιτροπής, ενεργώντας επί ίσοις όροις με τα κράτη μέλη της Ευρωπαϊκής Ένωσης.</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Κοινή δήλωση</w:t>
      </w:r>
    </w:p>
    <w:p>
      <w:pPr>
        <w:pStyle w:val="Normal"/>
        <w:rPr/>
      </w:pPr>
      <w:r>
        <w:rPr/>
      </w:r>
    </w:p>
    <w:p>
      <w:pPr>
        <w:pStyle w:val="Normal"/>
        <w:rPr/>
      </w:pPr>
      <w:r>
        <w:rPr/>
        <w:t>Στις 10 Μαρτίου 2021, η κοινή δήλωση σχετικά με τη Διάσκεψη για το μέλλον της Ευρώπης («κοινή δήλωση») υπεγράφη από τον εκλιπόντα Πρόεδρο του Ευρωπαϊκού Κοινοβουλίου, David Sassoli, τον Πρωθυπουργό της Πορτογαλίας κ. António Costa, εξ ονόματος του Συμβουλίου της ΕΕ, και την Πρόεδρο της Ευρωπαϊκής Επιτροπής, Ursula von der Leyen, ανοίγοντας τον δρόμο για αυτή την άνευ προηγουμένου, ανοικτή και χωρίς αποκλεισμούς ευρωπαϊκή δημοκρατική άσκηση, η οποία δίνει μια κεντρική θέση στους πολίτες.</w:t>
      </w:r>
    </w:p>
    <w:p>
      <w:pPr>
        <w:pStyle w:val="Normal"/>
        <w:rPr/>
      </w:pPr>
      <w:r>
        <w:rPr/>
        <w:t>Η Διάσκεψη τέθηκε υπό την εποπτεία των προέδρων των τριών θεσμικών οργάνων, ενεργώντας ως κοινή Προεδρία. Η κοινή Προεδρία επικουρήθηκε από μια εκτελεστική επιτροπή, υπό τη συμπροεδρία ενός μέλους από καθένα από τα τρία θεσμικά όργανα της ΕΕ.</w:t>
      </w:r>
    </w:p>
    <w:p>
      <w:pPr>
        <w:pStyle w:val="Normal"/>
        <w:rPr/>
      </w:pPr>
      <w:r>
        <w:rPr/>
        <w:t xml:space="preserve">Σύμφωνα με την κοινή δήλωση, έχουν συσταθεί οι ακόλουθες δομές: </w:t>
      </w:r>
    </w:p>
    <w:p>
      <w:pPr>
        <w:pStyle w:val="Alineanegatifpuce"/>
        <w:numPr>
          <w:ilvl w:val="0"/>
          <w:numId w:val="3"/>
        </w:numPr>
        <w:rPr/>
      </w:pPr>
      <w:r>
        <w:rPr/>
        <w:t>ένα εκτελεστικό συμβούλιο, το οποίο επέβλεπε τη διοργάνωση του συνεδρίου. Απαρτιζόταν από εκπροσώπους των τριών θεσμικών οργάνων της ΕΕ (τρία μέλη και τέσσερις παρατηρητές αντίστοιχα), καθώς και παρατηρητές από την Προεδρική Τρόικα της Διάσκεψης των Οργάνων Κοινοτικών Υποθέσεων (COSAC) των εθνικών κοινοβουλίων της Ευρωπαϊκής Ένωσης. Η Επιτροπή των Περιφερειών, η Ευρωπαϊκή Οικονομική και Κοινωνική Επιτροπή και εκπρόσωποι των κοινωνικών εταίρων προσκλήθηκαν ως παρατηρητές·</w:t>
      </w:r>
    </w:p>
    <w:p>
      <w:pPr>
        <w:pStyle w:val="Alineanegatifpuce"/>
        <w:numPr>
          <w:ilvl w:val="0"/>
          <w:numId w:val="3"/>
        </w:numPr>
        <w:rPr/>
      </w:pPr>
      <w:r>
        <w:rPr/>
        <w:t>κοινή γραμματεία, η οποία εξασφαλίζει ίση εκπροσώπηση των τριών θεσμικών οργάνων, η οποία υποστήριξε το έργο της εκτελεστικής επιτροπής. Ειδικότερα, η ομάδα —υπό την ηγεσία τριών συμπροέδρων των τριών θεσμικών οργάνων — επέβλεψε την οργάνωση και τις προετοιμασίες για τις συνεδριάσεις της εκτελεστικής επιτροπής, των συνελεύσεων ολομέλειας της Διάσκεψης και των ομάδων ευρωπαίων πολιτών. Σε συνεργασία με τους παρόχους υπηρεσιών, ήταν υπεύθυνη για τη διαχείριση της πολύγλωσσης ψηφιακής πλατφόρμας και την υποβολή εκθέσεων σχετικά με τα βασικά ορόσημα καθ’ όλη τη διάρκεια της διαδικασίας.</w:t>
        <w:br/>
        <w:t xml:space="preserve">Η μοναδική σύνθεση αυτής της ομάδας επέτρεψε τη συνεχή συλλογικότητα των εργασιών και εξασφάλισε συνέργειες και βελτίωση της αποτελεσματικότητας σε όλους τους τομείς· </w:t>
      </w:r>
    </w:p>
    <w:p>
      <w:pPr>
        <w:pStyle w:val="Alineanegatifpuce"/>
        <w:numPr>
          <w:ilvl w:val="0"/>
          <w:numId w:val="3"/>
        </w:numPr>
        <w:rPr/>
      </w:pPr>
      <w:r>
        <w:rPr/>
        <w:t>συνεδρίαση ολομέλειας της διάσκεψης (βλ. κεφάλαιο III για περισσότερες πληροφορίες), η οποία επέτρεψε να συζητηθούν οι συστάσεις που διατυπώθηκαν από τις εθνικές και ευρωπαϊκές ομάδες πολιτών, ομαδοποιημένες ανά θεματικό πεδίο, με πλήρη σεβασμό των αξιών της ΕΕ και του χάρτη της διάσκεψης,</w:t>
      </w:r>
      <w:r>
        <w:rPr>
          <w:rStyle w:val="Ancredenotedebasdepage"/>
          <w:rStyle w:val="Ancredenotedebasdepage"/>
        </w:rPr>
        <w:footnoteReference w:id="3"/>
      </w:r>
      <w:r>
        <w:rPr/>
        <w:t>και χωρίς το αποτέλεσμα των συζητήσεων να καθορίζεται εκ των προτέρων ή το πεδίο εφαρμογής τους να περιορίζεται σε προκαθορισμένους τομείς πολιτικής. Συζητήθηκαν επίσης οι εισηγήσεις που συγκεντρώθηκαν στην πολύγλωσση ψηφιακή πλατφόρμα, κατά περίπτωση. Έχουν συσταθεί εννέα θεματικές ομάδες εργασίας για να παράσχουν στοιχεία για την προετοιμασία των συζητήσεων και των προτάσεων της ολομέλειας.</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ΕΙΚΟΝΑ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ΕΙΚΟΝΑ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ΕΣΩΤΕΡΙΚΟΣ ΚΑΝΟΝΙΣΜΟΣ</w:t>
      </w:r>
    </w:p>
    <w:p>
      <w:pPr>
        <w:pStyle w:val="Normal"/>
        <w:rPr/>
      </w:pPr>
      <w:r>
        <w:rPr/>
        <w:t>Στις 9 Μαΐου 2021, η εκτελεστική επιτροπή ενέκρινε τον εσωτερικό κανονισμό της Διάσκεψης, ο οποίος θεσπίστηκε σύμφωνα με την κοινή δήλωση σχετικά με τη Διάσκεψη για το μέλλον της Ευρώπης, η οποία καθορίζει τα θεμέλια και τις αρχές της Διάσκεψης.</w:t>
      </w:r>
    </w:p>
    <w:p>
      <w:pPr>
        <w:pStyle w:val="Normal"/>
        <w:rPr/>
      </w:pPr>
      <w:r>
        <w:rPr/>
        <w:t>Ο εσωτερικός κανονισμός καθορίζει το πλαίσιο για τις εργασίες των διαφόρων δομών συνεδρίων και τις αλληλεπιδράσεις τους.</w:t>
      </w:r>
    </w:p>
    <w:p>
      <w:pPr>
        <w:pStyle w:val="Titre2"/>
        <w:numPr>
          <w:ilvl w:val="1"/>
          <w:numId w:val="2"/>
        </w:numPr>
        <w:rPr/>
      </w:pPr>
      <w:bookmarkStart w:id="3" w:name="__RefHeading___Toc298052_1346298689"/>
      <w:bookmarkEnd w:id="3"/>
      <w:r>
        <w:rPr/>
        <w:t>3. ΕΚΔΗΛΩΣΕΙΣ σχετικα με το ΣΥΝΕΔΡΙΟ</w:t>
      </w:r>
    </w:p>
    <w:p>
      <w:pPr>
        <w:pStyle w:val="Corpsdetexte"/>
        <w:rPr/>
      </w:pPr>
      <w:r>
        <w:rPr/>
        <w:t>Σύμφωνα με την κοινή δήλωση, κάθε κράτος μέλος ή θεσμικό όργανο της ΕΕ θα μπορούσε να διοργανώνει εκδηλώσεις υπό την αιγίδα της Διάσκεψης, ανάλογα με τις εθνικές ή θεσμικές ιδιαιτερότητές του, και να συνεισφέρει περαιτέρω στη Διάσκεψη (βλ. κεφάλαιο ΙΙ.Γ για περισσότερες πληροφορίες).</w:t>
      </w:r>
    </w:p>
    <w:p>
      <w:pPr>
        <w:pStyle w:val="Corpsdetexte"/>
        <w:rPr/>
      </w:pPr>
      <w:r>
        <w:rPr/>
        <w:t>Ως εκ τούτου, τα θεσμικά όργανα και οι οργανισμοί της ΕΕ, τα κράτη μέλη, οι περιφερειακές και τοπικές αρχές, η οργανωμένη κοινωνία των πολιτών, οι κοινωνικοί εταίροι και οι πολίτες κλήθηκαν να διοργανώσουν εκδηλώσεις σε συνεργασία με την κοινωνία των πολιτών και τους ενδιαφερόμενους φορείς σε ευρωπαϊκό, εθνικό, περιφερειακό και τοπικό επίπεδο, σε ευρύ φάσμα μορφών σε ολόκληρη την Ευρώπη, και να δημοσιεύσουν τα αποτελέσματα αυτών των εκδηλώσεων στην ψηφιακή πλατφόρμα. Πραγματοποιήθηκαν αρκετές χιλιάδες τέτοιες εκδηλώσεις, στις οποίες συμμετείχαν περίπου 650.000 συμμετέχοντες.</w:t>
      </w:r>
    </w:p>
    <w:p>
      <w:pPr>
        <w:pStyle w:val="Titre2"/>
        <w:numPr>
          <w:ilvl w:val="1"/>
          <w:numId w:val="2"/>
        </w:numPr>
        <w:rPr/>
      </w:pPr>
      <w:bookmarkStart w:id="4" w:name="__RefHeading___Toc298054_1346298689"/>
      <w:bookmarkEnd w:id="4"/>
      <w:r>
        <w:rPr/>
        <w:t>4.</w:t>
        <w:tab/>
        <w:t>Υλοποίηση της πολύγλωσσης ψηφιακής πλατφόρμας</w:t>
      </w:r>
    </w:p>
    <w:p>
      <w:pPr>
        <w:pStyle w:val="Normal"/>
        <w:rPr/>
      </w:pPr>
      <w:r>
        <w:rPr/>
        <w:t>Η πολύγλωσση ψηφιακή πλατφόρμα (βλ. κεφάλαιο II.A για περισσότερες πληροφορίες) δημιουργήθηκε για να επιτρέπει στους πολίτες να ανταλλάσσουν τις ιδέες τους και να στέλνουν τις απαντήσεις τους ηλεκτρονικά, σύμφωνα με την κοινή δήλωση. Ήταν ο κύριος κόμβος για τη συμβολή και την ενημέρωση των πολιτών σχετικά με τα διάφορα μέρη του συνεδρίου και ένα διαδραστικό εργαλείο για την ανταλλαγή και συζήτηση των ιδεών και των συνεισφορών του πλήθους των εκδηλώσεων που διοργανώθηκαν στο πλαίσιο του συνεδρίου. Η πλατφόρμα ξεκίνησε επίσημα στις 19 Απριλίου 2021. Περισσότερες από 17.000 ιδέες έχουν δημοσιευθεί στην πλατφόρμα.</w:t>
      </w:r>
    </w:p>
    <w:p>
      <w:pPr>
        <w:pStyle w:val="Corpsdetexte"/>
        <w:rPr/>
      </w:pPr>
      <w:r>
        <w:rPr/>
        <w:t>Καθ’ όλη τη διάρκεια της διάσκεψης καταρτίστηκαν εκθέσεις σχετικά με τις εισηγήσεις που παρουσιάστηκαν στην πλατφόρμα.</w:t>
      </w:r>
    </w:p>
    <w:p>
      <w:pPr>
        <w:pStyle w:val="Normal"/>
        <w:rPr/>
      </w:pPr>
      <w:r>
        <w:rPr/>
        <w:t>Οι συνεισφορές που συγκεντρώθηκαν μέσω της πλατφόρμας ελήφθησαν υπόψη από τις ομάδες ευρωπαίων πολιτών και συζητήθηκαν και συζητήθηκαν στην ολομέλεια της Διάσκεψης.</w:t>
      </w:r>
    </w:p>
    <w:p>
      <w:pPr>
        <w:pStyle w:val="Titre2"/>
        <w:numPr>
          <w:ilvl w:val="1"/>
          <w:numId w:val="2"/>
        </w:numPr>
        <w:rPr/>
      </w:pPr>
      <w:bookmarkStart w:id="5" w:name="__RefHeading___Toc298056_1346298689"/>
      <w:bookmarkEnd w:id="5"/>
      <w:r>
        <w:rPr/>
        <w:t>5.</w:t>
        <w:tab/>
        <w:t>Ομάδες Ευρωπαίων πολιτών</w:t>
      </w:r>
    </w:p>
    <w:p>
      <w:pPr>
        <w:pStyle w:val="Normal"/>
        <w:rPr/>
      </w:pPr>
      <w:r>
        <w:rPr/>
        <w:t>Σύμφωνα με την κοινή δήλωση, οι ομάδες ευρωπαίων πολιτών, που οργανώθηκαν γύρω από τα κύρια θέματα της διάσκεψης, αποτέλεσαν κεντρικό και ιδιαίτερα καινοτόμο στοιχείο της διάσκεψης (βλ. κεφάλαιο II.B για περισσότερες πληροφορίες).</w:t>
      </w:r>
    </w:p>
    <w:p>
      <w:pPr>
        <w:pStyle w:val="Normal"/>
        <w:rPr/>
      </w:pPr>
      <w:r>
        <w:rPr/>
        <w:t>Συνολικά 800 τυχαία επιλεγμένοι πολίτες που αντιπροσωπεύουν την κοινωνιολογική και γεωγραφική πολυμορφία της ΕΕ και ομαδοποιήθηκαν σε τέσσερις ομάδες 200 πολιτών συνεδρίασαν για τρεις συνεδριάσεις διαβούλευσης ανά ομάδα. Οι ομάδες ευρωπαίων πολιτών διατύπωσαν συστάσεις που τροφοδοτούσαν τις γενικές διαβουλεύσεις της Διάσκεψης, ιδίως στις Ολομέλειες της Διάσκεψης.</w:t>
      </w:r>
    </w:p>
    <w:p>
      <w:pPr>
        <w:pStyle w:val="Normal"/>
        <w:rPr/>
      </w:pPr>
      <w:r>
        <w:rPr/>
        <w:t>Οι συμπρόεδροι της εκτελεστικής επιτροπής καθιέρωσαν από κοινού τις πρακτικές ρυθμίσεις για την οργάνωση των ομάδων ευρωπαίων πολιτών, σύμφωνα με την κοινή δήλωση και τον εσωτερικό κανονισμό, και ενημέρωσαν εκ των προτέρων την εκτελεστική επιτροπή.</w:t>
      </w:r>
    </w:p>
    <w:p>
      <w:pPr>
        <w:pStyle w:val="Normal"/>
        <w:rPr/>
      </w:pPr>
      <w:r>
        <w:rPr/>
        <w:t>Η εκτελεστική επιτροπή ενημερώνεται τακτικά για την πρόοδο όσον αφορά τη σύσταση και τη διοργάνωση ομάδων ευρωπαίων πολιτών.</w:t>
      </w:r>
    </w:p>
    <w:p>
      <w:pPr>
        <w:pStyle w:val="Normal"/>
        <w:rPr/>
      </w:pPr>
      <w:r>
        <w:rPr/>
      </w:r>
    </w:p>
    <w:p>
      <w:pPr>
        <w:pStyle w:val="Titre2"/>
        <w:numPr>
          <w:ilvl w:val="1"/>
          <w:numId w:val="2"/>
        </w:numPr>
        <w:rPr/>
      </w:pPr>
      <w:bookmarkStart w:id="6" w:name="__RefHeading___Toc298058_1346298689"/>
      <w:bookmarkEnd w:id="6"/>
      <w:r>
        <w:rPr/>
        <w:t>6.</w:t>
        <w:tab/>
        <w:t>Εθνικές ομάδες πολιτών</w:t>
      </w:r>
    </w:p>
    <w:p>
      <w:pPr>
        <w:pStyle w:val="Normal"/>
        <w:rPr/>
      </w:pPr>
      <w:r>
        <w:rPr/>
        <w:t>Σύμφωνα με την κοινή δήλωση, τα κράτη μέλη θα μπορούσαν να οργανώσουν εθνικές ομάδες. Για να βοηθηθούν τα κράτη μέλη που σχεδιάζουν να οργανώσουν εθνικές ομάδες πολιτών, οι κατευθυντήριες γραμμές εγκρίθηκαν από τους συμπροέδρους και διαβιβάστηκαν στην εκτελεστική επιτροπή στις 26 Μαΐου 2021, ώστε να διασφαλιστεί ότι οι εθνικές ομάδες διοργανώνονται σύμφωνα με τις ίδιες αρχές με τις ομάδες ευρωπαίων πολιτών. Οι εν λόγω κατευθυντήριες γραμμές περιλάμβαναν αρχές χρηστής διαβούλευσης, βάσει των κατευθυντήριων γραμμών του ΟΟΣΑ</w:t>
      </w:r>
      <w:r>
        <w:rPr>
          <w:rStyle w:val="Ancredenotedebasdepage"/>
          <w:rStyle w:val="Ancredenotedebasdepage"/>
        </w:rPr>
        <w:footnoteReference w:id="4"/>
      </w:r>
      <w:r>
        <w:rPr/>
        <w:t>. Κάθε κράτος μέλος θα μπορούσε να αποφασίσει εάν θα οργανώσει ή όχι μια ομάδα εθνικών πολιτών. Συνολικά έξι κράτη μέλη οργάνωσαν ένα (Βέλγιο, Γαλλία, Γερμανία, Ιταλία, Λιθουανία και Κάτω Χώρες).</w:t>
      </w:r>
    </w:p>
    <w:p>
      <w:pPr>
        <w:pStyle w:val="Normal"/>
        <w:rPr/>
      </w:pPr>
      <w:r>
        <w:rPr/>
        <w:t>Σύμφωνα με την κοινή δήλωση, οι συστάσεις των εθνικών ομάδων πολιτών παρουσιάστηκαν και συζητήθηκαν στην ολομέλεια της Διάσκεψης, παράλληλα με τις συστάσεις των ομάδων ευρωπαίων πολιτών.</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ΌΧΙ, ΌΧΙ, ΌΧΙ, ΌΧΙ. Η συμβολή των πολιτών στη διάσκεψη</w:t>
      </w:r>
    </w:p>
    <w:p>
      <w:pPr>
        <w:pStyle w:val="Normal"/>
        <w:rPr/>
      </w:pPr>
      <w:r>
        <w:rPr/>
      </w:r>
      <w:r>
        <w:br w:type="page"/>
      </w:r>
    </w:p>
    <w:p>
      <w:pPr>
        <w:pStyle w:val="Titre2"/>
        <w:numPr>
          <w:ilvl w:val="1"/>
          <w:numId w:val="2"/>
        </w:numPr>
        <w:rPr/>
      </w:pPr>
      <w:bookmarkStart w:id="8" w:name="__RefHeading___Toc298190_1346298689"/>
      <w:bookmarkEnd w:id="8"/>
      <w:r>
        <w:rPr/>
        <w:t>Α. Πολύγλωσση ψηφιακή πλατφόρμα</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Η πολύγλωσση ψηφιακή πλατφόρμα ξεκίνησε στις 19 Απριλίου 2021 και αποτέλεσε το κεντρικό σημείο επαφής της διάσκεψης. Μέσα από αυτό, όλοι μπόρεσαν να συμμετάσχουν στο συνέδριο: όλοι οι πολίτες στην ΕΕ και αλλού, η κοινωνία των πολιτών, οι κοινωνικοί εταίροι και διάφοροι άλλοι ενδιαφερόμενοι.</w:t>
      </w:r>
    </w:p>
    <w:p>
      <w:pPr>
        <w:pStyle w:val="Normal"/>
        <w:rPr/>
      </w:pPr>
      <w:r>
        <w:rPr/>
        <w:t>Η πλατφόρμα αναπτύχθηκε ειδικά για το συνέδριο, χρησιμοποιώντας το Decidim, ένα ευρωπαϊκό ελεύθερο λογισμικό αφιερωμένο στη συμμετοχή των πολιτών. σε τέτοια κλίμακα και επίπεδο διαδραστικότητας και πολυγλωσσίας, αυτό το επίτευγμα ήταν ένα πρώτο, όχι μόνο ευρωπαϊκό αλλά και παγκόσμιο. Όλες οι συνεισφορές ήταν διαθέσιμες και στις 24 επίσημες γλώσσες της ΕΕ μέσω αυτόματης μετάφρασης. Η συζήτηση διαρθρώθηκε γύρω από δέκα θέματα: «Κλιματική αλλαγή και περιβάλλον», «Υγεία», «Ισχυρότερη οικονομία, κοινωνική δικαιοσύνη και απασχόληση», «Η ΕΕ στον κόσμο», «Αξίες και δικαιώματα, κράτος δικαίου, ασφάλεια», «ψηφιακός μετασχηματισμός», «Ευρωπαϊκή δημοκρατία», «Μετανάστευση», «Εκπαίδευση, πολιτισμός, νεολαία και αθλητισμός» και «Άλλες ιδέες».</w:t>
      </w:r>
    </w:p>
    <w:p>
      <w:pPr>
        <w:pStyle w:val="Normal"/>
        <w:rPr/>
      </w:pPr>
      <w:r>
        <w:rPr/>
        <w:t>Ήταν δυνατή η συμμετοχή στην πλατφόρμα με διάφορους τρόπους.</w:t>
      </w:r>
    </w:p>
    <w:p>
      <w:pPr>
        <w:pStyle w:val="Normal"/>
        <w:rPr/>
      </w:pPr>
      <w:r>
        <w:rPr/>
        <w:t>Όποιος το ήθελε θα μπορούσε να μοιραστεί τις ιδέες του για ένα από τα δέκα θέματα. Ήταν επίσης δυνατό να σχολιάσουμε τις ιδέες των άλλων. Ως εκ τούτου, η πλατφόρμα κατέστησε δυνατή μια πραγματική πανευρωπαϊκή συζήτηση μεταξύ των πολιτών.</w:t>
      </w:r>
    </w:p>
    <w:p>
      <w:pPr>
        <w:pStyle w:val="Normal"/>
        <w:rPr/>
      </w:pPr>
      <w:r>
        <w:rPr/>
        <w:t>Οι συμμετέχοντες θα μπορούσαν επίσης να εγκρίνουν ιδέες, υποδεικνύοντας ότι υποστήριζαν στοιχεία από άλλον χρήστη.</w:t>
      </w:r>
    </w:p>
    <w:p>
      <w:pPr>
        <w:pStyle w:val="Normal"/>
        <w:rPr/>
      </w:pPr>
      <w:r>
        <w:rPr/>
        <w:t xml:space="preserve">Ένας άλλος σημαντικός τρόπος συμβολής στο συνέδριο ήταν η διοργάνωση εκδηλώσεων (εικονικές, πρόσωπο με πρόσωπο ή υβριδικές), η αναγγελία τους στην πλατφόρμα, η αναφορά των αποτελεσμάτων τους και η σύνδεσή τους με ιδέες. </w:t>
      </w:r>
      <w:hyperlink r:id="rId23">
        <w:r>
          <w:rPr>
            <w:rStyle w:val="LienInternet"/>
          </w:rPr>
          <w:t>Ξεναγοί</w:t>
        </w:r>
      </w:hyperlink>
      <w:r>
        <w:rPr/>
        <w:t xml:space="preserve"> και </w:t>
      </w:r>
      <w:hyperlink r:id="rId24">
        <w:r>
          <w:rPr>
            <w:rStyle w:val="LienInternet"/>
          </w:rPr>
          <w:t>ενημερωτικό υλικό είχαν</w:t>
        </w:r>
      </w:hyperlink>
      <w:r>
        <w:rPr/>
        <w:t xml:space="preserve"> τεθεί στη διάθεση των διοργανωτών στην πλατφόρμα για την προώθηση του συμμετοχικού και χωρίς αποκλεισμούς χαρακτήρα των εκδηλώσεων.</w:t>
      </w:r>
    </w:p>
    <w:p>
      <w:pPr>
        <w:pStyle w:val="Normal"/>
        <w:rPr/>
      </w:pPr>
      <w:r>
        <w:rPr/>
        <w:t xml:space="preserve">Η πλατφόρμα διαδραμάτισε θεμελιώδη ρόλο στη διαφάνεια ολόκληρης της διαδικασίας και στην πρόσβαση όλων στις πληροφορίες που σχετίζονται με τη διάσκεψη. Εκεί θα μπορούσαν όλοι να βρουν πληροφορίες σχετικά με τις μεθόδους εργασίας και την οργάνωση της ίδιας της διάσκεψης, για παράδειγμα σχετικά με την ίδια τη διαδικασία της διάσκεψης (την ολομέλεια της διάσκεψης και τις ομάδες εργασίας της, ομάδες </w:t>
      </w:r>
      <w:hyperlink r:id="rId25">
        <w:r>
          <w:rPr>
            <w:rStyle w:val="LienInternet"/>
          </w:rPr>
          <w:t>ευρωπαίων πολιτών</w:t>
        </w:r>
      </w:hyperlink>
      <w:r>
        <w:rPr/>
        <w:t xml:space="preserve">, </w:t>
      </w:r>
      <w:hyperlink r:id="rId26">
        <w:r>
          <w:rPr>
            <w:rStyle w:val="LienInternet"/>
          </w:rPr>
          <w:t>εθνικές ομάδες και εκδηλώσεις και</w:t>
        </w:r>
      </w:hyperlink>
      <w:r>
        <w:rPr/>
        <w:t xml:space="preserve"> την </w:t>
      </w:r>
      <w:hyperlink r:id="rId27">
        <w:r>
          <w:rPr>
            <w:rStyle w:val="LienInternet"/>
          </w:rPr>
          <w:t>εκτελεστική επιτροπή</w:t>
        </w:r>
      </w:hyperlink>
      <w:r>
        <w:rPr/>
        <w:t>). Οι συζητήσεις της ολομέλειας και των ομάδων εργασίας της μεταδόθηκαν ζωντανά στο διαδίκτυο, όπως και οι συνεδριάσεις των ομάδων ευρωπαίων πολιτών. Όλες αυτές οι πληροφορίες θα παραμείνουν διαθέσιμες στην πλατφόρμα.</w:t>
      </w:r>
    </w:p>
    <w:p>
      <w:pPr>
        <w:pStyle w:val="Normal"/>
        <w:rPr/>
      </w:pPr>
      <w:r>
        <w:rPr/>
        <w:t>Καθ’ όλη τη διάρκεια της εργασίας, έγιναν βελτιώσεις στην πλατφόρμα, όποτε ήταν δυνατόν, με την προσθήκη χαρακτηριστικών ή οπτικών μέσων, για παράδειγμα. Με την πάροδο του χρόνου, η πλατφόρμα έχει επίσης καταστεί πιο προσιτή για τα άτομα με αναπηρία.</w:t>
      </w:r>
    </w:p>
    <w:p>
      <w:pPr>
        <w:pStyle w:val="Normal"/>
        <w:rPr/>
      </w:pPr>
      <w:r>
        <w:rPr/>
        <w:t>Όλες οι συνεισφορές στην πλατφόρμα ήταν δημόσιες: όλοι μπορούσαν να έχουν πρόσβαση σε αυτά, καθώς και ανοικτά αρχεία δεδομένων που συνδέονται με την ψηφιακή πλατφόρμα, γεγονός που εξασφάλιζε πλήρη διαφάνεια. Προκειμένου να διευκολυνθεί η συλλογή και ανάλυση των συνεισφορών, το Κοινό Κέντρο Ερευνών της Επιτροπής είχε αναπτύξει ένα αυτοματοποιημένο εργαλείο ανάλυσης κειμένου και μια πλατφόρμα ανάλυσης, τα οποία επέτρεψαν την πολύγλωσση διερμηνεία και την εις βάθος ανάλυση του περιεχομένου της πλατφόρμας. Η πλατφόρμα ανάλυσης είναι ένα εργαλείο που έχει αποδειχθεί απαραίτητο για την παροχή τακτικών εκθέσεων ομοιόμορφου επιπέδου ποιότητας σε όλες τις γλώσσες. Επιπλέον, ένας «δεδομένος» που διοργανώθηκε από την Ευρωπαϊκή Επιτροπή τον Μάρτιο του 2022 ενθάρρυνε νέες προσεγγίσεις στην ανάλυση των ανοικτών δεδομένων και συνέβαλε στη διαφάνεια της διαδικασίας ανάλυσης δεδομένων.</w:t>
      </w:r>
    </w:p>
    <w:p>
      <w:pPr>
        <w:pStyle w:val="Normal"/>
        <w:rPr/>
      </w:pPr>
      <w:r>
        <w:rPr/>
        <w:t>Προκειμένου να παράσχει μια επισκόπηση των συνεισφορών στην πλατφόρμα, ένας εξωτερικός πάροχος υπηρεσιών συνέταξε εκθέσεις, οι οποίες έχουν δημοσιευθεί στην ίδια την πλατφόρμα.</w:t>
      </w:r>
    </w:p>
    <w:p>
      <w:pPr>
        <w:pStyle w:val="Normal"/>
        <w:rPr/>
      </w:pPr>
      <w:r>
        <w:rPr/>
        <w:t xml:space="preserve">Μια </w:t>
      </w:r>
      <w:hyperlink r:id="rId28">
        <w:r>
          <w:rPr>
            <w:rStyle w:val="LienInternet"/>
          </w:rPr>
          <w:t>πρώτη ενδιάμεση έκθεση</w:t>
        </w:r>
      </w:hyperlink>
      <w:r>
        <w:rPr/>
        <w:t xml:space="preserve"> δημοσιεύθηκε τον Σεπτέμβριο: επικεντρώθηκε στις συνεισφορές</w:t>
      </w:r>
    </w:p>
    <w:p>
      <w:pPr>
        <w:pStyle w:val="Normal"/>
        <w:rPr/>
      </w:pPr>
      <w:r>
        <w:rPr/>
        <w:t xml:space="preserve">παραδόθηκε έως τις 2 Αυγούστου 2021. Η </w:t>
      </w:r>
      <w:hyperlink r:id="rId29">
        <w:r>
          <w:rPr>
            <w:rStyle w:val="LienInternet"/>
          </w:rPr>
          <w:t>δεύτερη ενδιάμεση έκθεση</w:t>
        </w:r>
      </w:hyperlink>
      <w:r>
        <w:rPr/>
        <w:t xml:space="preserve">δημοσιεύθηκε στα μέσα Οκτωβρίου 2021, η οποία καλύπτει τις συνεισφορές που υποβλήθηκαν έως τις 7 Σεπτεμβρίου 2021. Η </w:t>
      </w:r>
      <w:hyperlink r:id="rId30">
        <w:r>
          <w:rPr>
            <w:rStyle w:val="LienInternet"/>
          </w:rPr>
          <w:t>τρίτη ενδιάμεση έκθεση</w:t>
        </w:r>
      </w:hyperlink>
      <w:r>
        <w:rPr/>
        <w:t xml:space="preserve"> δημοσιεύθηκε τον Δεκέμβριο του 2021 και κάλυψε τις συνεισφορές έως τις 3 Νοεμβρίου 2021. Καθώς οι εργασίες για τη διάσκεψη εισήλθαν στην τελική της φάση, η τελευταία έκθεση που εμπνέει το έργο των συνελεύσεων ολομέλειας της διάσκεψης δημοσιεύθηκε στα μέσα Μαρτίου 2022, λαμβάνοντας υπόψη τις εισηγήσεις που παρουσιάστηκαν στην ψηφιακή πλατφόρμα έως τις 20 Φεβρουαρίου 2022. Το χρονοδιάγραμμα αυτό ανακοινώθηκε σαφώς στην πλατφόρμα και αλλού, με αποτέλεσμα την αύξηση των συνεισφορών τον Ιανουάριο και τον Φεβρουάριο του 2022. Οι εισηγήσεις που θα παραληφθούν έως τις 9 Μαΐου θα εξεταστούν στη συμπληρωματική έκθεση. Πρόσθετες εκθέσεις σχετικά με τις συνεισφορές που υποβλήθηκαν στην πλατφόρμα, ανά κράτος μέλος, διατέθηκαν επίσης ταυτόχρονα με τις εκθέσεις του Σεπτεμβρίου και του Δεκεμβρίου 2021 και του Μαρτίου 2022.</w:t>
      </w:r>
    </w:p>
    <w:p>
      <w:pPr>
        <w:pStyle w:val="Normal"/>
        <w:rPr/>
      </w:pPr>
      <w:r>
        <w:rPr/>
        <w:t xml:space="preserve">Οι εκθέσεις αυτές εστιάστηκαν κυρίως στην ποιοτική ανάλυση των εισηγήσεων που δημοσιεύθηκαν στην πλατφόρμα, προκειμένου να παρασχεθεί γενική επισκόπηση του πεδίου εφαρμογής και της ποικιλομορφίας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ΕΙΚΟΝΑ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ΕΙΚΟΝΑ5" descr=""/>
                    <pic:cNvPicPr>
                      <a:picLocks noChangeAspect="1" noChangeArrowheads="1"/>
                    </pic:cNvPicPr>
                  </pic:nvPicPr>
                  <pic:blipFill>
                    <a:blip r:embed="rId31"/>
                    <a:stretch>
                      <a:fillRect/>
                    </a:stretch>
                  </pic:blipFill>
                  <pic:spPr bwMode="auto">
                    <a:xfrm>
                      <a:off x="0" y="0"/>
                      <a:ext cx="5779135" cy="3321685"/>
                    </a:xfrm>
                    <a:prstGeom prst="rect">
                      <a:avLst/>
                    </a:prstGeom>
                  </pic:spPr>
                </pic:pic>
              </a:graphicData>
            </a:graphic>
          </wp:anchor>
        </w:drawing>
      </w:r>
      <w:r>
        <w:rPr/>
        <w:t>τ</w:t>
      </w:r>
      <w:r>
        <w:rPr/>
        <w:t>ων ιδεών που προτείνονται στην πλατφόρμα και συζητούνται κατά τη διάρκεια των εκδηλώσεων. Για τον σκοπό αυτό, πραγματοποιήθηκε χειρωνακτική ανάλυση κειμένου και συγκέντρωση των συνεισφορών από ερευνητική ομάδα, με τη χρήση αναλυτικών εργαλείων που παρέχονται από το Κοινό Κέντρο Ερευνών της Επιτροπής. Αυτό επέτρεψε τον εντοπισμό κοινών θεμάτων και υποκατηγοριών του θέματος, τα οποία περιγράφηκαν λεπτομερώς κάτω από κάθε θέμα και συντέθηκαν σε εννοιολογικά σχήματα που τους επιτρέπουν να απεικονίζονται γρήγορα. Προκειμένου να συμπληρωθεί αυτή η ποιοτική προσέγγιση με ποσοτικά στοιχεία, σε καθεμία από τις εκθέσεις αναφέρθηκαν θέματα, επιμέρους θέματα ή ιδέες που συχνά επανήλθαν ή που είχαν σχολιαστεί ή υποστηριχθεί σε μεγάλο βαθμό. Στόχος ήταν να αντικατοπτριστεί η κατάσταση των συζητήσεων σε διάφορα στάδια της διάσκεψης, συμπεριλαμβανομένου του υψηλού επιπέδου ενδιαφέροντος ή συζήτησης που δημιουργείται από ορισμένες ιδέες. Οι εκθέσεις παρείχαν επίσης μια επισκόπηση των κοινωνικοδημογραφικών δεδομένων των συμμετεχόντων. Ζητήθηκε από τους συνεισφέροντες να παράσχουν πληροφορίες σχετικά με τη χώρα διαμονής τους, το επίπεδο εκπαίδευσής τους, την ηλικία, το φύλο και το επαγγελματικό τους καθεστώς· ωστόσο, ο προαιρετικός χαρακτήρας των πληροφοριών αυτών περιορίζει τη σαφήνεια που μπορεί να συναχθεί ως προς το προφίλ των συμμετεχόντων. Για παράδειγμα, το 26,9 % του συνόλου των συνεισφορών προέρχονταν από συμμετέχοντες που δεν ανέφεραν τη χώρα διαμονής τους.</w:t>
      </w:r>
    </w:p>
    <w:p>
      <w:pPr>
        <w:pStyle w:val="Normal"/>
        <w:rPr/>
      </w:pPr>
      <w:r>
        <w:rPr/>
      </w:r>
      <w:r>
        <w:br w:type="page"/>
      </w:r>
    </w:p>
    <w:p>
      <w:pPr>
        <w:pStyle w:val="Normal"/>
        <w:rPr/>
      </w:pPr>
      <w:r>
        <w:rPr/>
        <w:t>Από την έναρξη λειτουργίας της πλατφόρμας, το θέμα «Ευρωπαϊκή δημοκρατία» είναι εκείνο για το οποίο έχει καταγραφεί ο μεγαλύτερος αριθμός συνεισφορών (ιδέες, σχόλια και εκδηλώσεις). Το δεύτερο ήταν το θέμα «Κλιματική αλλαγή και περιβάλλον». Οι εισηγήσεις που παρουσιάστηκαν στο πλαίσιο «Άλλες ιδέες» κατέφθασαν στην τρίτη θέση, ενόψει των «Αξίες και δικαιώματα, κράτος δικαίου, ασφάλεια» και «Μια ισχυρότερη οικονομία, κοινωνική δικαιοσύνη και απασχόληση».</w:t>
      </w:r>
    </w:p>
    <w:p>
      <w:pPr>
        <w:pStyle w:val="Normal"/>
        <w:rPr/>
      </w:pPr>
      <w:r>
        <w:rPr/>
        <w:t>Οι εκθέσεις σχετικά με τις συνεισφορές που συγκεντρώθηκαν στην πλατφόρμα, συμπεριλαμβανομένων των εννοιολογικών προγραμμάτων, συνέβαλαν σημαντικά στο έργο των ομάδων ευρωπαίων πολιτών. Κατά την έναρξη κάθε μίας από τις τρεις συνεδριάσεις της ομάδας, τα κύρια πορίσματα της έκθεσης και τα εννοιολογικά σχήματα παρουσιάστηκαν στις ομάδες, οι οποίες έλαβαν συνδέσμους με τις πλήρεις εκθέσεις. Αυτός είναι ο αριθμός των ιδεών που εμφανίστηκαν στην πλατφόρμα, οι οποίες αντικατοπτρίζονται στις συστάσεις των ομάδων ευρωπαίων πολιτών.</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ΠΛΑΙΣΙΟ 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Τι συμβαίνει στη Διάσκεψη για το Μέλλον της Ευρώπης;</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συμμετέχοντες στο συνέδριο</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συμμετέχοντες στην εκδήλωση</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ιδέες</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σχόλια</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ΕΚΔΗΛΩΣΕΙΣ</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ΕΓΚΡΙΣΕΙΣ</w:t>
                                  </w:r>
                                </w:p>
                              </w:tc>
                            </w:tr>
                          </w:tbl>
                          <w:p>
                            <w:pPr>
                              <w:pStyle w:val="Contenudecadre"/>
                              <w:spacing w:before="57" w:after="57"/>
                              <w:rPr/>
                            </w:pPr>
                            <w:r>
                              <w:rPr>
                                <w:color w:val="auto"/>
                              </w:rPr>
                              <w:t xml:space="preserve">Κατάσταση συμμετοχής στις 20 Απριλίου 2022 (πηγή: </w:t>
                            </w:r>
                            <w:hyperlink r:id="rId32">
                              <w:r>
                                <w:rPr>
                                  <w:rStyle w:val="LienInternet"/>
                                  <w:color w:val="auto"/>
                                </w:rPr>
                                <w:t>Διάσκεψη για το μέλλον της Ευρώπης (europa.eu</w:t>
                              </w:r>
                            </w:hyperlink>
                            <w:r>
                              <w:rPr>
                                <w:color w:val="auto"/>
                              </w:rPr>
                              <w:t>)</w:t>
                            </w:r>
                          </w:p>
                        </w:txbxContent>
                      </wps:txbx>
                      <wps:bodyPr lIns="54000" rIns="54000" tIns="54000" bIns="54000">
                        <a:noAutofit/>
                      </wps:bodyPr>
                    </wps:wsp>
                  </a:graphicData>
                </a:graphic>
              </wp:anchor>
            </w:drawing>
          </mc:Choice>
          <mc:Fallback>
            <w:pict>
              <v:rect id="shape_0" ID="ΠΛΑΙΣΙΟ 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Τι συμβαίνει στη Διάσκεψη για το Μέλλον της Ευρώπης;</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συμμετέχοντες στο συνέδριο</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συμμετέχοντες στην εκδήλωση</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ιδέες</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σχόλια</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ΕΚΔΗΛΩΣΕΙΣ</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ΕΓΚΡΙΣΕΙΣ</w:t>
                            </w:r>
                          </w:p>
                        </w:tc>
                      </w:tr>
                    </w:tbl>
                    <w:p>
                      <w:pPr>
                        <w:pStyle w:val="Contenudecadre"/>
                        <w:spacing w:before="57" w:after="57"/>
                        <w:rPr/>
                      </w:pPr>
                      <w:r>
                        <w:rPr>
                          <w:color w:val="auto"/>
                        </w:rPr>
                        <w:t xml:space="preserve">Κατάσταση συμμετοχής στις 20 Απριλίου 2022 (πηγή: </w:t>
                      </w:r>
                      <w:hyperlink r:id="rId33">
                        <w:r>
                          <w:rPr>
                            <w:rStyle w:val="LienInternet"/>
                            <w:color w:val="auto"/>
                          </w:rPr>
                          <w:t>Διάσκεψη για το μέλλον της Ευρώπης (europa.eu</w:t>
                        </w:r>
                      </w:hyperlink>
                      <w:r>
                        <w:rPr>
                          <w:color w:val="auto"/>
                        </w:rPr>
                        <w:t>)</w:t>
                      </w:r>
                    </w:p>
                  </w:txbxContent>
                </v:textbox>
              </v:rect>
            </w:pict>
          </mc:Fallback>
        </mc:AlternateContent>
      </w:r>
      <w:r>
        <w:rPr/>
        <w:t>Οι εκθέσεις συζητήθηκαν επίσης στις συνεδριάσεις ολομέλειας της Διάσκεψης, αρχής γενομένης από την ολομέλεια της 23ης Οκτωβρίου 2021, καθώς και σε προηγούμενες συνεδριάσεις των ομάδων εργασίας. Ως εκ τούτου, οι συνεισφορές της πλατφόρμας συνέχισαν να εμπλουτίζουν τις προτάσεις που αναπτύχθηκαν στην Ολομέλεια της Διάσκεψης.</w:t>
      </w:r>
    </w:p>
    <w:p>
      <w:pPr>
        <w:pStyle w:val="Normal"/>
        <w:rPr/>
      </w:pPr>
      <w:r>
        <w:rPr/>
        <w:t>Έως τις 20 Απριλίου 2022, σχεδόν πέντε εκατομμύρια μοναδικοί επισκέπτες είχαν επισκεφθεί την πολύγλωσση ψηφιακή πλατφόρμα, στην οποία δραστηριοποιούνταν περισσότεροι από 50.000 συμμετέχοντες, 17.000 ιδέες συζητήθηκαν και περισσότερες από 6.000 εγγεγραμμένες εκδηλώσεις. Πίσω από αυτά τα στοιχεία βρίσκονται χιλιάδες αφοσιωμένοι πολίτες που μοιράζονται και συζητούν πολλές ιδέες και διοργανώνουν πλήθος πρωτότυπων και καινοτόμων εκδηλώσεων στα διάφορα κράτη μέλη.</w:t>
      </w:r>
    </w:p>
    <w:p>
      <w:pPr>
        <w:pStyle w:val="Normal"/>
        <w:rPr/>
      </w:pPr>
      <w:r>
        <w:rPr/>
        <w:t xml:space="preserve">Προκειμένου να διασφαλιστεί ότι η πλατφόρμα είναι ένας τόπος όπου οι πολίτες από όλα τα κοινωνικά στρώματα και από όλες τις γωνιές της Ευρώπης αισθάνονται άνετα και ενθαρρύνονται να συμβάλουν στη συζήτηση, όλοι όσοι χρησιμοποιούν την πλατφόρμα πρέπει να προσυπογράψουν </w:t>
      </w:r>
      <w:hyperlink r:id="rId34">
        <w:r>
          <w:rPr>
            <w:rStyle w:val="LienInternet"/>
          </w:rPr>
          <w:t>τον χάρτη της διάσκεψης</w:t>
        </w:r>
      </w:hyperlink>
      <w:r>
        <w:rPr/>
        <w:t xml:space="preserve"> και </w:t>
      </w:r>
      <w:hyperlink r:id="rId35">
        <w:r>
          <w:rPr>
            <w:rStyle w:val="LienInternet"/>
          </w:rPr>
          <w:t>τους κανόνες συμμετοχής</w:t>
        </w:r>
      </w:hyperlink>
      <w:r>
        <w:rPr/>
        <w:t>. Συγκροτήθηκε ομάδα συντονισμού και εργάζεται καθ’ όλη τη διάρκεια της διάσκεψης υπό την εποπτεία της Κοινής Γραμματείας εξ ονόματος της εκτελεστικής επιτροπής, προκειμένου να διασφαλιστεί η συμμόρφωση με τον Χάρτη και τους κανόνες συμμετοχής. Δεν έχει προηγηθεί έλεγχος του περιεχομένου. Όταν μια συνεισφορά ήταν κρυμμένη, ο χρήστης έλαβε ένα μήνυμα από την ομάδα ελέγχου εξηγώντας τον λόγο. Λεπτομέρειες σχετικά με τις αρχές και τη διαδικασία ελέγχου ήταν διαθέσιμες στην ενότητα</w:t>
      </w:r>
      <w:hyperlink r:id="rId36">
        <w:r>
          <w:rPr>
            <w:rStyle w:val="LienInternet"/>
          </w:rPr>
          <w:t>«Συχνές ερωτήσεις»</w:t>
        </w:r>
      </w:hyperlink>
      <w:r>
        <w:rPr/>
        <w:t xml:space="preserve"> (FAQ) της πλατφόρμας.</w:t>
      </w:r>
    </w:p>
    <w:p>
      <w:pPr>
        <w:pStyle w:val="Normal"/>
        <w:rPr/>
      </w:pPr>
      <w:r>
        <w:rPr/>
        <w:t>Μεταξύ 19 Απριλίου 2021 και 20 Απριλίου 2022, 430 ιδέες (2,4 %), 312 παρατηρήσεις (1,4 %) και 396 γεγονότα (6,0 %). Περίπου το 71 % των ιδεών ήταν καλυμμένες επειδή δεν περιείχαν προτάσεις, είτε ήταν ανεπιθύμητα μηνύματα, είτε αιτήματα χρηστών, είτε επειδή περιείχαν προσωπικές πληροφορίες ή ακατάλληλη σχετική εικόνα. Μόνο το 11 % των κρυφών ιδεών οφείλεται στο προσβλητικό τους περιεχόμενο. Η συντριπτική πλειοψηφία των εκδηλώσεων, το 76 %, ήταν καλυμμένες επειδή ήταν διπλές ή επειδή οι πληροφορίες σχετικά με την εκδήλωση ήταν ελλιπείς, κατόπιν αιτήματος των διοργανωτών ή επειδή δεν σχετίζονταν με το συνέδριο.</w:t>
      </w:r>
    </w:p>
    <w:p>
      <w:pPr>
        <w:pStyle w:val="Normal"/>
        <w:rPr/>
      </w:pPr>
      <w:r>
        <w:rPr/>
        <w:t>Η δυνατότητα υποβολής συνεισφορών στην πλατφόρμα παρέμεινε ανοικτή έως τις 9 Μαΐου 2022. Μετά την ημερομηνία αυτή προγραμματίζεται συμπληρωματική έκθεση για τη συμπλήρωση της περίληψης όλων των συνεισφορών που ελήφθησαν κατά τη διάρκεια της διάσκεψης.</w:t>
      </w:r>
    </w:p>
    <w:p>
      <w:pPr>
        <w:pStyle w:val="Normal"/>
        <w:rPr/>
      </w:pPr>
      <w:r>
        <w:rPr/>
        <w:t>Η συμμετοχή στην πλατφόρμα συνέχισε να αυξάνεται καθ’ όλη τη διάρκεια της διάσκεψης, αλλά παρέμεινε άνιση μεταξύ των κρατών μελών και των κοινωνικοδημογραφικών προφίλ των συμμετεχόντων. Σε γενικές γραμμές, η πλατφόρμα παρείχε έναν καινοτόμο χώρο για διαβουλεύσεις, ο οποίος επέτρεψε σε αρκετές χιλιάδες πολίτες και διάφορους ενδιαφερόμενους φορείς από όλη την Ευρώπη και πέραν αυτής να συμμετάσχουν σε μια διαδικτυακή πολύγλωσση συζήτηση για ευρωπαϊκά θέματα σε όλα τα κράτη μέλη. Αποδείχθηκε πολύτιμο εργαλείο για τη διαβουλευτική δημοκρατία σε επίπεδο ΕΕ.</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ΕΙΚΟΝΑ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ΕΙΚΟΝΑ6" descr=""/>
                    <pic:cNvPicPr>
                      <a:picLocks noChangeAspect="1" noChangeArrowheads="1"/>
                    </pic:cNvPicPr>
                  </pic:nvPicPr>
                  <pic:blipFill>
                    <a:blip r:embed="rId37"/>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Β. Επιτροπές πολιτών</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Ομάδες Ευρωπαίων πολιτών</w:t>
      </w:r>
    </w:p>
    <w:p>
      <w:pPr>
        <w:pStyle w:val="Corpsdetexte"/>
        <w:rPr/>
      </w:pPr>
      <w:r>
        <w:rPr/>
        <w:t>Οι ομάδες ευρωπαίων πολιτών ήταν ένας από τους κύριους πυλώνες της διάσκεψης, με τις εθνικές ομάδες, την πολύγλωσση ψηφιακή πλατφόρμα και την ολομέλεια της Διάσκεψης. Βρίσκονται στο επίκεντρο της Διάσκεψης για το Μέλλον της Ευρώπης και συγκεντρώνουν περίπου 800 πολίτες από όλα τα υπόβαθρα και τις περιφέρειες της Ευρωπαϊκής Ένωσης. Ενώ η έννοια των ομάδων πολιτών ή των συνελεύσεων χρησιμοποιείται εδώ και δεκαετίες σε δημοτικό επίπεδο και γίνεται όλο και πιο ορατή σε εθνικό ή περιφερειακό επίπεδο, η πανευρωπαϊκή διάσταση παραμένει σε μεγάλο βαθμό ανεξερεύνητη στον τομέα αυτό. Οι ομάδες ευρωπαίων πολιτών ήταν η πρώτη διακρατική και πολύγλωσση εμπειρία αυτού του μεγέθους και του επιπέδου φιλοδοξίας. Το αξιόλογο σύστημα ερμηνείας που συνόδευε τη διαδικασία οδήγησε σε διάλογο χωρίς αποκλεισμούς, με σεβασμό και αποτελεσματικότητα μεταξύ των ενδιαφερόμενων μερών, διασφαλίζοντας τον σεβασμό της πολυγλωσσίας.</w:t>
      </w:r>
    </w:p>
    <w:p>
      <w:pPr>
        <w:pStyle w:val="Corpsdetexte"/>
        <w:rPr/>
      </w:pPr>
      <w:r>
        <w:rPr/>
        <w:t>Οι ομάδες ευρωπαίων πολιτών οργανώθηκαν από τα τρία θεσμικά όργανα βάσει της κοινής δήλωσης, του εσωτερικού κανονισμού και των ρυθμίσεων που καθόρισαν οι συμπρόεδροι, υπό την εποπτεία της εκτελεστικής επιτροπής. Υποστηρίχθηκε από μια κοινοπραξία εξωτερικών παρόχων υπηρεσιών αποτελούμενη από διάφορους εμπειρογνώμονες στον τομέα της διαβουλευτικής δημοκρατίας και μια ομάδα υποστήριξης της εφοδιαστικής. Η εκτελεστική επιτροπή ενημερώθηκε σχετικά με τις εργασίες των επιτροπών, παρασχέθηκαν επικαιροποιημένες πρακτικές ρυθμίσεις και προσαρμόστηκε το προσωρινό χρονοδιάγραμμα των συνεδριάσεων των ομάδων ευρωπαίων πολιτών κατά τη διάρκεια της διαδικασίας, ανάλογα με τις ανάγκες.</w:t>
      </w:r>
    </w:p>
    <w:p>
      <w:pPr>
        <w:pStyle w:val="Corpsdetexte"/>
        <w:rPr/>
      </w:pPr>
      <w:r>
        <w:rPr/>
        <w:t>Οι συμμετέχοντες στις ομάδες ευρωπαίων πολιτών επιλέχθηκαν το καλοκαίρι του 2021. Οι πολίτες της ΕΕ επιλέχθηκαν τυχαία (κυρίως με τα 27 εθνικά ινστιτούτα ερευνών που συντονίζονται από εξωτερικό πάροχο υπηρεσιών) με σκοπό να αποτελέσουν «πίνακες» αντιπροσωπευτικές της πολυμορφίας της ΕΕ, με βάση πέντε κριτήρια: φύλο, ηλικία, γεωγραφική προέλευση (εθνικότητα καθώς και αστικό/αγροτικό περιβάλλον), κοινωνικοοικονομικό υπόβαθρο και επίπεδο εκπαίδευσης. Ο αριθμός των πολιτών ανά κράτος μέλος υπολογίστηκε σύμφωνα με την αρχή της φθίνουσας αναλογικότητας που εφαρμόζεται στη σύνθεση του Ευρωπαϊκού Κοινοβουλίου, λαμβάνοντας υπόψη ότι κάθε ομάδα θα πρέπει να περιλαμβάνει τουλάχιστον έναν πολίτη και έναν πολίτη ανά κράτος μέλος. Δεδομένου ότι η διάσκεψη έδωσε ιδιαίτερη προσοχή στους νέους, το ένα τρίτο των πολιτών σε κάθε ομάδα ήταν μεταξύ 16 και 24 ετών. Για κάθε ομάδα 200 ατόμων, επελέγησαν 50 επιπλέον πολίτες για να δημιουργήσουν αποθεματικό.</w:t>
      </w:r>
    </w:p>
    <w:p>
      <w:pPr>
        <w:pStyle w:val="Corpsdetexte"/>
        <w:rPr/>
      </w:pPr>
      <w:r>
        <w:rPr/>
        <w:t>Διοργανώθηκαν τέσσερις ομάδες ευρωπαίων πολιτών. Για καθένα από αυτά, τα προς συζήτηση θέματα αντιστοιχούσαν στα θέματα που προσδιορίστηκαν στην πολύγλωσση ψηφιακή πλατφόρμα και ομαδοποιήθηκαν ως εξής:</w:t>
      </w:r>
    </w:p>
    <w:p>
      <w:pPr>
        <w:pStyle w:val="Puce3"/>
        <w:rPr/>
      </w:pPr>
      <w:r>
        <w:rPr/>
        <w:t>1. Ισχυρότερη οικονομία, κοινωνική δικαιοσύνη και απασχόληση· εκπαίδευση, πολιτισμός, νεολαία και αθλητισμός· ψηφιακός μετασχηματισμός·</w:t>
      </w:r>
    </w:p>
    <w:p>
      <w:pPr>
        <w:pStyle w:val="Puce3"/>
        <w:rPr/>
      </w:pPr>
      <w:r>
        <w:rPr/>
        <w:t>2. Την ευρωπαϊκή δημοκρατία· αξίες και δικαιώματα, κράτος δικαίου, ασφάλεια·</w:t>
      </w:r>
    </w:p>
    <w:p>
      <w:pPr>
        <w:pStyle w:val="Puce3"/>
        <w:rPr/>
      </w:pPr>
      <w:r>
        <w:rPr/>
        <w:t>3.Κλιματική αλλαγή και περιβάλλον υγεία·</w:t>
      </w:r>
    </w:p>
    <w:p>
      <w:pPr>
        <w:pStyle w:val="Puce3"/>
        <w:tabs>
          <w:tab w:val="clear" w:pos="720"/>
        </w:tabs>
        <w:rPr/>
      </w:pPr>
      <w:r>
        <w:rPr/>
        <w:t>4.Η ΕΕ στον κόσμο· το μεταναστευτικό.</w:t>
      </w:r>
    </w:p>
    <w:p>
      <w:pPr>
        <w:pStyle w:val="Corpsdetexte"/>
        <w:rPr/>
      </w:pPr>
      <w:r>
        <w:rPr/>
        <w:t>Κάθε ομάδα συναντήθηκε για τρία Σαββατοκύριακα. Η πρώτη σειρά συνόδων πραγματοποιήθηκε στο Στρασβούργο, η δεύτερη διαδικτυακά και η τρίτη σε τέσσερις πόλεις (Δουβλίνο, Φλωρεντία, Βαρσοβία/Νατόλιν και Μάαστριχτ), σε δημόσια ιδρύματα τριτοβάθμιας εκπαίδευσης και με την υποστήριξη των τοπικών αρχών.</w:t>
      </w:r>
    </w:p>
    <w:p>
      <w:pPr>
        <w:pStyle w:val="Titre4"/>
        <w:numPr>
          <w:ilvl w:val="3"/>
          <w:numId w:val="2"/>
        </w:numPr>
        <w:rPr/>
      </w:pPr>
      <w:bookmarkStart w:id="11" w:name="__RefHeading___Toc298196_1346298689"/>
      <w:bookmarkEnd w:id="11"/>
      <w:r>
        <w:rPr/>
        <w:t>ΠΡΏΤΟΣ ΓΎΡΟΣ ΣΥΝΕΔΡΙΆΣΕΩΝ ΤΗΣ ΟΜΆΔΑΣ</w:t>
      </w:r>
    </w:p>
    <w:p>
      <w:pPr>
        <w:pStyle w:val="Corpsdetexte"/>
        <w:rPr/>
      </w:pPr>
      <w:r>
        <w:rPr/>
        <w:t>Για την πρώτη συνεδρίαση κάθε ομάδας, οι συμμετέχοντες συνήλθαν με φυσική παρουσία στο Στρασβούργο. Στόχος της συνόδου ήταν ο καθορισμός της ημερήσιας διάταξης των συζητήσεων. Οι πολίτες που συμμετείχαν στις ομάδες άρχισαν να προβληματίζονται και να αναπτύσσουν το όραμά τους για την Ευρώπη, ξεκινώντας από μια κενή σελίδα και εντοπίζοντας τα θέματα που θα συζητηθούν, στο πλαίσιο των κύριων θεμάτων της ομάδας. Στη συνέχεια, έδωσαν προτεραιότητα στα θέματα στα οποία επιθυμούσαν να επικεντρωθούν σε μεγαλύτερο βάθος με σκοπό τη διατύπωση συγκεκριμένων συστάσεων προς τα θεσμικά όργανα της ΕΕ για παρακολούθηση. Οι συζητήσεις και οι συλλογικές εργασίες πραγματοποιήθηκαν στις ακόλουθες δύο μορφές:</w:t>
      </w:r>
    </w:p>
    <w:p>
      <w:pPr>
        <w:pStyle w:val="Alineanegatifpuce"/>
        <w:numPr>
          <w:ilvl w:val="0"/>
          <w:numId w:val="3"/>
        </w:numPr>
        <w:rPr/>
      </w:pPr>
      <w:r>
        <w:rPr/>
        <w:t xml:space="preserve"> </w:t>
      </w:r>
      <w:r>
        <w:rPr/>
        <w:t>σε υποομάδες αποτελούμενες από 12 έως 14 πολίτες. Σε κάθε υποομάδα ομιλούνταν τέσσερις έως πέντε γλώσσες, στις οποίες οι πολίτες μπορούσαν να εκφραστούν στη δική τους γλώσσα. Το έργο των υποομάδων καθοδηγήθηκε από επαγγελματίες διαμεσολαβητές που επιλέχθηκαν από την κοινοπραξία εξωτερικών παρόχων υπηρεσιών.</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ΠΛΑΙΣΙΟ 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ΣΥΝΕΔΡΙΑΣΗ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ΗΜΕΡΑ 1 </w:t>
                                  </w:r>
                                </w:p>
                                <w:p>
                                  <w:pPr>
                                    <w:pStyle w:val="P68B1DB1Contenudetableau9"/>
                                    <w:spacing w:before="57" w:after="57"/>
                                    <w:jc w:val="center"/>
                                    <w:rPr>
                                      <w:sz w:val="16"/>
                                    </w:rPr>
                                  </w:pPr>
                                  <w:r>
                                    <w:rPr/>
                                    <w:t>Νέα συνεδρίαση για το πάνελ και προετοιμασία για το Σαββατοκύριακο</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2Η ΜΈΡΑ </w:t>
                                  </w:r>
                                </w:p>
                                <w:p>
                                  <w:pPr>
                                    <w:pStyle w:val="P68B1DB1Contenudetableau9"/>
                                    <w:spacing w:before="57" w:after="57"/>
                                    <w:jc w:val="center"/>
                                    <w:rPr>
                                      <w:sz w:val="16"/>
                                    </w:rPr>
                                  </w:pPr>
                                  <w:r>
                                    <w:rPr/>
                                    <w:t>Εισαγωγή εμπειρογνωμόνων, εντοπισμός προβλημάτων, παραγωγή καθοδήγησης</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3Η ΜΈΡΑ </w:t>
                                  </w:r>
                                </w:p>
                                <w:p>
                                  <w:pPr>
                                    <w:pStyle w:val="P68B1DB1Contenudetableau9"/>
                                    <w:spacing w:before="57" w:after="57"/>
                                    <w:jc w:val="center"/>
                                    <w:rPr>
                                      <w:sz w:val="16"/>
                                    </w:rPr>
                                  </w:pPr>
                                  <w:r>
                                    <w:rPr/>
                                    <w:t>Οριστικοποίηση των κατευθυντήριων γραμμών, τελικές παρατηρήσεις</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Συμβολή εμπειρογνωμόνων σε επιμέρους θέματα</w:t>
                                  </w:r>
                                </w:p>
                              </w:tc>
                              <w:tc>
                                <w:tcPr>
                                  <w:tcW w:w="3120" w:type="dxa"/>
                                  <w:gridSpan w:val="2"/>
                                  <w:tcBorders/>
                                  <w:shd w:fill="0000FF" w:val="clear"/>
                                </w:tcPr>
                                <w:p>
                                  <w:pPr>
                                    <w:pStyle w:val="P68B1DB1Contenudetableau9"/>
                                    <w:spacing w:before="57" w:after="57"/>
                                    <w:jc w:val="center"/>
                                    <w:rPr>
                                      <w:sz w:val="16"/>
                                    </w:rPr>
                                  </w:pPr>
                                  <w:r>
                                    <w:rPr/>
                                    <w:t>Επιπρόσθετη συμβολή εμπειρογνωμόνων</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Καλώς ήλθατε, </w:t>
                                  </w:r>
                                </w:p>
                                <w:p>
                                  <w:pPr>
                                    <w:pStyle w:val="P68B1DB1Contenudetableau9"/>
                                    <w:spacing w:before="57" w:after="57"/>
                                    <w:jc w:val="center"/>
                                    <w:rPr>
                                      <w:sz w:val="16"/>
                                    </w:rPr>
                                  </w:pPr>
                                  <w:r>
                                    <w:rPr/>
                                    <w:t xml:space="preserve">Λόγια προς τους πρεσβευτές των πολιτών για την ανατροφοδότηση τους, </w:t>
                                    <w:br/>
                                    <w:t>Ενημέρωση Πλατφόρμας, Ατζέντα</w:t>
                                  </w:r>
                                </w:p>
                              </w:tc>
                              <w:tc>
                                <w:tcPr>
                                  <w:tcW w:w="3120" w:type="dxa"/>
                                  <w:gridSpan w:val="2"/>
                                  <w:tcBorders/>
                                  <w:shd w:fill="00FF00" w:val="clear"/>
                                </w:tcPr>
                                <w:p>
                                  <w:pPr>
                                    <w:pStyle w:val="P68B1DB1Contenudetableau9"/>
                                    <w:spacing w:before="57" w:after="57"/>
                                    <w:jc w:val="center"/>
                                    <w:rPr>
                                      <w:sz w:val="16"/>
                                    </w:rPr>
                                  </w:pPr>
                                  <w:r>
                                    <w:rPr/>
                                    <w:t>Παραγωγή κατευθυντήριων γραμμών</w:t>
                                  </w:r>
                                </w:p>
                              </w:tc>
                              <w:tc>
                                <w:tcPr>
                                  <w:tcW w:w="3120" w:type="dxa"/>
                                  <w:gridSpan w:val="2"/>
                                  <w:tcBorders/>
                                  <w:shd w:fill="00FF00" w:val="clear"/>
                                </w:tcPr>
                                <w:p>
                                  <w:pPr>
                                    <w:pStyle w:val="P68B1DB1Contenudetableau9"/>
                                    <w:spacing w:before="57" w:after="57"/>
                                    <w:jc w:val="center"/>
                                    <w:rPr>
                                      <w:sz w:val="16"/>
                                    </w:rPr>
                                  </w:pPr>
                                  <w:r>
                                    <w:rPr/>
                                    <w:t xml:space="preserve"> </w:t>
                                  </w:r>
                                  <w:r>
                                    <w:rPr/>
                                    <w:t>Οριστικοποίηση των κατευθυντήριων γραμμών</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Την ανταλλαγή ορισμένων προσανατολισμών, </w:t>
                                    <w:br/>
                                    <w:t>Τελικές παρατηρήσεις</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ΣΥΝΟΔΟΣ ΟΛΟΜΕΛΕΙΑΣ</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Ολομέλεια του θέματος</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Σύνοδος υποομάδας</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ΠΛΑΙΣΙΟ 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ΣΥΝΕΔΡΙΑΣΗ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ΗΜΕΡΑ 1 </w:t>
                            </w:r>
                          </w:p>
                          <w:p>
                            <w:pPr>
                              <w:pStyle w:val="P68B1DB1Contenudetableau9"/>
                              <w:spacing w:before="57" w:after="57"/>
                              <w:jc w:val="center"/>
                              <w:rPr>
                                <w:sz w:val="16"/>
                              </w:rPr>
                            </w:pPr>
                            <w:r>
                              <w:rPr/>
                              <w:t>Νέα συνεδρίαση για το πάνελ και προετοιμασία για το Σαββατοκύριακο</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2Η ΜΈΡΑ </w:t>
                            </w:r>
                          </w:p>
                          <w:p>
                            <w:pPr>
                              <w:pStyle w:val="P68B1DB1Contenudetableau9"/>
                              <w:spacing w:before="57" w:after="57"/>
                              <w:jc w:val="center"/>
                              <w:rPr>
                                <w:sz w:val="16"/>
                              </w:rPr>
                            </w:pPr>
                            <w:r>
                              <w:rPr/>
                              <w:t>Εισαγωγή εμπειρογνωμόνων, εντοπισμός προβλημάτων, παραγωγή καθοδήγησης</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3Η ΜΈΡΑ </w:t>
                            </w:r>
                          </w:p>
                          <w:p>
                            <w:pPr>
                              <w:pStyle w:val="P68B1DB1Contenudetableau9"/>
                              <w:spacing w:before="57" w:after="57"/>
                              <w:jc w:val="center"/>
                              <w:rPr>
                                <w:sz w:val="16"/>
                              </w:rPr>
                            </w:pPr>
                            <w:r>
                              <w:rPr/>
                              <w:t>Οριστικοποίηση των κατευθυντήριων γραμμών, τελικές παρατηρήσεις</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Συμβολή εμπειρογνωμόνων σε επιμέρους θέματα</w:t>
                            </w:r>
                          </w:p>
                        </w:tc>
                        <w:tc>
                          <w:tcPr>
                            <w:tcW w:w="3120" w:type="dxa"/>
                            <w:gridSpan w:val="2"/>
                            <w:tcBorders/>
                            <w:shd w:fill="0000FF" w:val="clear"/>
                          </w:tcPr>
                          <w:p>
                            <w:pPr>
                              <w:pStyle w:val="P68B1DB1Contenudetableau9"/>
                              <w:spacing w:before="57" w:after="57"/>
                              <w:jc w:val="center"/>
                              <w:rPr>
                                <w:sz w:val="16"/>
                              </w:rPr>
                            </w:pPr>
                            <w:r>
                              <w:rPr/>
                              <w:t>Επιπρόσθετη συμβολή εμπειρογνωμόνων</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Καλώς ήλθατε, </w:t>
                            </w:r>
                          </w:p>
                          <w:p>
                            <w:pPr>
                              <w:pStyle w:val="P68B1DB1Contenudetableau9"/>
                              <w:spacing w:before="57" w:after="57"/>
                              <w:jc w:val="center"/>
                              <w:rPr>
                                <w:sz w:val="16"/>
                              </w:rPr>
                            </w:pPr>
                            <w:r>
                              <w:rPr/>
                              <w:t xml:space="preserve">Λόγια προς τους πρεσβευτές των πολιτών για την ανατροφοδότηση τους, </w:t>
                              <w:br/>
                              <w:t>Ενημέρωση Πλατφόρμας, Ατζέντα</w:t>
                            </w:r>
                          </w:p>
                        </w:tc>
                        <w:tc>
                          <w:tcPr>
                            <w:tcW w:w="3120" w:type="dxa"/>
                            <w:gridSpan w:val="2"/>
                            <w:tcBorders/>
                            <w:shd w:fill="00FF00" w:val="clear"/>
                          </w:tcPr>
                          <w:p>
                            <w:pPr>
                              <w:pStyle w:val="P68B1DB1Contenudetableau9"/>
                              <w:spacing w:before="57" w:after="57"/>
                              <w:jc w:val="center"/>
                              <w:rPr>
                                <w:sz w:val="16"/>
                              </w:rPr>
                            </w:pPr>
                            <w:r>
                              <w:rPr/>
                              <w:t>Παραγωγή κατευθυντήριων γραμμών</w:t>
                            </w:r>
                          </w:p>
                        </w:tc>
                        <w:tc>
                          <w:tcPr>
                            <w:tcW w:w="3120" w:type="dxa"/>
                            <w:gridSpan w:val="2"/>
                            <w:tcBorders/>
                            <w:shd w:fill="00FF00" w:val="clear"/>
                          </w:tcPr>
                          <w:p>
                            <w:pPr>
                              <w:pStyle w:val="P68B1DB1Contenudetableau9"/>
                              <w:spacing w:before="57" w:after="57"/>
                              <w:jc w:val="center"/>
                              <w:rPr>
                                <w:sz w:val="16"/>
                              </w:rPr>
                            </w:pPr>
                            <w:r>
                              <w:rPr/>
                              <w:t xml:space="preserve"> </w:t>
                            </w:r>
                            <w:r>
                              <w:rPr/>
                              <w:t>Οριστικοποίηση των κατευθυντήριων γραμμών</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Την ανταλλαγή ορισμένων προσανατολισμών, </w:t>
                              <w:br/>
                              <w:t>Τελικές παρατηρήσεις</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ΣΥΝΟΔΟΣ ΟΛΟΜΕΛΕΙΑΣ</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Ολομέλεια του θέματος</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Σύνοδος υποομάδας</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v:textbox>
              </v:rect>
            </w:pict>
          </mc:Fallback>
        </mc:AlternateContent>
      </w:r>
      <w:r>
        <w:rPr/>
        <w:t xml:space="preserve"> </w:t>
      </w:r>
      <w:r>
        <w:rPr/>
        <w:t>στην Ολομέλεια, με όλους τους συμμετέχοντες. Τις συνόδους ολομέλειας ηγήθηκαν δύο κύριοι συντονιστές. Τα θέματα προτεραιότητας που προέκυψαν από τις συζητήσεις υποδιαιρούνταν σε «άξονα» (που αντιστοιχεί στις θεματικές ομάδες) και «υποάξονα» και χρησίμευσαν ως βάση για τη δεύτερη σειρά συνεδριών. Για τον σκοπό αυτό, οι συμμετέχοντες έλαβαν γενικές πληροφορίες σχετικά με τα θέματα, καθώς και σχετικές εισροές, συμπεριλαμβανομένων αναλύσεων και εννοιολογικών σχημάτων, από την πρώτη ενδιάμεση έκθεση της πολύγλωσσης ψηφιακής πλατφόρμας και παρουσιάσεις από εξωτερικούς εμπειρογνώμονες υψηλού επιπέδου.</w:t>
      </w:r>
    </w:p>
    <w:p>
      <w:pPr>
        <w:pStyle w:val="Corpsdetexte"/>
        <w:rPr/>
      </w:pPr>
      <w:r>
        <w:rPr/>
        <w:t>Κατά τη διάρκεια των πρώτων συνόδων, μεταξύ των εθελοντικών πολιτών επιλέχθηκαν τα 20 άτομα που κλήθηκαν να εκπροσωπήσουν καθεμία από τις ομάδες στην ολομέλεια· με αυτόν τον τρόπο, παρακολουθήθηκε για την ποικιλομορφία της ηλικίας και του φύλου.</w:t>
      </w:r>
    </w:p>
    <w:p>
      <w:pPr>
        <w:pStyle w:val="Titre4"/>
        <w:numPr>
          <w:ilvl w:val="3"/>
          <w:numId w:val="2"/>
        </w:numPr>
        <w:rPr/>
      </w:pPr>
      <w:bookmarkStart w:id="12" w:name="__RefHeading___Toc298198_1346298689"/>
      <w:bookmarkEnd w:id="12"/>
      <w:r>
        <w:rPr/>
        <w:t>ΔΕΎΤΕΡΟΣ ΓΎΡΟΣ ΣΥΝΕΔΡΙΆΣΕΩΝ ΤΗΣ ΟΜΆΔΑΣ</w:t>
      </w:r>
    </w:p>
    <w:p>
      <w:pPr>
        <w:pStyle w:val="Corpsdetexte"/>
        <w:rPr/>
      </w:pPr>
      <w:r>
        <w:rPr/>
        <w:t>Οι ομάδες ευρωπαίων πολιτών συνέχισαν τις εργασίες τους με διαδικτυακές συνεδριάσεις καθ’ όλη τη διάρκεια του Νοεμβρίου. Για τον σκοπό αυτό τέθηκε σε εφαρμογή ειδικό καθεστώς: ένα στούντιο στις Βρυξέλλες φιλοξένησε τις κύριες συνόδους συντονισμού και ολομέλειας, ενώ συμμετέχοντες πολίτες από όλη την ΕΕ θα μπορούσαν να παρέμβουν μέσω ενός συστήματος σύνδεσης και διερμηνείας.</w:t>
      </w:r>
    </w:p>
    <w:p>
      <w:pPr>
        <w:pStyle w:val="Corpsdetexte"/>
        <w:rPr/>
      </w:pPr>
      <w:r>
        <w:rPr/>
        <w:t>Στον δεύτερο γύρο συνόδων, με την υποστήριξη εμπειρογνωμόνων και ελεγκτών γεγονότων, οι πολίτες εντόπισαν και συζήτησαν μια σειρά συγκεκριμένων θεμάτων και ανέπτυξαν κατευθυντήριες γραμμές για κάθε θεματικό άξονα που είχαν εντοπίσει κατά την πρώτη συνεδρίαση. Έχει δοθεί ιδιαίτερη προσοχή στην ισόρροπη εκπροσώπηση των φύλων και τη γεωγραφική ισορροπία εντός της ομάδας εμπειρογνωμόνων και ότι κάθε ένας από αυτούς τους εμπειρογνώμονες, μέσω της συμβολής τους, ενημερώνει τους πολίτες σε βάθος, γνωστοποιώντας τα γεγονότα και/ή την πρόοδο της συζήτησης και απέχοντας από την παροχή προσωπικών απόψεων. Οι πολίτες έλαβαν επίσης τις ενδιάμεσες εκθέσεις της πολύγλωσσης ψηφιακής πλατφόρμας.</w:t>
      </w:r>
    </w:p>
    <w:p>
      <w:pPr>
        <w:pStyle w:val="Corpsdetexte"/>
        <w:rPr/>
      </w:pPr>
      <w:r>
        <w:rPr/>
        <w:t>Ως εκ τούτου, ήταν σε θέση να εντοπίζουν και να συζητούν θέματα σχετικά με τα θέματα που τους έχουν ανατεθεί, με βάση τη συμβολή των εμπειρογνωμόνων στα καλυπτόμενα θέματα και τις δικές τους γνώσεις και εμπειρίες, κατά τη διάρκεια των συζητήσεων που πραγματοποιήθηκαν κατά τον δεύτερο γύρο των συνόδων. Τα προβλήματα έχουν οριστεί ως προβλήματα που απαιτούν λύσεις ή καταστάσεις που απαιτούν αλλαγή.</w:t>
      </w:r>
    </w:p>
    <w:p>
      <w:pPr>
        <w:pStyle w:val="Corpsdetexte"/>
        <w:rPr/>
      </w:pPr>
      <w:r>
        <w:rPr/>
        <w:t>Στη συνέχεια, οι πολίτες αντιμετώπισαν αυτά τα ζητήματα αναπτύσσοντας κατευθυντήριες γραμμές, το πρώτο βήμα προς τη διατύπωση συστάσεων, που ήταν ο στόχος της τρίτης σειράς συνόδων. Ζητήθηκε επίσης από τους πολίτες να αιτιολογήσουν αυτές τις κατευθυντήριες γραμμές.</w:t>
      </w:r>
    </w:p>
    <w:p>
      <w:pPr>
        <w:pStyle w:val="Corpsdetexte"/>
        <w:rPr/>
      </w:pPr>
      <w:r>
        <w:rPr/>
        <w:t>Οι συζητήσεις και οι συλλογικές εργασίες πραγματοποιήθηκαν σε τρεις μορφές:</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ΠΛΑΙΣΙΟ 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ΣΥΝΕΔΡΙΑΣΗ 3</w:t>
                                  </w:r>
                                </w:p>
                              </w:tc>
                            </w:tr>
                            <w:tr>
                              <w:trPr/>
                              <w:tc>
                                <w:tcPr>
                                  <w:tcW w:w="3138" w:type="dxa"/>
                                  <w:tcBorders/>
                                  <w:shd w:fill="0000FF" w:val="clear"/>
                                </w:tcPr>
                                <w:p>
                                  <w:pPr>
                                    <w:pStyle w:val="P68B1DB1Contenudetableau10"/>
                                    <w:spacing w:before="57" w:after="57"/>
                                    <w:jc w:val="center"/>
                                    <w:rPr>
                                      <w:b/>
                                      <w:b/>
                                    </w:rPr>
                                  </w:pPr>
                                  <w:r>
                                    <w:rPr/>
                                    <w:t xml:space="preserve">ΗΜΕΡΑ 1 </w:t>
                                  </w:r>
                                </w:p>
                                <w:p>
                                  <w:pPr>
                                    <w:pStyle w:val="Contenudetableau"/>
                                    <w:spacing w:before="57" w:after="57"/>
                                    <w:jc w:val="center"/>
                                    <w:rPr/>
                                  </w:pPr>
                                  <w:r>
                                    <w:rPr/>
                                    <w:t>Επανασύνδεση, ιεράρχηση προτεραιοτήτων και έναρξη των εργασιών</w:t>
                                  </w:r>
                                </w:p>
                              </w:tc>
                              <w:tc>
                                <w:tcPr>
                                  <w:tcW w:w="3138" w:type="dxa"/>
                                  <w:tcBorders/>
                                  <w:shd w:fill="0000FF" w:val="clear"/>
                                </w:tcPr>
                                <w:p>
                                  <w:pPr>
                                    <w:pStyle w:val="P68B1DB1Contenudetableau10"/>
                                    <w:spacing w:before="57" w:after="57"/>
                                    <w:jc w:val="center"/>
                                    <w:rPr>
                                      <w:b/>
                                      <w:b/>
                                    </w:rPr>
                                  </w:pPr>
                                  <w:r>
                                    <w:rPr/>
                                    <w:t xml:space="preserve">2Η ΜΈΡΑ </w:t>
                                  </w:r>
                                </w:p>
                                <w:p>
                                  <w:pPr>
                                    <w:pStyle w:val="Contenudetableau"/>
                                    <w:jc w:val="center"/>
                                    <w:rPr/>
                                  </w:pPr>
                                  <w:r>
                                    <w:rPr/>
                                    <w:t xml:space="preserve">Μετασχηματισμός των κατευθυντήριων γραμμών </w:t>
                                  </w:r>
                                </w:p>
                                <w:p>
                                  <w:pPr>
                                    <w:pStyle w:val="Contenudetableau"/>
                                    <w:spacing w:before="57" w:after="57"/>
                                    <w:jc w:val="center"/>
                                    <w:rPr/>
                                  </w:pPr>
                                  <w:r>
                                    <w:rPr/>
                                    <w:t>τελικές συστάσεις</w:t>
                                  </w:r>
                                </w:p>
                              </w:tc>
                              <w:tc>
                                <w:tcPr>
                                  <w:tcW w:w="3138" w:type="dxa"/>
                                  <w:tcBorders/>
                                  <w:shd w:fill="0000FF" w:val="clear"/>
                                </w:tcPr>
                                <w:p>
                                  <w:pPr>
                                    <w:pStyle w:val="P68B1DB1Contenudetableau10"/>
                                    <w:spacing w:before="57" w:after="57"/>
                                    <w:jc w:val="center"/>
                                    <w:rPr>
                                      <w:b/>
                                      <w:b/>
                                    </w:rPr>
                                  </w:pPr>
                                  <w:r>
                                    <w:rPr/>
                                    <w:t xml:space="preserve">3Η ΜΈΡΑ </w:t>
                                  </w:r>
                                </w:p>
                                <w:p>
                                  <w:pPr>
                                    <w:pStyle w:val="Contenudetableau"/>
                                    <w:spacing w:before="57" w:after="57"/>
                                    <w:jc w:val="center"/>
                                    <w:rPr/>
                                  </w:pPr>
                                  <w:r>
                                    <w:rPr/>
                                    <w:t>Ψηφοφορία επί των τελικών συστάσεων</w:t>
                                  </w:r>
                                </w:p>
                              </w:tc>
                            </w:tr>
                            <w:tr>
                              <w:trPr/>
                              <w:tc>
                                <w:tcPr>
                                  <w:tcW w:w="3138" w:type="dxa"/>
                                  <w:tcBorders/>
                                  <w:shd w:fill="800000" w:val="clear"/>
                                </w:tcPr>
                                <w:p>
                                  <w:pPr>
                                    <w:pStyle w:val="Contenudetableau"/>
                                    <w:spacing w:before="57" w:after="57"/>
                                    <w:jc w:val="center"/>
                                    <w:rPr/>
                                  </w:pPr>
                                  <w:r>
                                    <w:rPr/>
                                    <w:t>Καλωσόρισμα και στόχοι του Σαββατοκύριακου</w:t>
                                  </w:r>
                                </w:p>
                              </w:tc>
                              <w:tc>
                                <w:tcPr>
                                  <w:tcW w:w="3138" w:type="dxa"/>
                                  <w:tcBorders/>
                                  <w:shd w:fill="00FF00" w:val="clear"/>
                                </w:tcPr>
                                <w:p>
                                  <w:pPr>
                                    <w:pStyle w:val="Contenudetableau"/>
                                    <w:spacing w:before="57" w:after="57"/>
                                    <w:jc w:val="center"/>
                                    <w:rPr/>
                                  </w:pPr>
                                  <w:r>
                                    <w:rPr/>
                                    <w:t>Μετατροπή της καθοδήγησης σε συστάσεις</w:t>
                                  </w:r>
                                </w:p>
                              </w:tc>
                              <w:tc>
                                <w:tcPr>
                                  <w:tcW w:w="3138" w:type="dxa"/>
                                  <w:tcBorders/>
                                  <w:shd w:fill="800000" w:val="clear"/>
                                </w:tcPr>
                                <w:p>
                                  <w:pPr>
                                    <w:pStyle w:val="Contenudetableau"/>
                                    <w:spacing w:before="57" w:after="57"/>
                                    <w:jc w:val="center"/>
                                    <w:rPr/>
                                  </w:pPr>
                                  <w:r>
                                    <w:rPr/>
                                    <w:t>Ψηφοφορία επί των τελικών συστάσεων</w:t>
                                  </w:r>
                                </w:p>
                              </w:tc>
                            </w:tr>
                            <w:tr>
                              <w:trPr/>
                              <w:tc>
                                <w:tcPr>
                                  <w:tcW w:w="3138" w:type="dxa"/>
                                  <w:tcBorders/>
                                  <w:shd w:fill="0000FF" w:val="clear"/>
                                </w:tcPr>
                                <w:p>
                                  <w:pPr>
                                    <w:pStyle w:val="Contenudetableau"/>
                                    <w:spacing w:before="57" w:after="57"/>
                                    <w:jc w:val="center"/>
                                    <w:rPr/>
                                  </w:pPr>
                                  <w:r>
                                    <w:rPr/>
                                    <w:t xml:space="preserve">Ανοιχτό φόρουμ, </w:t>
                                  </w:r>
                                </w:p>
                                <w:p>
                                  <w:pPr>
                                    <w:pStyle w:val="Contenudetableau"/>
                                    <w:spacing w:before="57" w:after="57"/>
                                    <w:jc w:val="center"/>
                                    <w:rPr/>
                                  </w:pPr>
                                  <w:r>
                                    <w:rPr/>
                                    <w:t>Ανάγνωση και ιεράρχηση των κατευθυντήριων γραμμών</w:t>
                                  </w:r>
                                </w:p>
                              </w:tc>
                              <w:tc>
                                <w:tcPr>
                                  <w:tcW w:w="3138" w:type="dxa"/>
                                  <w:tcBorders/>
                                  <w:shd w:fill="00FF00" w:val="clear"/>
                                </w:tcPr>
                                <w:p>
                                  <w:pPr>
                                    <w:pStyle w:val="Contenudetableau"/>
                                    <w:spacing w:before="57" w:after="57"/>
                                    <w:jc w:val="center"/>
                                    <w:rPr/>
                                  </w:pPr>
                                  <w:r>
                                    <w:rPr/>
                                    <w:t>Ανατροφοδότηση προς άλλες ομάδες, Ολοκλήρωση των συστάσεων</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Μετατροπή της καθοδήγησης σε συστάσεις</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ΣΥΝΟΔΟΣ ΟΛΟΜΕΛΕΙΑΣ</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Ανοικτό φόρουμ</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Εργασίες υποομάδας</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ΠΛΑΙΣΙΟ 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ΣΥΝΕΔΡΙΑΣΗ 3</w:t>
                            </w:r>
                          </w:p>
                        </w:tc>
                      </w:tr>
                      <w:tr>
                        <w:trPr/>
                        <w:tc>
                          <w:tcPr>
                            <w:tcW w:w="3138" w:type="dxa"/>
                            <w:tcBorders/>
                            <w:shd w:fill="0000FF" w:val="clear"/>
                          </w:tcPr>
                          <w:p>
                            <w:pPr>
                              <w:pStyle w:val="P68B1DB1Contenudetableau10"/>
                              <w:spacing w:before="57" w:after="57"/>
                              <w:jc w:val="center"/>
                              <w:rPr>
                                <w:b/>
                                <w:b/>
                              </w:rPr>
                            </w:pPr>
                            <w:r>
                              <w:rPr/>
                              <w:t xml:space="preserve">ΗΜΕΡΑ 1 </w:t>
                            </w:r>
                          </w:p>
                          <w:p>
                            <w:pPr>
                              <w:pStyle w:val="Contenudetableau"/>
                              <w:spacing w:before="57" w:after="57"/>
                              <w:jc w:val="center"/>
                              <w:rPr/>
                            </w:pPr>
                            <w:r>
                              <w:rPr/>
                              <w:t>Επανασύνδεση, ιεράρχηση προτεραιοτήτων και έναρξη των εργασιών</w:t>
                            </w:r>
                          </w:p>
                        </w:tc>
                        <w:tc>
                          <w:tcPr>
                            <w:tcW w:w="3138" w:type="dxa"/>
                            <w:tcBorders/>
                            <w:shd w:fill="0000FF" w:val="clear"/>
                          </w:tcPr>
                          <w:p>
                            <w:pPr>
                              <w:pStyle w:val="P68B1DB1Contenudetableau10"/>
                              <w:spacing w:before="57" w:after="57"/>
                              <w:jc w:val="center"/>
                              <w:rPr>
                                <w:b/>
                                <w:b/>
                              </w:rPr>
                            </w:pPr>
                            <w:r>
                              <w:rPr/>
                              <w:t xml:space="preserve">2Η ΜΈΡΑ </w:t>
                            </w:r>
                          </w:p>
                          <w:p>
                            <w:pPr>
                              <w:pStyle w:val="Contenudetableau"/>
                              <w:jc w:val="center"/>
                              <w:rPr/>
                            </w:pPr>
                            <w:r>
                              <w:rPr/>
                              <w:t xml:space="preserve">Μετασχηματισμός των κατευθυντήριων γραμμών </w:t>
                            </w:r>
                          </w:p>
                          <w:p>
                            <w:pPr>
                              <w:pStyle w:val="Contenudetableau"/>
                              <w:spacing w:before="57" w:after="57"/>
                              <w:jc w:val="center"/>
                              <w:rPr/>
                            </w:pPr>
                            <w:r>
                              <w:rPr/>
                              <w:t>τελικές συστάσεις</w:t>
                            </w:r>
                          </w:p>
                        </w:tc>
                        <w:tc>
                          <w:tcPr>
                            <w:tcW w:w="3138" w:type="dxa"/>
                            <w:tcBorders/>
                            <w:shd w:fill="0000FF" w:val="clear"/>
                          </w:tcPr>
                          <w:p>
                            <w:pPr>
                              <w:pStyle w:val="P68B1DB1Contenudetableau10"/>
                              <w:spacing w:before="57" w:after="57"/>
                              <w:jc w:val="center"/>
                              <w:rPr>
                                <w:b/>
                                <w:b/>
                              </w:rPr>
                            </w:pPr>
                            <w:r>
                              <w:rPr/>
                              <w:t xml:space="preserve">3Η ΜΈΡΑ </w:t>
                            </w:r>
                          </w:p>
                          <w:p>
                            <w:pPr>
                              <w:pStyle w:val="Contenudetableau"/>
                              <w:spacing w:before="57" w:after="57"/>
                              <w:jc w:val="center"/>
                              <w:rPr/>
                            </w:pPr>
                            <w:r>
                              <w:rPr/>
                              <w:t>Ψηφοφορία επί των τελικών συστάσεων</w:t>
                            </w:r>
                          </w:p>
                        </w:tc>
                      </w:tr>
                      <w:tr>
                        <w:trPr/>
                        <w:tc>
                          <w:tcPr>
                            <w:tcW w:w="3138" w:type="dxa"/>
                            <w:tcBorders/>
                            <w:shd w:fill="800000" w:val="clear"/>
                          </w:tcPr>
                          <w:p>
                            <w:pPr>
                              <w:pStyle w:val="Contenudetableau"/>
                              <w:spacing w:before="57" w:after="57"/>
                              <w:jc w:val="center"/>
                              <w:rPr/>
                            </w:pPr>
                            <w:r>
                              <w:rPr/>
                              <w:t>Καλωσόρισμα και στόχοι του Σαββατοκύριακου</w:t>
                            </w:r>
                          </w:p>
                        </w:tc>
                        <w:tc>
                          <w:tcPr>
                            <w:tcW w:w="3138" w:type="dxa"/>
                            <w:tcBorders/>
                            <w:shd w:fill="00FF00" w:val="clear"/>
                          </w:tcPr>
                          <w:p>
                            <w:pPr>
                              <w:pStyle w:val="Contenudetableau"/>
                              <w:spacing w:before="57" w:after="57"/>
                              <w:jc w:val="center"/>
                              <w:rPr/>
                            </w:pPr>
                            <w:r>
                              <w:rPr/>
                              <w:t>Μετατροπή της καθοδήγησης σε συστάσεις</w:t>
                            </w:r>
                          </w:p>
                        </w:tc>
                        <w:tc>
                          <w:tcPr>
                            <w:tcW w:w="3138" w:type="dxa"/>
                            <w:tcBorders/>
                            <w:shd w:fill="800000" w:val="clear"/>
                          </w:tcPr>
                          <w:p>
                            <w:pPr>
                              <w:pStyle w:val="Contenudetableau"/>
                              <w:spacing w:before="57" w:after="57"/>
                              <w:jc w:val="center"/>
                              <w:rPr/>
                            </w:pPr>
                            <w:r>
                              <w:rPr/>
                              <w:t>Ψηφοφορία επί των τελικών συστάσεων</w:t>
                            </w:r>
                          </w:p>
                        </w:tc>
                      </w:tr>
                      <w:tr>
                        <w:trPr/>
                        <w:tc>
                          <w:tcPr>
                            <w:tcW w:w="3138" w:type="dxa"/>
                            <w:tcBorders/>
                            <w:shd w:fill="0000FF" w:val="clear"/>
                          </w:tcPr>
                          <w:p>
                            <w:pPr>
                              <w:pStyle w:val="Contenudetableau"/>
                              <w:spacing w:before="57" w:after="57"/>
                              <w:jc w:val="center"/>
                              <w:rPr/>
                            </w:pPr>
                            <w:r>
                              <w:rPr/>
                              <w:t xml:space="preserve">Ανοιχτό φόρουμ, </w:t>
                            </w:r>
                          </w:p>
                          <w:p>
                            <w:pPr>
                              <w:pStyle w:val="Contenudetableau"/>
                              <w:spacing w:before="57" w:after="57"/>
                              <w:jc w:val="center"/>
                              <w:rPr/>
                            </w:pPr>
                            <w:r>
                              <w:rPr/>
                              <w:t>Ανάγνωση και ιεράρχηση των κατευθυντήριων γραμμών</w:t>
                            </w:r>
                          </w:p>
                        </w:tc>
                        <w:tc>
                          <w:tcPr>
                            <w:tcW w:w="3138" w:type="dxa"/>
                            <w:tcBorders/>
                            <w:shd w:fill="00FF00" w:val="clear"/>
                          </w:tcPr>
                          <w:p>
                            <w:pPr>
                              <w:pStyle w:val="Contenudetableau"/>
                              <w:spacing w:before="57" w:after="57"/>
                              <w:jc w:val="center"/>
                              <w:rPr/>
                            </w:pPr>
                            <w:r>
                              <w:rPr/>
                              <w:t>Ανατροφοδότηση προς άλλες ομάδες, Ολοκλήρωση των συστάσεων</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Μετατροπή της καθοδήγησης σε συστάσεις</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ΣΥΝΟΔΟΣ ΟΛΟΜΕΛΕΙΑΣ</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Ανοικτό φόρουμ</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Εργασίες υποομάδας</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v:textbox>
              </v:rect>
            </w:pict>
          </mc:Fallback>
        </mc:AlternateContent>
      </w:r>
      <w:r>
        <w:rPr/>
        <w:t xml:space="preserve"> </w:t>
      </w:r>
      <w:r>
        <w:rPr/>
        <w:t>σε υποομάδες. Κάθε μία από τις δεκαπέντε υποομάδες αποτελούνταν από δώδεκα έως δεκατέσσερις πολίτες. Σε κάθε υποομάδα χρησιμοποιήθηκαν τέσσερις έως πέντε γλώσσες για να μπορέσουν οι πολίτες να εκφραστούν στη δική τους γλώσσα ή σε μια γλώσσα στην οποία ένιωθαν άνετα. Κάθε υποομάδα είχε έναν επαγγελματία διαμεσολαβητή από την κοινοπραξία εξωτερικών παρόχων υπηρεσιών.</w:t>
      </w:r>
    </w:p>
    <w:p>
      <w:pPr>
        <w:pStyle w:val="Alineanegatifpuce"/>
        <w:numPr>
          <w:ilvl w:val="0"/>
          <w:numId w:val="3"/>
        </w:numPr>
        <w:rPr/>
      </w:pPr>
      <w:r>
        <w:rPr/>
        <w:t xml:space="preserve"> </w:t>
      </w:r>
      <w:r>
        <w:rPr/>
        <w:t>στη σύνοδο ολομέλειας αφιερωμένη στη ροή των εργασιών. Κάθε σύνοδος ολομέλειας αφιερωμένη σε έναν άξονα εργασίας συγκέντρωσε τις υποομάδες που εργάζονται στον ίδιο θεματικό άξονα. Οι σύνοδοι ολομέλειας που είναι αφιερωμένες σε μια ροή εργασίας διευκολύνθηκαν από επαγγελματίες διαμεσολαβητές, με διερμηνεία που καλύπτει όλες τις γλώσσες που απαιτούνται από τους συμμετέχοντες.</w:t>
      </w:r>
    </w:p>
    <w:p>
      <w:pPr>
        <w:pStyle w:val="Alineanegatifpuce"/>
        <w:numPr>
          <w:ilvl w:val="0"/>
          <w:numId w:val="3"/>
        </w:numPr>
        <w:rPr/>
      </w:pPr>
      <w:r>
        <w:rPr/>
        <w:t xml:space="preserve"> </w:t>
      </w:r>
      <w:r>
        <w:rPr/>
        <w:t>στην ολομέλεια, με όλους τους συμμετέχοντες πολίτες, να παρουσιάσουν και να κλείσουν τη σύνοδο. Τις συνόδους ολομέλειας ηγήθηκαν δύο κύριοι συντονιστές της κοινοπραξίας, με διερμηνεία στις 24 επίσημες γλώσσες της ΕΕ.</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ΤΡΊΤΟΣ ΓΎΡΟΣ ΣΥΝΕΔΡΙΆΣΕΩΝ ΤΗΣ ΟΜΆΔΑΣ</w:t>
      </w:r>
    </w:p>
    <w:p>
      <w:pPr>
        <w:pStyle w:val="Corpsdetexte"/>
        <w:rPr/>
      </w:pPr>
      <w:r>
        <w:rPr/>
        <w:t>Ο τρίτος και τελευταίος γύρος συνεδριάσεων της ομάδας πραγματοποιήθηκε αυτοπροσώπως σε εκπαιδευτικά ιδρύματα σε τέσσερα κράτη μέλη. Λόγω της πανδημίας COVID-19 και των σχετικών μέτρων στην Ιρλανδία και τις Κάτω Χώρες, η τρίτη σύνοδος των ομάδων 1 (Ισχυρότερη οικονομία, κοινωνική δικαιοσύνη και απασχόληση)· εκπαίδευση, πολιτισμός, νεολαία και αθλητισμός· ψηφιακός μετασχηματισμός) και 4 (η ΕΕ στον κόσμο· μετανάστευση) χρειάστηκε να αναβληθεί για τον Φεβρουάριο του 2022, σε διαβούλευση με τις εθνικές αρχές και τους συνδεδεμένους εταίρους.</w:t>
      </w:r>
    </w:p>
    <w:p>
      <w:pPr>
        <w:pStyle w:val="Corpsdetexte"/>
        <w:rPr/>
      </w:pPr>
      <w:r>
        <w:rPr/>
        <w:t xml:space="preserve">Οι συζητήσεις και οι συλλογικές εργασίες πραγματοποιήθηκαν στις ακόλουθες μορφές: </w:t>
      </w:r>
    </w:p>
    <w:p>
      <w:pPr>
        <w:pStyle w:val="Alineanegatifpuce"/>
        <w:numPr>
          <w:ilvl w:val="0"/>
          <w:numId w:val="3"/>
        </w:numPr>
        <w:rPr/>
      </w:pPr>
      <w:r>
        <w:rPr/>
        <w:t xml:space="preserve"> </w:t>
      </w:r>
      <w:r>
        <w:rPr/>
        <w:t>στην ολομέλεια με όλους τους συμμετέχοντες, στην αρχή της συνόδου για την παρουσίαση του προγράμματος και στο τέλος της συνόδου, όπως εξηγείται κατωτέρω. Τις συνόδους ολομέλειας ηγήθηκαν δύο κύριοι συντονιστές της ομάδας προβληματισμού, με διερμηνεία στις 24 επίσημες γλώσσες της ΕΕ.</w:t>
      </w:r>
    </w:p>
    <w:p>
      <w:pPr>
        <w:pStyle w:val="Alineanegatifpuce"/>
        <w:numPr>
          <w:ilvl w:val="0"/>
          <w:numId w:val="3"/>
        </w:numPr>
        <w:rPr/>
      </w:pPr>
      <w:r>
        <w:rPr/>
        <w:t xml:space="preserve"> </w:t>
      </w:r>
      <w:r>
        <w:rPr/>
        <w:t>Οι πολίτες άρχισαν να εξετάζουν όλες τις κατευθύνσεις που ανέπτυξε η επιτροπή κατά τη διάρκεια της 2ης συνόδου στο πλαίσιο ενός «ανοικτού φόρουμ». Στη συνέχεια, κάθε πολίτης έδωσε προτεραιότητα σε δέκα κατ’ ανώτατο όριο προσανατολισμούς ανά άξονα εργασίας. Μόλις αυτή η διαδικασία ιεράρχησης των προτεραιοτήτων ολοκληρώθηκε σε επίπεδο επιτροπής, οι πολίτες προσχώρησαν στην υποομάδα στην οποία είχαν ήδη εργαστεί κατά τη διάρκεια της 2ης συνόδου και έλαβαν από κοινού υπό σημείωση την καθοδήγηση της ομάδας που είχε δοθεί προτεραιότητα από την υπόλοιπη ομάδα — μια ευκαιρία να συγκριθεί αυτή η επιλογή με τη δική τους αξιολόγηση. Για την κατάρτιση των συστάσεων, δόθηκε σε κάθε υποομάδα ενδεικτικό φάσμα του αριθμού των συστάσεων που έπρεπε να συνταχθούν: από ένα έως τρία, με μέγιστο πέντε.</w:t>
      </w:r>
    </w:p>
    <w:p>
      <w:pPr>
        <w:pStyle w:val="Alineanegatifpuce"/>
        <w:numPr>
          <w:ilvl w:val="0"/>
          <w:numId w:val="3"/>
        </w:numPr>
        <w:rPr/>
      </w:pPr>
      <w:r>
        <w:rPr/>
        <w:t xml:space="preserve"> </w:t>
      </w:r>
      <w:r>
        <w:rPr/>
        <w:t xml:space="preserve">Καθεμία από τις 15 υποομάδες εργάστηκε για την κατάρτιση κατευθυντήριων γραμμών για συστάσεις. Οι πολίτες συζήτησαν τις κατευθυντήριες γραμμές που είχαν λάβει τη μεγαλύτερη στήριξη (κατά σειρά προτεραιότητας) και άρχισαν τη διαδικασία σύνταξης των συστάσεων. </w:t>
      </w:r>
    </w:p>
    <w:p>
      <w:pPr>
        <w:pStyle w:val="Normal"/>
        <w:rPr/>
      </w:pPr>
      <w:r>
        <w:rPr/>
        <w:t>Κατά τη διάρκεια της τρίτης σειράς συνεδριών, η εμπειρογνωμοσύνη και η ενημέρωση δεν φέρθηκαν σε άμεση αλληλεπίδραση με τους πολίτες, αλλά μέσω ενός ειδικά σχεδιασμένου συστήματος, ενός «Πόρου και Σημείου Πληροφόρησης». Το σύστημα αυτό χρησιμοποιήθηκε για τη συγκέντρωση όλων των αιτήσεων παροχής πληροφοριών και τον επιτόπιο έλεγχο των γεγονότων και για την παροχή σύντομων και πραγματικών απαντήσεων από εμπειρογνώμονες και ελεγκτές γεγονότων στις υποομάδες. Το σύστημα αυτό έχει σχεδιαστεί για να διασφαλίζει ότι τα στοιχεία των εμπειρογνωμόνων και των ελεγκτών γεγονότων προετοιμάζονται σύμφωνα με τα υψηλότερα πρότυπα ποιότητας και για να αποφεύγεται η αθέμιτη επιρροή σε αυτό το στάδιο της διαδικασίας. Οι πολίτες έλαβαν επίσης τις ενδιάμεσες εκθέσεις της πολύγλωσσης ψηφιακής πλατφόρμας.</w:t>
      </w:r>
    </w:p>
    <w:p>
      <w:pPr>
        <w:pStyle w:val="Corpsdetexte"/>
        <w:rPr/>
      </w:pPr>
      <w:r>
        <w:rPr/>
        <w:t>Κατά τη διάρκεια των εργασιών της υποομάδας, οργανώθηκαν συνεδρίες ανατροφοδότησης για να βοηθήσουν τους συμμετέχοντες να κατανοήσουν το έργο των άλλων υποομάδων και να ενισχύσουν τις συστάσεις τους.</w:t>
      </w:r>
    </w:p>
    <w:p>
      <w:pPr>
        <w:pStyle w:val="Corpsdetexte"/>
        <w:rPr/>
      </w:pPr>
      <w:r>
        <w:rPr/>
        <w:t>Στη συνέχεια, οι συστάσεις κάθε υποομάδας ψηφίστηκαν από την επιτροπή την τελευταία ημέρα της συνόδου. Πριν από την ψηφοφορία, όλοι οι συμμετέχοντες έλαβαν ένα έγγραφο που περιείχε όλα τα σχέδια συστάσεων που συντάχθηκαν την προηγούμενη ημέρα, ώστε να μπορούν να τα διαβάσουν στη δική τους γλώσσα (αυτόματη μετάφραση από τα αγγλικά). Κάθε σύσταση διαβάστηκε στα αγγλικά στην ολομέλεια, ώστε οι πολίτες να μπορούν να ακούν ταυτόχρονα τη διερμηνεία. Το ένα μετά το άλλο, οι συστάσεις τέθηκαν σε ψηφοφορία από τους συμμετέχοντες χρησιμοποιώντας ένα ηλεκτρονικό έντυπο.</w:t>
      </w:r>
    </w:p>
    <w:p>
      <w:pPr>
        <w:pStyle w:val="Corpsdetexte"/>
        <w:rPr/>
      </w:pPr>
      <w:r>
        <w:rPr/>
        <w:t>Με βάση τα αποτελέσματα των τελικών ψηφοφοριών, οι συστάσεις ταξινομήθηκαν ως εξής:</w:t>
      </w:r>
    </w:p>
    <w:p>
      <w:pPr>
        <w:pStyle w:val="Corpsdetexte"/>
        <w:rPr/>
      </w:pPr>
      <w:r>
        <w:rPr/>
        <w:t>Οι συστάσεις που έλαβαν το 70 % ή περισσότερο των ψηφισάντων εγκρίθηκαν από την επιτροπή· οι συστάσεις που δεν πληρούσαν αυτό το όριο θεωρήθηκε ότι δεν επικυρώθηκαν από την ομάδα. Συνολικά, οι ομάδες ευρωπαίων πολιτών ενέκριναν 178 συστάσεις.</w:t>
      </w:r>
    </w:p>
    <w:p>
      <w:pPr>
        <w:pStyle w:val="Corpsdetexte"/>
        <w:rPr/>
      </w:pPr>
      <w:r>
        <w:rPr/>
        <w:t>Η διαδικασία ψηφοφορίας εποπτεύεται από επιτροπή ψηφοφορίας αποτελούμενη από δύο πολίτες οι οποίοι είχαν προτείνει την εκπλήρωση αυτού του ρόλου.</w:t>
      </w:r>
    </w:p>
    <w:p>
      <w:pPr>
        <w:pStyle w:val="Titre4"/>
        <w:numPr>
          <w:ilvl w:val="3"/>
          <w:numId w:val="2"/>
        </w:numPr>
        <w:rPr/>
      </w:pPr>
      <w:bookmarkStart w:id="14" w:name="__RefHeading___Toc298202_1346298689"/>
      <w:bookmarkEnd w:id="14"/>
      <w:r>
        <w:rPr/>
        <w:t>ΕΚΠΡΌΣΩΠΟΙ ΤΩΝ ΟΜΆΔΩΝ ΕΥΡΩΠΑΊΩΝ ΠΟΛΙΤΏΝ ΣΤΗΝ ΟΛΟΜΈΛΕΙΑ</w:t>
      </w:r>
    </w:p>
    <w:p>
      <w:pPr>
        <w:pStyle w:val="Corpsdetexte"/>
        <w:rPr/>
      </w:pPr>
      <w:r>
        <w:rPr/>
        <w:t>Στη συνέχεια, οι συστάσεις που εγκρίθηκαν από τις τέσσερις ομάδες ευρωπαίων πολιτών παρουσιάστηκαν και συζητήθηκαν από τους 80 εκπροσώπους των ομάδων ευρωπαίων πολιτών στην ολομέλεια της Διάσκεψης και στις ομάδες εργασίας στις 21-22 Ιανουαρίου 2022 (ομάδα 2 και 3) και στις 11-12 Μαρτίου 2022 (Πίνακες 1 και 4). Οι 80 εκπρόσωποι των ομάδων ευρωπαίων πολιτών (κατά μέσο όρο 70 επί τόπου και 10 διαδικτυακά) συνέχισαν στη συνέχεια να προωθούν και να εξηγούν τις συστάσεις των ομάδων ευρωπαίων πολιτών σε τρεις διαδοχικές συνεδριάσεις της Ολομέλειας και των ομάδων εργασίας (25-26 Μαρτίου, 8-9 Απριλίου και 29-30 Απριλίου).</w:t>
      </w:r>
    </w:p>
    <w:p>
      <w:pPr>
        <w:pStyle w:val="Corpsdetexte"/>
        <w:rPr/>
      </w:pPr>
      <w:r>
        <w:rPr/>
        <w:t>Πραγματοποίησαν επίσης τακτικές ανταλλαγές απόψεων σε συνεδριάσεις στο πλαίσιο της «συνιστώσας των πολιτών» (σε διαδικτυακές προπαρασκευαστικές συνεδριάσεις και επιτόπιες συνεδριάσεις ολομέλειας), μεταξύ τους και με τους 27 εκπροσώπους εθνικών εκδηλώσεων και/ή εθνικών ομάδων. Στις 23 Απριλίου, εκπρόσωποι των ομάδων ευρωπαίων πολιτών συναντήθηκαν διαδικτυακά με όλους τους ομολόγους τους για να εξηγήσουν τον τρόπο με τον οποίο οι συστάσεις συζητήθηκαν και ενσωματώθηκαν στις προτάσεις της ολομέλειας, καθώς και για να λάβουν σχόλια από άλλους συμμετέχοντες στην επιτροπή. Μια ομάδα μελών της κοινής γραμματείας και της κοινοπραξίας υποστήριξαν τη συνιστώσα των πολιτών κατά τη διάρκεια της ολομέλειας.</w:t>
      </w:r>
    </w:p>
    <w:p>
      <w:pPr>
        <w:pStyle w:val="Titre4"/>
        <w:numPr>
          <w:ilvl w:val="3"/>
          <w:numId w:val="2"/>
        </w:numPr>
        <w:rPr/>
      </w:pPr>
      <w:bookmarkStart w:id="15" w:name="__RefHeading___Toc298204_1346298689"/>
      <w:bookmarkEnd w:id="15"/>
      <w:r>
        <w:rPr/>
        <w:t>ΔΙΑΦΆΝΕΙΑ ΤΗΣ ΔΙΑΔΙΚΑΣΊΑΣ</w:t>
      </w:r>
    </w:p>
    <w:p>
      <w:pPr>
        <w:pStyle w:val="Corpsdetexte"/>
        <w:rPr/>
      </w:pPr>
      <w:r>
        <w:rPr/>
        <w:t xml:space="preserve"> </w:t>
      </w:r>
      <w:r>
        <w:rPr/>
        <w:t>Η όλη διαδικασία διεξήχθη με διαφανή τρόπο. Οι συνεδριάσεις της ολομέλειας των ομάδων ευρωπαίων πολιτών μεταδόθηκαν ζωντανά, ενώ τα έγγραφα που προέκυψαν από τις συζητήσεις και τις συζητήσεις τους τέθηκαν στη διάθεση του κοινού μέσω της πολύγλωσσης ψηφιακής πλατφόρμας. Η τελική έκθεση για κάθε μία από τις συνεδριάσεις της ομάδας είναι διαθέσιμη στην πλατφόρμα, μαζί με τις συστάσεις. Οι εκθέσεις περιέχουν επίσης πληροφορίες για όλους τους εμπειρογνώμονες που υποστήριξαν το έργο των ομάδων.</w:t>
      </w:r>
    </w:p>
    <w:p>
      <w:pPr>
        <w:pStyle w:val="Corpsdetexte"/>
        <w:rPr/>
      </w:pPr>
      <w:r>
        <w:rPr/>
        <w:t>Ως πραγματική δημοκρατική καινοτομία, οι ομάδες ευρωπαίων πολιτών έχουν λάβει μεγάλη προσοχή από την επιστημονική κοινότητα. Οι ερευνητές μπόρεσαν να παραστούν στις συνεδριάσεις των ομάδων ευρωπαίων πολιτών και να παρακολουθήσουν τη συμπεριφορά, σύμφωνα με ορισμένους κανόνες, των εργασιών που πραγματοποιήθηκαν και της ιδιωτικής ζωής των συμμετεχόντων.</w:t>
      </w:r>
    </w:p>
    <w:p>
      <w:pPr>
        <w:pStyle w:val="Corpsdetexte"/>
        <w:rPr/>
      </w:pPr>
      <w:r>
        <w:rPr/>
      </w:r>
      <w:r>
        <w:br w:type="page"/>
      </w:r>
    </w:p>
    <w:p>
      <w:pPr>
        <w:pStyle w:val="Titre4"/>
        <w:numPr>
          <w:ilvl w:val="3"/>
          <w:numId w:val="2"/>
        </w:numPr>
        <w:rPr/>
      </w:pPr>
      <w:bookmarkStart w:id="16" w:name="__RefHeading___Toc298206_1346298689"/>
      <w:bookmarkEnd w:id="16"/>
      <w:r>
        <w:rPr/>
        <w:t xml:space="preserve">Πάνελ 1 </w:t>
        <w:br/>
        <w:t>Ισχυρότερη οικονομία, κοινωνική δικαιοσύνη και απασχόληση· εκπαίδευση, πολιτισμός, νεολαία και αθλητισμός· ψηφιακός μετασχηματισμός</w:t>
      </w:r>
    </w:p>
    <w:p>
      <w:pPr>
        <w:pStyle w:val="Corpsdetexte"/>
        <w:rPr/>
      </w:pPr>
      <w:r>
        <w:rPr/>
        <w:t>Η πρώτη σύνοδος της ειδικής ομάδας με θέμα «Ισχυρότερη οικονομία, κοινωνική δικαιοσύνη και απασχόληση· εκπαίδευση, πολιτισμός, νεολαία και αθλητισμός· ψηφιακός μετασχηματισμός» πραγματοποιήθηκε από τις 17 έως τις 19 Σεπτεμβρίου 2021 στο Στρασβούργο. Η εν λόγω ομάδα εξέτασε το μέλλον των οικονομιών και των θέσεων εργασίας μας, ιδίως μετά την πανδημία, δίνοντας τη δέουσα προσοχή σε συναφή ζητήματα κοινωνικής δικαιοσύνης. Ασχολήθηκε επίσης με τις ευκαιρίες και τις προκλήσεις του ψηφιακού μετασχηματισμού, ένα από τα σημαντικότερα θέματα συζήτησης μεταξύ εκείνων που αφορούν το μέλλον.</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Πλαίσιο 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rPr>
                            </w:pPr>
                            <w:r>
                              <w:rPr>
                                <w:color w:val="auto"/>
                              </w:rPr>
                              <w:drawing>
                                <wp:inline distT="0" distB="0" distL="0" distR="0">
                                  <wp:extent cx="6120130" cy="2105660"/>
                                  <wp:effectExtent l="0" t="0" r="0" b="0"/>
                                  <wp:docPr id="22" name="ΕΙΚΟΝΑ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ΕΙΚΟΝΑ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auto"/>
                              </w:rPr>
                              <w:t xml:space="preserve">Φωτογράφιση: ομάδα 1 των Ευρωπαίων πολιτών </w:t>
                              <w:tab/>
                              <w:t>Φωτογράφιση: ομάδα 2 των Ευρωπαίων πολιτών</w:t>
                            </w:r>
                          </w:p>
                        </w:txbxContent>
                      </wps:txbx>
                      <wps:bodyPr lIns="0" rIns="0" tIns="0" bIns="0">
                        <a:noAutofit/>
                      </wps:bodyPr>
                    </wps:wsp>
                  </a:graphicData>
                </a:graphic>
              </wp:anchor>
            </w:drawing>
          </mc:Choice>
          <mc:Fallback>
            <w:pict>
              <v:rect id="shape_0" ID="Πλαίσιο 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rPr>
                      </w:pPr>
                      <w:r>
                        <w:rPr>
                          <w:color w:val="auto"/>
                        </w:rPr>
                        <w:drawing>
                          <wp:inline distT="0" distB="0" distL="0" distR="0">
                            <wp:extent cx="6120130" cy="2105660"/>
                            <wp:effectExtent l="0" t="0" r="0" b="0"/>
                            <wp:docPr id="23" name="ΕΙΚΟΝΑ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ΕΙΚΟΝΑ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auto"/>
                        </w:rPr>
                        <w:t xml:space="preserve">Φωτογράφιση: ομάδα 1 των Ευρωπαίων πολιτών </w:t>
                        <w:tab/>
                        <w:t>Φωτογράφιση: ομάδα 2 των Ευρωπαίων πολιτών</w:t>
                      </w:r>
                    </w:p>
                  </w:txbxContent>
                </v:textbox>
              </v:rect>
            </w:pict>
          </mc:Fallback>
        </mc:AlternateContent>
      </w:r>
      <w:r>
        <w:rPr/>
        <w:t>Η ομάδα συζήτησε επίσης το μέλλον της Ευρώπης στους τομείς της νεολαίας, του αθλητισμού, του πολιτισμού και της εκπαίδευσης. Οι πολίτες που συμμετέχουν στην ομάδα χαιρετίστηκαν από τον συμπρόεδρο Guy Verhofstadt. Οι εργασίες της πρώτης συνόδου κατέληξαν στην έγκριση των πέντε σκελών εργασίας: «Εργασία στην Ευρώπη», «Μια οικονομία για το μέλλον», «Μια δίκαιη κοινωνία», «Μαθαίνοντας στην Ευρώπη» και «Μια ηθική και ασφαλής ψηφιακός μετασχηματισμός».</w:t>
      </w:r>
    </w:p>
    <w:p>
      <w:pPr>
        <w:pStyle w:val="Corpsdetexte"/>
        <w:rPr/>
      </w:pPr>
      <w:r>
        <w:rPr/>
        <w:t>Από τις 5 έως τις 7 Νοεμβρίου 2021, η επιτροπή 1 συνεδρίασε για δεύτερη φορά, αυτή τη φορά σε εικονική μορφή, και συνέχισε τις συζητήσεις της πρώτης συνόδου. Κατά τη διάρκεια της δεύτερης συνόδου, οι συμμετέχοντες της ομάδας παρουσίασαν «κατευθυντήριες γραμμές» για την ανάπτυξη συγκεκριμένων συστάσεων (στην τρίτη σύνοδό τους) για καθέναν από τους πέντε άξονες που προσδιορίστηκαν κατά την πρώτη συνεδρίαση. Συνολικά, οι πολίτες που συμμετείχαν στην ομάδα 1 παρήγαγαν 142 ομάδες καθοδήγησης.</w:t>
      </w:r>
    </w:p>
    <w:p>
      <w:pPr>
        <w:pStyle w:val="Corpsdetexte"/>
        <w:rPr/>
      </w:pPr>
      <w:r>
        <w:rPr/>
        <w:t>Από τις 25 έως τις 27 Φεβρουαρίου 2022, οι πολίτες που συμμετείχαν στην ομάδα 1 συνεδρίασαν για τρίτη φορά, συνεχίζοντας τις συζητήσεις που πραγματοποιήθηκαν κατά τις συνόδους 1 και 2. Για την τελευταία αυτή συνεδρίαση, οι συμμετέχοντες στο πάνελ 1 φιλοξενήθηκαν στο Κάστρο του Δουβλίνου από το Ινστιτούτο Διεθνών και Ευρωπαϊκών Υποθέσεων (IIEA), με την ευκαιρία να συμμετάσχουν στο διαδίκτυο.</w:t>
      </w:r>
    </w:p>
    <w:p>
      <w:pPr>
        <w:pStyle w:val="Corpsdetexte"/>
        <w:rPr/>
      </w:pPr>
      <w:r>
        <w:rPr/>
        <w:t>με βάση τις κατευθυντήριες γραμμές που είχαν αναπτύξει κατά τη σύνοδο 2 ως βάση για το έργο τους, οι πολίτες ανέπτυξαν και ενέκριναν 48 τελικές συστάσεις.</w:t>
      </w:r>
    </w:p>
    <w:p>
      <w:pPr>
        <w:pStyle w:val="Titre4"/>
        <w:numPr>
          <w:ilvl w:val="3"/>
          <w:numId w:val="2"/>
        </w:numPr>
        <w:rPr/>
      </w:pPr>
      <w:bookmarkStart w:id="17" w:name="__RefHeading___Toc298208_1346298689"/>
      <w:bookmarkEnd w:id="17"/>
      <w:r>
        <w:rPr/>
        <w:t xml:space="preserve">Πάνελ 2 </w:t>
        <w:br/>
        <w:t>Την ευρωπαϊκή δημοκρατία· αξίες και δικαιώματα, κράτος δικαίου, ασφάλεια</w:t>
      </w:r>
    </w:p>
    <w:p>
      <w:pPr>
        <w:pStyle w:val="Corpsdetexte"/>
        <w:rPr/>
      </w:pPr>
      <w:r>
        <w:rPr/>
        <w:t>1η σύνοδος της ειδικής ομάδας με θέμα «Ευρωπαϊκή δημοκρατία· αξίες και δικαιώματα, κράτος δικαίου, ασφάλεια» πραγματοποιήθηκε από τις 24 έως τις 26 Σεπτεμβρίου στο Στρασβούργο. Η ομάδα επικεντρώθηκε σε ζητήματα που σχετίζονται με τη δημοκρατία, όπως οι εκλογές, η συμμετοχή εκτός των εκλογικών περιόδων, η αντιληπτή απόσταση μεταξύ των πολιτών και των εκλεγμένων εκπροσώπων τους, η ελευθερία των μέσων ενημέρωσης και η παραπληροφόρηση. Εξέτασε επίσης ζητήματα που σχετίζονται με τα θεμελιώδη δικαιώματα και τις αξίες, το κράτος δικαίου και την καταπολέμηση όλων των μορφών διακρίσεων. Ταυτόχρονα, επικεντρώθηκε στην εσωτερική ασφάλεια της ΕΕ, όπως η προστασία των Ευρωπαίων από τρομοκρατικές πράξεις και άλλα εγκλήματα. Οι ομιλητές χαιρετίζονται από τον συμπρόεδρο κ. Gašper Dovžan.</w:t>
      </w:r>
    </w:p>
    <w:p>
      <w:pPr>
        <w:pStyle w:val="Corpsdetexte"/>
        <w:rPr/>
      </w:pPr>
      <w:r>
        <w:rPr/>
        <w:t>Οι εργασίες της πρώτης αυτής συνόδου κατέληξαν στην έγκριση των πέντε σκελών εργασίας: «Διασφάλιση του σεβασμού των δικαιωμάτων και της απαγόρευσης των διακρίσεων», «Προστασία της δημοκρατίας και του κράτους δικαίου», «Μεταρρύθμιση της ΕΕ», «Οικοδόμηση της ευρωπαϊκής ταυτότητας» και «Ενίσχυση της συμμετοχής των πολιτών».</w:t>
      </w:r>
    </w:p>
    <w:p>
      <w:pPr>
        <w:pStyle w:val="Corpsdetexte"/>
        <w:rPr/>
      </w:pPr>
      <w:r>
        <w:rPr/>
        <w:t>Από τις 12 έως τις 14 Νοεμβρίου 2021, η επιτροπή 2 συνεδρίασε για δεύτερη φορά, σε εικονική μορφή, και συνέχισε τις συζητήσεις της πρώτης συνόδου. Κατά τη διάρκεια της δεύτερης συνόδου, οι συμμετέχοντες της ομάδας παρουσίασαν «κατευθυντήριες γραμμές» για την ανάπτυξη συγκεκριμένων συστάσεων (στην τρίτη σύνοδό τους) για καθέναν από τους πέντε άξονες που προσδιορίστηκαν κατά την πρώτη συνεδρίαση. Συνολικά, οι πολίτες που συμμετείχαν στην ομάδα 2 παρήγαγαν 124 ομάδες καθοδήγησης.</w:t>
      </w:r>
    </w:p>
    <w:p>
      <w:pPr>
        <w:pStyle w:val="Corpsdetexte"/>
        <w:rPr/>
      </w:pPr>
      <w:r>
        <w:rPr/>
        <w:t>Από τις 10 έως τις 12 Δεκεμβρίου 2021, οι πολίτες που συμμετείχαν στην ομάδα 2 συναντήθηκαν για την τελική τους σύνοδο που διοργανώθηκε στο Ευρωπαϊκό Πανεπιστημιακό Ινστιτούτο στη Φλωρεντία, με την ευκαιρία να συμμετάσχουν διαδικτυακά. Με βάση τις κατευθυντήριες γραμμές που είχαν αναπτύξει κατά τη σύνοδο 2 ως βάση για το έργο τους, οι πολίτες ανέπτυξαν και ενέκριναν 39 τελικές συστάσεις.</w:t>
      </w:r>
    </w:p>
    <w:p>
      <w:pPr>
        <w:pStyle w:val="Titre4"/>
        <w:numPr>
          <w:ilvl w:val="3"/>
          <w:numId w:val="2"/>
        </w:numPr>
        <w:rPr/>
      </w:pPr>
      <w:bookmarkStart w:id="18" w:name="__RefHeading___Toc298210_1346298689"/>
      <w:bookmarkEnd w:id="18"/>
      <w:r>
        <w:rPr/>
        <w:t>Ομάδα 3 Κλιματική αλλαγή και περιβάλλον· ΥΓΕΙΑ</w:t>
      </w:r>
    </w:p>
    <w:p>
      <w:pPr>
        <w:pStyle w:val="Corpsdetexte"/>
        <w:rPr/>
      </w:pPr>
      <w:r>
        <w:rPr/>
        <w:t>Την ομάδα με θέμα «Κλιματική αλλαγή και περιβάλλον»· υγεία» πραγματοποίησε την πρώτη σύνοδό της από</w:t>
      </w:r>
      <w:r>
        <w:rPr>
          <w:vertAlign w:val="superscript"/>
        </w:rPr>
        <w:t>την 1η έως τις</w:t>
      </w:r>
      <w:r>
        <w:rPr/>
        <w:t xml:space="preserve"> 3 Οκτωβρίου στο Στρασβούργο. Η ομάδα επικεντρώθηκε στις επιπτώσεις της κλιματικής αλλαγής, στα περιβαλλοντικά ζητήματα και στις νέες προκλήσεις στον τομέα της υγείας για την Ευρωπαϊκή Ένωση. Κάλυπτε επίσης τους στόχους και τις στρατηγικές της ΕΕ, όπως η γεωργία, οι μεταφορές και η κινητικότητα, η ενέργεια και η μετάβαση σε κοινωνίες μετά τον άνθρακα, η έρευνα, τα συστήματα υγείας, η αντιμετώπιση κρίσεων στον τομέα της υγείας, η πρόληψη και ο υγιεινός τρόπος ζωής. Οι εργασίες αυτής της πρώτης συνόδου ολοκληρώθηκαν με την έγκριση των πέντε τομέων εργασίας: «Καλύτερος τρόπος ζωής», «Προστασία του περιβάλλοντος και της υγείας μας», «Αναπροσανατολισμός της οικονομίας και της κατανάλωσης», «Προς μια βιώσιμη κοινωνία» και «Προσοχή για όλους». Η τελική έκθεση της συνόδου είναι διαθέσιμη στην πολύγλωσση ψηφιακή πλατφόρμα.</w:t>
      </w:r>
    </w:p>
    <w:p>
      <w:pPr>
        <w:pStyle w:val="Corpsdetexte"/>
        <w:rPr/>
      </w:pPr>
      <w:r>
        <w:rPr/>
        <w:t>Από τις 19 έως τις 21 Νοεμβρίου 2021, η επιτροπή 3 συνεδρίασε για δεύτερη φορά, αυτή τη φορά σε εικονική μορφή, για να συνεχίσει τις συζητήσεις της πρώτης συνόδου. Κατά τη διάρκεια της δεύτερης συνόδου, οι συμμετέχοντες της ομάδας παρουσίασαν «κατευθυντήριες γραμμές» για την ανάπτυξη συγκεκριμένων συστάσεων (στην τρίτη σύνοδό τους) για καθέναν από τους πέντε άξονες που προσδιορίστηκαν κατά την πρώτη συνεδρίαση. Συνολικά, οι πολίτες που συμμετείχαν στην ομάδα 3 παρήγαγαν 130 ομάδες καθοδήγησης.</w:t>
      </w:r>
    </w:p>
    <w:p>
      <w:pPr>
        <w:pStyle w:val="Corpsdetexte"/>
        <w:rPr/>
      </w:pPr>
      <w:r>
        <w:rPr/>
        <w:t>Από τις 7 έως τις 9 Ιανουαρίου 2022, οι πολίτες του πάνελ 3 συγκεντρώθηκαν για την τελική συνεδρίαση που οργάνωσαν στο Κολλέγιο της Ευρώπης στο Νατολίν και στο Παλάτι Πολιτισμού και Επιστημών, με την υποστήριξη της πόλης της Βαρσοβίας. Ήταν δυνατή η συμμετοχή στο διαδίκτυο. Με βάση τις κατευθυντήριες γραμμές που είχαν αναπτύξει κατά τη σύνοδο 2 ως βάση για το έργο τους, οι πολίτες ανέπτυξαν και ενέκριναν 51 τελικές συστάσεις.</w:t>
      </w:r>
    </w:p>
    <w:p>
      <w:pPr>
        <w:pStyle w:val="Titre4"/>
        <w:numPr>
          <w:ilvl w:val="3"/>
          <w:numId w:val="2"/>
        </w:numPr>
        <w:rPr/>
      </w:pPr>
      <w:bookmarkStart w:id="19" w:name="__RefHeading___Toc298212_1346298689"/>
      <w:bookmarkEnd w:id="19"/>
      <w:r>
        <w:rPr/>
        <w:t>Ομάδα 4 Η ΕΕ στον κόσμο· μετανάστευση</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ΠΛΑΙΣΙΟ 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3905"/>
                                  <wp:effectExtent l="0" t="0" r="0" b="0"/>
                                  <wp:docPr id="26" name="ΕΙΚΟΝΑ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ΕΙΚΟΝΑ 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auto"/>
                              </w:rPr>
                              <w:t>Φωτογράφιση: ομάδα 3 των Ευρωπαίων πολιτών</w:t>
                            </w:r>
                          </w:p>
                        </w:txbxContent>
                      </wps:txbx>
                      <wps:bodyPr lIns="0" rIns="0" tIns="0" bIns="0">
                        <a:noAutofit/>
                      </wps:bodyPr>
                    </wps:wsp>
                  </a:graphicData>
                </a:graphic>
              </wp:anchor>
            </w:drawing>
          </mc:Choice>
          <mc:Fallback>
            <w:pict>
              <v:rect id="shape_0" ID="ΠΛΑΙΣΙΟ 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3905"/>
                            <wp:effectExtent l="0" t="0" r="0" b="0"/>
                            <wp:docPr id="27" name="ΕΙΚΟΝΑ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ΕΙΚΟΝΑ 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auto"/>
                        </w:rPr>
                        <w:t>Φωτογράφιση: ομάδα 3 των Ευρωπαίων πολιτών</w:t>
                      </w:r>
                    </w:p>
                  </w:txbxContent>
                </v:textbox>
              </v:rect>
            </w:pict>
          </mc:Fallback>
        </mc:AlternateContent>
      </w:r>
    </w:p>
    <w:p>
      <w:pPr>
        <w:pStyle w:val="Corpsdetexte"/>
        <w:rPr/>
      </w:pPr>
      <w:r>
        <w:rPr/>
        <w:t>Την τέταρτη ομάδα με τίτλο «Η ΕΕ στον κόσμο»· μετανάστευση» συνεδρίασε για πρώτη φορά από τις 15 έως τις 17 Οκτωβρίου στο Στρασβούργο, κατά τη διάρκεια της οποίας οι συμμετέχοντες συζήτησαν ειδικότερα τον ρόλο της ΕΕ στη διεθνή σκηνή.</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ΠΛΑΙΣΙΟ 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6445"/>
                                  <wp:effectExtent l="0" t="0" r="0" b="0"/>
                                  <wp:docPr id="30" name="ΕΙΚΟΝΑ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ΟΝΑ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auto"/>
                              </w:rPr>
                              <w:t>Φωτογράφιση: ομάδα 4 των Ευρωπαίων πολιτών</w:t>
                              <w:br/>
                            </w:r>
                          </w:p>
                        </w:txbxContent>
                      </wps:txbx>
                      <wps:bodyPr lIns="0" rIns="0" tIns="0" bIns="0">
                        <a:noAutofit/>
                      </wps:bodyPr>
                    </wps:wsp>
                  </a:graphicData>
                </a:graphic>
              </wp:anchor>
            </w:drawing>
          </mc:Choice>
          <mc:Fallback>
            <w:pict>
              <v:rect id="shape_0" ID="ΠΛΑΙΣΙΟ 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6445"/>
                            <wp:effectExtent l="0" t="0" r="0" b="0"/>
                            <wp:docPr id="31" name="ΕΙΚΟΝΑ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ΕΙΚΟΝΑ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auto"/>
                        </w:rPr>
                        <w:t>Φωτογράφιση: ομάδα 4 των Ευρωπαίων πολιτών</w:t>
                        <w:br/>
                      </w:r>
                    </w:p>
                  </w:txbxContent>
                </v:textbox>
              </v:rect>
            </w:pict>
          </mc:Fallback>
        </mc:AlternateContent>
      </w:r>
      <w:r>
        <w:rPr/>
        <w:t>Ειδικότερα, συζητήθηκαν οι στόχοι και οι στρατηγικές της ΕΕ στους τομείς της ασφάλειας, της άμυνας, της εμπορικής πολιτικής, της ανθρωπιστικής βοήθειας και της αναπτυξιακής συνεργασίας, της εξωτερικής πολιτικής, της πολιτικής γειτονίας της ΕΕ και της διεύρυνσης, καθώς και ο τρόπος με τον οποίο η ΕΕ θα πρέπει να αντιμετωπίσει τη μετανάστευση. Η συμπρόεδρος Dubravka Šuica καλωσορίζει τους πολίτες. Οι εργασίες της πρώτης αυτής συνόδου κατέληξαν στην έγκριση των πέντε σκελών εργασίας: «Αυτεπάρκεια και σταθερότητα», «Η ΕΕ ως διεθνής εταίρος», «Μια ισχυρή ΕΕ σε έναν κόσμο ειρήνης», «Μετανάστευση από ανθρώπινη άποψη» και «Ευθύνη και αλληλεγγύη σε ολόκληρη την ΕΕ». Η τελική έκθεση της συνόδου είναι διαθέσιμη στην πολύγλωσση ψηφιακή πλατφόρμα.</w:t>
      </w:r>
    </w:p>
    <w:p>
      <w:pPr>
        <w:pStyle w:val="Corpsdetexte"/>
        <w:rPr/>
      </w:pPr>
      <w:r>
        <w:rPr/>
        <w:t>Από τις 16 έως τις 28 Νοεμβρίου 2021, η ομάδα 4 πραγματοποίησε τη δεύτερη διαδικτυακή σύνοδό της, με βάση τις εργασίες που πραγματοποιήθηκαν κατά τη διάρκεια της πρώτης συνόδου. Κατά τη διάρκεια της δεύτερης συνόδου, οι συμμετέχοντες της ομάδας παρουσίασαν «κατευθυντήριες γραμμές» για την ανάπτυξη συγκεκριμένων συστάσεων (στην τρίτη σύνοδό τους) για καθέναν από τους πέντε άξονες που προσδιορίστηκαν κατά την πρώτη συνεδρίαση. Συνολικά, οι πολίτες που συμμετείχαν στην ομάδα 4 παρήγαγαν 95 ομάδες καθοδήγησης.</w:t>
      </w:r>
    </w:p>
    <w:p>
      <w:pPr>
        <w:pStyle w:val="Corpsdetexte"/>
        <w:rPr/>
      </w:pPr>
      <w:r>
        <w:rPr/>
        <w:t>Από τις 11 έως τις 13 Φεβρουαρίου 2022, το πάνελ 4 πολιτών συγκεντρώθηκαν για την τελική τους σύνοδο, που διοργανώθηκε στο Εκθεσιακό και Συνεδριακό Κέντρο του Μάαστριχτ (MECC) από το Studio Europa Maastricht, σε συνεργασία με το Πανεπιστήμιο του Μάαστριχτ και το Ευρωπαϊκό Ινστιτούτο Δημόσιας Διοίκησης (IEAP). Ήταν δυνατή η συμμετοχή στο διαδίκτυο.</w:t>
      </w:r>
    </w:p>
    <w:p>
      <w:pPr>
        <w:pStyle w:val="Corpsdetexte"/>
        <w:rPr/>
      </w:pPr>
      <w:r>
        <w:rPr/>
        <w:t>με βάση τις κατευθυντήριες γραμμές που είχαν αναπτύξει κατά τη σύνοδο 2 ως βάση για το έργο τους, οι πολίτες ανέπτυξαν και ενέκριναν 40 τελικές συστάσεις.</w:t>
      </w:r>
    </w:p>
    <w:p>
      <w:pPr>
        <w:pStyle w:val="Normal"/>
        <w:rPr/>
      </w:pPr>
      <w:r>
        <w:rPr/>
      </w:r>
    </w:p>
    <w:p>
      <w:pPr>
        <w:pStyle w:val="Titre3"/>
        <w:numPr>
          <w:ilvl w:val="2"/>
          <w:numId w:val="2"/>
        </w:numPr>
        <w:rPr/>
      </w:pPr>
      <w:bookmarkStart w:id="20" w:name="__RefHeading___Toc298214_1346298689"/>
      <w:bookmarkEnd w:id="20"/>
      <w:r>
        <w:rPr/>
        <w:t>2.</w:t>
        <w:tab/>
        <w:t>Εθνικές ομάδες πολιτών</w:t>
      </w:r>
    </w:p>
    <w:p>
      <w:pPr>
        <w:pStyle w:val="Corpsdetexte"/>
        <w:rPr/>
      </w:pPr>
      <w:r>
        <w:rPr/>
        <w:t>Σύμφωνα με την κοινή δήλωση, η ολομέλεια της Διάσκεψης συζήτησε συστάσεις από εθνικές και ευρωπαϊκές ομάδες πολιτών, ομαδοποιημένες ανά θέμα. Για να βοηθηθούν τα κράτη μέλη που σχεδιάζουν να οργανώσουν εθνικές ομάδες πολιτών, οι κατευθυντήριες γραμμές εγκρίθηκαν από τους συμπροέδρους και διαβιβάστηκαν στην εκτελεστική επιτροπή στις 26 Μαΐου 2021. Ακολούθησαν τις ίδιες αρχές με τις ομάδες ευρωπαίων πολιτών και περιλάμβαναν αρχές καλής διαβούλευσης, βάσει έκθεσης του ΟΟΣΑ</w:t>
      </w:r>
      <w:r>
        <w:rPr>
          <w:rStyle w:val="Ancredenotedebasdepage"/>
          <w:rStyle w:val="Ancredenotedebasdepage"/>
        </w:rPr>
        <w:footnoteReference w:id="5"/>
      </w:r>
      <w:r>
        <w:rPr/>
        <w:t>.</w:t>
      </w:r>
    </w:p>
    <w:p>
      <w:pPr>
        <w:pStyle w:val="Corpsdetexte"/>
        <w:rPr/>
      </w:pPr>
      <w:r>
        <w:rPr/>
        <w:t>Έξι κράτη μέλη — το Βέλγιο, η Γαλλία, η Γερμανία, η Ιταλία, η Λιθουανία και οι Κάτω Χώρες — οργάνωσαν ομάδες εθνικών πολιτών, τηρώντας τις αρχές που ορίζονται στις παρούσες κατευθυντήριες γραμμές. Οι συστάσεις που διατυπώθηκαν από αυτές τις εθνικές ομάδες πολιτών παρουσιάστηκαν και συζητήθηκαν κατά τις συνεδριάσεις ολομέλειας του Ιανουαρίου και του Μαρτίου, καθώς και στις ομάδες εργασίας της ολομέλειας, παράλληλα με τις συστάσεις των ομάδων ευρωπαίων πολιτών για τα ίδια θέματα.</w:t>
      </w:r>
    </w:p>
    <w:p>
      <w:pPr>
        <w:pStyle w:val="Titre4"/>
        <w:numPr>
          <w:ilvl w:val="3"/>
          <w:numId w:val="2"/>
        </w:numPr>
        <w:rPr/>
      </w:pPr>
      <w:bookmarkStart w:id="21" w:name="__RefHeading___Toc298216_1346298689"/>
      <w:bookmarkEnd w:id="21"/>
      <w:r>
        <w:rPr/>
        <w:t>1)</w:t>
        <w:tab/>
        <w:t>ΒΈΛΓΙΟ</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ΠΛΑΙΣΙΟ 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34" name="ΕΙΚΟΝΑ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ΕΙΚΟΝΑ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auto"/>
                              </w:rPr>
                              <w:t>Η φωτογραφία: Ομάδα Βέλγων πολιτών</w:t>
                            </w:r>
                          </w:p>
                        </w:txbxContent>
                      </wps:txbx>
                      <wps:bodyPr lIns="0" rIns="0" tIns="0" bIns="0">
                        <a:noAutofit/>
                      </wps:bodyPr>
                    </wps:wsp>
                  </a:graphicData>
                </a:graphic>
              </wp:anchor>
            </w:drawing>
          </mc:Choice>
          <mc:Fallback>
            <w:pict>
              <v:rect id="shape_0" ID="ΠΛΑΙΣΙΟ 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35" name="ΕΙΚΟΝΑ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ΕΙΚΟΝΑ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auto"/>
                        </w:rPr>
                        <w:t>Η φωτογραφία: Ομάδα Βέλγων πολιτών</w:t>
                      </w:r>
                    </w:p>
                  </w:txbxContent>
                </v:textbox>
              </v:rect>
            </w:pict>
          </mc:Fallback>
        </mc:AlternateContent>
      </w:r>
    </w:p>
    <w:p>
      <w:pPr>
        <w:pStyle w:val="Corpsdetexte"/>
        <w:rPr/>
      </w:pPr>
      <w:r>
        <w:rPr/>
        <w:t>Τον Οκτώβριο του 2021, μια ομάδα πολιτών συγκέντρωσε πάνω από τρία Σαββατοκύριακα 50 τυχαία επιλεγμένους πολίτες, αντιπροσωπευτικούς του γενικού πληθυσμού, για να συζητήσουν το θέμα της ευρωπαϊκής δημοκρατίας και τον τρόπο με τον οποίο οι πολίτες θα μπορούσαν να συμμετέχουν περισσότερο στις ευρωπαϊκές υποθέσεις.</w:t>
      </w:r>
    </w:p>
    <w:p>
      <w:pPr>
        <w:pStyle w:val="Corpsdetexte"/>
        <w:rPr/>
      </w:pPr>
      <w:r>
        <w:rPr/>
        <w:t>Η εν λόγω ομάδα διοργανώθηκε υπό την αιγίδα της Sophie Wilmès, Αντιπροέδρου της Κυβέρνησης του Βελγίου και Υπουργού Εξωτερικών και Ευρωπαϊκών Υποθέσεων.</w:t>
      </w:r>
    </w:p>
    <w:p>
      <w:pPr>
        <w:pStyle w:val="Corpsdetexte"/>
        <w:rPr/>
      </w:pPr>
      <w:r>
        <w:rPr/>
        <w:t>Οι πολίτες διατύπωσαν συστάσεις σχετικά με πέντε θέματα που είχαν επιλέξει:</w:t>
      </w:r>
    </w:p>
    <w:p>
      <w:pPr>
        <w:pStyle w:val="Alineanegatifpuce"/>
        <w:numPr>
          <w:ilvl w:val="0"/>
          <w:numId w:val="3"/>
        </w:numPr>
        <w:rPr/>
      </w:pPr>
      <w:r>
        <w:rPr/>
        <w:t xml:space="preserve"> </w:t>
      </w:r>
      <w:r>
        <w:rPr/>
        <w:t>βελτίωση της επικοινωνίας για την Ευρωπαϊκή Ένωση,</w:t>
      </w:r>
    </w:p>
    <w:p>
      <w:pPr>
        <w:pStyle w:val="Alineanegatifpuce"/>
        <w:numPr>
          <w:ilvl w:val="0"/>
          <w:numId w:val="3"/>
        </w:numPr>
        <w:rPr/>
      </w:pPr>
      <w:r>
        <w:rPr/>
        <w:t xml:space="preserve"> </w:t>
      </w:r>
      <w:r>
        <w:rPr/>
        <w:t>εντοπισμός και καταπολέμηση της παραπληροφόρησης σχετικά με την ΕΕ,</w:t>
      </w:r>
    </w:p>
    <w:p>
      <w:pPr>
        <w:pStyle w:val="Alineanegatifpuce"/>
        <w:numPr>
          <w:ilvl w:val="0"/>
          <w:numId w:val="3"/>
        </w:numPr>
        <w:rPr/>
      </w:pPr>
      <w:r>
        <w:rPr/>
        <w:t xml:space="preserve"> </w:t>
      </w:r>
      <w:r>
        <w:rPr/>
        <w:t>οι ομάδες πολιτών ως εργαλείο συμμετοχής,</w:t>
      </w:r>
    </w:p>
    <w:p>
      <w:pPr>
        <w:pStyle w:val="Alineanegatifpuce"/>
        <w:numPr>
          <w:ilvl w:val="0"/>
          <w:numId w:val="3"/>
        </w:numPr>
        <w:rPr/>
      </w:pPr>
      <w:r>
        <w:rPr/>
        <w:t xml:space="preserve"> </w:t>
      </w:r>
      <w:r>
        <w:rPr/>
        <w:t>το δημοψήφισμα στις ευρωπαϊκές υποθέσεις,</w:t>
      </w:r>
    </w:p>
    <w:p>
      <w:pPr>
        <w:pStyle w:val="Alineanegatifpuce"/>
        <w:numPr>
          <w:ilvl w:val="0"/>
          <w:numId w:val="3"/>
        </w:numPr>
        <w:rPr/>
      </w:pPr>
      <w:r>
        <w:rPr/>
        <w:t xml:space="preserve"> </w:t>
      </w:r>
      <w:r>
        <w:rPr/>
        <w:t>βελτίωση των υφιστάμενων συμμετοχικών μέσων στην Ευρωπαϊκή Ένωση.</w:t>
      </w:r>
    </w:p>
    <w:p>
      <w:pPr>
        <w:pStyle w:val="Corpsdetexte"/>
        <w:rPr/>
      </w:pPr>
      <w:r>
        <w:rPr/>
        <w:t>Οι εργασίες της ομάδας βελγικών πολιτών κατέληξαν σε 115 συστάσεις, οι οποίες εκπονήθηκαν, συζητήθηκαν και ψηφίστηκαν από τους 50 τυχαία επιλεγμένους Βέλγους πολίτες.</w:t>
      </w:r>
    </w:p>
    <w:p>
      <w:pPr>
        <w:pStyle w:val="Corpsdetexte"/>
        <w:rPr/>
      </w:pPr>
      <w:r>
        <w:rPr/>
      </w:r>
    </w:p>
    <w:p>
      <w:pPr>
        <w:pStyle w:val="Titre4"/>
        <w:numPr>
          <w:ilvl w:val="3"/>
          <w:numId w:val="2"/>
        </w:numPr>
        <w:rPr/>
      </w:pPr>
      <w:bookmarkStart w:id="22" w:name="__RefHeading___Toc298218_1346298689"/>
      <w:bookmarkEnd w:id="22"/>
      <w:r>
        <w:rPr/>
        <w:t>2)</w:t>
        <w:tab/>
        <w:t>ΓΕΡΜΑΝΊΑ</w:t>
      </w:r>
    </w:p>
    <w:p>
      <w:pPr>
        <w:pStyle w:val="Corpsdetexte"/>
        <w:rPr/>
      </w:pPr>
      <w:r>
        <w:rPr/>
        <w:t>Τον Ιανουάριο του 2022, το γερμανικό υπουργείο Εξωτερικών οργάνωσε μια ομάδα εθνικών πολιτών. Σε αυτό το διαδικτυακό πάνελ συμμετείχαν 100 τυχαία επιλεγμένοι πολίτες, αντιπροσωπευτικοί του πληθυσμού.</w:t>
      </w:r>
    </w:p>
    <w:p>
      <w:pPr>
        <w:pStyle w:val="Corpsdetexte"/>
        <w:rPr/>
      </w:pPr>
      <w:r>
        <w:rPr/>
        <w:t>Στις 5 και 8 Ιανουαρίου 2022 διοργανώθηκαν στο διαδίκτυο πέντε εργαστήρια έναρξης, καθένα από τα οποία συγκέντρωσε 20 συμμετέχοντες στα ακόλουθα θέματα:</w:t>
      </w:r>
    </w:p>
    <w:p>
      <w:pPr>
        <w:pStyle w:val="Corpsdetexte"/>
        <w:rPr/>
      </w:pPr>
      <w:r>
        <w:rPr/>
        <w:t xml:space="preserve">— </w:t>
      </w:r>
      <w:r>
        <w:rPr/>
        <w:t>ο ρόλος της Ευρώπης στον κόσμο, το κλίμα και το περιβάλλον,</w:t>
      </w:r>
    </w:p>
    <w:p>
      <w:pPr>
        <w:pStyle w:val="Corpsdetexte"/>
        <w:rPr/>
      </w:pPr>
      <w:r>
        <w:rPr/>
        <w:t xml:space="preserve">— </w:t>
      </w:r>
      <w:r>
        <w:rPr/>
        <w:t>το κράτος δικαίου και τις αξίες,</w:t>
      </w:r>
    </w:p>
    <w:p>
      <w:pPr>
        <w:pStyle w:val="Corpsdetexte"/>
        <w:rPr/>
      </w:pPr>
      <w:r>
        <w:rPr/>
        <w:t>μια ισχυρότερη οικονομία και κοινωνική δικαιοσύνη.</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ΠΛΑΙΣΙΟ 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1900555"/>
                                  <wp:effectExtent l="0" t="0" r="0" b="0"/>
                                  <wp:docPr id="38" name="ΕΙΚΟΝΑ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ΕΙΚΟΝΑ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auto"/>
                              </w:rPr>
                              <w:br/>
                            </w:r>
                            <w:r>
                              <w:rPr>
                                <w:color w:val="auto"/>
                              </w:rPr>
                              <w:t>Φωτογράφιση: Ομάδα Γερμανών Πολιτών</w:t>
                            </w:r>
                          </w:p>
                        </w:txbxContent>
                      </wps:txbx>
                      <wps:bodyPr lIns="0" rIns="0" tIns="0" bIns="0">
                        <a:noAutofit/>
                      </wps:bodyPr>
                    </wps:wsp>
                  </a:graphicData>
                </a:graphic>
              </wp:anchor>
            </w:drawing>
          </mc:Choice>
          <mc:Fallback>
            <w:pict>
              <v:rect id="shape_0" ID="ΠΛΑΙΣΙΟ 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1900555"/>
                            <wp:effectExtent l="0" t="0" r="0" b="0"/>
                            <wp:docPr id="39" name="ΕΙΚΟΝΑ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ΕΙΚΟΝΑ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auto"/>
                        </w:rPr>
                        <w:br/>
                      </w:r>
                      <w:r>
                        <w:rPr>
                          <w:color w:val="auto"/>
                        </w:rPr>
                        <w:t>Φωτογράφιση: Ομάδα Γερμανών Πολιτών</w:t>
                      </w:r>
                    </w:p>
                  </w:txbxContent>
                </v:textbox>
              </v:rect>
            </w:pict>
          </mc:Fallback>
        </mc:AlternateContent>
      </w:r>
    </w:p>
    <w:p>
      <w:pPr>
        <w:pStyle w:val="Corpsdetexte"/>
        <w:rPr/>
      </w:pPr>
      <w:r>
        <w:rPr/>
        <w:t>Οι 100 τυχαία επιλεγμένοι πολίτες συναντήθηκαν στις 15 και 16 Ιανουαρίου 2022 για να συζητήσουν τις προκλήσεις που σχετίζονται με τα ζητήματα αυτά και τις πιθανές λύσεις, και ενέκριναν τις συστάσεις τους. Οι συμμετέχοντες ανέπτυξαν δύο συγκεκριμένες προτάσεις για καθένα από τα παραπάνω θέματα.</w:t>
      </w:r>
    </w:p>
    <w:p>
      <w:pPr>
        <w:pStyle w:val="Corpsdetexte"/>
        <w:rPr/>
      </w:pPr>
      <w:r>
        <w:rPr/>
        <w:t>Τα αποτελέσματα παρουσιάστηκαν στις 16 Ιανουαρίου σε μια τελική διαδικτυακή διάσκεψη στην οποία συμμετείχαν η Annalena Baerbock, υπουργός Εξωτερικών της Γερμανίας, και η Anna Lührmann, Αναπληρώτρια Υπουργός για την Ευρώπη και το Κλίμα.</w:t>
      </w:r>
    </w:p>
    <w:p>
      <w:pPr>
        <w:pStyle w:val="Corpsdetexte"/>
        <w:rPr/>
      </w:pPr>
      <w:r>
        <w:rPr/>
      </w:r>
    </w:p>
    <w:p>
      <w:pPr>
        <w:pStyle w:val="Titre4"/>
        <w:numPr>
          <w:ilvl w:val="3"/>
          <w:numId w:val="2"/>
        </w:numPr>
        <w:rPr/>
      </w:pPr>
      <w:bookmarkStart w:id="23" w:name="__RefHeading___Toc298220_1346298689"/>
      <w:bookmarkEnd w:id="23"/>
      <w:r>
        <w:rPr/>
        <w:t>3)</w:t>
        <w:tab/>
        <w:t>ΓΑΛΛΊΑ</w:t>
      </w:r>
    </w:p>
    <w:p>
      <w:pPr>
        <w:pStyle w:val="Corpsdetexte"/>
        <w:rPr/>
      </w:pPr>
      <w:r>
        <w:rPr/>
        <w:t>Στη Γαλλία οργανώθηκαν πάνελ πολιτών από το γαλλικό Υπουργείο Ευρώπης και Εξωτερικών, με την υποστήριξη του Υπουργείου Σχέσεων με το Κοινοβούλιο και τη Συμμετοχή των Πολιτών.</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ΠΛΑΙΣΙΟ 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42" name="Εικόνα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Εικόνα 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rPr>
                              <w:t>Φωτογράφιση: ομάδα Γάλλων Πολιτών</w:t>
                            </w:r>
                          </w:p>
                        </w:txbxContent>
                      </wps:txbx>
                      <wps:bodyPr lIns="0" rIns="0" tIns="0" bIns="0">
                        <a:noAutofit/>
                      </wps:bodyPr>
                    </wps:wsp>
                  </a:graphicData>
                </a:graphic>
              </wp:anchor>
            </w:drawing>
          </mc:Choice>
          <mc:Fallback>
            <w:pict>
              <v:rect id="shape_0" ID="ΠΛΑΙΣΙΟ 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43" name="Εικόνα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Εικόνα 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rPr>
                        <w:t>Φωτογράφιση: ομάδα Γάλλων Πολιτών</w:t>
                      </w:r>
                    </w:p>
                  </w:txbxContent>
                </v:textbox>
              </v:rect>
            </w:pict>
          </mc:Fallback>
        </mc:AlternateContent>
      </w:r>
    </w:p>
    <w:p>
      <w:pPr>
        <w:pStyle w:val="Corpsdetexte"/>
        <w:rPr/>
      </w:pPr>
      <w:r>
        <w:rPr/>
        <w:t>Τον Σεπτέμβριο και στις αρχές Οκτωβρίου 2021 διοργανώθηκαν δεκαοκτώ ομάδες πολιτών σε όλες τις περιφέρειες της Γαλλίας, μητροπολιτικών και υπερπόντιων περιοχών. Σε κάθε ομάδα συμμετείχαν 30 έως 50 τυχαία επιλεγμένοι πολίτες, αντιπροσωπευτικοί της ποικιλομορφίας του πληθυσμού των περιφερειών. Συνολικά, περισσότεροι από 700 πολίτες συμμετείχαν στα πάνελ. Οι εργασίες των περιφερειακών ομάδων οδήγησαν σε κατάλογο 101 προσδοκιών, με 515 τροπολογίες και 1 301 ειδικές προτάσεις.</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Πλαίσιο 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40890"/>
                                  <wp:effectExtent l="0" t="0" r="0" b="0"/>
                                  <wp:docPr id="46" name="ΕΙΚΟΝΑ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ΕΙΚΟΝΑ 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auto"/>
                              </w:rPr>
                              <w:t>Φωτογράφιση: Ομάδα Ιταλών πολιτών</w:t>
                            </w:r>
                          </w:p>
                        </w:txbxContent>
                      </wps:txbx>
                      <wps:bodyPr lIns="0" rIns="0" tIns="0" bIns="0">
                        <a:noAutofit/>
                      </wps:bodyPr>
                    </wps:wsp>
                  </a:graphicData>
                </a:graphic>
              </wp:anchor>
            </w:drawing>
          </mc:Choice>
          <mc:Fallback>
            <w:pict>
              <v:rect id="shape_0" ID="Πλαίσιο 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40890"/>
                            <wp:effectExtent l="0" t="0" r="0" b="0"/>
                            <wp:docPr id="47" name="ΕΙΚΟΝΑ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ΕΙΚΟΝΑ 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auto"/>
                        </w:rPr>
                        <w:t>Φωτογράφιση: Ομάδα Ιταλών πολιτών</w:t>
                      </w:r>
                    </w:p>
                  </w:txbxContent>
                </v:textbox>
              </v:rect>
            </w:pict>
          </mc:Fallback>
        </mc:AlternateContent>
      </w:r>
      <w:r>
        <w:rPr/>
        <w:t>Συνολικά 100 πολίτες που εκπροσωπούν τις ομάδες συναντήθηκαν στο Παρίσι στις 16-17 Οκτωβρίου 2021 ενόψει της Εθνικής Συνθετικής Διάσκεψης για την εκπόνηση και την έγκριση των συστάσεων. Στο πλαίσιο αυτής της διαδικασίας προσδιορίστηκαν συνολικά 14 συστάσεις προτεραιότητας. Καλύπτοντας τα εννέα θέματα της διάσκεψης, οι συστάσεις υποβλήθηκαν στη γαλλική κυβέρνηση, συμπεριλαμβανομένου του υπουργού Εξωτερικών Clément Beaune, και αποτέλεσαν τη συμβολή της γαλλικής κυβέρνησης στη διάσκεψη.</w:t>
      </w:r>
    </w:p>
    <w:p>
      <w:pPr>
        <w:pStyle w:val="Titre4"/>
        <w:numPr>
          <w:ilvl w:val="3"/>
          <w:numId w:val="2"/>
        </w:numPr>
        <w:rPr/>
      </w:pPr>
      <w:bookmarkStart w:id="24" w:name="__RefHeading___Toc298222_1346298689"/>
      <w:bookmarkEnd w:id="24"/>
      <w:r>
        <w:rPr/>
        <w:t>4)</w:t>
        <w:tab/>
        <w:t>ΙΤΑΛΊΑ</w:t>
      </w:r>
    </w:p>
    <w:p>
      <w:pPr>
        <w:pStyle w:val="Corpsdetexte"/>
        <w:rPr/>
      </w:pPr>
      <w:r>
        <w:rPr/>
        <w:t>Τον Μάρτιο του 2022 διοργανώθηκε ομάδα πολιτών από ανεξάρτητο τρίτο μέρος, υπό την εποπτεία του ιταλικού τμήματος ευρωπαϊκών πολιτικών της Προεδρίας του Συμβουλίου Υπουργών.</w:t>
      </w:r>
    </w:p>
    <w:p>
      <w:pPr>
        <w:pStyle w:val="Corpsdetexte"/>
        <w:rPr/>
      </w:pPr>
      <w:r>
        <w:rPr/>
      </w:r>
    </w:p>
    <w:p>
      <w:pPr>
        <w:pStyle w:val="Corpsdetexte"/>
        <w:rPr/>
      </w:pPr>
      <w:r>
        <w:rPr/>
        <w:t>Συμμετείχαν συνολικά 55 τυχαία επιλεγμένοι πολίτες, εκπρόσωποι της ιταλικής κοινωνίας και των περιφερειών της. Οι συμμετέχοντες επιλέχθηκαν τυχαία για να εξασφαλίσουν την παρουσία διαφορετικού φύλου, ηλικίας, κοινωνικής καταγωγής, τόπου διαμονής και επαγγελματικής κατάστασης.</w:t>
      </w:r>
    </w:p>
    <w:p>
      <w:pPr>
        <w:pStyle w:val="Corpsdetexte"/>
        <w:rPr/>
      </w:pPr>
      <w:r>
        <w:rPr/>
        <w:t>Οι πολίτες συναντήθηκαν διαδικτυακά στις 11 και 12 Μαρτίου 2022 για να συζητήσουν δύο θέματα της διάσκεψης:</w:t>
      </w:r>
    </w:p>
    <w:p>
      <w:pPr>
        <w:pStyle w:val="Alineanegatifpuce"/>
        <w:numPr>
          <w:ilvl w:val="0"/>
          <w:numId w:val="3"/>
        </w:numPr>
        <w:rPr/>
      </w:pPr>
      <w:r>
        <w:rPr/>
        <w:t xml:space="preserve"> </w:t>
      </w:r>
      <w:r>
        <w:rPr/>
        <w:t>«Ενίσχυση της οικονομίας, της κοινωνικής δικαιοσύνης και της απασχόλησης», και</w:t>
      </w:r>
    </w:p>
    <w:p>
      <w:pPr>
        <w:pStyle w:val="Alineanegatifpuce"/>
        <w:numPr>
          <w:ilvl w:val="0"/>
          <w:numId w:val="3"/>
        </w:numPr>
        <w:rPr/>
      </w:pPr>
      <w:r>
        <w:rPr/>
        <w:t xml:space="preserve"> </w:t>
      </w:r>
      <w:r>
        <w:rPr/>
        <w:t>«Η Ευρώπη στον κόσμο».</w:t>
      </w:r>
    </w:p>
    <w:p>
      <w:pPr>
        <w:pStyle w:val="Corpsdetexte"/>
        <w:rPr/>
      </w:pPr>
      <w:r>
        <w:rPr/>
        <w:t>Στις 12 Μαρτίου 2022, η επιτροπή ενέκρινε συνολικά 58 συστάσεις, εκ των οποίων 33 με θέμα «Ισχυρότερη οικονομία, κοινωνική δικαιοσύνη και απασχόληση» και 25 σχετικά με την «Η Ευρώπη στον κόσμο». Την τελευταία ημέρα, οι συμμετέχοντες διενήργησαν την επαλήθευση και την επικύρωση του πρώτου σχεδίου συστάσεων που διατυπώθηκαν κατά την πρώτη φάση των εργασιών.</w:t>
      </w:r>
    </w:p>
    <w:p>
      <w:pPr>
        <w:pStyle w:val="Corpsdetexte"/>
        <w:rPr/>
      </w:pPr>
      <w:r>
        <w:rPr/>
      </w:r>
    </w:p>
    <w:p>
      <w:pPr>
        <w:pStyle w:val="Titre4"/>
        <w:numPr>
          <w:ilvl w:val="3"/>
          <w:numId w:val="2"/>
        </w:numPr>
        <w:rPr/>
      </w:pPr>
      <w:bookmarkStart w:id="25" w:name="__RefHeading___Toc298224_1346298689"/>
      <w:bookmarkEnd w:id="25"/>
      <w:r>
        <w:rPr/>
        <w:t>5)</w:t>
        <w:tab/>
        <w:t>ΛΙΘΟΥΑΝΊΑ</w:t>
      </w:r>
    </w:p>
    <w:p>
      <w:pPr>
        <w:pStyle w:val="Corpsdetexte"/>
        <w:rPr/>
      </w:pPr>
      <w:r>
        <w:rPr/>
        <w:t>Εξ ονόματος του Υπουργείου Εξωτερικών, τον Ιανουάριο του 2022 διοργανώθηκε εθνική ομάδα πολιτών από ανεξάρτητο τρίτο μέρος.</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ΠΛΑΙΣΙΟ 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8985"/>
                                  <wp:effectExtent l="0" t="0" r="0" b="0"/>
                                  <wp:docPr id="50" name="ΕΙΚΟΝΑ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ΕΙΚΟΝΑ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auto"/>
                              </w:rPr>
                              <w:t>Φωτογράφιση: Ομάδα πολιτών της Λιθουανίας</w:t>
                            </w:r>
                          </w:p>
                        </w:txbxContent>
                      </wps:txbx>
                      <wps:bodyPr lIns="0" rIns="0" tIns="0" bIns="0">
                        <a:noAutofit/>
                      </wps:bodyPr>
                    </wps:wsp>
                  </a:graphicData>
                </a:graphic>
              </wp:anchor>
            </w:drawing>
          </mc:Choice>
          <mc:Fallback>
            <w:pict>
              <v:rect id="shape_0" ID="ΠΛΑΙΣΙΟ 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8985"/>
                            <wp:effectExtent l="0" t="0" r="0" b="0"/>
                            <wp:docPr id="51" name="ΕΙΚΟΝΑ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ΕΙΚΟΝΑ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auto"/>
                        </w:rPr>
                        <w:t>Φωτογράφιση: Ομάδα πολιτών της Λιθουανίας</w:t>
                      </w:r>
                    </w:p>
                  </w:txbxContent>
                </v:textbox>
              </v:rect>
            </w:pict>
          </mc:Fallback>
        </mc:AlternateContent>
      </w:r>
    </w:p>
    <w:p>
      <w:pPr>
        <w:pStyle w:val="Corpsdetexte"/>
        <w:rPr/>
      </w:pPr>
      <w:r>
        <w:rPr/>
        <w:t>Συγκέντρωσε συνολικά 25 τυχαία επιλεγμένους πολίτες ηλικίας 18 έως 65 ετών, αντιπροσωπευτικούς των διαφόρων κοινωνικοοικονομικών ομάδων και περιφερειών της Λιθουανίας.</w:t>
      </w:r>
    </w:p>
    <w:p>
      <w:pPr>
        <w:pStyle w:val="Corpsdetexte"/>
        <w:rPr/>
      </w:pPr>
      <w:r>
        <w:rPr/>
        <w:t>Στις 4 Ιανουαρίου 2022 διοργανώθηκε εναρκτήρια συνεδρίαση στο διαδίκτυο και οι πολίτες συζήτησαν δύο θέματα:</w:t>
      </w:r>
    </w:p>
    <w:p>
      <w:pPr>
        <w:pStyle w:val="Alineanegatifpuce"/>
        <w:numPr>
          <w:ilvl w:val="0"/>
          <w:numId w:val="3"/>
        </w:numPr>
        <w:rPr/>
      </w:pPr>
      <w:r>
        <w:rPr/>
        <w:t xml:space="preserve"> </w:t>
      </w:r>
      <w:r>
        <w:rPr/>
        <w:t>ο ρόλος και οι αρμοδιότητες της ΕΕ στην εξωτερική πολιτική·</w:t>
      </w:r>
    </w:p>
    <w:p>
      <w:pPr>
        <w:pStyle w:val="Alineanegatifpuce"/>
        <w:numPr>
          <w:ilvl w:val="0"/>
          <w:numId w:val="3"/>
        </w:numPr>
        <w:rPr/>
      </w:pPr>
      <w:r>
        <w:rPr/>
        <w:t xml:space="preserve"> </w:t>
      </w:r>
      <w:r>
        <w:rPr/>
        <w:t>ο οικονομικός ρόλος της ΕΕ.</w:t>
      </w:r>
    </w:p>
    <w:p>
      <w:pPr>
        <w:pStyle w:val="Normal"/>
        <w:rPr/>
      </w:pPr>
      <w:r>
        <w:rPr/>
      </w:r>
    </w:p>
    <w:p>
      <w:pPr>
        <w:pStyle w:val="Corpsdetexte"/>
        <w:rPr/>
      </w:pPr>
      <w:r>
        <w:rPr/>
        <w:t>Στις 15 Ιανουαρίου 2022, οι συμμετέχοντες συναντήθηκαν αυτοπροσώπως για να διατυπώσουν τα κύρια συμπεράσματα των συζητήσεών τους. Στις 25 Ιανουαρίου 2022, ενέκριναν 21 συστάσεις σε εικονική σύνοδο, 10 από τις οποίες επικεντρώθηκαν στον ρόλο και τις αρμοδιότητες της ΕΕ στην εξωτερική πολιτική και 11 στον οικονομικό ρόλο της ΕΕ.</w:t>
      </w:r>
    </w:p>
    <w:p>
      <w:pPr>
        <w:pStyle w:val="Corpsdetexte"/>
        <w:rPr/>
      </w:pPr>
      <w:r>
        <w:rPr/>
      </w:r>
    </w:p>
    <w:p>
      <w:pPr>
        <w:pStyle w:val="Titre4"/>
        <w:numPr>
          <w:ilvl w:val="3"/>
          <w:numId w:val="2"/>
        </w:numPr>
        <w:rPr/>
      </w:pPr>
      <w:bookmarkStart w:id="26" w:name="__RefHeading___Toc298226_1346298689"/>
      <w:bookmarkEnd w:id="26"/>
      <w:r>
        <w:rPr/>
        <w:t>6)</w:t>
        <w:tab/>
        <w:t>ΚΆΤΩ ΧΏΡΕΣ</w:t>
      </w:r>
    </w:p>
    <w:p>
      <w:pPr>
        <w:pStyle w:val="Corpsdetexte"/>
        <w:rPr/>
      </w:pPr>
      <w:r>
        <w:rPr/>
        <w:t>Η ομάδα πολιτών διοργανώθηκε από ανεξάρτητο τρίτο μέρος, με τους διαλόγους με τίτλο «Οραματισμοί της Ευρώπης» να ξεκινούν την</w:t>
      </w:r>
      <w:r>
        <w:rPr>
          <w:vertAlign w:val="superscript"/>
        </w:rPr>
        <w:t>1η</w:t>
      </w:r>
      <w:r>
        <w:rPr/>
        <w:t xml:space="preserve"> Σεπτεμβρίου. Χωρίστηκαν σε διάφορα μέρη.</w:t>
      </w:r>
    </w:p>
    <w:p>
      <w:pPr>
        <w:pStyle w:val="Corpsdetexte"/>
        <w:rPr/>
      </w:pPr>
      <w:r>
        <w:rPr/>
        <w:t>Η επιγραμμική ενότητα, η οποία ξεκίνησε την 1η</w:t>
      </w:r>
      <w:r>
        <w:rPr>
          <w:vertAlign w:val="superscript"/>
        </w:rPr>
        <w:t>Σεπτεμβρίου</w:t>
      </w:r>
      <w:r>
        <w:rPr/>
        <w:t xml:space="preserve"> 2021, περιλάμβανε μια απλή</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ΕΙΚΟΝΑ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ΕΙΚΟΝΑ 16" descr=""/>
                    <pic:cNvPicPr>
                      <a:picLocks noChangeAspect="1" noChangeArrowheads="1"/>
                    </pic:cNvPicPr>
                  </pic:nvPicPr>
                  <pic:blipFill>
                    <a:blip r:embed="rId46"/>
                    <a:stretch>
                      <a:fillRect/>
                    </a:stretch>
                  </pic:blipFill>
                  <pic:spPr bwMode="auto">
                    <a:xfrm>
                      <a:off x="0" y="0"/>
                      <a:ext cx="3610610" cy="2474595"/>
                    </a:xfrm>
                    <a:prstGeom prst="rect">
                      <a:avLst/>
                    </a:prstGeom>
                  </pic:spPr>
                </pic:pic>
              </a:graphicData>
            </a:graphic>
          </wp:anchor>
        </w:drawing>
      </w:r>
      <w:r>
        <w:rPr/>
        <w:t>α</w:t>
      </w:r>
      <w:r>
        <w:rPr/>
        <w:t>ναζήτηση και ένα απλοποιημένο εργαλείο επιλογής που επιτρέπει στους πολίτες να εκφράζουν τις προτιμήσεις, τις επιθυμίες και τις συστάσεις τους σχετικά με τα εννέα θέματα της διάσκεψης. Το ερωτηματολόγιο διανεμήθηκε σε επιλεγμένη αντιπροσωπευτική ομάδα 4.000 πολιτών χωρίς αποκλεισμούς.</w:t>
      </w:r>
    </w:p>
    <w:p>
      <w:pPr>
        <w:pStyle w:val="Corpsdetexte"/>
        <w:rPr/>
      </w:pPr>
      <w:r>
        <w:rPr/>
      </w:r>
    </w:p>
    <w:p>
      <w:pPr>
        <w:pStyle w:val="Corpsdetexte"/>
        <w:rPr/>
      </w:pPr>
      <w:r>
        <w:rPr/>
        <w:t>Τον Οκτώβριο και τον Νοέμβριο του 2021 πραγματοποιήθηκαν διεξοδικές συζητήσεις με τους πολίτες εντός και εκτός διαδικτύου, ιδίως για την προσέγγιση των νέων και των δυσπρόσιτων ομάδων-στόχων.</w:t>
      </w:r>
    </w:p>
    <w:p>
      <w:pPr>
        <w:pStyle w:val="Corpsdetexte"/>
        <w:rPr/>
      </w:pPr>
      <w:r>
        <w:rPr/>
        <w:t>Έχουν δημοσιευθεί δύο εκθέσεις με τίτλο «Το όραμά μας για την Ευρώπη»· γνωμοδοτήσεις, ιδέες και συστάσεις (Elze kijk op Europa· Meningen, ideeën en Aanbevelingen) και συγκεντρώνοντας τις 30 συστάσεις των πολιτών σχετικά με τα εννέα θέματα της διάσκεψης.</w:t>
      </w:r>
    </w:p>
    <w:p>
      <w:pPr>
        <w:pStyle w:val="Corpsdetexte"/>
        <w:rPr/>
      </w:pPr>
      <w:r>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Πλαίσιο 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t>Ομάδα Ολλανδών</w:t>
                            </w:r>
                            <w:r>
                              <w:rPr>
                                <w:color w:val="auto"/>
                              </w:rPr>
                              <w:drawing>
                                <wp:inline distT="0" distB="0" distL="0" distR="0">
                                  <wp:extent cx="2970530" cy="2017395"/>
                                  <wp:effectExtent l="0" t="0" r="0" b="0"/>
                                  <wp:docPr id="55" name="ΕΙΚΟΝΑ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ΕΙΚΟΝΑ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auto"/>
                              </w:rPr>
                              <w:t>πολιτών</w:t>
                            </w:r>
                          </w:p>
                        </w:txbxContent>
                      </wps:txbx>
                      <wps:bodyPr lIns="0" rIns="0" tIns="0" bIns="0">
                        <a:noAutofit/>
                      </wps:bodyPr>
                    </wps:wsp>
                  </a:graphicData>
                </a:graphic>
              </wp:anchor>
            </w:drawing>
          </mc:Choice>
          <mc:Fallback>
            <w:pict>
              <v:rect id="shape_0" ID="Πλαίσιο 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rPr>
                      </w:pPr>
                      <w:r>
                        <w:rPr>
                          <w:color w:val="auto"/>
                        </w:rPr>
                        <w:t>Ομάδα Ολλανδών</w:t>
                      </w:r>
                      <w:r>
                        <w:rPr>
                          <w:color w:val="auto"/>
                        </w:rPr>
                        <w:drawing>
                          <wp:inline distT="0" distB="0" distL="0" distR="0">
                            <wp:extent cx="2970530" cy="2017395"/>
                            <wp:effectExtent l="0" t="0" r="0" b="0"/>
                            <wp:docPr id="56" name="ΕΙΚΟΝΑ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ΕΙΚΟΝΑ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auto"/>
                        </w:rPr>
                        <w:t>πολιτών</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Ο C.</w:t>
        <w:tab/>
        <w:t>Εκδηλώσεις που διοργανώνονται στο πλαίσιο του συνεδρίου</w:t>
      </w:r>
    </w:p>
    <w:p>
      <w:pPr>
        <w:pStyle w:val="Titre3"/>
        <w:numPr>
          <w:ilvl w:val="2"/>
          <w:numId w:val="2"/>
        </w:numPr>
        <w:rPr/>
      </w:pPr>
      <w:bookmarkStart w:id="28" w:name="__RefHeading___Toc298230_1346298689"/>
      <w:bookmarkEnd w:id="28"/>
      <w:r>
        <w:rPr/>
        <w:t>1.</w:t>
        <w:tab/>
        <w:t>ΕΘΝΙΚΕΣ ΕΚΔΗΛΩ</w:t>
      </w:r>
    </w:p>
    <w:p>
      <w:pPr>
        <w:pStyle w:val="Corpsdetexte"/>
        <w:rPr/>
      </w:pPr>
      <w:r>
        <w:rPr/>
        <w:t xml:space="preserve">Τα κράτη μέλη συνέβαλαν στη διάσκεψη μέσω ενός ευρέος φάσματος εκδηλώσεων και πρωτοβουλιών. Αρκετές χιλιάδες πολίτες από όλη την ΕΕ συμμετείχαν σε αυτές τις εκδηλώσεις. Ένας </w:t>
      </w:r>
      <w:hyperlink r:id="rId48">
        <w:r>
          <w:rPr>
            <w:rStyle w:val="LienInternet"/>
          </w:rPr>
          <w:t>ειδικός τομέας</w:t>
        </w:r>
      </w:hyperlink>
      <w:r>
        <w:rPr/>
        <w:t xml:space="preserve"> της πολύγλωσσης ψηφιακής πλατφόρμας παρέχει επισκόπηση των κύριων δραστηριοτήτων που οι αρχές των κρατών μελών έχουν οργανώσει ή υποστηρίξει. Οι εκδηλώσεις παρουσιάστηκαν στις συνελεύσεις ολομέλειας της διάσκεψης στις 23 Οκτωβρίου 2021 και στις 25 Μαρτίου 2022 από εκπροσώπους εθνικών εκδηλώσεων και/ή από εθνικές ομάδες πολιτών, αλλά συνέβαλαν επίσης στη διάσκεψη μέσω </w:t>
      </w:r>
      <w:hyperlink r:id="rId49">
        <w:r>
          <w:rPr>
            <w:rStyle w:val="LienInternet"/>
          </w:rPr>
          <w:t>εκθέσεων της πλατφόρμας</w:t>
        </w:r>
      </w:hyperlink>
      <w:r>
        <w:rPr/>
        <w:t>, εμπλουτίζοντας έτσι τη συζήτηση σε ευρωπαϊκό επίπεδο.</w:t>
      </w:r>
    </w:p>
    <w:p>
      <w:pPr>
        <w:pStyle w:val="Corpsdetexte"/>
        <w:rPr/>
      </w:pPr>
      <w:r>
        <w:rPr/>
        <w:t xml:space="preserve"> </w:t>
      </w:r>
      <w:r>
        <w:rPr/>
        <w:t>Κύριος στόχος αυτών των εκδηλώσεων και πρωτοβουλιών ήταν η ακρόαση των πολιτών και η συμμετοχή τους σε συζητήσεις σχετικά με την Ευρωπαϊκή Ένωση. Η ένταξη και ο διάλογος με τους πολίτες αποτέλεσαν επίσης προτεραιότητα, με προσπάθειες να συμπεριληφθούν άτομα που συνήθως δεν συμμετέχουν σε συζητήσεις σχετικά με την ΕΕ.</w:t>
      </w:r>
    </w:p>
    <w:p>
      <w:pPr>
        <w:pStyle w:val="Corpsdetexte"/>
        <w:rPr/>
      </w:pPr>
      <w:r>
        <w:rPr/>
        <w:t>Πραγματοποιήθηκαν διάφορα είδη εκδηλώσεων, συνδυάζοντας κεντρικές και αποκεντρωμένες προσεγγίσεις, μεταξύ άλλων με διάφορες μορφές στήριξης για πρωτοβουλίες από τη βάση προς την κορυφή. Οι δραστηριότητες και οι εκδηλώσεις στα κράτη μέλη διοργανώθηκαν από διάφορα θεσμικά όργανα και φορείς, συμπεριλαμβανομένων των εθνικών, περιφερειακών και τοπικών αρχών, των οργανώσεων της κοινωνίας των πολιτών, των κοινωνικών εταίρων, των ενώσεων και των πολιτών. Σε ορισμένες περιπτώσεις, μη κυβερνητικές οργανώσεις, πολιτιστικά ιδρύματα, ομάδες προβληματισμού, πανεπιστήμια και ερευνητικά ιδρύματα συμμετείχαν επίσης ενεργά στη διοργάνωση εκδηλώσεων για το συνέδριο. Σε πολλές από αυτές τις δραστηριότητες και εκδηλώσεις, δόθηκε ιδιαίτερη έμφαση στη συμμετοχή της νεότερης γενιάς.</w:t>
      </w:r>
    </w:p>
    <w:p>
      <w:pPr>
        <w:pStyle w:val="Corpsdetexte"/>
        <w:rPr/>
      </w:pPr>
      <w:r>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ΕΙΚΟΝΑ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ΕΙΚΟΝΑ 17" descr=""/>
                    <pic:cNvPicPr>
                      <a:picLocks noChangeAspect="1" noChangeArrowheads="1"/>
                    </pic:cNvPicPr>
                  </pic:nvPicPr>
                  <pic:blipFill>
                    <a:blip r:embed="rId50"/>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Επισκόπηση των κυριότερων εκδηλώσεων και πρωτοβουλιών στα κράτη μέλη:</w:t>
      </w:r>
    </w:p>
    <w:p>
      <w:pPr>
        <w:pStyle w:val="P68B1DB1Corpsdetexte12"/>
        <w:rPr>
          <w:b/>
          <w:b/>
          <w:i/>
          <w:i/>
          <w:u w:val="single"/>
        </w:rPr>
      </w:pPr>
      <w:r>
        <w:rPr/>
        <w:t>1 Βέλγιο</w:t>
      </w:r>
    </w:p>
    <w:p>
      <w:pPr>
        <w:pStyle w:val="Corpsdetexte"/>
        <w:rPr/>
      </w:pPr>
      <w:r>
        <w:rPr/>
        <w:t>Διάφορες εκδηλώσεις έχουν οργανωθεί από τις ομοσπονδιακές και περιφερειακές αρχές. Πραγματοποιήθηκαν αρκετές συζητήσεις με τους πολίτες, για παράδειγμα σχετικά με την ΕΕ στον κόσμο, την κλιματική αλλαγή και το περιβάλλον. Πραγματοποιήθηκαν επίσης διαρθρωμένος διάλογος με τους πολίτες σχετικά με την «Ζώντας σε παραμεθόριες περιοχές» και ένα hackathon με θέμα «Ο αντίκτυπος του υγιεινού τρόπου ζωής και της κλιματικής αλλαγής στην ποιότητα ζωής» και «φραγμοί στην απασχόληση των νέων».</w:t>
      </w:r>
    </w:p>
    <w:p>
      <w:pPr>
        <w:pStyle w:val="Corpsdetexte"/>
        <w:rPr/>
      </w:pPr>
      <w:r>
        <w:rPr/>
        <w:t>Επιπλέον, διοργανώθηκε μια εκδήλωση για την ψηφιοποίηση και τη βιώσιμη οικονομία, ενώ πραγματοποιήθηκε μια σειρά συζητήσεων μεταξύ νέων και πολιτικών με θέμα «Η Ευρώπη να σας ακούει».</w:t>
      </w:r>
    </w:p>
    <w:p>
      <w:pPr>
        <w:pStyle w:val="P68B1DB1Corpsdetexte12"/>
        <w:rPr>
          <w:b/>
          <w:b/>
          <w:i/>
          <w:i/>
          <w:u w:val="single"/>
        </w:rPr>
      </w:pPr>
      <w:r>
        <w:rPr/>
        <w:t>2 Βουλγαρία</w:t>
      </w:r>
    </w:p>
    <w:p>
      <w:pPr>
        <w:pStyle w:val="Corpsdetexte"/>
        <w:rPr/>
      </w:pPr>
      <w:r>
        <w:rPr/>
        <w:t>Η Βουλγαρική άσκηση ξεκίνησε σε τελετή με τίτλο «Πώς να ακούσετε τη φωνή των πολιτών μέσω της Διάσκεψης για το Μέλλον της Ευρώπης;» στην οποία συμμετείχαν δημόσιες αρχές και εκπρόσωποι των πολιτών. Στο πλαίσιο των εκδηλώσεων που διοργανώθηκαν, καθιερώθηκε διάλογος για τη δημογραφία και τη δημοκρατία.</w:t>
      </w:r>
    </w:p>
    <w:p>
      <w:pPr>
        <w:pStyle w:val="Corpsdetexte"/>
        <w:rPr/>
      </w:pPr>
      <w:r>
        <w:rPr/>
        <w:t>Διάφορες τοπικές εκδηλώσεις πραγματοποιήθηκαν σε μεγάλες πανεπιστημιακές πόλεις, με τη βοήθεια των κέντρων Europe Direct.</w:t>
      </w:r>
    </w:p>
    <w:p>
      <w:pPr>
        <w:pStyle w:val="P68B1DB1Corpsdetexte12"/>
        <w:rPr>
          <w:b/>
          <w:b/>
          <w:i/>
          <w:i/>
          <w:u w:val="single"/>
        </w:rPr>
      </w:pPr>
      <w:r>
        <w:rPr/>
        <w:t>3 Δημοκρατία της Τσεχίας</w:t>
      </w:r>
    </w:p>
    <w:p>
      <w:pPr>
        <w:pStyle w:val="Corpsdetexte"/>
        <w:rPr/>
      </w:pPr>
      <w:r>
        <w:rPr/>
        <w:t>Η Τσεχική Δημοκρατία διοργάνωσε κεντρικές συζητήσεις με το ευρύ κοινό και ενημερωτικές εκδηλώσεις για τα ενδιαφερόμενα μέρη. Οι εκδηλώσεις αυτές συμπληρώθηκαν από εκδηλώσεις και εκδηλώσεις για τη νεολαία με διεθνή συμμετοχή. Ειδικότερα, διοργανώθηκε διακρατική εκδήλωση με Γερμανούς και Τσέχους πολίτες. Πραγματοποιήθηκαν διάφορες περιφερειακές συζητήσεις σε όλη τη χώρα, καθώς και περιφερειακά σεμινάρια για μαθητές δευτεροβάθμιας εκπαίδευσης με θέμα «Διάσκεψη για την Ευρώπη».</w:t>
      </w:r>
    </w:p>
    <w:p>
      <w:pPr>
        <w:pStyle w:val="Normal"/>
        <w:rPr/>
      </w:pPr>
      <w:r>
        <w:rPr/>
      </w:r>
    </w:p>
    <w:p>
      <w:pPr>
        <w:pStyle w:val="P68B1DB1Corpsdetexte12"/>
        <w:tabs>
          <w:tab w:val="left" w:pos="1391" w:leader="none"/>
        </w:tabs>
        <w:rPr>
          <w:b/>
          <w:b/>
          <w:i/>
          <w:i/>
          <w:u w:val="single"/>
        </w:rPr>
      </w:pPr>
      <w:r>
        <w:rPr/>
        <w:t>4 Δανία</w:t>
      </w:r>
    </w:p>
    <w:p>
      <w:pPr>
        <w:pStyle w:val="Corpsdetexte"/>
        <w:rPr/>
      </w:pPr>
      <w:r>
        <w:rPr/>
        <w:t>Διοργανώθηκε ευρεία και χωρίς αποκλεισμούς εθνική συζήτηση, στην οποία η κοινωνία των πολιτών και άλλοι μη κυβερνητικοί παράγοντες διαδραμάτισαν κεντρικό ρόλο. Μια καθορισμένη δεξαμενή δημόσιων πόρων έχει χορηγηθεί σε μια ομάδα διαφόρων οργανισμών, συμπεριλαμβανομένων ΜΚΟ, μέσων ενημέρωσης, οργανώσεων νεολαίας, πολιτιστικών ιδρυμάτων, ομάδων προβληματισμού και ερευνητικών ινστιτούτων για την υποστήριξη συζητήσεων και πρωτοβουλιών που έχουν συσταθεί από μη κυβερνητικές οργανώσεις. Πραγματοποιήθηκαν περισσότερες από 180 συζητήσεις, εκ των οποίων οι μισές αφορούσαν ειδικά τους νέους. Επιπλέον, η κυβέρνηση και το κοινοβούλιο οργάνωσαν μια σειρά επίσημων εκδηλώσεων, όπως διαβουλεύσεις με τους πολίτες και συζητήσεις.</w:t>
      </w:r>
    </w:p>
    <w:p>
      <w:pPr>
        <w:pStyle w:val="P68B1DB1Corpsdetexte12"/>
        <w:rPr>
          <w:b/>
          <w:b/>
          <w:i/>
          <w:i/>
          <w:u w:val="single"/>
        </w:rPr>
      </w:pPr>
      <w:r>
        <w:rPr/>
        <w:t>5 Γερμανία</w:t>
      </w:r>
    </w:p>
    <w:p>
      <w:pPr>
        <w:pStyle w:val="Corpsdetexte"/>
        <w:rPr/>
      </w:pPr>
      <w:r>
        <w:rPr/>
        <w:t>Τα γεγονότα στη Γερμανία αφορούσαν την ομοσπονδιακή κυβέρνηση, το Bundestag, τα ομοσπονδιακά κράτη και την κοινωνία των πολιτών. Εκτός από τις εκδηλώσεις που διοργάνωσε η ομοσπονδιακή κυβέρνηση, περισσότερες από 50 περιφερειακές εκδηλώσεις διοργανώθηκαν από τα δεκαέξι ομόσπονδα κρατίδια της Γερμανίας και περίπου 300 από την κοινωνία των πολιτών.</w:t>
      </w:r>
    </w:p>
    <w:p>
      <w:pPr>
        <w:pStyle w:val="Corpsdetexte"/>
        <w:rPr/>
      </w:pPr>
      <w:r>
        <w:rPr/>
        <w:t>Οι διασυνοριακές εκδηλώσεις και διάλογοι με φοιτητές και νέους αποτέλεσαν κεντρικό στοιχείο πολλών πρωτοβουλιών, θέτοντας τους νέους στην πρώτη γραμμή των συζητήσεων που αποσκοπούν στη διαμόρφωση του μέλλοντος της Ευρώπης.</w:t>
      </w:r>
    </w:p>
    <w:p>
      <w:pPr>
        <w:pStyle w:val="P68B1DB1Corpsdetexte12"/>
        <w:rPr>
          <w:b/>
          <w:b/>
          <w:i/>
          <w:i/>
          <w:u w:val="single"/>
        </w:rPr>
      </w:pPr>
      <w:r>
        <w:rPr/>
        <w:t>6 Εσθονία</w:t>
      </w:r>
    </w:p>
    <w:p>
      <w:pPr>
        <w:pStyle w:val="Corpsdetexte"/>
        <w:rPr/>
      </w:pPr>
      <w:r>
        <w:rPr/>
        <w:t>Διάφορες εκδηλώσεις, σεμινάρια και συζητήσεις διοργανώθηκαν από την Κρατική Καγκελαρία σε συνεργασία με την Αντιπροσωπεία της Ευρωπαϊκής Επιτροπής στην Εσθονία, το Υπουργείο Εξωτερικών και άλλα υπουργεία, καθώς και την κοινωνία των πολιτών και οργανώσεις νεολαίας, μεταξύ άλλων. Ειδικότερα, διεξήχθη συζήτηση για μαθητές Λυκείου για βασικά θέματα που σχετίζονται με την κλιματική αλλαγή, τις ενεργειακές πολιτικές και το συνέδριο γενικότερα. Ξεκίνησε επίσης συζήτηση με θέμα «Εσθονική διπλωματία για την επίτευξη των κλιματικών στόχων».</w:t>
      </w:r>
    </w:p>
    <w:p>
      <w:pPr>
        <w:pStyle w:val="P68B1DB1Corpsdetexte12"/>
        <w:rPr>
          <w:b/>
          <w:b/>
          <w:i/>
          <w:i/>
          <w:u w:val="single"/>
        </w:rPr>
      </w:pPr>
      <w:r>
        <w:rPr/>
        <w:t>7 Ιρλανδία</w:t>
      </w:r>
    </w:p>
    <w:p>
      <w:pPr>
        <w:pStyle w:val="Corpsdetexte"/>
        <w:rPr/>
      </w:pPr>
      <w:r>
        <w:rPr/>
        <w:t>Η ένταξη και ο διάλογος με το σύνολο του πληθυσμού, ιδίως με τους νέους, αποτέλεσαν το κεντρικό θέμα των δραστηριοτήτων που διοργανώθηκαν στην Ιρλανδία.</w:t>
      </w:r>
    </w:p>
    <w:p>
      <w:pPr>
        <w:pStyle w:val="Corpsdetexte"/>
        <w:rPr/>
      </w:pPr>
      <w:r>
        <w:rPr/>
        <w:t>Σε συνεργασία με το Ευρωπαϊκό Κίνημα Ιρλανδίας (EMI), δρομολογήθηκε πρόγραμμα περιφερειακών και τομεακών δεσμεύσεων το 2021 και το 2022. Η πρώτη φάση των περιφερειακών συνεδριάσεων πραγματοποιήθηκε τον Ιούνιο και τον Ιούλιο με τη μορφή εικονικών διαβουλεύσεων. Η δεύτερη φάση των περιφερειακών εκδηλώσεων έλαβε τη μορφή δια ζώσης δημόσιων συναντήσεων για τις αρχές του 2022. Από τον Ιούλιο, έχει ξεκινήσει ένα πρόγραμμα γεγονότων υπό την ηγεσία της κυβέρνησης.</w:t>
      </w:r>
    </w:p>
    <w:p>
      <w:pPr>
        <w:pStyle w:val="P68B1DB1Corpsdetexte12"/>
        <w:rPr>
          <w:b/>
          <w:b/>
          <w:i/>
          <w:i/>
          <w:u w:val="single"/>
        </w:rPr>
      </w:pPr>
      <w:r>
        <w:rPr/>
        <w:t>8 Ελλάδα</w:t>
      </w:r>
    </w:p>
    <w:p>
      <w:pPr>
        <w:pStyle w:val="Corpsdetexte"/>
        <w:rPr/>
      </w:pPr>
      <w:r>
        <w:rPr/>
        <w:t>Το Υπουργείο Εξωτερικών ήταν αρμόδιο για τον συντονισμό του εθνικού διαλόγου. Οι κεντρικές και τοπικές κυβερνητικές υπηρεσίες και η κοινωνία των πολιτών ενθαρρύνθηκαν έντονα να διοργανώσουν συζητήσεις και άλλες εκδηλώσεις. Για παράδειγμα, πραγματοποιήθηκαν εκδηλώσεις σχετικά με την ευρωμεσογειακή συνεργασία, τα Δυτικά Βαλκάνια, τη δημογραφική πρόκληση, τη μετανάστευση και τη δημοκρατία, με τη συμμετοχή πολιτών και διαφόρων ενδιαφερόμενων μερών.</w:t>
      </w:r>
    </w:p>
    <w:p>
      <w:pPr>
        <w:pStyle w:val="P68B1DB1Corpsdetexte12"/>
        <w:rPr>
          <w:b/>
          <w:b/>
          <w:i/>
          <w:i/>
          <w:u w:val="single"/>
        </w:rPr>
      </w:pPr>
      <w:r>
        <w:rPr/>
        <w:t>9 Ισπανία</w:t>
      </w:r>
    </w:p>
    <w:p>
      <w:pPr>
        <w:pStyle w:val="Corpsdetexte"/>
        <w:rPr/>
      </w:pPr>
      <w:r>
        <w:rPr/>
        <w:t>Το ισπανικό πλαίσιο περιλάμβανε έξι εκδηλώσεις σε εθνικό επίπεδο (π.χ. διαβούλευση με τους ισπανούς πολίτες για το μέλλον της Ευρώπης) και περίπου 20 σε περιφερειακό επίπεδο. Διοργανώθηκε επίσης εκδήλωση με Πορτογάλους και Ισπανούς πολίτες για να συζητηθούν βασικά θέματα ενδιαφέροντος για το μέλλον των περιφερειών τους και για την ΕΕ. Σε περιφερειακό και τοπικό επίπεδο, οι αρχές διοργανώνουν εκδηλώσεις για διάφορα θέματα, όπως η διασυνοριακή συνεργασία, ο αντίκτυπος της δημογραφικής αλλαγής, οι βιώσιμες μεταφορές και η κινητικότητα, η κλιματική αλλαγή, η μετανάστευση και το μέλλον των εξόχως απόκεντρων περιοχών.</w:t>
      </w:r>
    </w:p>
    <w:p>
      <w:pPr>
        <w:pStyle w:val="Normal"/>
        <w:rPr/>
      </w:pPr>
      <w:r>
        <w:rPr/>
      </w:r>
    </w:p>
    <w:p>
      <w:pPr>
        <w:pStyle w:val="P68B1DB1Corpsdetexte12"/>
        <w:rPr>
          <w:b/>
          <w:b/>
          <w:i/>
          <w:i/>
          <w:u w:val="single"/>
        </w:rPr>
      </w:pPr>
      <w:r>
        <w:rPr/>
        <w:t>10 Γαλλία</w:t>
      </w:r>
    </w:p>
    <w:p>
      <w:pPr>
        <w:pStyle w:val="Corpsdetexte"/>
        <w:rPr/>
      </w:pPr>
      <w:r>
        <w:rPr/>
        <w:t>Η γαλλική κυβέρνηση διεξήγαγε εκτεταμένη διαδικτυακή διαβούλευση για τους νέους από τον Μάιο έως τον Ιούλιο του 2021. Πενήντα χιλιάδες νέοι Γάλλοι εξέφρασαν τις απόψεις τους, εγκρίνοντας δεκαέξι βασικές ιδέες για το μέλλον της Ευρώπης. Τα αποτελέσματα αυτής της διαδικασίας συγκεντρώθηκαν, μαζί με τα αποτελέσματα της ομάδας Γάλλων πολιτών, σε τελική έκθεση, η οποία αποτελεί τη συμβολή της Γαλλίας στη διάσκεψη. Η γαλλική κυβέρνηση ενθάρρυνε επίσης όλους τους Γάλλους παράγοντες που το επιθυμούσαν (ενώσεις, τοπικές αρχές, εκλεγμένους αξιωματούχους, εκπροσώπους της κοινωνίας των πολιτών) να διοργανώσουν εκδηλώσεις.</w:t>
      </w:r>
    </w:p>
    <w:p>
      <w:pPr>
        <w:pStyle w:val="P68B1DB1Corpsdetexte12"/>
        <w:rPr>
          <w:b/>
          <w:b/>
          <w:i/>
          <w:i/>
          <w:u w:val="single"/>
        </w:rPr>
      </w:pPr>
      <w:r>
        <w:rPr/>
        <w:t>11 Κροατία</w:t>
      </w:r>
    </w:p>
    <w:p>
      <w:pPr>
        <w:pStyle w:val="Corpsdetexte"/>
        <w:rPr/>
      </w:pPr>
      <w:r>
        <w:rPr/>
        <w:t>Έχει συσταθεί ομάδα εργασίας για τον συντονισμό των δραστηριοτήτων και έχει συγκεντρώσει ιδέες και σχέδια για τη διεξαγωγή δραστηριοτήτων σε εθνικό επίπεδο. Υπουργεία, κεντρικές κρατικές υπηρεσίες, οργανισμοί περιφερειακής ανάπτυξης, πανεπιστήμια, ΜΚΟ και ινστιτούτα διοργανώνουν εκδηλώσεις με τη μορφή συνεδρίων, διαλόγων πολιτών και συζητήσεων με τους πολίτες, δημόσιων συζητήσεων και εκπαιδευτικών εργαστηρίων, με ιδιαίτερη έμφαση στους νέους.</w:t>
      </w:r>
    </w:p>
    <w:p>
      <w:pPr>
        <w:pStyle w:val="Corpsdetexte"/>
        <w:rPr/>
      </w:pPr>
      <w:r>
        <w:rPr/>
        <w:t>Τα θέματα που καλύπτονται περιλαμβάνουν τη μετανάστευση, τα δημογραφικά στοιχεία, την κλιματική ουδετερότητα και την κυκλική οικονομία. Ορισμένες εκδηλώσεις διοργανώθηκαν με άλλα κράτη μέλη και γειτονικές χώρες εκτός ΕΕ.</w:t>
      </w:r>
    </w:p>
    <w:p>
      <w:pPr>
        <w:pStyle w:val="P68B1DB1Corpsdetexte12"/>
        <w:rPr>
          <w:b/>
          <w:b/>
          <w:i/>
          <w:i/>
          <w:u w:val="single"/>
        </w:rPr>
      </w:pPr>
      <w:r>
        <w:rPr/>
        <w:t>12 Ιταλία</w:t>
      </w:r>
    </w:p>
    <w:p>
      <w:pPr>
        <w:pStyle w:val="Corpsdetexte"/>
        <w:rPr/>
      </w:pPr>
      <w:r>
        <w:rPr/>
        <w:t>Έχουν οργανωθεί διάφορες εκδηλώσεις, με ιδιαίτερη έμφαση στους νέους, για να προσεγγίσουν όσο το δυνατόν περισσότερους πολίτες, μεταξύ άλλων με την ενεργό υποστήριξη των τοπικών αρχών. Ξεκίνησε μια εκστρατεία για τα μέσα ενημέρωσης για την αύξηση της ευαισθητοποίησης σχετικά με αυτές τις εκδηλώσεις όσο το δυνατόν περισσότερο. Οι δραστηριότητες αυτές περιλαμβάνουν το Φόρουμ Νεολαίας ΕΕ-Βαλκανικής, που διοργανώνεται με νέους από τα Δυτικά Βαλκάνια, το Φόρουμ Νεολαίας «Μαθητές Διάλογοι», με τη συμμετοχή νέων από τη Νότια Γειτονία, καθώς και διαγωνισμούς για φοιτητές δευτεροβάθμιας και τριτοβάθμιας εκπαίδευσης με τίτλο «Η Ευρώπη είναι στα χέρια σας».</w:t>
      </w:r>
    </w:p>
    <w:p>
      <w:pPr>
        <w:pStyle w:val="P68B1DB1Corpsdetexte12"/>
        <w:rPr>
          <w:b/>
          <w:b/>
          <w:i/>
          <w:i/>
          <w:u w:val="single"/>
        </w:rPr>
      </w:pPr>
      <w:r>
        <w:rPr/>
        <w:t>13 Κύπρος</w:t>
      </w:r>
    </w:p>
    <w:p>
      <w:pPr>
        <w:pStyle w:val="Corpsdetexte"/>
        <w:rPr/>
      </w:pPr>
      <w:r>
        <w:rPr/>
        <w:t>Έχουν διοργανωθεί ορισμένες δραστηριότητες με επίκεντρο τη νεολαία, με τη συμμετοχή πολλών φορέων. Πραγματοποιήθηκε εναρκτήρια εκδήλωση, συμπεριλαμβανομένης συζήτησης με τη νεότερη γενιά σχετικά με τις προσδοκίες, τις ανησυχίες και το όραμά τους για την Ευρώπη και την Κύπρο εντός της ΕΕ. Διεξήχθη επίσης ανοικτός διάλογος σχετικά με τον ρόλο των νέων στη συζήτηση για την Ευρώπη και τα προβλήματα που αντιμετωπίζουν σε εθνικό και ευρωπαϊκό επίπεδο. Πραγματοποιήθηκε επίσης εκδήλωση για να συζητηθεί το μέλλον της ευρωπαϊκής ασφάλειας και άμυνας.</w:t>
      </w:r>
    </w:p>
    <w:p>
      <w:pPr>
        <w:pStyle w:val="P68B1DB1Corpsdetexte12"/>
        <w:rPr>
          <w:b/>
          <w:b/>
          <w:i/>
          <w:i/>
          <w:u w:val="single"/>
        </w:rPr>
      </w:pPr>
      <w:r>
        <w:rPr/>
        <w:t>14 Λετονία</w:t>
      </w:r>
    </w:p>
    <w:p>
      <w:pPr>
        <w:pStyle w:val="Corpsdetexte"/>
        <w:rPr/>
      </w:pPr>
      <w:r>
        <w:rPr/>
        <w:t>Έχουν διοργανωθεί διάφορες εκδηλώσεις, συμπεριλαμβανομένης μιας πανεθνικής διαδικτυακής συζήτησης με φοιτητές με τίτλο «Το μέλλον είναι στα χέρια σας» για οικονομικά, κοινωνικά και ασφαλιστικά θέματα. Πραγματοποιήθηκε εθνική έρευνα και συζητήσεις σε ομάδες προβληματισμού για τη συγκέντρωση της κοινής γνώμης σχετικά με τις απόψεις των πολιτών σχετικά με τις μελλοντικές προτεραιότητες της Ευρωπαϊκής Ένωσης σε όλα τα θέματα της διάσκεψης. Πραγματοποιήθηκαν περιφερειακές δια ζώσης συζητήσεις για την ευαισθητοποίηση σχετικά με το συνέδριο μεταξύ ατόμων ηλικίας 55 ετών και άνω, καθώς και δια ζώσης συζητήσεις με μαθητές δευτεροβάθμιας εκπαίδευσης.</w:t>
      </w:r>
    </w:p>
    <w:p>
      <w:pPr>
        <w:pStyle w:val="P68B1DB1Corpsdetexte12"/>
        <w:rPr>
          <w:b/>
          <w:b/>
          <w:i/>
          <w:i/>
          <w:u w:val="single"/>
        </w:rPr>
      </w:pPr>
      <w:r>
        <w:rPr/>
        <w:t>15 Λιθουανία</w:t>
      </w:r>
    </w:p>
    <w:p>
      <w:pPr>
        <w:pStyle w:val="Corpsdetexte"/>
        <w:rPr/>
      </w:pPr>
      <w:r>
        <w:rPr/>
        <w:t>Οι εκδηλώσεις διοργανώθηκαν κυρίως σε αποκεντρωμένη βάση και δόθηκε έμφαση στις διάφορες περιφέρειες της Λιθουανίας και των νέων (π.χ. στο πλαίσιο της συζήτησης για τη νεολαία στις χώρες της Βαλτικής). Πραγματοποιήθηκαν σειρά διαλόγων με τους πολίτες (για τη δημοκρατία, την ψηφιοποίηση, την κλιματική αλλαγή κ.λπ.), διακρατικούς διαλόγους (π.χ. με τη Γαλλία, την Ιρλανδία και την Ιταλία) και εκδηλώσεις της κοινωνίας των πολιτών. Επιπλέον, τα σχολεία ενθαρρύνθηκαν να αντιμετωπίσουν το ζήτημα του μέλλοντος της Ευρώπης.</w:t>
      </w:r>
    </w:p>
    <w:p>
      <w:pPr>
        <w:pStyle w:val="Normal"/>
        <w:rPr/>
      </w:pPr>
      <w:r>
        <w:rPr/>
      </w:r>
    </w:p>
    <w:p>
      <w:pPr>
        <w:pStyle w:val="P68B1DB1Corpsdetexte12"/>
        <w:rPr>
          <w:b/>
          <w:b/>
          <w:i/>
          <w:i/>
          <w:u w:val="single"/>
        </w:rPr>
      </w:pPr>
      <w:r>
        <w:rPr/>
        <w:t>16 Λουξεμβούργο</w:t>
      </w:r>
    </w:p>
    <w:p>
      <w:pPr>
        <w:pStyle w:val="Corpsdetexte"/>
        <w:rPr/>
      </w:pPr>
      <w:r>
        <w:rPr/>
        <w:t>Διοργανώθηκαν διάφορες εκδηλώσεις σε εθνικό επίπεδο με ανοικτή, χωρίς αποκλεισμούς και διαφανή προσέγγιση. Για παράδειγμα, το κοινοβούλιο οργάνωσε μια σειρά εκδηλώσεων σε νέες μορφές, όπως «συζητήσεις Bistrot». Διοργανώθηκε επίσης ένας hackathon για φοιτητές και νέους επιχειρηματίες για να συζητηθεί η ψηφιακή πυξίδα και η βιομηχανική στρατηγική της ΕΕ.</w:t>
      </w:r>
    </w:p>
    <w:p>
      <w:pPr>
        <w:pStyle w:val="Corpsdetexte"/>
        <w:rPr/>
      </w:pPr>
      <w:r>
        <w:rPr/>
        <w:t>Επιπλέον, πραγματοποιήθηκε τριεθνική ανταλλαγή μεταξύ Γερμανών, Γάλλων και Λουξεμβουργιανών μαθητών λυκείου.</w:t>
      </w:r>
    </w:p>
    <w:p>
      <w:pPr>
        <w:pStyle w:val="P68B1DB1Corpsdetexte12"/>
        <w:rPr>
          <w:b/>
          <w:b/>
          <w:i/>
          <w:i/>
          <w:u w:val="single"/>
        </w:rPr>
      </w:pPr>
      <w:r>
        <w:rPr/>
        <w:t>17 Ουγγαρία</w:t>
      </w:r>
    </w:p>
    <w:p>
      <w:pPr>
        <w:pStyle w:val="Corpsdetexte"/>
        <w:rPr/>
      </w:pPr>
      <w:r>
        <w:rPr/>
        <w:t>Διοργανώθηκε ένα ευρύ φάσμα εκδηλώσεων σε ολόκληρη την κοινωνία (πάνω από 800). Οι θεσμικές εκδηλώσεις περιλαμβάνουν διεθνείς διασκέψεις υψηλού επιπέδου που διοργανώνονται από διάφορα υπουργεία (π.χ. σχετικά με τη διεύρυνση της ΕΕ και το ψηφιακό θεματολόγιο) και συζητήσεις στρογγυλής τραπέζης με φοιτητές και οργανώσεις νεολαίας (π.χ. για την ευρωπαϊκή ολοκλήρωση). Διάφορες οργανώσεις διοργάνωσαν πάνελ για να συζητήσουν τα ακόλουθα θέματα: τα θεσμικά όργανα της ΕΕ· ισχυρότερη οικονομία, κοινωνική δικαιοσύνη και απασχόληση, ψηφιακός μετασχηματισμός, εκπαίδευση, πολιτισμός, νεολαία και αθλητισμός· αξίες και δικαιώματα, κράτος δικαίου και ασφάλεια· ΜΚΟ· τη μετανάστευση· καθώς και δημογραφικά στοιχεία, οικογένεια, υγεία, κλιματική αλλαγή και περιβάλλον.</w:t>
      </w:r>
    </w:p>
    <w:p>
      <w:pPr>
        <w:pStyle w:val="P68B1DB1Corpsdetexte12"/>
        <w:rPr>
          <w:b/>
          <w:b/>
          <w:i/>
          <w:i/>
          <w:u w:val="single"/>
        </w:rPr>
      </w:pPr>
      <w:r>
        <w:rPr/>
        <w:t>18 Μάλτα</w:t>
      </w:r>
    </w:p>
    <w:p>
      <w:pPr>
        <w:pStyle w:val="Corpsdetexte"/>
        <w:rPr/>
      </w:pPr>
      <w:r>
        <w:rPr/>
        <w:t>Μετά από μια εναρκτήρια εκδήλωση, συγκροτήθηκε εθνική συντονιστική επιτροπή για την προώθηση της πρωτοβουλίας μέσω διαφόρων διαύλων επικοινωνίας και συνέβαλε στην καθοδήγηση της συζήτησης μέσω εθνικών και τοπικών εκδηλώσεων.</w:t>
      </w:r>
    </w:p>
    <w:p>
      <w:pPr>
        <w:pStyle w:val="Corpsdetexte"/>
        <w:rPr/>
      </w:pPr>
      <w:r>
        <w:rPr/>
        <w:t>Οι θεματικοί δημόσιοι διάλογοι (π.χ. για την υγεία, τις ευρωπαϊκές αξίες και το μέλλον της εργασίας για μια δίκαιη κοινωνία), συνεντεύξεις τύπου, διαβουλεύσεις με ενδιαφερόμενους από τους σχετικούς τομείς και διαδραστικές συνεδρίες με παιδιά και σπουδαστές διοργανώθηκαν σε φυσική ή υβριδική μορφή.</w:t>
      </w:r>
    </w:p>
    <w:p>
      <w:pPr>
        <w:pStyle w:val="Corpsdetexte"/>
        <w:rPr/>
      </w:pPr>
      <w:r>
        <w:rPr/>
      </w:r>
    </w:p>
    <w:p>
      <w:pPr>
        <w:pStyle w:val="P68B1DB1Corpsdetexte12"/>
        <w:rPr>
          <w:b/>
          <w:b/>
          <w:i/>
          <w:i/>
          <w:u w:val="single"/>
        </w:rPr>
      </w:pPr>
      <w:r>
        <w:rPr/>
        <w:t>19 Ολλανδία</w:t>
      </w:r>
    </w:p>
    <w:p>
      <w:pPr>
        <w:pStyle w:val="Corpsdetexte"/>
        <w:rPr/>
      </w:pPr>
      <w:r>
        <w:rPr/>
        <w:t>Στις Κάτω Χώρες, δόθηκε έμφαση στην οργάνωση της εθνικής ομάδας πολιτών «Όραμα της Ευρώπης — Kijk op Europa», η οποία πραγματοποιήθηκε τόσο διαδικτυακά όσο και πρόσωπο με πρόσωπο. Βασιζόταν σε μια προσέγγιση δύο φάσεων: η πρώτη ήταν να συγκεντρωθούν οι προβληματισμοί και οι απόψεις των πολιτών σχετικά με το «τι», δηλαδή αυτό που περίμεναν και ήθελαν· στη συνέχεια, η δεύτερη φάση επιδίωξε να κατανοήσει τις υποκείμενες απόψεις τους (το «γιατί» και το «πώς») μέσω ομαδικών διαλόγων.</w:t>
      </w:r>
    </w:p>
    <w:p>
      <w:pPr>
        <w:pStyle w:val="Corpsdetexte"/>
        <w:rPr/>
      </w:pPr>
      <w:r>
        <w:rPr/>
      </w:r>
    </w:p>
    <w:p>
      <w:pPr>
        <w:pStyle w:val="P68B1DB1Corpsdetexte12"/>
        <w:rPr>
          <w:b/>
          <w:b/>
          <w:i/>
          <w:i/>
          <w:u w:val="single"/>
        </w:rPr>
      </w:pPr>
      <w:r>
        <w:rPr/>
        <w:t>20 Αυστρία</w:t>
      </w:r>
    </w:p>
    <w:p>
      <w:pPr>
        <w:pStyle w:val="Corpsdetexte"/>
        <w:rPr/>
      </w:pPr>
      <w:r>
        <w:rPr/>
        <w:t>Οι συζητήσεις πραγματοποιήθηκαν σε διάφορες μορφές, σε ομοσπονδιακό, περιφερειακό και τοπικό επίπεδο. Τα «μελλοντικά εργαστήρια» και οι «μελλοντικοί διάλογοι» επέτρεψαν την πραγματοποίηση διεξοδικών ανταλλαγών με εμπειρογνώμονες υψηλού επιπέδου σε διάφορα θέματα και την αναζήτηση πιο ολοκληρωμένων λύσεων για το μέλλον. Επιπλέον, διοργανώθηκαν διάφορες εκδηλώσεις από και για αυστριακούς δημοτικούς συμβούλους αρμόδιους για τις ευρωπαϊκές υποθέσεις. Διάφορες εκδηλώσεις απευθύνονται απευθείας σε νέους και φοιτητές.</w:t>
      </w:r>
    </w:p>
    <w:p>
      <w:pPr>
        <w:pStyle w:val="P68B1DB1Corpsdetexte12"/>
        <w:rPr>
          <w:b/>
          <w:b/>
          <w:i/>
          <w:i/>
          <w:u w:val="single"/>
        </w:rPr>
      </w:pPr>
      <w:r>
        <w:rPr/>
        <w:t>21 Πολωνία</w:t>
      </w:r>
    </w:p>
    <w:p>
      <w:pPr>
        <w:pStyle w:val="Corpsdetexte"/>
        <w:rPr/>
      </w:pPr>
      <w:r>
        <w:rPr/>
        <w:t>Οι εκδηλώσεις οργανώθηκαν κυρίως στο πλαίσιο μιας αποκεντρωμένης προσέγγισης. Σε περιφερειακό επίπεδο, τα περιφερειακά κέντρα διεθνούς συζήτησης οργάνωσαν δημόσιες εκδηλώσεις στις 16 πολωνικές περιφέρειες σε φυσική και εικονική μορφή. Τα προς συζήτηση θέματα κάλυπταν τους θεματικούς τομείς του συνεδρίου, όπως η αλληλεγγύη σε περιόδους κρίσης, η γεωργία και οι νέες τεχνολογίες.</w:t>
      </w:r>
    </w:p>
    <w:p>
      <w:pPr>
        <w:pStyle w:val="Corpsdetexte"/>
        <w:rPr/>
      </w:pPr>
      <w:r>
        <w:rPr/>
        <w:t>Διεξήχθη επίσης εθνική συζήτηση σχετικά με το κλίμα, την ψηφιοποίηση, την εσωτερική αγορά, την υγεία, την ΕΕ στον κόσμο και τη μετανάστευση.</w:t>
      </w:r>
    </w:p>
    <w:p>
      <w:pPr>
        <w:pStyle w:val="P68B1DB1Corpsdetexte12"/>
        <w:rPr>
          <w:b/>
          <w:b/>
          <w:i/>
          <w:i/>
          <w:u w:val="single"/>
        </w:rPr>
      </w:pPr>
      <w:r>
        <w:rPr/>
        <w:t>22 Πορτογαλία</w:t>
      </w:r>
    </w:p>
    <w:p>
      <w:pPr>
        <w:pStyle w:val="Corpsdetexte"/>
        <w:rPr/>
      </w:pPr>
      <w:r>
        <w:rPr/>
        <w:t>Μετά την πρώτη εκδήλωση πολιτών στη Λισαβόνα, η οποία ξεκίνησε τη συμμετοχή των πολιτών στη διάσκεψη, διοργανώθηκαν πολλές εκδηλώσεις σε συνεργασία με τοπικές αρχές, πανεπιστήμια, σχολεία, κοινωνικούς εταίρους, οργανώσεις νεολαίας και τοπικές οργανώσεις της κοινωνίας των πολιτών, μεταξύ άλλων. Για παράδειγμα, διοργανώθηκε διακρατική εκδήλωση με την Ισπανία για να συζητηθούν βασικά θέματα ενδιαφέροντος για το μέλλον των περιφερειών των δύο χωρών και της ΕΕ. Επιπλέον, πραγματοποιήθηκαν αποκεντρωμένες εθνικές εκδηλώσεις για διάφορα θέματα, όπως η μετανάστευση και οι διεθνείς εταιρικές σχέσεις, το μέλλον της ευρωπαϊκής δημοκρατίας και ο ψηφιακός μετασχηματισμός.</w:t>
      </w:r>
    </w:p>
    <w:p>
      <w:pPr>
        <w:pStyle w:val="P68B1DB1Corpsdetexte12"/>
        <w:rPr>
          <w:b/>
          <w:b/>
          <w:i/>
          <w:i/>
          <w:u w:val="single"/>
        </w:rPr>
      </w:pPr>
      <w:r>
        <w:rPr/>
        <w:t>23 Ρουμανία</w:t>
      </w:r>
    </w:p>
    <w:p>
      <w:pPr>
        <w:pStyle w:val="Corpsdetexte"/>
        <w:rPr/>
      </w:pPr>
      <w:r>
        <w:rPr/>
        <w:t>Οι εκδηλώσεις οργανώθηκαν ή συνδιοργανώθηκαν κυρίως από τη διοίκηση και τα ινστιτούτα ειδικότερα, με την ενεργό συμμετοχή της κοινωνίας των πολιτών και των οργανώσεων νεολαίας.</w:t>
      </w:r>
    </w:p>
    <w:p>
      <w:pPr>
        <w:pStyle w:val="Corpsdetexte"/>
        <w:rPr/>
      </w:pPr>
      <w:r>
        <w:rPr/>
        <w:t>Οι συζητήσεις επικεντρώθηκαν σε ευρύ φάσμα θεμάτων, όπως η ψηφιακή μετάβαση, η εκπαίδευση, η υγεία, το περιβάλλον, η βιώσιμη ανάπτυξη, η οικονομία, η γεωργία και οι στρατηγικές εταιρικές σχέσεις της ΕΕ. Οι εκδηλώσεις έλαβαν χώρα στην πρωτεύουσα και σε τοπικό επίπεδο και συμμετείχαν όλες οι ηλικιακές ομάδες.</w:t>
      </w:r>
    </w:p>
    <w:p>
      <w:pPr>
        <w:pStyle w:val="P68B1DB1Corpsdetexte12"/>
        <w:rPr>
          <w:b/>
          <w:b/>
          <w:i/>
          <w:i/>
          <w:u w:val="single"/>
        </w:rPr>
      </w:pPr>
      <w:r>
        <w:rPr/>
        <w:t>24 Σλοβενία</w:t>
      </w:r>
    </w:p>
    <w:p>
      <w:pPr>
        <w:pStyle w:val="Corpsdetexte"/>
        <w:rPr/>
      </w:pPr>
      <w:r>
        <w:rPr/>
        <w:t>Η ιδέα ήταν να ενθαρρυνθεί μια ευρεία συζήτηση στην οποία η κοινωνία των πολιτών διαδραμάτισε κεντρικό ρόλο, καθώς και η συμμετοχή των νέων ειδικότερα.</w:t>
      </w:r>
    </w:p>
    <w:p>
      <w:pPr>
        <w:pStyle w:val="Corpsdetexte"/>
        <w:rPr/>
      </w:pPr>
      <w:r>
        <w:rPr/>
        <w:t>Η κυβέρνηση διοργάνωσε εναρκτήρια εκδήλωση, την οποία ακολούθησαν διάφορες πρωτοβουλίες, όπως το Στρατηγικό Φόρουμ Bled, του οποίου το κύριο θέμα ήταν το μέλλον της Ευρώπης, με ιδιαίτερη έμφαση στη διεύρυνση της ΕΕ και στα Δυτικά Βαλκάνια. Άλλες εκδηλώσεις επικεντρώθηκαν σε θέματα όπως η νομισματική πολιτική, η κλιματική ουδετερότητα, η νεολαία και ο ρόλος της ΕΕ σε ένα πολυπολικό διεθνές περιβάλλον.</w:t>
      </w:r>
    </w:p>
    <w:p>
      <w:pPr>
        <w:pStyle w:val="P68B1DB1Corpsdetexte12"/>
        <w:rPr>
          <w:b/>
          <w:b/>
          <w:i/>
          <w:i/>
          <w:u w:val="single"/>
        </w:rPr>
      </w:pPr>
      <w:r>
        <w:rPr/>
        <w:t>25 Σλοβακία</w:t>
      </w:r>
    </w:p>
    <w:p>
      <w:pPr>
        <w:pStyle w:val="Corpsdetexte"/>
        <w:rPr/>
      </w:pPr>
      <w:r>
        <w:rPr/>
        <w:t>Οι εκδηλώσεις που διοργανώθηκαν διοργανώθηκαν γύρω από δύο βασικούς πυλώνες. Ο πρώτος πυλώνας ήταν το έργο «WeAreEU», το οποίο επικεντρώθηκε στο ευρύ κοινό, συμπεριλαμβανομένων συζητήσεων με φοιτητές και δημόσιων διαβουλεύσεων, καθώς και μιας σειράς περιφερειακών εκδηλώσεων που διοργανώθηκαν στο πλαίσιο της έκθεσης δρόμου WeAreEU. Ο δεύτερος πυλώνας ήταν η εθνική σύμβαση για την ΕΕ, η οποία επικεντρώνεται στις εισηγήσεις και αναλύσεις εμπειρογνωμόνων σε θέματα όπως η ενιαία αγορά, η παραπληροφόρηση και ο λαϊκισμός, καθώς και η ψηφιακή και οικολογική μετάβαση.</w:t>
      </w:r>
    </w:p>
    <w:p>
      <w:pPr>
        <w:pStyle w:val="P68B1DB1Corpsdetexte12"/>
        <w:rPr>
          <w:b/>
          <w:b/>
          <w:i/>
          <w:i/>
          <w:u w:val="single"/>
        </w:rPr>
      </w:pPr>
      <w:r>
        <w:rPr/>
        <w:t>26 Φινλανδία</w:t>
      </w:r>
    </w:p>
    <w:p>
      <w:pPr>
        <w:pStyle w:val="Corpsdetexte"/>
        <w:rPr/>
      </w:pPr>
      <w:r>
        <w:rPr/>
        <w:t>Η κυβέρνηση διοργάνωσε μια σειρά περιφερειακών διαβουλεύσεων, συμπεριλαμβανομένης της εκδήλωσης της πιο βόρειας διάσκεψης στην ΕΕ, για διάφορα θέματα, όπως η βιώσιμη ανάπτυξη, η εκπαίδευση και το κράτος δικαίου. Πραγματοποιήθηκε επίσης έρευνα για την ενημέρωση της συζήτησης.</w:t>
      </w:r>
    </w:p>
    <w:p>
      <w:pPr>
        <w:pStyle w:val="Corpsdetexte"/>
        <w:spacing w:before="6264" w:after="57"/>
        <w:rPr/>
      </w:pPr>
      <w:r>
        <w:rPr/>
        <w:t xml:space="preserve">Η κυβέρνηση διοργάνωσε εκδηλώσεις σε συνεργασία με πόλεις, τοπικές αρχές, πανεπιστήμια, ΜΚΟ και οργανώσεις νεολαίας, καθώς και με το φινλανδικό Κοινοβούλιο, το Ευρωπαϊκό Κοινοβούλιο και τα Γραφεία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ΕΙΚΟΝΑ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ΕΙΚΟΝΑ18" descr=""/>
                    <pic:cNvPicPr>
                      <a:picLocks noChangeAspect="1" noChangeArrowheads="1"/>
                    </pic:cNvPicPr>
                  </pic:nvPicPr>
                  <pic:blipFill>
                    <a:blip r:embed="rId51"/>
                    <a:stretch>
                      <a:fillRect/>
                    </a:stretch>
                  </pic:blipFill>
                  <pic:spPr bwMode="auto">
                    <a:xfrm>
                      <a:off x="0" y="0"/>
                      <a:ext cx="6120130" cy="3977640"/>
                    </a:xfrm>
                    <a:prstGeom prst="rect">
                      <a:avLst/>
                    </a:prstGeom>
                  </pic:spPr>
                </pic:pic>
              </a:graphicData>
            </a:graphic>
          </wp:anchor>
        </w:drawing>
      </w:r>
      <w:r>
        <w:rPr/>
        <w:t>Π</w:t>
      </w:r>
      <w:r>
        <w:rPr/>
        <w:t>ληροφοριών της Ευρωπαϊκής Επιτροπής στη Φινλανδία.</w:t>
      </w:r>
    </w:p>
    <w:p>
      <w:pPr>
        <w:pStyle w:val="Normal"/>
        <w:rPr/>
      </w:pPr>
      <w:r>
        <w:rPr/>
      </w:r>
    </w:p>
    <w:p>
      <w:pPr>
        <w:pStyle w:val="P68B1DB1Corpsdetexte12"/>
        <w:rPr>
          <w:b/>
          <w:b/>
          <w:i/>
          <w:i/>
          <w:u w:val="single"/>
        </w:rPr>
      </w:pPr>
      <w:r>
        <w:rPr/>
        <w:t>27 Σουηδία</w:t>
      </w:r>
    </w:p>
    <w:p>
      <w:pPr>
        <w:pStyle w:val="Corpsdetexte"/>
        <w:rPr/>
      </w:pPr>
      <w:r>
        <w:rPr/>
        <w:t>Οι εκδηλώσεις διοργανώθηκαν κυρίως σε αποκεντρωμένη βάση ως κοινή άσκηση μεταξύ της κυβέρνησης, του εθνικού κοινοβουλίου, των πολιτικών κομμάτων, των κοινωνικών εταίρων, των τοπικών και περιφερειακών εκπροσώπων, των οργανώσεων της κοινωνίας των πολιτών και άλλων σχετικών φορέων της κοινωνίας.</w:t>
      </w:r>
    </w:p>
    <w:p>
      <w:pPr>
        <w:pStyle w:val="Corpsdetexte"/>
        <w:rPr/>
      </w:pPr>
      <w:r>
        <w:rPr/>
        <w:t>Για παράδειγμα, ο υπουργός Ευρωπαϊκών Υποθέσεων της Σουηδίας συζήτησε το μέλλον της Ευρώπης με μαθητές από διαφορετικά σχολεία και συμμετείχε σε συνεδριάσεις σε δημοτικό επίπεδο για να συζητήσει με τους πολίτες το μέλλον της Ευρώπης και τη δημοκρατία. Τα ψηφιακά μέσα έχουν επίσης χρησιμοποιηθεί για τη συμμετοχή σε διαλόγους με τους πολίτες μέσω, για παράδειγμα, συνεδριών ερωτήσεων και απαντήσεων.</w:t>
      </w:r>
    </w:p>
    <w:p>
      <w:pPr>
        <w:pStyle w:val="Corpsdetexte"/>
        <w:rPr/>
      </w:pPr>
      <w:r>
        <w:rPr/>
        <w:t>Οι παραπάνω περιγραφές δεν είναι εξαντλητικές. Περισσότερες πληροφορίες σχετικά με τις εθνικές εκδηλώσεις διατίθενται σε ειδικό τμήμα της πολύγλωσσης ψηφιακής πλατφόρμας.</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Συνάντηση των νέων Ευρωπαίων </w:t>
      </w:r>
    </w:p>
    <w:p>
      <w:pPr>
        <w:pStyle w:val="Normal"/>
        <w:rPr/>
      </w:pPr>
      <w:r>
        <w:rPr/>
        <w:t xml:space="preserve">Η </w:t>
      </w:r>
      <w:hyperlink r:id="rId52">
        <w:r>
          <w:rPr>
            <w:rStyle w:val="LienInternet"/>
          </w:rPr>
          <w:t>Ευρωπαϊκή Εκδήλωση για τη Νεολαία (EYE 2021)</w:t>
        </w:r>
      </w:hyperlink>
      <w:r>
        <w:rPr/>
        <w:t xml:space="preserve"> πραγματοποιήθηκε στις 8-9 Οκτωβρίου 2021 και συγκέντρωσε 10.000 νέους στο διαδίκτυο και το Ευρωπαϊκό Κοινοβούλιο στο Στρασβούργο για να διαμορφώσουν και να ανταλλάξουν ιδέες σχετικά με το μέλλον της Ευρώπης. Η EYE </w:t>
      </w:r>
      <w:r>
        <w:rPr>
          <w:i/>
        </w:rPr>
        <w:t>ήταν μια μοναδική ευκαιρία για τους νέους ηλικίας 16 έως 30 ετών να αλληλεπιδρούν προσωπικά και διαδικτυακά, να εμπνέουν ο ένας τον άλλον και να ανταλλάσσουν απόψεις με εμπειρογνώμονες, ακτιβιστές, παράγοντες επιρροής και υπεύθυνους λήψης αποφάσεων, στο επίκεντρο της ευρωπαϊκής δημοκρατίας</w:t>
      </w:r>
      <w:r>
        <w:rPr/>
        <w:t>.</w:t>
      </w:r>
    </w:p>
    <w:p>
      <w:pPr>
        <w:pStyle w:val="Normal"/>
        <w:spacing w:before="6132" w:after="57"/>
        <w:rPr/>
      </w:pPr>
      <w:r>
        <w:rPr/>
        <w:t xml:space="preserve">Από τον Μάιο του 2021, σε συνεργασία με πανευρωπαϊκές οργανώσεις νεολαίας, έχουν συγκεντρωθεί στο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ΕΙΚΟΝΑ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ΕΙΚΟΝΑ 19" descr=""/>
                    <pic:cNvPicPr>
                      <a:picLocks noChangeAspect="1" noChangeArrowheads="1"/>
                    </pic:cNvPicPr>
                  </pic:nvPicPr>
                  <pic:blipFill>
                    <a:blip r:embed="rId53"/>
                    <a:stretch>
                      <a:fillRect/>
                    </a:stretch>
                  </pic:blipFill>
                  <pic:spPr bwMode="auto">
                    <a:xfrm>
                      <a:off x="0" y="0"/>
                      <a:ext cx="5980430" cy="3893820"/>
                    </a:xfrm>
                    <a:prstGeom prst="rect">
                      <a:avLst/>
                    </a:prstGeom>
                  </pic:spPr>
                </pic:pic>
              </a:graphicData>
            </a:graphic>
          </wp:anchor>
        </w:drawing>
      </w:r>
      <w:r>
        <w:rPr/>
        <w:t>δ</w:t>
      </w:r>
      <w:r>
        <w:rPr/>
        <w:t xml:space="preserve">ιαδίκτυο περισσότερες από 2.000 προτάσεις νέων πολιτών από ολόκληρη την Ευρωπαϊκή Ένωση. Επιπλέον, αρκετές συνεδρίες, τόσο διαδικτυακά πριν από την εκδήλωση όσο και κατά τη διάρκεια της EYE στο Στρασβούργο, επικεντρώθηκαν στη Διάσκεψη για το Μέλλον της Ευρώπης. Μετά την εκδήλωση, οι 20 βασικές ιδέες που τέθηκαν από τους συμμετέχοντες, δύο ιδέες ανά θέμα του συνεδρίου, συγκεντρώθηκαν στην </w:t>
      </w:r>
      <w:hyperlink r:id="rId54">
        <w:r>
          <w:rPr>
            <w:rStyle w:val="LienInternet"/>
          </w:rPr>
          <w:t>Έκθεση Νέων Ιδεών για τη Διάσκεψη για</w:t>
        </w:r>
      </w:hyperlink>
      <w:r>
        <w:rPr/>
        <w:t xml:space="preserve"> το Μέλλον της Ευρώπης, η οποία δημοσιεύθηκε σε 23 γλώσσες.</w:t>
      </w:r>
    </w:p>
    <w:p>
      <w:pPr>
        <w:pStyle w:val="Normal"/>
        <w:rPr/>
      </w:pPr>
      <w:r>
        <w:rPr/>
        <w:t xml:space="preserve">Η έκθεση για τις ιδέες για τη νεολαία παρουσιάστηκε στην ολομέλεια της Διάσκεψης στις 23 Οκτωβρίου από νέους συμμετέχοντες από τις ομάδες ευρωπαίων πολιτών που συμμετείχαν επίσης στην EYE 2021. Όλες οι ιδέες που συλλέγονται είναι διαθέσιμες στη διεύθυνση: </w:t>
      </w:r>
      <w:hyperlink r:id="rId55">
        <w:r>
          <w:rPr>
            <w:rStyle w:val="LienInternet"/>
          </w:rPr>
          <w:t>search.youthideas.eu.</w:t>
        </w:r>
      </w:hyperlink>
    </w:p>
    <w:p>
      <w:pPr>
        <w:pStyle w:val="Titre3"/>
        <w:numPr>
          <w:ilvl w:val="2"/>
          <w:numId w:val="2"/>
        </w:numPr>
        <w:rPr/>
      </w:pPr>
      <w:bookmarkStart w:id="31" w:name="__RefHeading___Toc298236_1346298689"/>
      <w:bookmarkEnd w:id="31"/>
      <w:r>
        <w:rPr/>
        <w:t>3.</w:t>
        <w:tab/>
        <w:t>ΑΛΛΕΣ ΕΚΔΗΛΩΣΕΙΣ</w:t>
      </w:r>
    </w:p>
    <w:p>
      <w:pPr>
        <w:pStyle w:val="Normal"/>
        <w:rPr/>
      </w:pPr>
      <w:r>
        <w:rPr/>
        <w:t>Εκτός από τις προαναφερθείσες εκδηλώσεις, πολλά άλλα θεσμικά όργανα και ενδιαφερόμενα μέρη έφεραν σε επαφή τους πολίτες για να συζητήσουν το μέλλον της Ευρώπης</w:t>
      </w:r>
      <w:r>
        <w:rPr>
          <w:rStyle w:val="Ancredenotedebasdepage"/>
          <w:rStyle w:val="Ancredenotedebasdepage"/>
        </w:rPr>
        <w:footnoteReference w:id="6"/>
      </w:r>
      <w:r>
        <w:rPr/>
        <w:t>.</w:t>
      </w:r>
    </w:p>
    <w:p>
      <w:pPr>
        <w:pStyle w:val="Normal"/>
        <w:rPr/>
      </w:pPr>
      <w:r>
        <w:rPr/>
        <w:t>Καθ’ όλη τη διάρκεια της Διάσκεψης για το Μέλλον της Ευρώπης, η Ευρωπαϊκή Οικονομική και Κοινωνική Επιτροπή (ΕΟΚΕ) εργάστηκε για να την καταστήσει γνωστή και να βοηθήσει το εκτεταμένο δίκτυο οργανώσεων της κοινωνίας των πολιτών στα κράτη μέλη να οργανώσει εθνικές διαβουλεύσεις. Συνολικά, υποστήριξε την ανάπτυξη 75 εκδηλώσεων, εκ των οποίων 33 σε εθνικό επίπεδο και 42 σε κεντρικό επίπεδο. Από αυτές τις εκδηλώσεις, το 60 % δημοσίευσε εκθέσεις σχετικά με την πλατφόρμα του συνεδρίου και μόνο αυτές οι 45 εκδηλώσεις συγκέντρωσε περισσότερους από 7.300 συμμετέχοντες. Ειδικότερα, η ΕΟΚΕ δρομολόγησε τις δραστηριότητές της τον Ιούνιο του 2021 με μια σημαντική διάσκεψη —</w:t>
      </w:r>
      <w:hyperlink r:id="rId56">
        <w:r>
          <w:rPr>
            <w:rStyle w:val="LienInternet"/>
          </w:rPr>
          <w:t>Επιστροφή του ευρωπαϊκού σχεδίου στους πολίτες</w:t>
        </w:r>
      </w:hyperlink>
      <w:r>
        <w:rPr/>
        <w:t>— και διοργάνωσε το σεμινάριο «</w:t>
      </w:r>
      <w:hyperlink r:id="rId57">
        <w:r>
          <w:rPr>
            <w:rStyle w:val="LienInternet"/>
          </w:rPr>
          <w:t>Συνδέοντας την ΕΕ</w:t>
        </w:r>
      </w:hyperlink>
      <w:r>
        <w:rPr/>
        <w:t>» στη Λισαβόνα τον Νοέμβριο του 2021 και μια εκδήλωση υψηλού επιπέδου στις Βρυξέλλες τον Φεβρουάριο του 2022 με</w:t>
      </w:r>
      <w:hyperlink r:id="rId58">
        <w:r>
          <w:rPr>
            <w:rStyle w:val="LienInternet"/>
          </w:rPr>
          <w:t>τίτλο «Διαμόρφωση της Ευρώπης μαζί</w:t>
        </w:r>
      </w:hyperlink>
      <w:r>
        <w:rPr/>
        <w:t>». Η ΕΟΚΕ ενθάρρυνε επίσης τη χρήση της διαδικτυακής πλατφόρμας, όπου ανέβασε 60 νέες ιδέες, και δρομολόγησε εκτεταμένη επικοινωνιακή εκστρατεία στα μέσα κοινωνικής δικτύωσης, με δυνητικό κοινό 32 εκατομμυρίων ατόμων μόνο στο Twitter, για την προώθηση εθνικών εκδηλώσεων στην αγγλική και στην τοπική γλώσσα και παρείχε πληροφορίες πριν και μετά από κάθε σύνοδο ολομέλειας και συνεδρίαση σχετική με το συνέδριο.</w:t>
      </w:r>
    </w:p>
    <w:p>
      <w:pPr>
        <w:pStyle w:val="Normal"/>
        <w:rPr/>
      </w:pPr>
      <w:r>
        <w:rPr/>
        <w:t xml:space="preserve">Η Ευρωπαϊκή Επιτροπή των Περιφερειών (ΕτΠ) διοργάνωσε θεματικές συζητήσεις στις επιτροπές και τις συνόδους ολομέλειάς της, καθώς και 140 εκδηλώσεις σε τοπικό, διασυνοριακό και διαπεριφερειακό επίπεδο με τη συμμετοχή 10.000 πολιτών και 200 τοπικών πολιτικών. Επιπλέον, τον Οκτώβριο </w:t>
      </w:r>
      <w:hyperlink r:id="rId59">
        <w:r>
          <w:rPr>
            <w:rStyle w:val="LienInternet"/>
          </w:rPr>
          <w:t>του 2021 δημοσιεύθηκε η πρώτη έρευνα 1,2 εκατομμυρίων τοπικών πολιτικών</w:t>
        </w:r>
      </w:hyperlink>
      <w:r>
        <w:rPr/>
        <w:t xml:space="preserve"> στην ΕΕ-27 σχετικά με τις απόψεις τους για το μέλλον της Ευρώπης. Επιπλέον, ο Cdr πρότεινε </w:t>
      </w:r>
      <w:hyperlink r:id="rId60">
        <w:r>
          <w:rPr>
            <w:rStyle w:val="LienInternet"/>
          </w:rPr>
          <w:t>44 ιδέες</w:t>
        </w:r>
      </w:hyperlink>
      <w:r>
        <w:rPr/>
        <w:t xml:space="preserve"> στην πολύγλωσση ψηφιακή πλατφόρμα. Στις αρχές του 2022,</w:t>
      </w:r>
      <w:hyperlink r:id="rId61">
        <w:r>
          <w:rPr>
            <w:rStyle w:val="LienInternet"/>
          </w:rPr>
          <w:t xml:space="preserve"> μια ανεξάρτητη ομάδα υψηλού επιπέδου για την ευρωπαϊκή δημοκρατία</w:t>
        </w:r>
      </w:hyperlink>
      <w:r>
        <w:rPr/>
        <w:t xml:space="preserve"> παρουσίασε ιδέες σχετικά με τον τρόπο βελτίωσης της δημοκρατίας στην ΕΕ. Ένα ψήφισμα με προτάσεις για την τελική έκθεση της διάσκεψης εγκρίθηκε από την ΕτΠ και ένα μανιφέστο </w:t>
      </w:r>
      <w:hyperlink r:id="rId62">
        <w:r>
          <w:rPr>
            <w:rStyle w:val="LienInternet"/>
          </w:rPr>
          <w:t>12 σημείων που</w:t>
        </w:r>
      </w:hyperlink>
      <w:r>
        <w:rPr/>
        <w:t xml:space="preserve"> συντάχθηκε εξ ονόματος των εκατομμυρίων τοπικών και περιφερειακών πολιτικών στην ΕΕ εγκρίθηκε στην </w:t>
      </w:r>
      <w:hyperlink r:id="rId63">
        <w:r>
          <w:rPr>
            <w:rStyle w:val="LienInternet"/>
          </w:rPr>
          <w:t>Ευρωπαϊκή Διάσκεψη Κορυφής των Περιφερειών και των Πόλεων</w:t>
        </w:r>
      </w:hyperlink>
      <w:r>
        <w:rPr/>
        <w:t xml:space="preserve"> τον Μάρτιο του 2022. Μια έκθεση</w:t>
      </w:r>
      <w:hyperlink r:id="rId64">
        <w:r>
          <w:rPr>
            <w:rStyle w:val="LienInternet"/>
          </w:rPr>
          <w:t>με τίτλο «Πολίτες, τοπικοί πολιτικοί και το μέλλον της Ευρώπης</w:t>
        </w:r>
      </w:hyperlink>
      <w:r>
        <w:rPr/>
        <w:t>» (Μάρτιος 2022) συνοψίζει όλες τις δραστηριότητες της ΕτΠ στο πλαίσιο της διάσκεψης.</w:t>
      </w:r>
    </w:p>
    <w:p>
      <w:pPr>
        <w:pStyle w:val="Normal"/>
        <w:rPr/>
      </w:pPr>
      <w:r>
        <w:rPr/>
      </w:r>
    </w:p>
    <w:p>
      <w:pPr>
        <w:pStyle w:val="Normal"/>
        <w:rPr/>
      </w:pPr>
      <w:r>
        <w:rPr/>
        <w:t xml:space="preserve">Οι τρεις οργανώσεις εργοδοτών που συνδέονται με την κοινωνική εταιρική σχέση της ΕΕ, την </w:t>
      </w:r>
      <w:hyperlink r:id="rId65">
        <w:r>
          <w:rPr>
            <w:rStyle w:val="LienInternet"/>
          </w:rPr>
          <w:t>BusinessEurope</w:t>
        </w:r>
      </w:hyperlink>
      <w:r>
        <w:rPr/>
        <w:t xml:space="preserve">, την </w:t>
      </w:r>
      <w:hyperlink r:id="rId66">
        <w:r>
          <w:rPr>
            <w:rStyle w:val="LienInternet"/>
          </w:rPr>
          <w:t>SGI Europe</w:t>
        </w:r>
      </w:hyperlink>
      <w:r>
        <w:rPr/>
        <w:t xml:space="preserve"> και την </w:t>
      </w:r>
      <w:hyperlink r:id="rId67">
        <w:r>
          <w:rPr>
            <w:rStyle w:val="LienInternet"/>
          </w:rPr>
          <w:t>UEAPME</w:t>
        </w:r>
      </w:hyperlink>
      <w:r>
        <w:rPr/>
        <w:t xml:space="preserve"> δημοσίευσαν όλες τις προτεραιότητες και τις συνεισφορές τους στην ψηφιακή πλατφόρμα και τις παρουσίασαν στις σχετικές ομάδες εργασίας και στην ολομέλεια. Επιπλέον, όλοι προώθησαν τη διάσκεψη, τόσο εσωτερικά όσο και εξωτερικά, και οργάνωσαν εκδηλώσεις και συμμετείχαν σε διάλογο με τα ενδιαφερόμενα μέρη σε διάφορα φόρουμ. Η Ευρωπαϊκή Συνομοσπονδία Συνδικάτων (ETUC) κινητοποιήθηκε για να συμβάλει στη διάσκεψη και συμμετείχε στις συνεδριάσεις της ολομέλειας και των ομάδων εργασίας. Η CES προσδιόρισε τις συνδικαλιστικές προτάσεις για ένα δικαιότερο μέλλον για την Ευρώπη και τις δημοσίευσε στην επιγραμμική πλατφόρμα (αυτές ήταν από τις πλέον υποστηριζόμενες προτάσεις). Η ETUC και οι συνεργάτες της διοργάνωσαν εκδηλώσεις και δραστηριότητες επικοινωνίας για να παρουσιάσουν και να συζητήσουν προτάσεις συνδικαλιστικών οργανώσεων.</w:t>
      </w:r>
    </w:p>
    <w:p>
      <w:pPr>
        <w:pStyle w:val="Normal"/>
        <w:rPr/>
      </w:pPr>
      <w:r>
        <w:rPr/>
        <w:t xml:space="preserve">Εκπρόσωποι της κοινωνίας των πολιτών — </w:t>
      </w:r>
      <w:hyperlink r:id="rId68">
        <w:r>
          <w:rPr>
            <w:rStyle w:val="LienInternet"/>
          </w:rPr>
          <w:t>η Συνέλευση της κοινωνίας των πολιτών για τη Διάσκεψη για το Μέλλον</w:t>
        </w:r>
      </w:hyperlink>
      <w:r>
        <w:rPr/>
        <w:t xml:space="preserve"> της Ευρώπης και το </w:t>
      </w:r>
      <w:hyperlink r:id="rId69">
        <w:r>
          <w:rPr>
            <w:rStyle w:val="LienInternet"/>
          </w:rPr>
          <w:t>Ευρωπαϊκό Διεθνές Κίνημα</w:t>
        </w:r>
      </w:hyperlink>
      <w:r>
        <w:rPr/>
        <w:t xml:space="preserve"> — διοργανώνουν </w:t>
      </w:r>
      <w:hyperlink r:id="rId70">
        <w:r>
          <w:rPr>
            <w:rStyle w:val="LienInternet"/>
          </w:rPr>
          <w:t>πολυάριθμες εκδηλώσεις</w:t>
        </w:r>
      </w:hyperlink>
      <w:r>
        <w:rPr/>
        <w:t xml:space="preserve"> σε όλη την Ευρώπη και </w:t>
      </w:r>
      <w:hyperlink r:id="rId71">
        <w:r>
          <w:rPr>
            <w:rStyle w:val="LienInternet"/>
          </w:rPr>
          <w:t>δραστηριοποιούνται σε επίπεδο ολομέλειας</w:t>
        </w:r>
      </w:hyperlink>
      <w:r>
        <w:rPr/>
        <w:t xml:space="preserve">. Η κοινωνία των πολιτών έχει συμπεριλάβει εκατοντάδες οργανώσεις της κοινωνίας των πολιτών σε μια προσέγγιση από τη βάση προς την κορυφή μέσω </w:t>
      </w:r>
      <w:hyperlink r:id="rId72">
        <w:r>
          <w:rPr>
            <w:rStyle w:val="LienInternet"/>
          </w:rPr>
          <w:t>θεματικών ομάδων</w:t>
        </w:r>
      </w:hyperlink>
      <w:r>
        <w:rPr/>
        <w:t xml:space="preserve"> για την ανάπτυξη κοινών και ολοκληρωμένων προτάσεων σε </w:t>
      </w:r>
      <w:hyperlink r:id="rId73">
        <w:r>
          <w:rPr>
            <w:rStyle w:val="LienInternet"/>
          </w:rPr>
          <w:t>διάφορους τομείς πολιτικής που καλύπτονται από τη διάσκεψη</w:t>
        </w:r>
      </w:hyperlink>
      <w:r>
        <w:rPr/>
        <w:t>. Οι ιδέες τροφοδοτούσαν τη διάσκεψη μέσω της πλατφόρμας, των ομάδων εργασίας, των συνεδριάσεων ολομέλειας και σε άμεση επαφή με την εκτελεστική επιτροπή, τους συμπροέδρους και την κοινή γραμματεία.</w:t>
      </w:r>
    </w:p>
    <w:p>
      <w:pPr>
        <w:pStyle w:val="Normal"/>
        <w:rPr/>
      </w:pPr>
      <w:r>
        <w:rPr/>
        <w:t>Οι αντιπροσωπείες της Ευρωπαϊκής Επιτροπής στα κράτη μέλη, τα κέντρα Europe Direct, τα κέντρα ευρωπαϊκής τεκμηρίωσης και τα γραφεία συνδέσμου του ΕΚ ενημέρωσαν ενεργά τους πολίτες σχετικά με τη διάσκεψη για το μέλλον της Ευρώπης. Οι αντιπροσωπείες της Ευρωπαϊκής Επιτροπής ανέφεραν 1400 δραστηριότητες που συνέβαλαν στην επικοινωνία και την υλοποίηση της διάσκεψης σε ολόκληρη την Ευρώπη. Οργάνωσαν ή συμμετείχαν ενεργά σε περισσότερες από 850 εκδηλώσεις, εκ των οποίων περίπου το 65 % στόχευαν σε νέους και γυναίκες για να ενθαρρύνουν τη συμμετοχή τους στο συνέδριο εν γένει. Τα Γραφεία Συνδέσμου του ΕΚ έχουν διοργανώσει περισσότερες από 1300 δραστηριότητες προώθησης σε όλα τα κράτη μέλη.</w:t>
      </w:r>
    </w:p>
    <w:p>
      <w:pPr>
        <w:pStyle w:val="Normal"/>
        <w:rPr/>
      </w:pPr>
      <w:r>
        <w:rPr/>
        <w:t>Διοργανώθηκαν επίσης θεματικά εργαστήρια για τα κύρια θέματα της διάσκεψης παρουσία βουλευτών του ΕΚ, πολιτών, ενδιαφερόμενων φορέων, εθνικών και περιφερειακών αρχών και τοπικών μέσων ενημέρωσης, προκειμένου να αυξηθεί η προβολή της διάσκεψης. Τα κέντρα ευρωπαϊκής τεκμηρίωσης ανέφεραν περισσότερες από 120 δράσεις που σχετίζονται με την επικοινωνία της διάσκεψης.</w:t>
      </w:r>
    </w:p>
    <w:p>
      <w:pPr>
        <w:pStyle w:val="Normal"/>
        <w:rPr/>
      </w:pPr>
      <w:r>
        <w:rPr/>
        <w:t>Τα κέντρα Europe Direct ανέφεραν περισσότερες από 1000 θεματικές εκδηλώσεις σχετικά με το συνέδριο και περισσότερες από 600 προωθητικές δραστηριότητες, συμπεριλαμβανομένου ενός ευρέος φάσματος ομάδων και οργανώσεων νεολαίας. Τα κέντρα ευρωπαϊκής τεκμηρίωσης ανέφεραν περισσότερες από 120 δράσεις που σχετίζονται με την επικοινωνία της διάσκεψης.</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Ο ΤΡΊΤΟΣ. Η Ολομέλεια της Διάσκεψης</w:t>
      </w:r>
    </w:p>
    <w:p>
      <w:pPr>
        <w:pStyle w:val="Normal"/>
        <w:rPr/>
      </w:pPr>
      <w:r>
        <w:rPr/>
      </w:r>
      <w:r>
        <w:br w:type="page"/>
      </w:r>
    </w:p>
    <w:p>
      <w:pPr>
        <w:pStyle w:val="Titre2"/>
        <w:numPr>
          <w:ilvl w:val="1"/>
          <w:numId w:val="2"/>
        </w:numPr>
        <w:rPr/>
      </w:pPr>
      <w:bookmarkStart w:id="33" w:name="__RefHeading___Toc298240_1346298689"/>
      <w:bookmarkEnd w:id="33"/>
      <w:r>
        <w:rPr/>
        <w:t>Α. Ρόλος και λειτουργία της Ολομέλειας</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Συγκροτήθηκε σύνοδος ολομέλειας της διάσκεψης για να συζητηθούν οι συστάσεις που διατυπώθηκαν από τις εθνικές και ευρωπαϊκές ομάδες πολιτών, ομαδοποιημένες ανά θέμα, χωρίς το αποτέλεσμα των συζητήσεων να καθορίζεται εκ των προτέρων ή το πεδίο εφαρμογής τους να περιορίζεται σε προκαθορισμένους τομείς πολιτικής.</w:t>
      </w:r>
    </w:p>
    <w:p>
      <w:pPr>
        <w:pStyle w:val="Corpsdetexte"/>
        <w:rPr/>
      </w:pPr>
      <w:r>
        <w:rPr/>
        <w:t>Συζητήθηκαν επίσης οι εισηγήσεις που συγκεντρώθηκαν στην πολυγλωσσική πλατφόρμα, ανάλογα με την περίπτωση. Η σύνοδος ολομέλειας είχε μοναδική σύνθεση: περιελάμβανε, για πρώτη φορά, πολίτες που εκπροσωπούν ευρωπαϊκές και εθνικές εκδηλώσεις και ομάδες πολιτών, εκπροσώπους των θεσμικών οργάνων της ΕΕ και των συμβουλευτικών οργάνων της, εκλεγμένους εκπροσώπους σε εθνικό, περιφερειακό και τοπικό επίπεδο, καθώς και εκπροσώπους της κοινωνίας των πολιτών και των κοινωνικών εταίρων.</w:t>
      </w:r>
    </w:p>
    <w:p>
      <w:pPr>
        <w:pStyle w:val="Corpsdetexte"/>
        <w:rPr/>
      </w:pPr>
      <w:r>
        <w:rPr/>
        <w:t>Οι συστάσεις υποβλήθηκαν από τους πολίτες και συζητήθηκαν μαζί τους· στη συνέχεια, η ολομέλεια έπρεπε να υποβάλει τις προτάσεις της σε συναινετική βάση</w:t>
      </w:r>
      <w:r>
        <w:rPr>
          <w:rStyle w:val="Ancredenotedebasdepage"/>
          <w:rStyle w:val="Ancredenotedebasdepage"/>
        </w:rPr>
        <w:footnoteReference w:id="7"/>
      </w:r>
      <w:r>
        <w:rPr/>
        <w:t xml:space="preserve"> στην εκτελεστική επιτροπή. Η ολομέλεια της Διάσκεψης συνεδρίασε επτά φορές μεταξύ Ιουνίου 2021 και Απριλίου 2022.</w:t>
      </w:r>
    </w:p>
    <w:p>
      <w:pPr>
        <w:pStyle w:val="Corpsdetexte"/>
        <w:rPr/>
      </w:pPr>
      <w:r>
        <w:rPr/>
        <w:t>Η ολομέλεια της διάσκεψης απαρτιζόταν από 108 εκπροσώπους του Ευρωπαϊκού Κοινοβουλίου, 54 εκπροσώπους του Συμβουλίου και τρεις εκπροσώπους</w:t>
      </w:r>
      <w:r>
        <w:rPr>
          <w:rStyle w:val="Ancredenotedebasdepage"/>
          <w:rStyle w:val="Ancredenotedebasdepage"/>
        </w:rPr>
        <w:footnoteReference w:id="8"/>
      </w:r>
      <w:r>
        <w:rPr/>
        <w:t>της Ευρωπαϊκής Επιτροπής, καθώς και 108 εκπροσώπους όλων των εθνικών κοινοβουλίων επί ίσοις όροις και πολίτες.</w:t>
      </w:r>
    </w:p>
    <w:p>
      <w:pPr>
        <w:pStyle w:val="Corpsdetexte"/>
        <w:rPr/>
      </w:pPr>
      <w:r>
        <w:rPr/>
        <w:t>Ογδόντα εκπρόσωποι των ομάδων ευρωπαίων πολιτών, εκ των οποίων τουλάχιστον το ένα τρίτο ήταν κάτω των 25 ετών, ο πρόεδρος του Ευρωπαϊκού Φόρουμ Νεολαίας και 27</w:t>
      </w:r>
      <w:r>
        <w:rPr>
          <w:rStyle w:val="Ancredenotedebasdepage"/>
          <w:rStyle w:val="Ancredenotedebasdepage"/>
        </w:rPr>
        <w:footnoteReference w:id="9"/>
      </w:r>
      <w:r>
        <w:rPr/>
        <w:t xml:space="preserve"> εκπρόσωποι εθνικών εκδηλώσεων και/ή εθνικών ομάδων πολιτών συμμετείχαν επίσης.</w:t>
      </w:r>
    </w:p>
    <w:p>
      <w:pPr>
        <w:pStyle w:val="Corpsdetexte"/>
        <w:rPr/>
      </w:pPr>
      <w:r>
        <w:rPr/>
        <w:t>Συμμετείχαν επίσης δεκαοκτώ εκπρόσωποι της Επιτροπής των Περιφερειών και 18 εκπρόσωποι της Οικονομικής και Κοινωνικής Επιτροπής, έξι εκλεγμένοι εκπρόσωποι των περιφερειακών αρχών και έξι εκλεγμένοι εκπρόσωποι των τοπικών αρχών, 12 εκπρόσωποι των κοινωνικών εταίρων και οκτώ εκπρόσωποι της κοινωνίας των πολιτών. Η Ύπατη Εκπρόσωπος της Ένωσης για Θέματα Εξωτερικής Πολιτικής και Πολιτικής Ασφαλείας κλήθηκε να συζητήσει τον διεθνή ρόλο της ΕΕ.</w:t>
      </w:r>
    </w:p>
    <w:p>
      <w:pPr>
        <w:pStyle w:val="Corpsdetexte"/>
        <w:rPr/>
      </w:pPr>
      <w:r>
        <w:rPr/>
        <w:t>Προσκλήθηκαν επίσης εκπρόσωποι βασικών ενδιαφερόμενων μερών, όπως εκπρόσωποι εταίρων από τα Δυτικά Βαλκάνια, την Ουκρανία, θρησκευτικές, φιλοσοφικές και μη ομολογιακές ομάδες.</w:t>
      </w:r>
    </w:p>
    <w:p>
      <w:pPr>
        <w:pStyle w:val="Corpsdetexte"/>
        <w:rPr/>
      </w:pPr>
      <w:r>
        <w:rPr/>
        <w:t>Οι συνεδριάσεις της Ολομέλειας προεδρεύονται από κοινού από τους συμπροέδρους της Διάσκεψης. Οι συνεδριάσεις της ολομέλειας της διάσκεψης πραγματοποιήθηκαν στα κτίρια του Ευρωπαϊκού Κοινοβουλίου στο Στρασβούργο. Λόγω των ισχυόντων κανονισμών για την υγεία και την ασφάλεια, οι πρώτες πέντε συνεδριάσεις της Ολομέλειας του Συνεδρίου πραγματοποιήθηκαν σε υβριδική μορφή, ενώ οι δύο τελευταίες πραγματοποιήθηκαν αυτοπροσώπως. Οι συνεδριάσεις ολομέλειας της διάσκεψης μεταδίδονται ζωντανά και όλα τα έγγραφα των συνεδριάσεων τέθηκαν στη διάθεση του κοινού μέσω της πολύγλωσσης ψηφιακής πλατφόρμας.</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Β. Ομάδες εργασίας</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Σύμφωνα με τον εσωτερικό κανονισμό της Διάσκεψης, οι συμπρόεδροι πρότειναν στην Ολομέλεια της Διάσκεψης τη σύσταση εννέα θεματικών ομάδων εργασίας, με βάση τα θέματα της πολύγλωσσης ψηφιακής πλατφόρμας, προκειμένου να συμβάλουν στην προετοιμασία των συζητήσεων και των προτάσεων της Ολομέλειας της Διάσκεψης, σύμφωνα με τις παραμέτρους της κοινής δήλωσης. Τον Οκτώβριο του 2021, οι συμπρόεδροι συμφώνησαν σχετικά με την εντολή για τις ομάδες εργασίας. Οι διάφορες ομάδες εργασίας κάλυπταν τα ακόλουθα θέματα: Την κλιματική αλλαγή και το περιβάλλον· Υγεία· Ισχυρότερη οικονομία, κοινωνική δικαιοσύνη και απασχόληση· Η ΕΕ στον κόσμο· Αξίες και δικαιώματα, κράτος δικαίου, ασφάλεια· Ψηφιακός μετασχηματισμός· Την ευρωπαϊκή δημοκρατία· Τη μετανάστευση· εκπαίδευση, Πολιτισμός, Νεολαία και Αθλητισμός.</w:t>
      </w:r>
    </w:p>
    <w:p>
      <w:pPr>
        <w:pStyle w:val="Normal"/>
        <w:rPr/>
      </w:pPr>
      <w:r>
        <w:rPr/>
        <w:t>Οι ομάδες εργασίας παρουσίασαν τη συμβολή τους στην Ολομέλεια της Διάσκεψης εξετάζοντας τις συστάσεις των αντίστοιχων εθνικών ομάδων και ομάδων ευρωπαίων πολιτών, καθώς και τις εισηγήσεις που δημοσιεύθηκαν στην πολύγλωσση ψηφιακή πλατφόρμα για τα εννέα θέματα που συγκεντρώθηκαν στο πλαίσιο της Διάσκεψης. Τα μέλη της ολομέλειας της διάσκεψης χωρίστηκαν μεταξύ των εννέα ομάδων εργασίας ως εξής: δώδεκα μέλη ανά ομάδα εργασίας για το Ευρωπαϊκό Κοινοβούλιο και τα εθνικά κοινοβούλια, έξι για το Συμβούλιο, τρία για τους εκπροσώπους εθνικών ομάδων πολιτών ή εθνικές εκδηλώσεις, δύο για την Επιτροπή των Περιφερειών και δύο για την Οικονομική και Κοινωνική Επιτροπή, ένα ή δύο για τους κοινωνικούς εταίρους, ένα για την κοινωνία των πολιτών και ένα για τα εκλεγμένα μέλη των τοπικών και περιφερειακών αρχών, και εκπρόσωποι των ομάδων ευρωπαίων πολιτών. Εκπρόσωποι των ομάδων ευρωπαίων πολιτών συμμετείχαν στις εργασίες της ομάδας εργασίας που είναι αρμόδια για την ομάδα εργασίας τους. Επιπλέον, έχουν γίνει ειδικές ρυθμίσεις για να επιτραπεί στα μέλη του Σώματος των Επιτρόπων να συμμετέχουν σε ομάδες εργασίας σύμφωνα με τα χαρτοφυλάκια τους.</w:t>
      </w:r>
    </w:p>
    <w:p>
      <w:pPr>
        <w:pStyle w:val="Normal"/>
        <w:rPr/>
      </w:pPr>
      <w:r>
        <w:rPr/>
        <w:t>Οι ομάδες εργασίας διεξήγαγαν ζωηρές συζητήσεις και επεξεργάστηκαν σχέδια προτάσεων που καταρτίστηκαν υπό την καθοδήγηση του προέδρου και του εκπροσώπου Τύπου, οι οποίοι επελέγησαν μεταξύ των εκπροσώπων των ομάδων ευρωπαίων πολιτών στην ομάδα εργασίας, με τη βοήθεια της κοινής γραμματείας. Οι ομάδες εργασίας επρόκειτο να εργαστούν με βάση τη συναίνεση που προβλέπεται στο άρθρο 17 του Εσωτερικού Κανονισμού της Διάσκεψης. Στη συνέχεια, ο πρόεδρος και ο εκπρόσωπος Τύπου παρουσιάζουν τα αποτελέσματα της ομάδας εργασίας στην Ολομέλεια. Ο πρόεδρος της ομάδας εργασίας επικουρήθηκε από την κοινή γραμματεία. Η γραμματεία της κοινής διάσκεψης εκπόνησε τις συγκεφαλαιωτικές εκθέσεις κάθε συνεδρίασης της ομάδας εργασίας υπό την καθοδήγηση του προέδρου και σε διαβούλευση με τα μέλη της ομάδας εργασίας.</w:t>
      </w:r>
    </w:p>
    <w:p>
      <w:pPr>
        <w:pStyle w:val="Normal"/>
        <w:rPr/>
      </w:pPr>
      <w:r>
        <w:rPr/>
        <w:t>Οι ομάδες εργασίας συνεδρίασαν στο περιθώριο των συνεδριάσεων ολομέλειας της Διάσκεψης μεταξύ Οκτωβρίου 2021 και 8 Απριλίου 2022, καθώς και διαδικτυακά τον Δεκέμβριο του 2021. Ορισμένες ομάδες εργασίας πραγματοποίησαν πρόσθετες συνεδριάσεις. Οι συνεδριάσεις της ομάδας εργασίας μεταδόθηκαν ζωντανά από τις 20 Ιανουαρίου 2022. Οι συγκεφαλαιωτικές εκθέσεις τους έχουν δημοσιευθεί δεόντως στην ενότητα «Ολομέλεια της Διάσκεψης» σχετικά με την πολύγλωσση ψηφιακή πλατφόρμα.</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Γ. Χρονολογική περίληψη</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ΕΝΑΡΚΤΉΡΙΑ ΣΎΝΟΔΟΣ ΟΛΟΜΈΛΕΙΑΣ ΤΗΣ ΔΙΆΣΚΕΨΗΣ, 19 ΙΟΥΝΊΟΥ 2021</w:t>
      </w:r>
    </w:p>
    <w:p>
      <w:pPr>
        <w:pStyle w:val="Normal"/>
        <w:rPr/>
      </w:pPr>
      <w:r>
        <w:rPr/>
        <w:t>Η εναρκτήρια σύνοδος ολομέλειας της διάσκεψης πραγματοποιήθηκε στις 19 Ιουνίου 2021 σε υβριδική μορφή</w:t>
      </w:r>
      <w:r>
        <w:rPr>
          <w:rStyle w:val="Ancredenotedebasdepage"/>
          <w:rStyle w:val="Ancredenotedebasdepage"/>
        </w:rPr>
        <w:footnoteReference w:id="10"/>
      </w:r>
      <w:r>
        <w:rPr/>
        <w:t>. Επέτρεψε στα μέλη της ολομέλειας να ακούσουν μια παρουσίαση και να διεξαγάγουν γενική συζήτηση σχετικά με τον σκοπό και τις προσδοκίες της διάσκεψης. Οι συμπρόεδροι υπογράμμισαν τον άνευ προηγουμένου χαρακτήρα αυτής της άσκησης διαβουλευτικής δημοκρατίας σε επίπεδο ΕΕ, η οποία ενίσχυσε την αντιπροσωπευτική δημοκρατία, θέτοντας τους πολίτες στο επίκεντρο της χάραξης πολιτικής στην Ευρωπαϊκή Ένωση. Οι συμπρόεδροι υπογράμμισαν επίσης τη λειτουργία των τριών πυλώνων της διάσκεψης: η πολύγλωσση ψηφιακή πλατφόρμα, οι ευρωπαϊκές και εθνικές ομάδες πολιτών και η ολομέλεια.</w:t>
      </w:r>
    </w:p>
    <w:p>
      <w:pPr>
        <w:pStyle w:val="Normal"/>
        <w:rPr/>
      </w:pPr>
      <w:r>
        <w:rPr/>
        <w:t>Επιπλέον, τα μέλη της ολομέλειας ενημερώθηκαν για την πρόθεση σύστασης εννέα θεματικών ομάδων εργασίας, καθώς και για το χρονοδιάγραμμα της διάσκεψης. Στη συζήτηση που ακολούθησε, στην οποία έλαβαν τον λόγο περισσότεροι από 150 συμμετέχοντες, συζητήθηκε ευρύ φάσμα θεμάτων. Δεδομένου ότι η επιλογή των συμμετεχόντων στις ομάδες ευρωπαίων πολιτών δεν έχει ακόμη ολοκληρωθεί, ο Πρόεδρος του Ευρωπαϊκού Φόρουμ Νεολαίας και 27 εκπρόσωποι εθνικών εκδηλώσεων και/ή εθνικών ομάδων πολιτών συμμετείχαν για να εκπροσωπήσουν τη συνιστώσα του πολίτη.</w:t>
      </w:r>
    </w:p>
    <w:p>
      <w:pPr>
        <w:pStyle w:val="Normal"/>
        <w:rPr/>
      </w:pPr>
      <w:r>
        <w:rPr>
          <w:b/>
          <w:i/>
          <w:u w:val="single"/>
        </w:rPr>
        <w:t>ΔΕΎΤΕΡΗ ΣΎΝΟΔΟΣ ΟΛΟΜΈΛΕΙΑΣ ΤΗΣ ΔΙΆΣΚΕΨΗΣ, 22-23 ΟΚΤΩΒΡΊΟΥ 2021</w:t>
      </w:r>
      <w:r>
        <w:rPr/>
        <w:t xml:space="preserve"> </w:t>
      </w:r>
    </w:p>
    <w:p>
      <w:pPr>
        <w:pStyle w:val="Normal"/>
        <w:rPr/>
      </w:pPr>
      <w:r>
        <w:rPr/>
        <w:t>Η δεύτερη σύνοδος ολομέλειας της διάσκεψης πραγματοποιήθηκε στις 22-23 Οκτωβρίου 2021 σε υβριδική μορφή, με τη συμμετοχή, για πρώτη φορά, εκπροσώπων των ομάδων ευρωπαίων πολιτών. Τα μέλη της ολομέλειας είχαν την ευκαιρία να ακούσουν παρουσίαση σχετικά με την πορεία των τεσσάρων ομάδων ευρωπαίων πολιτών και να διεξαγάγουν συζήτηση. Επιπλέον, εκπρόσωποι εθνικών εκδηλώσεων και ομάδων μπόρεσαν να παρουσιάσουν τις εκδηλώσεις που διοργανώθηκαν σε εθνικό επίπεδο. Υποβλήθηκε στην Ολομέλεια της Διάσκεψης έκθεση σχετικά με την Ευρωπαϊκή Εκδήλωση για τη Νεολαία (EYE)· παρείχε επισκόπηση των 20 συγκεκριμένων ιδεών που επέλεξαν οι νέοι πολίτες που συμμετείχαν στη συνεδρίαση.</w:t>
      </w:r>
    </w:p>
    <w:p>
      <w:pPr>
        <w:pStyle w:val="Normal"/>
        <w:rPr/>
      </w:pPr>
      <w:r>
        <w:rPr/>
        <w:t>Στη συζήτηση που ακολούθησε, δόθηκε έμφαση στον καινοτόμο χαρακτήρα της πολύγλωσσης ψηφιακής πλατφόρμας, η οποία έδωσε στους πολίτες φωνή στο κεφάλαιο και θέση συζήτησης σε όλες τις επίσημες γλώσσες της ΕΕ. Η συζήτηση αυτή βασίστηκε στη δεύτερη ενδιάμεση έκθεση σχετικά με την πλατφόρμα. Οι εταίροι των Δυτικών Βαλκανίων κλήθηκαν να συμμετάσχουν στην εν λόγω σύνοδο ολομέλειας ως βασικοί ενδιαφερόμενοι φορείς.</w:t>
      </w:r>
    </w:p>
    <w:p>
      <w:pPr>
        <w:pStyle w:val="Normal"/>
        <w:rPr/>
      </w:pPr>
      <w:r>
        <w:rPr>
          <w:b/>
          <w:i/>
          <w:u w:val="single"/>
        </w:rPr>
        <w:t>ΤΡΊΤΗ ΣΎΝΟΔΟΣ ΟΛΟΜΈΛΕΙΑΣ ΤΗΣ ΔΙΆΣΚΕΨΗΣ, 21-22 ΙΑΝΟΥΑΡΊΟΥ 2022</w:t>
      </w:r>
      <w:r>
        <w:rPr/>
        <w:t xml:space="preserve"> </w:t>
      </w:r>
    </w:p>
    <w:p>
      <w:pPr>
        <w:pStyle w:val="Normal"/>
        <w:rPr/>
      </w:pPr>
      <w:r>
        <w:rPr/>
        <w:t>Η τρίτη σύνοδος ολομέλειας της διάσκεψης, η οποία πραγματοποιήθηκε στις 21-22 Ιανουαρίου 2022, ήταν η πρώτη που αφιερώθηκε στην επίσημη παρουσίαση συστάσεων από ομάδες ευρωπαίων πολιτών, καθώς και από σχετικές εθνικές ομάδες πολιτών. Αυτή η σύνοδος ολομέλειας ήταν η πρώτη που πραγματοποιήθηκε μετά την οριστικοποίηση των συστάσεων ορισμένων ομάδων ευρωπαίων πολιτών, και συγκεκριμένα: ομάδες 2 (Ευρωπαϊκή Δημοκρατία· αξίες και δικαιώματα, κράτος δικαίου, ασφάλεια) και 3 (Κλιματική αλλαγή και περιβάλλον· υγεία). Η σύνοδος ολομέλειας πραγματοποιήθηκε σε υβριδική μορφή, με τη συμμετοχή περισσότερων από 400 μελών της συνόδου, είτε επιτόπου είτε εξ αποστάσεως.</w:t>
      </w:r>
    </w:p>
    <w:p>
      <w:pPr>
        <w:pStyle w:val="Normal"/>
        <w:rPr/>
      </w:pPr>
      <w:r>
        <w:rPr/>
        <w:t>Αυτή η ολομέλεια σημαδεύτηκε επίσης από τον θάνατο, λίγο πριν, του Προέδρου του Ευρωπαϊκού Κοινοβουλίου, David Maria Sassoli. Οι συμπρόεδροι αποτίουν φόρο τιμής στη μνήμη του κατά την έναρξη της συνεδρίασης. Οι συζητήσεις της εν λόγω ολομέλειας διοργανώθηκαν ανά θέμα, σχετικά με τα θέματα που καλύπτονται από τις ομάδες ευρωπαίων πολιτών 2 και 3.</w:t>
      </w:r>
    </w:p>
    <w:p>
      <w:pPr>
        <w:pStyle w:val="Normal"/>
        <w:rPr/>
      </w:pPr>
      <w:r>
        <w:rPr/>
        <w:t>Οι συζητήσεις πραγματοποιήθηκαν σε καινοτόμο διαδραστική μορφή, συμπεριλαμβανομένων στιγμών αφιερωμένων στην ανατροφοδότηση των πολιτών, καθώς και ενός ειδικού συστήματος ερωτήσεων «μπλε κάρτας» που επέτρεψε αυθόρμητες και ζωηρές ανταλλαγές σχετικά με τις συστάσεις των πολιτών.</w:t>
      </w:r>
    </w:p>
    <w:p>
      <w:pPr>
        <w:pStyle w:val="Normal"/>
        <w:rPr/>
      </w:pPr>
      <w:r>
        <w:rPr>
          <w:b/>
          <w:i/>
          <w:u w:val="single"/>
        </w:rPr>
        <w:t>ΤΈΤΑΡΤΗ ΣΎΝΟΔΟΣ ΟΛΟΜΈΛΕΙΑΣ ΤΗΣ ΔΙΆΣΚΕΨΗΣ, 11-12 ΜΑΡΤΊΟΥ 2022</w:t>
      </w:r>
      <w:r>
        <w:rPr/>
        <w:t xml:space="preserve"> </w:t>
      </w:r>
    </w:p>
    <w:p>
      <w:pPr>
        <w:pStyle w:val="Normal"/>
        <w:rPr/>
      </w:pPr>
      <w:r>
        <w:rPr/>
        <w:t>Η τέταρτη σύνοδος ολομέλειας της διάσκεψης αφιερώθηκε επίσης στην παρουσίαση των συστάσεων των ομάδων ευρωπαίων πολιτών, καθώς και των σχετικών εθνικών ομάδων πολιτών. Η σύνοδος ολομέλειας πραγματοποιήθηκε μετά την οριστικοποίηση των συστάσεων των δύο υπόλοιπων ομάδων ευρωπαίων πολιτών, και συγκεκριμένα: ομάδες 1 (Μια ισχυρότερη οικονομία, κοινωνική δικαιοσύνη και απασχόληση· εκπαίδευση, πολιτισμός, νεολαία και αθλητισμός· ψηφιακός μετασχηματισμός) και 4 (η ΕΕ στον κόσμο· μετανάστευση).</w:t>
      </w:r>
    </w:p>
    <w:p>
      <w:pPr>
        <w:pStyle w:val="Normal"/>
        <w:rPr/>
      </w:pPr>
      <w:r>
        <w:rPr/>
        <w:t>Όπως και κατά τη σύνοδο ολομέλειας του Ιανουαρίου, οι συζητήσεις της εν λόγω ολομέλειας διοργανώθηκαν ανά θέμα. Τα θέματα που συζητήθηκαν αυτή τη φορά ήταν εκείνα των ομάδων ευρωπαίων πολιτών 1 και 4. Οι συζητήσεις σχετικά με τις συστάσεις των πολιτών οδήγησαν και πάλι σε ζωηρές και εις βάθος ανταλλαγές, με την υποστήριξη μιας καινοτόμου διαδραστικής μορφής.</w:t>
      </w:r>
    </w:p>
    <w:p>
      <w:pPr>
        <w:pStyle w:val="Normal"/>
        <w:rPr/>
      </w:pPr>
      <w:r>
        <w:rPr>
          <w:b/>
          <w:i/>
          <w:u w:val="single"/>
        </w:rPr>
        <w:t>ΠΈΜΠΤΗ ΣΎΝΟΔΟΣ ΟΛΟΜΈΛΕΙΑΣ ΤΗΣ ΔΙΆΣΚΕΨΗΣ, 25-26 ΜΑΡΤΊΟΥ 2022</w:t>
      </w:r>
      <w:r>
        <w:rPr/>
        <w:t xml:space="preserve"> </w:t>
      </w:r>
    </w:p>
    <w:p>
      <w:pPr>
        <w:pStyle w:val="Normal"/>
        <w:rPr/>
      </w:pPr>
      <w:r>
        <w:rPr/>
        <w:t>Η πέμπτη σύνοδος ολομέλειας σηματοδότησε την είσοδο της διάσκεψης στην επόμενη φάση της, με την έναρξη της διαδικασίας καθορισμού των προτάσεων της ολομέλειας με βάση τις συστάσεις των πολιτών. Ως εκ τούτου, τα μέλη της ολομέλειας, έχοντας προετοιμαστεί στο μικρότερο θεματικό πλαίσιο των ομάδων εργασίας, πραγματοποίησαν, για πρώτη φορά, συζητήσεις σχετικά με τα εννέα θέματα της διάσκεψης: ισχυρότερη οικονομία, κοινωνική δικαιοσύνη και απασχόληση· εκπαίδευση, πολιτισμός, νεολαία και αθλητισμός· ψηφιακός μετασχηματισμός· Την ευρωπαϊκή δημοκρατία· αξίες και δικαιώματα, κράτος δικαίου, ασφάλεια· την κλιματική αλλαγή και το περιβάλλον· υγεία· η ΕΕ στον κόσμο· το μεταναστευτικό. Η σύνοδος αυτή αποτέλεσε επίσης ευκαιρία για τους εκπροσώπους εθνικών εκδηλώσεων που διοργανώνονται στα 27 κράτη μέλη της ΕΕ να παρουσιάσουν τα αποτελέσματα των πρωτοβουλιών τους.</w:t>
      </w:r>
    </w:p>
    <w:p>
      <w:pPr>
        <w:pStyle w:val="Normal"/>
        <w:rPr/>
      </w:pPr>
      <w:r>
        <w:rPr>
          <w:b/>
          <w:i/>
          <w:u w:val="single"/>
        </w:rPr>
        <w:t>ΈΚΤΗ ΣΎΝΟΔΟΣ ΟΛΟΜΈΛΕΙΑΣ ΤΗΣ ΔΙΆΣΚΕΨΗΣ, 8-9 ΑΠΡΙΛΊΟΥ 2022</w:t>
      </w:r>
      <w:r>
        <w:rPr/>
        <w:t xml:space="preserve"> </w:t>
      </w:r>
    </w:p>
    <w:p>
      <w:pPr>
        <w:pStyle w:val="Normal"/>
        <w:rPr/>
      </w:pPr>
      <w:r>
        <w:rPr/>
        <w:t>Κατά την έκτη συνεδρίαση ολομέλειας της διάσκεψης ολοκληρώθηκε η οριστικοποίηση των σχεδίων προτάσεων της ολομέλειας.</w:t>
      </w:r>
    </w:p>
    <w:p>
      <w:pPr>
        <w:pStyle w:val="Normal"/>
        <w:rPr/>
      </w:pPr>
      <w:r>
        <w:rPr/>
        <w:t>Μετά την ολοκλήρωση των τελευταίων συνεδριάσεων των θεματικών ομάδων εργασίας, όλα τα μέλη της ολομέλειας, μέσα από εννέα ουσιαστικές συζητήσεις, εξέφρασαν τις απόψεις τους και τα σχόλιά τους σχετικά με τα σχέδια προτάσεων που είχαν ετοιμάσει τους τελευταίους μήνες. Η ανταλλαγή αυτή αποτέλεσε επίσης ευκαιρία για αυτούς να προβληματιστούν σχετικά με τη μοναδική διαδικασία κατάρτισης των προτάσεων της ολομέλειας, με βάση τις συστάσεις των πολιτών, καθώς και σχετικά με το έργο που επιτελείται μετά τη διατύπωσή τους. Οι πολίτες, ειδικότερα, τόνισαν τη μοναδική ανθρώπινη εμπειρία και την προστιθέμενη αξία αυτής της διαδικασίας διαβούλευσης, η οποία τους ενώνει γύρω από αυτό το κοινό σχέδιο. Η συζήτηση αυτή τροφοδοτήθηκε με τα τελικά σχέδια προτάσεων που θα υποβληθούν στην πιο πρόσφατη σύνοδο ολομέλειας της Διάσκεψης.</w:t>
      </w:r>
    </w:p>
    <w:p>
      <w:pPr>
        <w:pStyle w:val="Normal"/>
        <w:rPr/>
      </w:pPr>
      <w:r>
        <w:rPr>
          <w:b/>
          <w:i/>
          <w:u w:val="single"/>
        </w:rPr>
        <w:t>ΈΒΔΟΜΗ ΣΎΝΟΔΟΣ ΟΛΟΜΈΛΕΙΑΣ ΤΗΣ ΔΙΆΣΚΕΨΗΣ, 29-30 ΑΠΡΙΛΊΟΥ 2022</w:t>
      </w:r>
      <w:r>
        <w:rPr/>
        <w:t xml:space="preserve"> </w:t>
      </w:r>
    </w:p>
    <w:p>
      <w:pPr>
        <w:pStyle w:val="Normal"/>
        <w:rPr/>
      </w:pPr>
      <w:r>
        <w:rPr/>
        <w:t>Η έβδομη και τελευταία σύνοδος ολομέλειας της Διάσκεψης για το Μέλλον της Ευρώπης αποτέλεσε σημαντικό ορόσημο, ολοκληρώνοντας μια διαδικασία εντατικών διαβουλεύσεων που διήρκεσε αρκετούς μήνες με τη διατύπωση 49 προτάσεων. Οι 49 προτάσεις υποβλήθηκαν και διατυπώθηκαν από την ολομέλεια στην εκτελεστική επιτροπή σε συναινετική βάση. Η συναίνεση αυτή επιτεύχθηκε μεταξύ των εκπροσώπων του Ευρωπαϊκού Κοινοβουλίου, του Συμβουλίου, της Ευρωπαϊκής Επιτροπής και των εθνικών κοινοβουλίων.</w:t>
      </w:r>
    </w:p>
    <w:p>
      <w:pPr>
        <w:pStyle w:val="Normal"/>
        <w:rPr/>
      </w:pPr>
      <w:r>
        <w:rPr/>
        <w:t xml:space="preserve">Εκπρόσωποι της Επιτροπής των Περιφερειών και της Ευρωπαϊκής Οικονομικής και Κοινωνικής Επιτροπής, αιρετοί αντιπρόσωποι σε περιφερειακό και τοπικό επίπεδο, καθώς και εκπρόσωποι των κοινωνικών εταίρων και της κοινωνίας των πολιτών εξέφρασαν επίσης την υποστήριξή τους στη διαδικασία και υποστήριξαν τις προτάσεις. </w:t>
      </w:r>
    </w:p>
    <w:p>
      <w:pPr>
        <w:pStyle w:val="Normal"/>
        <w:rPr/>
      </w:pPr>
      <w:r>
        <w:rPr/>
        <w:t>Η συνιστώσα των πολιτών παρουσίασε την τελική της θέση σχετικά με τις προτάσεις (βλ. βασικά μηνύματα κατωτέρω).</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Κατά την καταληκτική σύνοδο ολομέλειας (29-30 Απριλίου 2022), οι 108 πολίτες της συνιστώσας «Πολίτες» παρουσίασαν την τελική τους θέση επί των προτάσεων της ολομέλειας. Η παρουσίασή τους σχεδιάστηκε συλλογικά και παρουσιάστηκε από 17 από αυτούς με τη μορφή αφηγηματικού λόγου, κατά τη διάρκεια της τελικής συζήτησης. Το παρακάτω κείμενο αποτελεί σύνοψη των βασικών μηνυμάτων των παρεμβάσεών τους.</w:t>
      </w:r>
    </w:p>
    <w:p>
      <w:pPr>
        <w:pStyle w:val="P68B1DB1Normal14"/>
        <w:shd w:val="clear" w:fill="EEEEEE"/>
        <w:jc w:val="center"/>
        <w:rPr>
          <w:sz w:val="20"/>
        </w:rPr>
      </w:pPr>
      <w:r>
        <w:rPr/>
        <w:t>**</w:t>
      </w:r>
    </w:p>
    <w:p>
      <w:pPr>
        <w:pStyle w:val="P68B1DB1Normal14"/>
        <w:shd w:val="clear" w:fill="EEEEEE"/>
        <w:rPr>
          <w:sz w:val="20"/>
        </w:rPr>
      </w:pPr>
      <w:r>
        <w:rPr/>
        <w:t>Αρχίζουμε ευχαριστώντας το Ευρωπαϊκό Κοινοβούλιο, το Συμβούλιο και την Επιτροπή που μας έδωσαν την ευκαιρία να βοηθήσουμε στη διαμόρφωση του μέλλοντος της Ευρώπης. Συναντηθήκαμε με Ευρωπαίους συναδέλφους από όλη την Ένωση, από διάφορες ομάδες και εκδηλώσεις, με πολιτικούς εκπροσώπους και κοινωνικούς παράγοντες, και διεύρυναν τους ορίζοντες μας. Μεγαλώσαμε ως Ευρωπαίοι. Γι’ αυτό όλοι έχουμε κάνει θυσίες: μας αφαίρεσαν από την καθημερινή μας ζωή, μας αφαίρεσαν τις μέρες μας και περάσαμε, για τα μέλη των ομάδων ευρωπαίων πολιτών, εννέα Σαββατοκύριακα μακριά από τις οικογένειές μας. Αλλά είχαμε μια απίστευτη και μοναδική εμπειρία. Για εμάς, δεν ήταν χάσιμο χρόνου.</w:t>
      </w:r>
    </w:p>
    <w:p>
      <w:pPr>
        <w:pStyle w:val="P68B1DB1Normal14"/>
        <w:shd w:val="clear" w:fill="EEEEEE"/>
        <w:rPr>
          <w:sz w:val="20"/>
        </w:rPr>
      </w:pPr>
      <w:r>
        <w:rPr/>
        <w:t>Υπήρχαν σκαμπανεβάσματα στην πορεία. Δεν λάβαμε πάντα απάντηση στις ερωτήσεις μας. Γνωρίζουμε ότι θα χρειαστεί χρόνος για την υλοποίηση των προτάσεων. Αλλά είμαστε πεπεισμένοι ότι θα κάνετε ό,τι χρειάζεται για να επιτευχθεί αυτό, από σεβασμό προς το κοινό μας έργο. Αν εμείς, οι πολίτες, έχουμε καταφέρει να ξεπεράσουμε τις διαφορές μας, τα γλωσσικά εμπόδια, να συνεργαστούμε και να ανυψωθούμε στο επίπεδό σας, μπορείτε και εσείς.</w:t>
      </w:r>
    </w:p>
    <w:p>
      <w:pPr>
        <w:pStyle w:val="P68B1DB1Normal14"/>
        <w:shd w:val="clear" w:fill="EEEEEE"/>
        <w:jc w:val="center"/>
        <w:rPr>
          <w:sz w:val="20"/>
        </w:rPr>
      </w:pPr>
      <w:r>
        <w:rPr/>
        <w:t>**</w:t>
      </w:r>
    </w:p>
    <w:p>
      <w:pPr>
        <w:pStyle w:val="P68B1DB1Normal14"/>
        <w:shd w:val="clear" w:fill="EEEEEE"/>
        <w:rPr>
          <w:sz w:val="20"/>
        </w:rPr>
      </w:pPr>
      <w:r>
        <w:rPr/>
        <w:t>Όλοι έχουμε διανύσει πολύ δρόμο και τώρα που το έργο μας στην ολομέλεια έχει τελειώσει, μπορούμε να είμαστε περήφανοι γι’ αυτό. Βλέπουμε 8 οριζόντια θέματα που δίνουν σαφή και ισχυρή εντολή για το μέλλον της Ευρώπης.</w:t>
      </w:r>
    </w:p>
    <w:p>
      <w:pPr>
        <w:pStyle w:val="P68B1DB1Normal14"/>
        <w:shd w:val="clear" w:fill="EEEEEE"/>
        <w:rPr>
          <w:sz w:val="20"/>
        </w:rPr>
      </w:pPr>
      <w:r>
        <w:rPr>
          <w:b/>
        </w:rPr>
        <w:t>Πρώτον</w:t>
      </w:r>
      <w:r>
        <w:rPr/>
        <w:t>, μια Ευρωπαϊκή Ένωση βασισμένη στην αλληλεγγύη, την κοινωνική δικαιοσύνη και την ισότητα. Πράγματι, μεγάλη ανησυχία για τους πολίτες είναι η εξεύρεση ίσων όρων και δικαιωμάτων σε διάφορους τομείς: υγειονομική περίθαλψη, κοινωνικές υπηρεσίες, διά βίου μάθηση, ίσες ευκαιρίες για τα άτομα που ζουν σε αγροτικές και αστικές περιοχές, λαμβάνοντας υπόψη δημογραφικές παραμέτρους. Στο μέλλον, οι Ευρωπαίοι σε όλα τα κράτη μέλη και τις περιφέρειες δεν θα πρέπει πλέον να υφίστανται διακρίσεις λόγω της ηλικίας, του τόπου διαμονής, της εθνικότητας, του φύλου, της θρησκείας ή των πολιτικών προτιμήσεών τους. Θα πρέπει να τους προσφέρονται αξιοπρεπές βιοτικό επίπεδο, μισθοί και συνθήκες εργασίας. Η ΕΕ πρέπει να είναι κάτι περισσότερο από μια οικονομική ένωση. Τα κράτη μέλη πρέπει να επιδείξουν μεγαλύτερη αλληλεγγύη μεταξύ τους. Είμαστε οικογένεια και πρέπει να συμπεριφερόμαστε έτσι σε καταστάσεις κρίσης.</w:t>
      </w:r>
    </w:p>
    <w:p>
      <w:pPr>
        <w:pStyle w:val="P68B1DB1Normal14"/>
        <w:shd w:val="clear" w:fill="EEEEEE"/>
        <w:rPr>
          <w:sz w:val="20"/>
        </w:rPr>
      </w:pPr>
      <w:r>
        <w:rPr>
          <w:b/>
        </w:rPr>
        <w:t>Δεύτερον</w:t>
      </w:r>
      <w:r>
        <w:rPr/>
        <w:t>, η ΕΕ πρέπει να τολμήσει και να δράσει γρήγορα για να πρωτοστατήσει στο περιβάλλον και το κλίμα, επιταχύνοντας τη μετάβαση στην πράσινη ενέργεια, βελτιώνοντας το σιδηροδρομικό της δίκτυο, ενθαρρύνοντας τις βιώσιμες μεταφορές και μια πραγματικά κυκλική οικονομία. Δεν υπάρχει χρόνος για χάσιμο. Η ΕΕ πρέπει να προωθήσει την αλλαγή σε πολλούς τομείς πολιτικής: γεωργία, βιοποικιλότητα, οικονομία, ενέργεια, μεταφορές, εκπαίδευση, υγεία, ψηφιακός μετασχηματισμός και κλιματική διπλωματία. Έχουμε τις ερευνητικές δυνατότητες, την οικονομική δύναμη και τη γεωπολιτική μόχλευση για να το κάνουμε. Αν κάνουμε το κλίμα προτεραιότητα, μπορούμε να ελπίζουμε σε ένα μέλλον ευημερίας.</w:t>
      </w:r>
    </w:p>
    <w:p>
      <w:pPr>
        <w:pStyle w:val="P68B1DB1Normal14"/>
        <w:shd w:val="clear" w:fill="EEEEEE"/>
        <w:rPr>
          <w:sz w:val="20"/>
        </w:rPr>
      </w:pPr>
      <w:r>
        <w:rPr>
          <w:b/>
        </w:rPr>
        <w:t>Τρίτον</w:t>
      </w:r>
      <w:r>
        <w:rPr/>
        <w:t>, η Ευρώπη χρειάζεται μια πιο δημοκρατική Ένωση. Οι ευρωπαίοι πολίτες αγαπούν την ΕΕ, αλλά ας είμαστε ειλικρινείς: δεν είναι πάντα εύκολο. Μας κάλεσες να σε βοηθήσουμε και μας ζήτησες: πώς θα πρέπει να μοιάζει η ευρωπαϊκή δημοκρατία στο μέλλον; Και σας απαντήσαμε: Εμείς, οι πολίτες, θέλουμε μια Ευρώπη στην οποία οι αποφάσεις θα λαμβάνονται με διαφάνεια και ταχύτητα, όπου θα επανεξετάζεται η αρχή της ομοφωνίας και στην οποία εμείς, οι πολίτες, συμμετέχουμε τακτικά και σοβαρά.</w:t>
      </w:r>
    </w:p>
    <w:p>
      <w:pPr>
        <w:pStyle w:val="P68B1DB1Normal14"/>
        <w:shd w:val="clear" w:fill="EEEEEE"/>
        <w:rPr>
          <w:sz w:val="20"/>
        </w:rPr>
      </w:pPr>
      <w:r>
        <w:rPr>
          <w:b/>
        </w:rPr>
        <w:t>Τέταρτον</w:t>
      </w:r>
      <w:r>
        <w:rPr/>
        <w:t>, η ΕΕ χρειάζεται μεγαλύτερη εναρμόνιση σε ορισμένους τομείς και να προσεγγίσει ως Ένωση. Ο πόλεμος χτυπά τις πύλες μας στην Ανατολή, που μας καλεί να είμαστε πιο ενωμένοι από ποτέ και να δώσουμε στην ΕΕ περισσότερες δεξιότητες στον τομέα των εξωτερικών υποθέσεων. Η διάσκεψη αυτή μπορεί να χρησιμεύσει ως βάση για τη δημιουργία μιας πιο ενωμένης και πολιτικά συνεκτικής Ευρώπης. Όλα καταλήγουν σε αυτή τη λέξη: Για την Ένωση. Δεν μπορούμε να περιγράψουμε τους εαυτούς μας ως τέτοιους αν αποτύχουμε να επιτύχουμε τη συνεργασία που έχει απεικονίσει αυτή η διάσκεψη.</w:t>
      </w:r>
    </w:p>
    <w:p>
      <w:pPr>
        <w:pStyle w:val="P68B1DB1Normal14"/>
        <w:shd w:val="clear" w:fill="EEEEEE"/>
        <w:rPr>
          <w:sz w:val="20"/>
        </w:rPr>
      </w:pPr>
      <w:r>
        <w:rPr>
          <w:b/>
        </w:rPr>
        <w:t>Πέμπτον</w:t>
      </w:r>
      <w:r>
        <w:rPr/>
        <w:t>, η ΕΕ πρέπει να αποκτήσει αυτονομία και να διασφαλίσει την παγκόσμια ανταγωνιστικότητά της. Καθ’ όλη τη διάρκεια αυτής της διαδικασίας, μιλήσαμε για την επίτευξη αυτού του στόχου σε βασικούς στρατηγικούς τομείς: γεωργία, ενέργεια, βιομηχανία, υγεία. Πρέπει να αποφύγουμε την εξάρτηση από τρίτες χώρες για πολλά ευαίσθητα προϊόντα. Πρέπει να αξιοποιήσουμε το ταλέντο του εργατικού δυναμικού μας, να αποτρέψουμε τη διαρροή εγκεφάλων και να παρέχουμε επαρκή κατάρτιση δεξιοτήτων στους πολίτες σε όλα τα στάδια της ζωής τους, ανεξάρτητα από το πού ζουν στην ΕΕ. Δεν μπορούμε να έχουμε τεράστιες ανισότητες εντός της ΕΕ και των νέων χωρίς προοπτική σε μια χώρα, αναγκασμένοι να μεταβούν σε μια άλλη.</w:t>
      </w:r>
    </w:p>
    <w:p>
      <w:pPr>
        <w:pStyle w:val="P68B1DB1Normal14"/>
        <w:shd w:val="clear" w:fill="EEEEEE"/>
        <w:rPr>
          <w:sz w:val="20"/>
        </w:rPr>
      </w:pPr>
      <w:r>
        <w:rPr>
          <w:b/>
        </w:rPr>
        <w:t>Έκτον</w:t>
      </w:r>
      <w:r>
        <w:rPr/>
        <w:t>, το μέλλον της ΕΕ βασίζεται στις αξίες της. Αυτά καθοδήγησαν τη δουλειά μας. Όταν ξεκινήσαμε, κανείς δεν θα μπορούσε να φανταστεί ότι ένας πόλεμος θα ξεσπούσε στην ήπειρό μας. Αυτός ο αγώνας για την ελευθερία μας κάνει να συνειδητοποιήσουμε την ευκαιρία που έχουμε να ζήσουμε σε μια ειρηνική ένωση. Πίσω από όλες τις προτάσεις μας, εκφράζονται αυτές οι αξίες: ανθρώπινη και αξιοπρεπής υποδοχή των μεταναστών, ισότιμη πρόσβαση στην υγεία, καταπολέμηση της διαφθοράς, έκκληση για προστασία της φύσης και της βιοποικιλότητας και μια πιο δημοκρατική Ένωση.</w:t>
      </w:r>
    </w:p>
    <w:p>
      <w:pPr>
        <w:pStyle w:val="P68B1DB1Normal14"/>
        <w:shd w:val="clear" w:fill="EEEEEE"/>
        <w:rPr>
          <w:sz w:val="20"/>
        </w:rPr>
      </w:pPr>
      <w:r>
        <w:rPr>
          <w:b/>
        </w:rPr>
        <w:t>Έβδομον</w:t>
      </w:r>
      <w:r>
        <w:rPr/>
        <w:t>, στο μέλλον, οι πολίτες θα πρέπει να αισθάνονται πιο ευρωπαίοι και να γνωρίσουν καλύτερα την ΕΕ. Πρόκειται για ένα οριζόντιο ζήτημα που έχει στηρίξει το έργο όλων των πάνελ. Ο ψηφιακός μετασχηματισμός, η εκπαίδευση, η κινητικότητα και οι ανταλλαγές μπορούν να δώσουν ουσία σε αυτή την ευρωπαϊκή ταυτότητα, η οποία συμπληρώνει, χωρίς να τις θέτει υπό αμφισβήτηση, τις εθνικές μας ταυτότητες. Πολλοί από εμάς δεν αισθανθήκαμε Ευρωπαίοι πριν από αυτή τη διάσκεψη: προέκυψε εδώ, σιγά-σιγά, ανταλλάσσοντας μεταξύ τους. Ήμασταν αρκετά τυχεροί που είχαμε αυτή την ευκαιρία, αλλά πολλοί όχι. Αυτός είναι ο λόγος για τον οποίο η ενημέρωση, η επικοινωνία και η ευαισθητοποίηση είναι τόσο σημαντικές.</w:t>
      </w:r>
    </w:p>
    <w:p>
      <w:pPr>
        <w:pStyle w:val="P68B1DB1Normal14"/>
        <w:shd w:val="clear" w:fill="EEEEEE"/>
        <w:rPr>
          <w:sz w:val="20"/>
        </w:rPr>
      </w:pPr>
      <w:r>
        <w:rPr/>
        <w:t xml:space="preserve">Τέλος, ένα </w:t>
      </w:r>
      <w:r>
        <w:rPr>
          <w:b/>
        </w:rPr>
        <w:t>όγδοο</w:t>
      </w:r>
      <w:r>
        <w:rPr/>
        <w:t xml:space="preserve"> εγκάρσιο θέμα, εξαιρετικά σημαντικό για εμάς, είναι η εκπαίδευση και η ενδυνάμωση των πολιτών γενικότερα. Για τη διάσκεψη αυτή, αποφασίσατε να προσκαλέσετε πολίτες από την ηλικία των 16 ετών. Είμαστε ευγνώμονες γι’ αυτό γιατί, περισσότερο από ποτέ, είναι απαραίτητο να ενδυναμώσουμε τους νέους. Το υψηλό ποσοστό αποχής των νέων δείχνει ότι η σχέση μεταξύ νεολαίας και πολιτικής πρέπει να επανασυνδεθεί. Πρέπει επίσης να λογοδοτούν οικονομικά και κοινωνικά: είναι ακόμη πολύ δύσκολο να εισέλθει κανείς στην αγορά εργασίας, να διεκδικήσει τα κοινωνικά του δικαιώματα. Κατά τη διάρκεια της πανδημίας COVID-19, αισθάνθηκαν εγκαταλελειμμένοι και πολλοί εξακολουθούν να υφίστανται τις συνέπειες για την ψυχική τους υγεία. Αλλά όλοι οι Ευρωπαίοι πρέπει να ενδυναμωθούν, όχι μόνο οι νέοι: μέσω των προγραμμάτων κινητικότητας και της διά βίου μάθησης, πρέπει να διευρύνουμε τους ορίζοντες όλων των Ευρωπαίων. Πρέπει επίσης να εκπαιδεύσουμε τους πολίτες στη δημοκρατία, τη συμμετοχή στα κοινά και τον γραμματισμό στα μέσα επικοινωνίας. Χρειαζόμαστε μια πραγματικά ολιστική προσέγγιση.</w:t>
      </w:r>
    </w:p>
    <w:p>
      <w:pPr>
        <w:pStyle w:val="P68B1DB1Normal14"/>
        <w:shd w:val="clear" w:fill="EEEEEE"/>
        <w:jc w:val="center"/>
        <w:rPr>
          <w:sz w:val="20"/>
        </w:rPr>
      </w:pPr>
      <w:r>
        <w:rPr/>
        <w:t>**</w:t>
      </w:r>
    </w:p>
    <w:p>
      <w:pPr>
        <w:pStyle w:val="P68B1DB1Normal14"/>
        <w:shd w:val="clear" w:fill="EEEEEE"/>
        <w:rPr>
          <w:sz w:val="20"/>
        </w:rPr>
      </w:pPr>
      <w:r>
        <w:rPr/>
        <w:t>Κανείς δεν ήξερε ποιο θα ήταν το αποτέλεσμα. 27 χώρες, 24 γλώσσες, διαφορετικές ηλικίες. Και όμως, όταν δουλέψαμε μαζί, αισθανθήκαμε συνδεδεμένοι: ο εγκέφαλός μας, οι σκέψεις μας, οι εμπειρίες μας. Δεν είμαστε εμπειρογνώμονες από την ΕΕ ή ένα από τα θέματα της διάσκεψης, αλλά είμαστε πραγματικοί εμπειρογνώμονες και έχουμε τις ιστορίες μας. Πηγαίνουμε στη δουλειά, ζούμε στην ύπαιθρο και στα προάστια, εργαζόμαστε τη νύχτα, μελετάμε, έχουμε παιδιά, παίρνουμε δημόσιες συγκοινωνίες. Μπορούμε να βασιστούμε στην διαφορετικότητά μας. Επιτεύχθηκε συναίνεση όσον αφορά τις προτάσεις μεταξύ των τεσσάρων διαφορετικών συνιστωσών και εντός της συνιστώσας των πολιτών. Συμφωνούμε και υποστηρίζουμε όλες τις προτάσεις που βρίσκονται τώρα στα χέρια σας. Εκφράζουμε μια αποκλίνουσα θέση για το μέτρο 38.4, τρίτο σημείο, διότι δεν προέρχεται από ευρωπαϊκές ομάδες ή εθνικές ομάδες και δεν έχει συζητηθεί επαρκώς στην ομάδα εργασίας του συνόλου. Αυτός είναι ο λόγος για τον οποίο δεν σχολιάζουμε την ουσία ή τη σημασία αυτού του μέτρου. Έχοντας αυτό κατά νου, σας καλούμε να εξετάσετε αυτές τις προτάσεις στο σύνολό τους, να τις υλοποιήσετε, και όχι μόνο αυτές που σας ταιριάζουν περισσότερο και είναι εύκολα εφαρμόσιμες. Κάντε το με διαφάνεια. Εργαστήκαμε πάνω σε αυτές τις προτάσεις με αφοσίωση και πάθος, είμαστε περήφανοι για το έργο μας: σεβαστείτε τον.</w:t>
      </w:r>
    </w:p>
    <w:p>
      <w:pPr>
        <w:pStyle w:val="P68B1DB1Normal14"/>
        <w:shd w:val="clear" w:fill="EEEEEE"/>
        <w:rPr>
          <w:sz w:val="20"/>
        </w:rPr>
      </w:pPr>
      <w:r>
        <w:rPr/>
        <w:t>Η Διάσκεψη για το Μέλλον της Ευρώπης πέρασε από μια πανδημία και έγινε μάρτυρας ενός πολέμου στην Ευρώπη, αποδεικνύοντας την πλήρη αλληλεγγύη της προς τον ουκρανικό λαό. Η χρονιά ήταν ταραχώδης για τους συμμετέχοντες και για όλους τους Ευρωπαίους. Αλλά η Διάσκεψη συνέχισε το έργο της, ενάντια στους ανέμους και τις παλίρροιες. ΕΚ μέρους των πολιτών της Διάσκεψης, επιτρέψτε μας να ολοκληρώσουμε στέλνοντάς σας ένα απλό μήνυμα: αισθανόμαστε Ευρωπαίοι, αισθανόμαστε προσηλωμένοι και ακούμε στη διαδικασία εκδημοκρατισμού, πιστεύουμε στην ΕΕ και θέλουμε να συνεχίσουμε να πιστεύουμε σε αυτήν. Έτσι, από τα βάθη της καρδιάς μας, διαβάστε καλά τις προτάσεις και εφαρμόστε τις, για χάρη του μέλλοντος της Ευρώπης.</w:t>
      </w:r>
    </w:p>
    <w:p>
      <w:pPr>
        <w:pStyle w:val="Normal"/>
        <w:shd w:val="clear" w:fill="EEEEEE"/>
        <w:rPr/>
      </w:pPr>
      <w:r>
        <w:rPr/>
      </w:r>
      <w:r>
        <w:br w:type="page"/>
      </w:r>
    </w:p>
    <w:p>
      <w:pPr>
        <w:pStyle w:val="Corpsdetexte"/>
        <w:rPr/>
      </w:pPr>
      <w:r>
        <w:rPr/>
        <w:t>Οι εκπρόσωποι της συνιστώσας του Συμβουλίου της Ολομέλειας απείχαν από το να σχολιάσουν την ουσία των προτάσεων, αλλά αντ’ αυτού υποστήριξαν και ενθάρρυναν τις δραστηριότητες των πολιτών και έλαβαν υπό σημείωση τις συστάσεις τους. Μετά τις 9 Μαΐου 2022, το Συμβούλιο θα καθορίσει τον τρόπο με τον οποίο θα δοθεί συνέχεια στα αποτελέσματα της Διάσκεψης, στο πλαίσιο των αρμοδιοτήτων του και σύμφωνα με τις Συνθήκες.</w:t>
      </w:r>
    </w:p>
    <w:p>
      <w:pPr>
        <w:pStyle w:val="Normal"/>
        <w:rPr/>
      </w:pPr>
      <w:r>
        <w:rPr/>
      </w:r>
    </w:p>
    <w:p>
      <w:pPr>
        <w:pStyle w:val="Corpsdetexte"/>
        <w:rPr/>
      </w:pPr>
      <w:r>
        <w:rPr/>
        <w:t>Η Εκτελεστική Επιτροπή της Διάσκεψης για το Μέλλον της Ευρώπης λαμβάνει υπό σημείωση τις προτάσεις της Ολομέλειας και τις παρουσιάζει ως το τελικό αποτέλεσμα της Διάσκεψης. Παρέχοντας καθοδήγηση για το μέλλον της Ευρώπης, οι προτάσεις αυτές ελήφθησαν μετά από σχεδόν ένα χρόνο διαβουλεύσεων, στο πλαίσιο που καθορίζεται από την κοινή δήλωση και τον εσωτερικό κανονισμό της Διάσκεψης.</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ΕΙΚΟΝΑ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ΕΙΚΟΝΑ20" descr=""/>
                    <pic:cNvPicPr>
                      <a:picLocks noChangeAspect="1" noChangeArrowheads="1"/>
                    </pic:cNvPicPr>
                  </pic:nvPicPr>
                  <pic:blipFill>
                    <a:blip r:embed="rId74"/>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Ο IV. Οι προτάσεις της Ολομέλειας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ΕΙΚΟΝΑ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ΕΙΚΟΝΑ 21"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Κλιματική αλλαγή και περιβάλλον</w:t>
      </w:r>
    </w:p>
    <w:p>
      <w:pPr>
        <w:pStyle w:val="Titre3"/>
        <w:numPr>
          <w:ilvl w:val="2"/>
          <w:numId w:val="2"/>
        </w:numPr>
        <w:rPr/>
      </w:pPr>
      <w:bookmarkStart w:id="38" w:name="__RefHeading___Toc298250_1346298689"/>
      <w:bookmarkEnd w:id="38"/>
      <w:r>
        <w:rPr/>
        <w:t>1. ΠΡΟΤΑΣΗ: Γεωργία, παραγωγή τροφίμων, βιοποικιλότητα και οικοσυστήματα, ρύπανση</w:t>
      </w:r>
    </w:p>
    <w:p>
      <w:pPr>
        <w:pStyle w:val="P68B1DB1Normal15"/>
        <w:rPr>
          <w:b/>
          <w:b/>
        </w:rPr>
      </w:pPr>
      <w:r>
        <w:rPr/>
        <w:t>ΣΚΟΠΟΣ ΣΤΟΧΟΣ: Ασφαλή, βιώσιμη, δίκαιη, ανταποκρινόμενη στο κλίμα και οικονομικά προσιτή παραγωγή τροφίμων που σέβεται τις αρχές της βιωσιμότητας και του περιβάλλοντος και προστατεύει τη βιοποικιλότητα και τα οικοσυστήματα, διασφαλίζοντας παράλληλα την επισιτιστική ασφάλεια.</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Μετρα:</w:t>
      </w:r>
    </w:p>
    <w:p>
      <w:pPr>
        <w:pStyle w:val="Puce3"/>
        <w:rPr/>
      </w:pPr>
      <w:r>
        <w:rPr/>
        <w:t>1.</w:t>
        <w:tab/>
        <w:t>Να φέρει τις έννοιες των πράσινων και γαλάζιων οικονομιών στην πρώτη γραμμή προωθώντας την αποδοτική και φιλική προς το περιβάλλον και το κλίμα γεωργία και αλιεία στην ΕΕ και σε ολόκληρο τον κόσμο, συμπεριλαμβανομένης της βιολογικής γεωργίας και άλλων καινοτόμων και βιώσιμων μορφών γεωργίας, όπως η κάθετη γεωργία, οι οποίες επιτρέπουν περισσότερη παραγωγή με λιγότερες εισροές, μειώνοντας παράλληλα τις εκπομπές και τις περιβαλλοντικές επιπτώσεις, αλλά συνεχίζοντας να διασφαλίζουν την παραγωγικότητα και την επισιτιστική ασφάλεια (Πίνακας 3 — Συστάσεις 1, 2 και 10· ομάδα 2 — Σύσταση 4).</w:t>
      </w:r>
    </w:p>
    <w:p>
      <w:pPr>
        <w:pStyle w:val="Puce3"/>
        <w:rPr/>
      </w:pPr>
      <w:r>
        <w:rPr/>
        <w:t>2.</w:t>
        <w:tab/>
        <w:t>Αναπροσανατολισμός των επιδοτήσεων και ενίσχυση των κινήτρων για τη βιολογική και βιώσιμη γεωργία που πληρούν συγκεκριμένα περιβαλλοντικά πρότυπα και συμβάλλουν στην επίτευξη των παγκόσμιων στόχων για το κλίμα (Πίνακας 3 — Συστάσεις 1 και 12).</w:t>
      </w:r>
    </w:p>
    <w:p>
      <w:pPr>
        <w:pStyle w:val="Puce3"/>
        <w:rPr/>
      </w:pPr>
      <w:r>
        <w:rPr/>
        <w:t>3.</w:t>
        <w:tab/>
        <w:t>Εφαρμογή των αρχών της κυκλικής οικονομίας στη γεωργία και ενθάρρυνση μέτρων για την καταπολέμηση της σπατάλης τροφίμων (συζήτηση στην ομάδα εργασίας, πολύγλωσση ψηφιακή πλατφόρμα — NPC).</w:t>
      </w:r>
    </w:p>
    <w:p>
      <w:pPr>
        <w:pStyle w:val="Puce3"/>
        <w:rPr/>
      </w:pPr>
      <w:r>
        <w:rPr/>
        <w:t>4.</w:t>
        <w:tab/>
        <w:t>Σημαντική μείωση της χρήσης φυτοφαρμάκων και χημικών λιπασμάτων, σύμφωνα με τους υφιστάμενους στόχους, με παράλληλη συνέχιση της διασφάλισης της ασφάλειας των τροφίμων και στήριξη της έρευνας για την ανάπτυξη πιο βιώσιμων εναλλακτικών λύσεων που βασίζονται στη φύση (πίνακας 3 — σύσταση 10, συζήτηση στην ομάδα εργασίας).</w:t>
      </w:r>
    </w:p>
    <w:p>
      <w:pPr>
        <w:pStyle w:val="Puce3"/>
        <w:rPr/>
      </w:pPr>
      <w:r>
        <w:rPr/>
        <w:t>5.</w:t>
        <w:tab/>
        <w:t>Καθιέρωση πιστοποίησης των απορροφήσεων άνθρακα βάσει στιβαρής, ισχυρής και διαφανούς λογιστικής καταγραφής του άνθρακα (συζήτηση ολομέλειας).</w:t>
      </w:r>
    </w:p>
    <w:p>
      <w:pPr>
        <w:pStyle w:val="Puce3"/>
        <w:rPr/>
      </w:pPr>
      <w:r>
        <w:rPr/>
        <w:t>6.</w:t>
        <w:tab/>
        <w:t>Αύξηση της έρευνας και της καινοτομίας, ιδίως όσον αφορά τις τεχνολογικές λύσεις που σχετίζονται με τη βιώσιμη παραγωγή, την αντοχή σε επιβλαβείς οργανισμούς και τη γεωργία ακριβείας, καθώς και την επικοινωνία, τα συστήματα παροχής συμβουλών και την κατάρτιση των γεωργών και των γεωργών (πίνακας 3 — σύσταση 10, συζήτηση στην ομάδα εργασίας, συζήτηση στην ολομέλεια).</w:t>
      </w:r>
    </w:p>
    <w:p>
      <w:pPr>
        <w:pStyle w:val="Puce3"/>
        <w:rPr/>
      </w:pPr>
      <w:r>
        <w:rPr/>
        <w:t>7.</w:t>
        <w:tab/>
        <w:t>Εξάλειψη του κοινωνικού ντάμπινγκ και προώθηση μιας δίκαιης πράσινης μετάβασης σε καλύτερες θέσεις εργασίας στον γεωργικό τομέα, με υψηλής ποιότητας ασφάλεια, υγεία και συνθήκες εργασίας (συζήτηση στην ομάδα εργασίας).</w:t>
      </w:r>
    </w:p>
    <w:p>
      <w:pPr>
        <w:pStyle w:val="Puce3"/>
        <w:rPr/>
      </w:pPr>
      <w:r>
        <w:rPr/>
        <w:t>8.</w:t>
        <w:tab/>
        <w:t>Να συζητηθούν πτυχές όπως η χρήση πλαστικών σε γεωργικές μεμβράνες και τρόποι μείωσης της κατανάλωσης νερού στη γεωργία (PNM).</w:t>
      </w:r>
    </w:p>
    <w:p>
      <w:pPr>
        <w:pStyle w:val="Puce3"/>
        <w:rPr/>
      </w:pPr>
      <w:r>
        <w:rPr/>
        <w:t>9.</w:t>
        <w:tab/>
        <w:t>Η αιτιολογημένη εκτροφή και παραγωγή κρέατος επικεντρώθηκε στην καλή μεταχείριση και τη βιωσιμότητα των ζώων μέσω μέτρων όπως η σαφής επισήμανση, η υψηλή ποιότητα και η κοινή κτηνοτροφία και τα πρότυπα μεταφοράς, ενισχύοντας τη σύνδεση μεταξύ ζωικού κεφαλαίου και ζωοτροφών (πίνακας 3 — Συστάσεις 16 και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ΠΡΟΤΑΣΗ: Γεωργία, παραγωγή τροφίμων, βιοποικιλότητα και οικοσυστήματα, ρύπανση</w:t>
      </w:r>
    </w:p>
    <w:p>
      <w:pPr>
        <w:pStyle w:val="P68B1DB1Normal15"/>
        <w:rPr>
          <w:b/>
          <w:b/>
        </w:rPr>
      </w:pPr>
      <w:r>
        <w:rPr/>
        <w:t>ΣΚΟΠΟΣ ΣΤΟΧΟΣ: Προστασία και αποκατάσταση της βιοποικιλότητας, του τοπίου και των ωκεανών και εξάλειψη της ρύπανσης.</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Μετρα:</w:t>
      </w:r>
    </w:p>
    <w:p>
      <w:pPr>
        <w:pStyle w:val="Puce3"/>
        <w:tabs>
          <w:tab w:val="clear" w:pos="720"/>
        </w:tabs>
        <w:rPr/>
      </w:pPr>
      <w:r>
        <w:rPr/>
        <w:t>1.</w:t>
        <w:tab/>
        <w:t>Δημιουργία, αποκατάσταση, διαχείριση και επέκταση προστατευόμενων περιοχών για τη διατήρηση της βιοποικιλότητας (Σύσταση ΓΑ, Ομάδα 3 — Σύσταση 11).</w:t>
      </w:r>
    </w:p>
    <w:p>
      <w:pPr>
        <w:pStyle w:val="Puce3"/>
        <w:tabs>
          <w:tab w:val="clear" w:pos="720"/>
        </w:tabs>
        <w:rPr/>
      </w:pPr>
      <w:r>
        <w:rPr/>
        <w:t>2.</w:t>
        <w:tab/>
        <w:t>Δημιουργία συστήματος εξαναγκασμού και ανταμοιβής για την καταπολέμηση της ρύπανσης, εφαρμόζοντας την αρχή «ο ρυπαίνων πληρώνει», το οποίο θα πρέπει επίσης να ενσωματωθεί σε φορολογικά μέτρα και με καλύτερη ευαισθητοποίηση και κίνητρα (πίνακας 3 — σύσταση 32, σύσταση ΓΑ, συζήτηση στην ολομέλεια).</w:t>
      </w:r>
    </w:p>
    <w:p>
      <w:pPr>
        <w:pStyle w:val="Puce3"/>
        <w:tabs>
          <w:tab w:val="clear" w:pos="720"/>
        </w:tabs>
        <w:rPr/>
      </w:pPr>
      <w:r>
        <w:rPr/>
        <w:t>3.</w:t>
        <w:tab/>
        <w:t>Διεύρυνση του ρόλου των δήμων στον πολεοδομικό σχεδιασμό και την κατασκευή νέων κτιρίων που υποστηρίζουν μπλε και πράσινες υποδομές, αποφυγή περαιτέρω σφράγισης της γης και τερματισμό της, υποχρεωτικοί χώροι πρασίνου για νέες κατασκευές με σκοπό την προώθηση της βιοποικιλότητας και των αστικών δασών (πίνακας 3 — σύσταση 5, ομάδα 1 — σύσταση 18, σύσταση ΓΑ).</w:t>
      </w:r>
    </w:p>
    <w:p>
      <w:pPr>
        <w:pStyle w:val="Puce3"/>
        <w:tabs>
          <w:tab w:val="clear" w:pos="720"/>
        </w:tabs>
        <w:rPr/>
      </w:pPr>
      <w:r>
        <w:rPr/>
        <w:t>4.</w:t>
        <w:tab/>
        <w:t>Προστασία των εντόμων, ιδίως των αυτοχθόνων ειδών και των ειδών επικονίασης, μεταξύ άλλων μέσω της προστασίας από χωροκατακτητικά είδη και της καλύτερης επιβολής των υφιστάμενων κανόνων (πίνακας 1 — σύσταση 18).</w:t>
      </w:r>
    </w:p>
    <w:p>
      <w:pPr>
        <w:pStyle w:val="Puce3"/>
        <w:tabs>
          <w:tab w:val="clear" w:pos="720"/>
        </w:tabs>
        <w:rPr/>
      </w:pPr>
      <w:r>
        <w:rPr/>
        <w:t>5.</w:t>
        <w:tab/>
        <w:t>Στήριξη της δάσωσης και της αναδάσωσης, συμπεριλαμβανομένων των δασών που καταστράφηκαν από πυρκαγιά, εφαρμογή υπεύθυνης διαχείρισης των δασών και ενθάρρυνση της καλύτερης χρήσης του ξύλου για την αντικατάσταση άλλων υλικών. Καθορισμός δεσμευτικών εθνικών στόχων σε όλα τα κράτη μέλη της ΕΕ για την αναδάσωση από αυτόχθονα δέντρα και τοπική χλωρίδα, λαμβανομένων υπόψη των διαφορετικών εθνικών καταστάσεων και ιδιαιτεροτήτων (πίνακας 3 — σύσταση 14, ομάδα 1 — σύσταση 18).</w:t>
      </w:r>
    </w:p>
    <w:p>
      <w:pPr>
        <w:pStyle w:val="Puce3"/>
        <w:tabs>
          <w:tab w:val="clear" w:pos="720"/>
        </w:tabs>
        <w:rPr/>
      </w:pPr>
      <w:r>
        <w:rPr/>
        <w:t>6.</w:t>
        <w:tab/>
        <w:t>Επιβολή και επέκταση της απαγόρευσης των πλαστικών μίας χρήσης (SMP).</w:t>
      </w:r>
    </w:p>
    <w:p>
      <w:pPr>
        <w:pStyle w:val="Puce3"/>
        <w:tabs>
          <w:tab w:val="clear" w:pos="720"/>
        </w:tabs>
        <w:rPr/>
      </w:pPr>
      <w:r>
        <w:rPr/>
        <w:t>7.</w:t>
        <w:tab/>
        <w:t>Προστασία των υδάτινων πηγών και καταπολέμηση της ρύπανσης των ποταμών και των ωκεανών, μεταξύ άλλων μέσω της έρευνας και της καταπολέμησης της μικροπλαστικής ρύπανσης, και προώθηση φιλικών προς το περιβάλλον μεταφορών με χρήση των βέλτιστων διαθέσιμων τεχνολογιών και δημιουργία έρευνας και χρηματοδότησης της Ένωσης για εναλλακτικά καύσιμα και τεχνολογίες ναυτιλίας (NMP, συζήτηση στην ομάδα εργασίας).</w:t>
      </w:r>
    </w:p>
    <w:p>
      <w:pPr>
        <w:pStyle w:val="Puce3"/>
        <w:tabs>
          <w:tab w:val="clear" w:pos="720"/>
        </w:tabs>
        <w:rPr/>
      </w:pPr>
      <w:r>
        <w:rPr/>
        <w:t>8.</w:t>
        <w:tab/>
        <w:t>Περιορισμός της φωτορύπανσης (συζήτηση στην ομάδα εργασίας).</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ΠΡΟΤΑΣΗ: Κλιματική αλλαγή, ενέργεια, μεταφορές</w:t>
      </w:r>
    </w:p>
    <w:p>
      <w:pPr>
        <w:pStyle w:val="P68B1DB1Normal15"/>
        <w:rPr>
          <w:b/>
          <w:b/>
        </w:rPr>
      </w:pPr>
      <w:r>
        <w:rPr/>
        <w:t>ΣΚΟΠΟΣ ΣΤΟΧΟΣ: Ενίσχυση της ευρωπαϊκής ενεργειακής ασφάλειας και επίτευξη της ενεργειακής ανεξαρτησίας της Ένωσης, με παράλληλη διασφάλιση της δίκαιης μετάβασης και παροχή επαρκούς βιώσιμης και οικονομικά προσιτής ενέργειας για τους Ευρωπαίους. Αντιμετώπιση της κλιματικής αλλαγής, δίνοντας στην ΕΕ ηγετικό ρόλο σε παγκόσμιο επίπεδο στην πολιτική βιώσιμης ενέργειας και σεβόμενη τους παγκόσμιους στόχους προστασίας του κλίματος.</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Μετρα:</w:t>
      </w:r>
    </w:p>
    <w:p>
      <w:pPr>
        <w:pStyle w:val="Puce3"/>
        <w:tabs>
          <w:tab w:val="clear" w:pos="720"/>
        </w:tabs>
        <w:rPr/>
      </w:pPr>
      <w:r>
        <w:rPr/>
        <w:t>1.</w:t>
        <w:tab/>
        <w:t>Επίτευξη και, όπου είναι δυνατόν, επιτάχυνση της πράσινης μετάβασης, μεταξύ άλλων με περισσότερες επενδύσεις σε ανανεώσιμες πηγές ενέργειας, προκειμένου να μειωθεί η εξωτερική ενεργειακή εξάρτηση, αναγνωρίζοντας επίσης τον ρόλο των τοπικών και περιφερειακών αρχών στην πράσινη μετάβαση (συζήτηση στην ομάδα εργασίας).</w:t>
      </w:r>
    </w:p>
    <w:p>
      <w:pPr>
        <w:pStyle w:val="Puce3"/>
        <w:tabs>
          <w:tab w:val="clear" w:pos="720"/>
        </w:tabs>
        <w:rPr/>
      </w:pPr>
      <w:r>
        <w:rPr/>
        <w:t>2.</w:t>
        <w:tab/>
        <w:t>Να εξετάσει, στο πλαίσιο των ενεργειακών πολιτικών, τις γεωπολιτικές επιπτώσεις και τις επιπτώσεις στην ασφάλεια όλων των προμηθευτών ενέργειας από τρίτες χώρες, ιδίως όσον αφορά τα ανθρώπινα δικαιώματα, την οικολογία, τη χρηστή διακυβέρνηση και το κράτος δικαίου (συζήτηση στην ομάδα εργασίας).</w:t>
      </w:r>
    </w:p>
    <w:p>
      <w:pPr>
        <w:pStyle w:val="Puce3"/>
        <w:tabs>
          <w:tab w:val="clear" w:pos="720"/>
        </w:tabs>
        <w:rPr/>
      </w:pPr>
      <w:r>
        <w:rPr/>
        <w:t>3.</w:t>
        <w:tab/>
        <w:t>Μείωση των εξαρτήσεων από τις εισαγωγές πετρελαίου και φυσικού αερίου μέσω έργων ενεργειακής απόδοσης, της στήριξης οικονομικά προσιτών δημόσιων μεταφορών, ενός σιδηροδρομικού δικτύου εμπορευματικών μεταφορών υψηλής ταχύτητας και της επέκτασης του εφοδιασμού με καθαρή και ανανεώσιμη ενέργεια (πίνακας 4 — σύσταση 2, ομάδα 1 — σύσταση 10, συστάσεις ΓΑ και ΓΕ).</w:t>
      </w:r>
    </w:p>
    <w:p>
      <w:pPr>
        <w:pStyle w:val="Puce3"/>
        <w:tabs>
          <w:tab w:val="clear" w:pos="720"/>
        </w:tabs>
        <w:rPr/>
      </w:pPr>
      <w:r>
        <w:rPr/>
        <w:t>4.</w:t>
        <w:tab/>
        <w:t>Βελτίωση της ποιότητας και της διασυνδεσιμότητας, διασφάλιση της συντήρησης και μετατροπή των υποδομών και των δικτύων ηλεκτρικής ενέργειας, προκειμένου να ενισχυθεί η ασφάλεια και να καταστεί δυνατή η μετάβαση σε ανανεώσιμες πηγές ενέργειας (πίνακας 1 — σύσταση 10, συζήτηση στην ομάδα εργασίας).</w:t>
      </w:r>
    </w:p>
    <w:p>
      <w:pPr>
        <w:pStyle w:val="Puce3"/>
        <w:tabs>
          <w:tab w:val="clear" w:pos="720"/>
        </w:tabs>
        <w:rPr/>
      </w:pPr>
      <w:r>
        <w:rPr/>
        <w:t>5.</w:t>
        <w:tab/>
        <w:t>Επενδύσεις σε τεχνολογίες ικανές να παράγουν ανανεώσιμη ενέργεια, όπως η αποδοτική παραγωγή πράσινου υδρογόνου, ιδίως σε τομείς που είναι δύσκολο να ηλεκτροδοτηθούν (πίνακας 3 — σύσταση 31, συζήτηση στην ομάδα εργασίας).</w:t>
      </w:r>
    </w:p>
    <w:p>
      <w:pPr>
        <w:pStyle w:val="Puce3"/>
        <w:tabs>
          <w:tab w:val="clear" w:pos="720"/>
        </w:tabs>
        <w:rPr/>
      </w:pPr>
      <w:r>
        <w:rPr/>
        <w:t>6.</w:t>
        <w:tab/>
        <w:t>Να επενδύσουν στη διερεύνηση νέων πηγών ενέργειας και φιλικών προς το περιβάλλον μεθόδων αποθήκευσης και, εν αναμονή μιας απτής λύσης, να προβούν σε πρόσθετες επενδύσεις σε υφιστάμενες βέλτιστες λύσεις παραγωγής και αποθήκευσης ενέργειας (Πίνακας 3 — Συστάσεις 9 και 31).</w:t>
      </w:r>
    </w:p>
    <w:p>
      <w:pPr>
        <w:pStyle w:val="Puce3"/>
        <w:tabs>
          <w:tab w:val="clear" w:pos="720"/>
        </w:tabs>
        <w:rPr/>
      </w:pPr>
      <w:r>
        <w:rPr/>
        <w:t>7.</w:t>
        <w:tab/>
        <w:t>Να καταστούν</w:t>
      </w:r>
      <w:r>
        <w:rPr>
          <w:vertAlign w:val="subscript"/>
        </w:rPr>
        <w:t>υποχρεωτικά</w:t>
      </w:r>
      <w:r>
        <w:rPr/>
        <w:t xml:space="preserve"> τα φίλτρα CO2 στους σταθμούς ηλεκτροπαραγωγής από ορυκτά καύσιμα και να παρασχεθεί οικονομική στήριξη στα κράτη μέλη που δεν διαθέτουν οικονομικούς πόρους για την εφαρμογή φίλτρων CO2</w:t>
      </w:r>
      <w:r>
        <w:rPr>
          <w:vertAlign w:val="subscript"/>
        </w:rPr>
        <w:t>(ομάδα</w:t>
      </w:r>
      <w:r>
        <w:rPr/>
        <w:t xml:space="preserve"> 3 — σύσταση 29).</w:t>
      </w:r>
    </w:p>
    <w:p>
      <w:pPr>
        <w:pStyle w:val="Puce3"/>
        <w:tabs>
          <w:tab w:val="clear" w:pos="720"/>
        </w:tabs>
        <w:rPr/>
      </w:pPr>
      <w:r>
        <w:rPr/>
        <w:t>8.</w:t>
        <w:tab/>
        <w:t>Διασφάλιση δίκαιης μετάβασης, προστασία των εργαζομένων και των θέσεων εργασίας μέσω επαρκούς χρηματοδότησης για τη μετάβαση και περαιτέρω έρευνα, μεταρρύθμιση του φορολογικού συστήματος μέσω δικαιότερων μέτρων φορολόγησης και καταπολέμησης της φορολογικής απάτης και διασφάλιση μιας χωρίς αποκλεισμούς προσέγγισης της διακυβέρνησης στη χάραξη πολιτικής σε όλα τα επίπεδα (π.χ. φιλόδοξα μέτρα επανεκπαίδευσης και αναβάθμισης των δεξιοτήτων, ισχυρή κοινωνική προστασία, διατήρηση των δημόσιων υπηρεσιών στα χέρια του κράτους, διατήρηση των κανόνων υγείας και ασφάλειας στην εργασία) (συζήτηση ολομέλειας, συζήτηση στην ΟΕ, NPC).</w:t>
      </w:r>
    </w:p>
    <w:p>
      <w:pPr>
        <w:pStyle w:val="Puce3"/>
        <w:tabs>
          <w:tab w:val="clear" w:pos="720"/>
        </w:tabs>
        <w:rPr/>
      </w:pPr>
      <w:r>
        <w:rPr/>
        <w:t>9.</w:t>
        <w:tab/>
        <w:t>Θέσπιση δέσμης επενδυτικών μέτρων για φιλικές προς το κλίμα τεχνολογίες και καινοτομίες, η οποία θα πρέπει να χρηματοδοτείται από εισαγωγικούς δασμούς που σχετίζονται με το κλίμα και εισφορές προσαρμογής άνθρακα που σχετίζονται με το κλίμα (σύσταση της ΓΕ).</w:t>
      </w:r>
    </w:p>
    <w:p>
      <w:pPr>
        <w:pStyle w:val="Puce3"/>
        <w:tabs>
          <w:tab w:val="clear" w:pos="720"/>
        </w:tabs>
        <w:rPr/>
      </w:pPr>
      <w:r>
        <w:rPr/>
        <w:t>10.</w:t>
        <w:tab/>
        <w:t>Κατά τη λήξη μιας μεταβατικής περιόδου, τα ορυκτά καύσιμα δεν θα πρέπει πλέον να λαμβάνουν επιδοτήσεις και δεν θα πρέπει να πραγματοποιείται χρηματοδότηση για παραδοσιακές υποδομές φυσικού αερίου (συζήτηση στην ομάδα εργασίας).</w:t>
      </w:r>
    </w:p>
    <w:p>
      <w:pPr>
        <w:pStyle w:val="Puce3"/>
        <w:tabs>
          <w:tab w:val="clear" w:pos="720"/>
        </w:tabs>
        <w:rPr/>
      </w:pPr>
      <w:r>
        <w:rPr/>
        <w:t>11.</w:t>
        <w:tab/>
        <w:t>Να αυξηθεί ο ηγετικός ρόλος και ο ρόλος και η ευθύνη της ΕΕ για την προώθηση μιας φιλόδοξης δράσης για το κλίμα και μιας δίκαιης μετάβασης και να συμβάλει στην αντιμετώπιση των απωλειών και των ζημιών στη διεθνή σκηνή, όπου ο ΟΗΕ πρέπει να βρίσκεται στο επίκεντρο της δράσης (σύσταση των Κάτω Χωρών, συζήτηση της ομάδας εργασίας).</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ΠΡΟΤΑΣΗ: Κλιματική αλλαγή, ενέργεια, μεταφορές</w:t>
      </w:r>
    </w:p>
    <w:p>
      <w:pPr>
        <w:pStyle w:val="P68B1DB1Normal15"/>
        <w:rPr>
          <w:b/>
          <w:b/>
        </w:rPr>
      </w:pPr>
      <w:r>
        <w:rPr/>
        <w:t>ΣΚΟΠΟΣ ΣΤΟΧΟΣ: Παροχή σύγχρονων, ασφαλών, οικολογικών και ποιοτικών υποδομών που εξασφαλίζουν συνδεσιμότητα, μεταξύ άλλων σε αγροτικές και νησιωτικές περιοχές, μεταξύ άλλων μέσω οικονομικά προσιτών δημόσιων συγκοινωνιών.</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Μετρα:</w:t>
      </w:r>
    </w:p>
    <w:p>
      <w:pPr>
        <w:pStyle w:val="Puce3"/>
        <w:tabs>
          <w:tab w:val="clear" w:pos="720"/>
        </w:tabs>
        <w:rPr/>
      </w:pPr>
      <w:r>
        <w:rPr/>
        <w:t>1.</w:t>
        <w:tab/>
        <w:t>Στήριξη των δημόσιων μεταφορών και ανάπτυξη ενός αποτελεσματικού, αξιόπιστου και οικονομικά προσιτού ευρωπαϊκού δικτύου δημόσιων μεταφορών, ιδίως στις αγροτικές και νησιωτικές περιοχές, μέσω πρόσθετων κινήτρων για τη χρήση των δημόσιων μεταφορών (πίνακας 3 — Σύσταση 36, ομάδα 4 — σύσταση 2).</w:t>
      </w:r>
    </w:p>
    <w:p>
      <w:pPr>
        <w:pStyle w:val="Puce3"/>
        <w:tabs>
          <w:tab w:val="clear" w:pos="720"/>
        </w:tabs>
        <w:rPr/>
      </w:pPr>
      <w:r>
        <w:rPr/>
        <w:t>2.</w:t>
        <w:tab/>
        <w:t>Να επενδύσουν σε νυχτερινά τρένα υψηλής ταχύτητας και να θέσουν ένα ενιαίο πρότυπο φιλικής προς το περιβάλλον σιδηροδρομικής τεχνολογίας στην Ευρώπη για να προσφέρουν μια αξιόπιστη εναλλακτική λύση και να διευκολύνουν τη δυνατότητα αντικατάστασης και αποθάρρυνσης των πτήσεων μικρών αποστάσεων (συζήτηση στην ομάδα εργασίας, NPM).</w:t>
      </w:r>
    </w:p>
    <w:p>
      <w:pPr>
        <w:pStyle w:val="Puce3"/>
        <w:tabs>
          <w:tab w:val="clear" w:pos="720"/>
        </w:tabs>
        <w:rPr/>
      </w:pPr>
      <w:r>
        <w:rPr/>
        <w:t>3.</w:t>
        <w:tab/>
        <w:t>Να ενθαρρύνουν την αγορά, λαμβάνοντας υπόψη την οικονομική προσιτότητά τους για τα νοικοκυριά, και την (κοινή) χρήση ηλεκτρικών οχημάτων που πληρούν ένα καλό πρότυπο ζωής της μπαταρίας, καθώς και τις επενδύσεις στις απαραίτητες υποδομές φόρτισης και τις επενδύσεις στην ανάπτυξη άλλων καθαρών τεχνολογιών για οχήματα των οποίων η ηλεκτροκίνηση είναι δύσκολο να επιτευχθεί (πίνακας 3 — σύσταση 38).</w:t>
      </w:r>
    </w:p>
    <w:p>
      <w:pPr>
        <w:pStyle w:val="Puce3"/>
        <w:tabs>
          <w:tab w:val="clear" w:pos="720"/>
        </w:tabs>
        <w:rPr/>
      </w:pPr>
      <w:r>
        <w:rPr/>
        <w:t>4.</w:t>
        <w:tab/>
        <w:t>Καθιέρωση ευρυζωνικής συνδεσιμότητας με το διαδίκτυο και το δίκτυο κινητής τηλεφωνίας σε αγροτικές και νησιωτικές περιοχές (πίνακας 3 — Σύσταση 36).</w:t>
      </w:r>
    </w:p>
    <w:p>
      <w:pPr>
        <w:pStyle w:val="Puce3"/>
        <w:tabs>
          <w:tab w:val="clear" w:pos="720"/>
        </w:tabs>
        <w:rPr/>
      </w:pPr>
      <w:r>
        <w:rPr/>
        <w:t>5.</w:t>
        <w:tab/>
        <w:t>Βελτίωση των υφιστάμενων υποδομών μεταφορών από οικολογική άποψη (πίνακας 3 — Σύσταση 37).</w:t>
      </w:r>
    </w:p>
    <w:p>
      <w:pPr>
        <w:pStyle w:val="Puce3"/>
        <w:tabs>
          <w:tab w:val="clear" w:pos="720"/>
        </w:tabs>
        <w:rPr/>
      </w:pPr>
      <w:r>
        <w:rPr/>
        <w:t>6.</w:t>
        <w:tab/>
        <w:t>Απαιτούν προγράμματα αστικής ανάπτυξης για «πράσινες» πόλεις με λιγότερες εκπομπές, με συγκεκριμένες περιοχές χωρίς αυτοκίνητα στις πόλεις, χωρίς να βλάπτονται οι εμπορικές περιοχές (πίνακας 3 — σύσταση 6).</w:t>
      </w:r>
    </w:p>
    <w:p>
      <w:pPr>
        <w:pStyle w:val="Puce3"/>
        <w:tabs>
          <w:tab w:val="clear" w:pos="720"/>
        </w:tabs>
        <w:rPr/>
      </w:pPr>
      <w:r>
        <w:rPr/>
        <w:t>7.</w:t>
        <w:tab/>
        <w:t>Βελτίωση της υποδομής για τα ποδήλατα και παροχή περισσότερων δικαιωμάτων και νομικής προστασίας στους ποδηλάτες και τους πεζούς, ιδίως σε περίπτωση ατυχημάτων με μηχανοκίνητο όχημα, διασφαλίζοντας την οδική ασφάλεια και παρέχοντας κατάρτιση σχετικά με τον κώδικα οδικής κυκλοφορίας (Πίνακας 3 — σύσταση 4).</w:t>
      </w:r>
    </w:p>
    <w:p>
      <w:pPr>
        <w:pStyle w:val="Puce3"/>
        <w:tabs>
          <w:tab w:val="clear" w:pos="720"/>
        </w:tabs>
        <w:rPr/>
      </w:pPr>
      <w:r>
        <w:rPr/>
        <w:t>8.</w:t>
        <w:tab/>
        <w:t>Ρυθμίστε την εξόρυξη κρυπτονομισμάτων, τα οποία χρησιμοποιούν σημαντική ποσότητα ενέργειας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ΠΡΟΤΑΣΗ: Βιώσιμη κατανάλωση, συσκευασία και παραγωγή</w:t>
      </w:r>
    </w:p>
    <w:p>
      <w:pPr>
        <w:pStyle w:val="P68B1DB1Normal15"/>
        <w:rPr>
          <w:b/>
          <w:b/>
        </w:rPr>
      </w:pPr>
      <w:r>
        <w:rPr/>
        <w:t>ΣΚΟΠΟΣ ΣΤΟΧΟΣ: Βελτίωση της χρήσης και της διαχείρισης των υλικών στην Ένωση, προκειμένου να προωθηθεί η κυκλική οικονομία, να καταστεί πιο αυτόνομη και να είναι λιγότερο εξαρτημένη. Ανάπτυξη κυκλικής οικονομίας με την ενθάρρυνση της βιώσιμης παραγωγής και προϊόντων στην Ένωση. Διασφαλίζει ότι όλα τα προϊόντα που διατίθενται στην αγορά της Ένωσης συμμορφώνονται με τα κοινά περιβαλλοντικά πρότυπα της Ένωσης.</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Μετρα:</w:t>
      </w:r>
    </w:p>
    <w:p>
      <w:pPr>
        <w:pStyle w:val="Puce3"/>
        <w:tabs>
          <w:tab w:val="clear" w:pos="720"/>
        </w:tabs>
        <w:rPr/>
      </w:pPr>
      <w:r>
        <w:rPr/>
        <w:t>1.</w:t>
        <w:tab/>
        <w:t>Αυστηρότερα και εναρμονισμένα πρότυπα παραγωγής της Ένωσης και διαφανές σύστημα επισήμανσης για όλα τα προϊόντα που πωλούνται στην αγορά της ΕΕ όσον αφορά τη βιωσιμότητα/περιβαλλοντικό αποτύπωμα και τη μακροζωία τους μέσω κωδικού QR και οικολογικού σήματος ή ψηφιακού διαβατηρίου προϊόντος (πίνακας 3 — συστάσεις 8, 13, 20 και 21, ομάδα 1 — σύσταση 16, ομάδα 4 — σύσταση 13).</w:t>
      </w:r>
    </w:p>
    <w:p>
      <w:pPr>
        <w:pStyle w:val="Puce3"/>
        <w:tabs>
          <w:tab w:val="clear" w:pos="720"/>
        </w:tabs>
        <w:rPr/>
      </w:pPr>
      <w:r>
        <w:rPr/>
        <w:t>2.</w:t>
        <w:tab/>
        <w:t>Επανεξέταση των παγκόσμιων αλυσίδων εφοδιασμού, συμπεριλαμβανομένης της γεωργικής παραγωγής, για τη μείωση της εξάρτησης της ΕΕ και τη συντόμευση των κυκλωμάτων (PNM).</w:t>
      </w:r>
    </w:p>
    <w:p>
      <w:pPr>
        <w:pStyle w:val="Puce3"/>
        <w:tabs>
          <w:tab w:val="clear" w:pos="720"/>
        </w:tabs>
        <w:rPr/>
      </w:pPr>
      <w:r>
        <w:rPr/>
        <w:t>3.</w:t>
        <w:tab/>
        <w:t>Περαιτέρω πρόληψη της παραγωγής αποβλήτων με τον καθορισμό στόχων πρόληψης και επαναχρησιμοποίησης και τον καθορισμό ποιοτικών προτύπων για τα συστήματα διαλογής αποβλήτων (συζήτηση στην ομάδα εργασίας, σύσταση ΓΑ).</w:t>
      </w:r>
    </w:p>
    <w:p>
      <w:pPr>
        <w:pStyle w:val="Puce3"/>
        <w:tabs>
          <w:tab w:val="clear" w:pos="720"/>
        </w:tabs>
        <w:rPr/>
      </w:pPr>
      <w:r>
        <w:rPr/>
        <w:t>4.</w:t>
        <w:tab/>
        <w:t>Σταδιακή κατάργηση των μη βιώσιμων μορφών συσκευασίας, ρύθμιση των φιλικών προς το περιβάλλον συσκευασιών και αποφυγή των αποβλήτων υλικών σε συσκευασίες μέσω οικονομικών κινήτρων και κυρώσεων, καθώς και επενδύσεων σε εναλλακτικές έρευνες (πίνακας 3 — συστάσεις 15 και 25, ομάδα 1 — σύσταση 12, ομάδα 4 — σύσταση 16).</w:t>
      </w:r>
    </w:p>
    <w:p>
      <w:pPr>
        <w:pStyle w:val="Puce3"/>
        <w:tabs>
          <w:tab w:val="clear" w:pos="720"/>
        </w:tabs>
        <w:rPr/>
      </w:pPr>
      <w:r>
        <w:rPr/>
        <w:t>5.</w:t>
        <w:tab/>
        <w:t>Καθιέρωση ενός ευρωπαϊκού συστήματος κατάθεσης συσκευασιών και προηγμένων προτύπων για τα εμπορευματοκιβώτια (πίνακας 3 — συστάσεις 22 και 23, NPC).</w:t>
      </w:r>
    </w:p>
    <w:p>
      <w:pPr>
        <w:pStyle w:val="Puce3"/>
        <w:tabs>
          <w:tab w:val="clear" w:pos="720"/>
        </w:tabs>
        <w:rPr/>
      </w:pPr>
      <w:r>
        <w:rPr/>
        <w:t>6.</w:t>
        <w:tab/>
        <w:t>Δρομολόγηση πλατφόρμας γνώσεων της ΕΕ σχετικά με τον τρόπο διασφάλισης της βιώσιμης και μακροπρόθεσμης χρήσης των προϊόντων και τον τρόπο «επισκευής» τους, συμπεριλαμβανομένων των πληροφοριών που διατίθενται από ενώσεις καταναλωτών (πίνακας 3 — Σύσταση 20).</w:t>
      </w:r>
    </w:p>
    <w:p>
      <w:pPr>
        <w:pStyle w:val="Puce3"/>
        <w:tabs>
          <w:tab w:val="clear" w:pos="720"/>
        </w:tabs>
        <w:rPr/>
      </w:pPr>
      <w:r>
        <w:rPr/>
        <w:t>7.</w:t>
        <w:tab/>
        <w:t>Θέσπιση μέτρων για την καταπολέμηση της πρόωρης ή πρόωρης απαξίωσης, συμπεριλαμβανομένης της προγραμματισμένης απαξίωσης, εξασφάλιση μεγαλύτερης διάρκειας διασφαλίσεων, προώθηση του δικαιώματος επισκευής και διασφάλιση της διαθεσιμότητας και της προσβασιμότητας συμβατών ανταλλακτικών (πίνακας 3 — σύσταση 20, σύσταση ΓΑ, σύσταση ΓΕ, ομάδα 1 — σύσταση 14).</w:t>
      </w:r>
    </w:p>
    <w:p>
      <w:pPr>
        <w:pStyle w:val="Puce3"/>
        <w:tabs>
          <w:tab w:val="clear" w:pos="720"/>
        </w:tabs>
        <w:rPr/>
      </w:pPr>
      <w:r>
        <w:rPr/>
        <w:t>8.</w:t>
        <w:tab/>
        <w:t>Δημιουργία αγοράς δευτερογενών πρώτων υλών, λαμβάνοντας υπόψη τα υποχρεωτικά ποσοστά ανακυκλωμένου περιεχομένου, ενθαρρύνοντας τη μειωμένη χρήση πρώτων υλών (συζήτηση στην ομάδα εργασίας).</w:t>
      </w:r>
    </w:p>
    <w:p>
      <w:pPr>
        <w:pStyle w:val="Puce3"/>
        <w:tabs>
          <w:tab w:val="clear" w:pos="720"/>
        </w:tabs>
        <w:rPr/>
      </w:pPr>
      <w:r>
        <w:rPr/>
        <w:t>9.</w:t>
        <w:tab/>
        <w:t>Ταχεία εφαρμογή μιας φιλόδοξης στρατηγικής για την κλωστοϋφαντουργία και καθορισμός ενός μηχανισμού ώστε οι καταναλωτές να γνωρίζουν ότι το προϊόν πληροί τα κριτήρια βιωσιμότητας (πίνακας 3 — σύσταση 28, συζήτηση στην ομάδα εργασίας).</w:t>
      </w:r>
    </w:p>
    <w:p>
      <w:pPr>
        <w:pStyle w:val="Puce3"/>
        <w:tabs>
          <w:tab w:val="clear" w:pos="720"/>
        </w:tabs>
        <w:rPr/>
      </w:pPr>
      <w:r>
        <w:rPr/>
        <w:t>10.</w:t>
        <w:tab/>
        <w:t>Μέτρα της ΕΕ που επιτρέπουν στους καταναλωτές να χρησιμοποιούν τα προϊόντα για μεγαλύτερο χρονικό διάστημα και τους ενθαρρύνουν να το πράττουν (πίνακας 3 — Σύσταση 20).</w:t>
      </w:r>
    </w:p>
    <w:p>
      <w:pPr>
        <w:pStyle w:val="Puce3"/>
        <w:tabs>
          <w:tab w:val="clear" w:pos="720"/>
        </w:tabs>
        <w:rPr/>
      </w:pPr>
      <w:r>
        <w:rPr/>
        <w:t>11.</w:t>
        <w:tab/>
        <w:t>Ενίσχυση των περιβαλλοντικών προτύπων και επιβολή των κανονισμών σχετικά με τις εξαγωγές αποβλήτων στην ΕΕ και σε τρίτες χώρες (πίνακας 4 — σύσταση 15, NPC).</w:t>
      </w:r>
    </w:p>
    <w:p>
      <w:pPr>
        <w:pStyle w:val="Puce3"/>
        <w:tabs>
          <w:tab w:val="clear" w:pos="720"/>
        </w:tabs>
        <w:rPr/>
      </w:pPr>
      <w:r>
        <w:rPr/>
        <w:t>12.</w:t>
        <w:tab/>
        <w:t>Θέσπιση μέτρων για τον περιορισμό της διαφήμισης επιβλαβών για το περιβάλλον προϊόντων μέσω της θέσπισης υποχρεωτικής δήλωσης αποποίησης ευθύνης για τα προϊόντα που είναι ιδιαίτερα επιβλαβή για το περιβάλλον (πίνακας 3 — σύσταση 22).</w:t>
      </w:r>
    </w:p>
    <w:p>
      <w:pPr>
        <w:pStyle w:val="Puce3"/>
        <w:tabs>
          <w:tab w:val="clear" w:pos="720"/>
        </w:tabs>
        <w:rPr/>
      </w:pPr>
      <w:r>
        <w:rPr/>
        <w:t>13.</w:t>
        <w:tab/>
        <w:t>Εφαρμογή αυστηρότερων προτύπων παραγωγής και δίκαιων συνθηκών εργασίας σε ολόκληρη την αλυσίδα παραγωγής και αξίας (πίνακας 3 — Σύσταση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ΠΡΟΤΑΣΗ: Ενημέρωση, ευαισθητοποίηση, διάλογος και τρόπος ζωής</w:t>
      </w:r>
    </w:p>
    <w:p>
      <w:pPr>
        <w:pStyle w:val="P68B1DB1Normal15"/>
        <w:rPr>
          <w:b/>
          <w:b/>
        </w:rPr>
      </w:pPr>
      <w:r>
        <w:rPr/>
        <w:t>ΣΚΟΠΟΣ ΣΤΟΧΟΣ: Ενθάρρυνση της γνώσης, της ευαισθητοποίησης, της εκπαίδευσης και του διαλόγου σχετικά με το περιβάλλον, την κλιματική αλλαγή, τη χρήση της ενέργειας και τη βιωσιμότητα.</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Μετρα:</w:t>
      </w:r>
    </w:p>
    <w:p>
      <w:pPr>
        <w:pStyle w:val="Puce3"/>
        <w:tabs>
          <w:tab w:val="clear" w:pos="720"/>
        </w:tabs>
        <w:rPr/>
      </w:pPr>
      <w:r>
        <w:rPr/>
        <w:t>1.</w:t>
        <w:tab/>
        <w:t>Δημιουργία διαδραστικής πλατφόρμας, της οποίας τα γεγονότα έχουν επαληθευτεί με σκοπό την παροχή ποικίλων και τακτικά επικαιροποιημένων επιστημονικών πληροφοριών στον τομέα του περιβάλλοντος (πίνακας 3 — σύσταση 33).</w:t>
      </w:r>
    </w:p>
    <w:p>
      <w:pPr>
        <w:pStyle w:val="Puce3"/>
        <w:tabs>
          <w:tab w:val="clear" w:pos="720"/>
        </w:tabs>
        <w:rPr/>
      </w:pPr>
      <w:r>
        <w:rPr/>
        <w:t>2.</w:t>
        <w:tab/>
        <w:t>Υποστήριξη εκστρατειών οικολογικής ευαισθητοποίησης, συμπεριλαμβανομένης μιας μακροπρόθεσμης ευρωπαϊκής εκστρατείας για τη βιώσιμη κατανάλωση και τον τρόπο ζωής (συστάσεις DE, NL και FR, Ομάδα 3 — Σύσταση 7).</w:t>
      </w:r>
    </w:p>
    <w:p>
      <w:pPr>
        <w:pStyle w:val="Puce3"/>
        <w:tabs>
          <w:tab w:val="clear" w:pos="720"/>
        </w:tabs>
        <w:rPr/>
      </w:pPr>
      <w:r>
        <w:rPr/>
        <w:t>3.</w:t>
        <w:tab/>
        <w:t>Ενθάρρυνση και διευκόλυνση του διαλόγου και των διαβουλεύσεων μεταξύ όλων των επιπέδων λήψης αποφάσεων, ιδίως με τους νέους και σε τοπικό επίπεδο (Συστάσεις ΓΕ, ΚΧ και ΓΑ, ομάδα 3 — Συστάσεις 27 και 35, συζήτηση στην ολομέλεια).</w:t>
      </w:r>
    </w:p>
    <w:p>
      <w:pPr>
        <w:pStyle w:val="Puce3"/>
        <w:tabs>
          <w:tab w:val="clear" w:pos="720"/>
        </w:tabs>
        <w:rPr/>
      </w:pPr>
      <w:r>
        <w:rPr/>
        <w:t>4.</w:t>
        <w:tab/>
        <w:t>Καθορισμός από την Ένωση, με τη βοήθεια των κρατών μελών, ενός κοινού ευρωπαϊκού χάρτη για περιβαλλοντικά θέματα και την προώθηση της περιβαλλοντικής ευαισθητοποίησης όλων των πολιτών (πίνακας 3 — σύσταση 7).</w:t>
      </w:r>
    </w:p>
    <w:p>
      <w:pPr>
        <w:pStyle w:val="Puce3"/>
        <w:tabs>
          <w:tab w:val="clear" w:pos="720"/>
        </w:tabs>
        <w:rPr/>
      </w:pPr>
      <w:r>
        <w:rPr/>
        <w:t>5.</w:t>
        <w:tab/>
        <w:t>Παροχή μαθημάτων κατάρτισης και διδακτικού υλικού για όλους, προκειμένου να βελτιωθούν οι γνώσεις σχετικά με το κλίμα και τη βιωσιμότητα και να καταστεί δυνατή η διά βίου μάθηση για περιβαλλοντικά ζητήματα (πίνακας 1 — συστάσεις 15 και 35, ομάδα 3 — σύσταση 24, συζήτηση της ομάδας εργασίας).</w:t>
      </w:r>
    </w:p>
    <w:p>
      <w:pPr>
        <w:pStyle w:val="Puce3"/>
        <w:tabs>
          <w:tab w:val="clear" w:pos="720"/>
        </w:tabs>
        <w:rPr/>
      </w:pPr>
      <w:r>
        <w:rPr/>
        <w:t>6.</w:t>
        <w:tab/>
        <w:t>Ενσωμάτωση της παραγωγής τροφίμων και της προστασίας της βιοποικιλότητας στο εκπαιδευτικό σύστημα, συμπεριλαμβανομένων των οφελών των μη επεξεργασμένων τροφίμων έναντι των επεξεργασμένων τροφίμων, και ενθάρρυνση της δημιουργίας σχολικών κήπων και επιχορηγήσεων για έργα αστικής κηπουρικής και κάθετης γεωργίας (πίνακας 3 — σύσταση 5, ομάδα 1 — σύσταση 18). Να εξετάσει το ενδεχόμενο να καταστεί υποχρεωτική η βιοποικιλότητα στα σχολεία και να αυξηθεί η ευαισθητοποίηση του κοινού σχετικά με τη βιοποικιλότητα μέσω εκστρατειών στα μέσα ενημέρωσης και «ανταγωνισμών» που προωθούνται σε ολόκληρη την ΕΕ (διαγωνισμοί τοπικής αυτοδιοίκησης) (πίνακας 3 — σύσταση 5, ομάδα 1 — σύσταση 18).</w:t>
      </w:r>
    </w:p>
    <w:p>
      <w:pPr>
        <w:pStyle w:val="Puce3"/>
        <w:tabs>
          <w:tab w:val="clear" w:pos="720"/>
        </w:tabs>
        <w:rPr/>
      </w:pPr>
      <w:r>
        <w:rPr/>
        <w:t>7.</w:t>
        <w:tab/>
        <w:t>Ενίσχυση του ρόλου και της δράσης της Ένωσης στον τομέα του περιβάλλοντος και της εκπαίδευσης με την επέκταση των αρμοδιοτήτων της Ένωσης στον τομέα της εκπαίδευσης για την κλιματική αλλαγή και το περιβάλλον και με την επέκταση της λήψης αποφάσεων με ειδική πλειοψηφία σε θέματα που ορίζονται ως «ευρωπαϊκό συμφέρον», όπως οι συστάσεις για το περιβάλλον (ΚΧ και ΓΑ).</w:t>
      </w:r>
    </w:p>
    <w:p>
      <w:pPr>
        <w:pStyle w:val="Puce3"/>
        <w:tabs>
          <w:tab w:val="clear" w:pos="720"/>
        </w:tabs>
        <w:rPr/>
      </w:pPr>
      <w:r>
        <w:rPr/>
        <w:t>8.</w:t>
        <w:tab/>
        <w:t>Προώθηση της φυτικής διατροφής για λόγους προστασίας του κλίματος και διατήρησης του περιβάλλοντος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ΕΙΚΟΝΑ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ΕΙΚΟΝΑ22"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«Υγεία»</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7.Proposal: Υγιεινή διατροφή και υγιεινός τρόπος ζωής </w:t>
      </w:r>
    </w:p>
    <w:p>
      <w:pPr>
        <w:pStyle w:val="P68B1DB1Normal15"/>
        <w:rPr>
          <w:b/>
          <w:b/>
        </w:rPr>
      </w:pPr>
      <w:r>
        <w:rPr/>
        <w:t>ΣΚΟΠΟΣ ΣΤΟΧΟΣ: Να διασφαλίσει ότι όλοι οι Ευρωπαίοι έχουν πρόσβαση σε υγιεινή διατροφή εκπαίδευση και πρόσβαση σε υγιεινά και οικονομικά προσιτά τρόφιμα ως βάση για έναν υγιεινό τρόπο ζωής, ιδίως μέσω των ακόλουθων μέτρων:</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Μέτρα</w:t>
      </w:r>
      <w:r>
        <w:rPr>
          <w:rStyle w:val="Ancredenotedefin"/>
          <w:rStyle w:val="Ancredenotedefin"/>
        </w:rPr>
        <w:endnoteReference w:id="2"/>
      </w:r>
      <w:r>
        <w:rPr/>
        <w:t>:</w:t>
      </w:r>
    </w:p>
    <w:p>
      <w:pPr>
        <w:pStyle w:val="Puce3"/>
        <w:tabs>
          <w:tab w:val="clear" w:pos="720"/>
        </w:tabs>
        <w:rPr/>
      </w:pPr>
      <w:r>
        <w:rPr/>
        <w:t>1.</w:t>
        <w:tab/>
        <w:t>Θέσπιση ελάχιστων προτύπων ποιότητας και ιχνηλασιμότητας των τροφίμων, ιδίως με τον περιορισμό της χρήσης αντιβιοτικών και άλλων κτηνιατρικών φαρμάκων σε ό,τι είναι απολύτως αναγκαίο για την προστασία της υγείας και της καλής διαβίωσης των ζώων, αντί της προληπτικής χρήσης τους, και για τη διασφάλιση της ενίσχυσης των σχετικών ελέγχων. [#23, #17]</w:t>
      </w:r>
    </w:p>
    <w:p>
      <w:pPr>
        <w:pStyle w:val="Puce3"/>
        <w:tabs>
          <w:tab w:val="clear" w:pos="720"/>
        </w:tabs>
        <w:rPr/>
      </w:pPr>
      <w:r>
        <w:rPr/>
        <w:t>2.</w:t>
        <w:tab/>
        <w:t>Να εκπαιδεύσει τους πολίτες σχετικά με τις υγιεινές συνήθειες να υιοθετήσουν από μικρή ηλικία και να τους ενθαρρύνει να κάνουν ασφαλείς και υγιεινές επιλογές, φορολογώντας τα επεξεργασμένα τρόφιμα που δεν είναι και καθιστώντας εύκολα προσβάσιμες τις πληροφορίες για την υγεία σχετικά με τα τρόφιμα· για τον σκοπό αυτό, καθιέρωση πανευρωπαϊκού συστήματος αξιολόγησης για τα μεταποιημένα τρόφιμα με βάση επιστημονική και ανεξάρτητη εμπειρογνωμοσύνη, καθώς και επισήμανση σχετικά με τη χρήση ορμονικών ουσιών και ενδοκρινικών διαταρακτών στην παραγωγή τροφίμων, και, στο πλαίσιο αυτό, να ενισχυθεί η παρακολούθηση και η επιβολή των υφιστάμενων κανόνων και να εξεταστεί το ενδεχόμενο ενίσχυσής τους. [#18, #19, GT]</w:t>
      </w:r>
    </w:p>
    <w:p>
      <w:pPr>
        <w:pStyle w:val="Puce3"/>
        <w:tabs>
          <w:tab w:val="clear" w:pos="720"/>
        </w:tabs>
        <w:rPr/>
      </w:pPr>
      <w:r>
        <w:rPr/>
        <w:t>3.</w:t>
        <w:tab/>
        <w:t>Ενθάρρυνση του διαλόγου με τους παράγοντες της τροφικής αλυσίδας, από την παραγωγή έως την πώληση, στο πλαίσιο της εταιρικής κοινωνικής ευθύνης για υγιεινά τρόφιμα. [#19, GT]</w:t>
      </w:r>
    </w:p>
    <w:p>
      <w:pPr>
        <w:pStyle w:val="Puce3"/>
        <w:tabs>
          <w:tab w:val="clear" w:pos="720"/>
        </w:tabs>
        <w:rPr/>
      </w:pPr>
      <w:r>
        <w:rPr/>
        <w:t>4.</w:t>
        <w:tab/>
        <w:t>Στήριξη, σε επίπεδο Ένωσης, της παροχής υγιεινών, ποικίλων και οικονομικά προσιτών τροφίμων σε δημόσια ιδρύματα, όπως σχολικά κυλικεία, νοσοκομεία ή εγκαταστάσεις υγειονομικής περίθαλψης, μεταξύ άλλων μέσω ειδικής χρηματοδότησης. [#3, Ολομέλεια, WG]</w:t>
      </w:r>
    </w:p>
    <w:p>
      <w:pPr>
        <w:pStyle w:val="Puce3"/>
        <w:tabs>
          <w:tab w:val="clear" w:pos="720"/>
        </w:tabs>
        <w:rPr/>
      </w:pPr>
      <w:r>
        <w:rPr/>
        <w:t>5.</w:t>
        <w:tab/>
        <w:t>Να επενδύσουν στην έρευνα σχετικά με τις συνέπειες της χρήσης αντιβιοτικών και τις επιπτώσεις των ορμονικών ουσιών και των ενδοκρινικών διαταρακτών στην ανθρώπινη υγεία.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ΠΡΟΤΑΣΗ: Ενίσχυση του συστήματος υγειονομικής περίθαλψης</w:t>
      </w:r>
    </w:p>
    <w:p>
      <w:pPr>
        <w:pStyle w:val="P68B1DB1Normal15"/>
        <w:rPr>
          <w:b/>
          <w:b/>
        </w:rPr>
      </w:pPr>
      <w:r>
        <w:rPr/>
        <w:t>ΣΚΟΠΟΣ ΣΤΟΧΟΣ: Ενίσχυση της ανθεκτικότητας και της ποιότητας των συστημάτων υγείας μας, μεταξύ άλλων μέσω:</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Μέτρα</w:t>
      </w:r>
      <w:r>
        <w:rPr>
          <w:rStyle w:val="Ancredenotedefin"/>
          <w:rStyle w:val="Ancredenotedefin"/>
        </w:rPr>
        <w:endnoteReference w:id="4"/>
      </w:r>
      <w:r>
        <w:rPr/>
        <w:t>:</w:t>
      </w:r>
    </w:p>
    <w:p>
      <w:pPr>
        <w:pStyle w:val="Puce3"/>
        <w:tabs>
          <w:tab w:val="clear" w:pos="720"/>
        </w:tabs>
        <w:rPr/>
      </w:pPr>
      <w:r>
        <w:rPr/>
        <w:t>1.</w:t>
        <w:tab/>
        <w:t>Τη δημιουργία ενός ευρωπαϊκού χώρου δεδομένων για την υγεία, ο οποίος θα διευκολύνει την ανταλλαγή δεδομένων για την υγεία· θα μπορούσε να διατίθεται ατομικός ιατρικός φάκελος —σε εθελοντική βάση — με τη χρήση ατομικού ηλεκτρονικού διαβατηρίου υγείας της ΕΕ, σύμφωνα με τους κανόνες προστασίας των δεδομένων. [#41, GT]</w:t>
      </w:r>
    </w:p>
    <w:p>
      <w:pPr>
        <w:pStyle w:val="Puce3"/>
        <w:tabs>
          <w:tab w:val="clear" w:pos="720"/>
        </w:tabs>
        <w:rPr/>
      </w:pPr>
      <w:r>
        <w:rPr/>
        <w:t>2.</w:t>
        <w:tab/>
        <w:t>Κατάλληλες συνθήκες εργασίας, ιδίως μέσω ισχυρού κοινωνικού διαλόγου, συμπεριλαμβανομένων των μισθών και των εργασιακών ρυθμίσεων, και της εναρμόνισης των προτύπων κατάρτισης και πιστοποίησης για τους επαγγελματίες του τομέα της υγείας· θα πρέπει να αναπτυχθούν προγράμματα δικτύωσης και ανταλλαγών, όπως ένα Erasmus για ιατρικές σχολές, το οποίο θα συμβάλει σημαντικά στην ανάπτυξη δεξιοτήτων. Προκειμένου να διατηρηθούν τα ταλέντα στην Ευρώπη και να δοθεί η δυνατότητα στους νέους επαγγελματίες να διευρύνουν τις γνώσεις τους και να αποκτήσουν επαγγελματική πείρα, θα πρέπει να τεθούν σε εφαρμογή προγράμματα ανταλλαγών της ΕΕ ώστε να διασφαλιστεί ότι οι καλύτεροι εγκέφαλοι των βιοεπιστημών μας δεν προσελκύονται από τρίτες χώρες. [#39, GT]</w:t>
      </w:r>
    </w:p>
    <w:p>
      <w:pPr>
        <w:pStyle w:val="Puce3"/>
        <w:tabs>
          <w:tab w:val="clear" w:pos="720"/>
        </w:tabs>
        <w:rPr/>
      </w:pPr>
      <w:r>
        <w:rPr/>
        <w:t>3.</w:t>
        <w:tab/>
        <w:t>Διασφάλιση στρατηγικής αυτονομίας σε επίπεδο Ένωσης προκειμένου να αποφευχθεί η εξάρτηση από τρίτες χώρες [NL2]</w:t>
      </w:r>
      <w:r>
        <w:rPr>
          <w:rStyle w:val="Ancredenotedefin"/>
          <w:rStyle w:val="Ancredenotedefin"/>
        </w:rPr>
        <w:endnoteReference w:id="5"/>
      </w:r>
      <w:r>
        <w:rPr/>
        <w:t xml:space="preserve"> για φάρμακα (ιδίως δραστικές ουσίες) και ιατροτεχνολογικά προϊόντα (συμπεριλαμβανομένων των πρώτων υλών)· ειδικότερα, θα πρέπει να καταρτιστεί σε επίπεδο Ένωσης ένας κατάλογος βασικών φαρμάκων και θεραπειών προτεραιότητας, αλλά και καινοτόμων φαρμάκων και θεραπειών (όπως οι βιοτεχνολογικές λύσεις), με βάση τους υφιστάμενους ευρωπαϊκούς οργανισμούς και την HERA, προκειμένου να διασφαλιστεί η διαθεσιμότητά τους για τους πολίτες. Να εξετάσει το ενδεχόμενο διοργάνωσης συντονισμένης στρατηγικής αποθήκευσης σε ολόκληρη την Ένωση. Προκειμένου να επιτευχθεί η αναγκαία συντονισμένη και μακροπρόθεσμη δράση σε επίπεδο Ένωσης, να συμπεριληφθεί η υγεία και η υγειονομική περίθαλψη στις συντρέχουσα αρμοδιότητα μεταξύ της Ένωσης και των κρατών μελών της με την τροποποίηση του άρθρου 4 της ΣΛΕΕ. [#40, #49, ολομέλεια, ομάδα εργασίας]</w:t>
      </w:r>
    </w:p>
    <w:p>
      <w:pPr>
        <w:pStyle w:val="Puce3"/>
        <w:tabs>
          <w:tab w:val="clear" w:pos="720"/>
        </w:tabs>
        <w:rPr/>
      </w:pPr>
      <w:r>
        <w:rPr/>
        <w:t>4.</w:t>
        <w:tab/>
        <w:t>Συνέχιση της ανάπτυξης, του συντονισμού και της χρηματοδότησης υφιστάμενων προγραμμάτων έρευνας και καινοτομίας στον τομέα της υγείας, χωρίς να διακυβεύονται άλλα προγράμματα που σχετίζονται με την υγεία, ιδίως για τα ευρωπαϊκά δίκτυα αναφοράς, καθώς αποτελούν τη βάση για την ανάπτυξη δικτύων υγειονομικής περίθαλψης για εξαιρετικά εξειδικευμένες και σύνθετες θεραπείες. [#42, #43, GT]</w:t>
      </w:r>
    </w:p>
    <w:p>
      <w:pPr>
        <w:pStyle w:val="Puce3"/>
        <w:tabs>
          <w:tab w:val="clear" w:pos="720"/>
        </w:tabs>
        <w:rPr/>
      </w:pPr>
      <w:r>
        <w:rPr/>
        <w:t>5.</w:t>
        <w:tab/>
        <w:t>Να επενδύσουν σε συστήματα υγείας, ιδίως στον δημόσιο και μη κερδοσκοπικό τομέα, στις υποδομές και στην ψηφιακή υγεία και να διασφαλίσουν ότι οι πάροχοι υγειονομικής περίθαλψης τηρούν τις αρχές της πλήρους προσβασιμότητας, της οικονομικής προσιτότητας και της ποιότητας των υπηρεσιών, διασφαλίζοντας έτσι ότι οι πόροι δεν αποστραγγίζονται από επαγγελματίες του τομέα της υγείας οι οποίοι ανησυχούν ελάχιστα ή καθόλου για το δημόσιο συμφέρον. [#51, GT]</w:t>
      </w:r>
    </w:p>
    <w:p>
      <w:pPr>
        <w:pStyle w:val="Puce3"/>
        <w:tabs>
          <w:tab w:val="clear" w:pos="720"/>
        </w:tabs>
        <w:rPr/>
      </w:pPr>
      <w:r>
        <w:rPr/>
        <w:t>6.</w:t>
        <w:tab/>
        <w:t>Να διατυπώσει αυστηρές συστάσεις προς τα κράτη μέλη για επενδύσεις σε αποτελεσματικά, προσβάσιμα, οικονομικά προσιτά, ποιοτικά και ανθεκτικά συστήματα υγείας, μεταξύ άλλων στο πλαίσιο του Ευρωπαϊκού Εξαμήνου. Ο αντίκτυπος του πολέμου στην Ουκρανία στη δημόσια υγεία καταδεικνύει την ανάγκη για περαιτέρω ανάπτυξη ανθεκτικών συστημάτων υγείας και μηχανισμών αλληλεγγύης.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ΠΡΟΤΑΣΗ: Μια ευρύτερη άποψη για την υγεία</w:t>
      </w:r>
    </w:p>
    <w:p>
      <w:pPr>
        <w:pStyle w:val="P68B1DB1Normal15"/>
        <w:rPr>
          <w:b/>
          <w:b/>
        </w:rPr>
      </w:pPr>
      <w:r>
        <w:rPr/>
        <w:t>ΣΚΟΠΟΣ ΣΤΟΧΟΣ: Να υιοθετήσει μια ολιστική προσέγγιση για την υγεία, αντιμετωπίζοντας, εκτός από τις ασθένειες και τις θεραπείες, τον πολιτισμό και την πρόληψη της υγείας, και προωθώντας μια κοινή αντίληψη των προβλημάτων που αντιμετωπίζουν τα άρρωστα ή με αναπηρία άτομα, σύμφωνα με την προσέγγιση «Μία υγεία», η οποία θα πρέπει να υπογραμμιστεί ως εγκάρσια και θεμελιώδης αρχή που θα περιλαμβάνει όλες τις πολιτικές της Ένωσης.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Μέτρα</w:t>
      </w:r>
      <w:r>
        <w:rPr>
          <w:rStyle w:val="Ancredenotedefin"/>
          <w:rStyle w:val="Ancredenotedefin"/>
        </w:rPr>
        <w:endnoteReference w:id="6"/>
      </w:r>
      <w:r>
        <w:rPr/>
        <w:t>:</w:t>
      </w:r>
    </w:p>
    <w:p>
      <w:pPr>
        <w:pStyle w:val="Puce3"/>
        <w:tabs>
          <w:tab w:val="clear" w:pos="720"/>
        </w:tabs>
        <w:rPr/>
      </w:pPr>
      <w:r>
        <w:rPr/>
        <w:t>1.</w:t>
        <w:tab/>
        <w:t>Βελτίωση της κατανόησης των ζητημάτων ψυχικής υγείας και του τρόπου αντιμετώπισής τους, συμπεριλαμβανομένης της πρώιμης παιδικής ηλικίας και της έγκαιρης διάγνωσης, με βάση ορθές πρακτικές που έχουν θεσπιστεί σε ολόκληρη την Ένωση, οι οποίες θα πρέπει να είναι εύκολα προσβάσιμες μέσω της πύλης ορθών πρακτικών για τη δημόσια υγεία. Προκειμένου να αυξηθεί η ευαισθητοποίηση, τα θεσμικά όργανα της Ένωσης και οι σχετικοί ενδιαφερόμενοι φορείς θα πρέπει να διοργανώνουν εκδηλώσεις για την ανταλλαγή βέλτιστων πρακτικών και να βοηθούν τα μέλη τους να τις διαδίδουν στην εκλογική τους περιφέρεια. Θα πρέπει να αναπτυχθεί ένα σχέδιο δράσης της ΕΕ για την ψυχική υγεία, το οποίο θα παρέχει μια μακροπρόθεσμη στρατηγική για την ψυχική υγεία, συμπεριλαμβανομένης της έρευνας, και θα εξετάζει επίσης τη διαθεσιμότητα επαγγελματιών, μεταξύ άλλων για τους ανηλίκους, και τη θέσπιση ευρωπαϊκού έτους ψυχικής υγείας στο εγγύς μέλλον.</w:t>
      </w:r>
    </w:p>
    <w:p>
      <w:pPr>
        <w:pStyle w:val="Puce3"/>
        <w:tabs>
          <w:tab w:val="clear" w:pos="720"/>
        </w:tabs>
        <w:rPr/>
      </w:pPr>
      <w:r>
        <w:rPr/>
        <w:t>2.</w:t>
        <w:tab/>
        <w:t>Ανάπτυξη, σε επίπεδο ΕΕ, ενός τυποποιημένου εκπαιδευτικού προγράμματος για υγιεινούς τρόπους ζωής, το οποίο θα καλύπτει επίσης τη σεξουαλική διαπαιδαγώγηση. Το πρόγραμμα θα πρέπει επίσης να περιλαμβάνει δράσεις που αποσκοπούν τόσο στον υγιεινό τρόπο ζωής όσο και στην προστασία του περιβάλλοντος, καθώς και τον τρόπο με τον οποίο μπορούν να συμβάλουν στην πρόληψη πολλών ασθενειών, όπως η ποδηλασία ως υγιεινό μέσο καθημερινής μετακίνησης. Θα διατίθεται δωρεάν στα κράτη μέλη και στα σχολεία που θα μπορούν, κατά περίπτωση, να το χρησιμοποιούν στα προγράμματά τους. Ένα τέτοιο πρόγραμμα θα αντιμετωπίσει τα στερεότυπα για τους ανθρώπους που είναι άρρωστοι ή ανάπηροι. [#46, GT]</w:t>
      </w:r>
    </w:p>
    <w:p>
      <w:pPr>
        <w:pStyle w:val="Puce3"/>
        <w:tabs>
          <w:tab w:val="clear" w:pos="720"/>
        </w:tabs>
        <w:rPr/>
      </w:pPr>
      <w:r>
        <w:rPr/>
        <w:t>3.</w:t>
        <w:tab/>
        <w:t>Ανάπτυξη πρακτικής κατάρτισης πρώτων βοηθειών, η οποία θα προσφέρεται δωρεάν σε όλους τους πολίτες, και εξέταση της δυνατότητας τακτικών μαθημάτων ως κοινής πρακτικής τόσο για τους σπουδαστές όσο και για τον χώρο εργασίας. Ένας ελάχιστος αριθμός απινιδωτών θα πρέπει επίσης να είναι διαθέσιμος σε δημόσιους χώρους σε όλα τα κράτη μέλη. [#50]</w:t>
      </w:r>
    </w:p>
    <w:p>
      <w:pPr>
        <w:pStyle w:val="Puce3"/>
        <w:tabs>
          <w:tab w:val="clear" w:pos="720"/>
        </w:tabs>
        <w:rPr/>
      </w:pPr>
      <w:r>
        <w:rPr/>
        <w:t>4.</w:t>
        <w:tab/>
        <w:t>Να επεκτείνει την πρωτοβουλία της εβδομάδας για την υγεία, η οποία θα πραγματοποιηθεί σε ολόκληρη την Ένωση την ίδια εβδομάδα και κατά τη διάρκεια της οποίας θα πρέπει να εξεταστούν και να συζητηθούν όλα τα θέματα υγείας. Επίσης, εξετάστε τις πρωτοβουλίες του Έτους Υγείας, ξεκινώντας από το Έτος της Ψυχικής Υγείας. [#44, GT]</w:t>
      </w:r>
    </w:p>
    <w:p>
      <w:pPr>
        <w:pStyle w:val="Puce3"/>
        <w:tabs>
          <w:tab w:val="clear" w:pos="720"/>
        </w:tabs>
        <w:rPr/>
      </w:pPr>
      <w:r>
        <w:rPr/>
        <w:t>5.</w:t>
        <w:tab/>
        <w:t>Αναγνωρίστε ως τακτική ιατρική θεραπεία για τη φορολογία ορμονικά αντισυλληπτικά προϊόντα που χρησιμοποιούνται για ιατρικούς λόγους, για παράδειγμα σε περιπτώσεις ινομυαλγίας και ενδομητρίωσης, καθώς και θηλυκά προϊόντα υγιεινής. Εξασφάλιση πρόσβασης σε αναπαραγωγικές θεραπείες για όλα τα άτομα με προβλήματα γονιμότητας.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ΠΡΟΤΑΣΗ: Ισότιμη πρόσβαση στην υγεία για όλους</w:t>
      </w:r>
    </w:p>
    <w:p>
      <w:pPr>
        <w:pStyle w:val="Normal"/>
        <w:rPr/>
      </w:pPr>
      <w:r>
        <w:rPr/>
        <w:t>ΣΚΟΠΟΣ ΣΤΟΧΟΣ: Να καθιερώσει ένα «δικαίωμα στην υγεία» εξασφαλίζοντας σε όλους τους Ευρωπαίους ισότιμη και καθολική πρόσβαση σε οικονομικά προσιτή, προληπτική, θεραπευτική και ποιοτική υγειονομική περίθαλψη.</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7"/>
      </w:r>
      <w:r>
        <w:rPr/>
        <w:t>:</w:t>
      </w:r>
    </w:p>
    <w:p>
      <w:pPr>
        <w:pStyle w:val="Puce3"/>
        <w:tabs>
          <w:tab w:val="clear" w:pos="720"/>
        </w:tabs>
        <w:rPr/>
      </w:pPr>
      <w:r>
        <w:rPr/>
        <w:t>1.</w:t>
        <w:tab/>
        <w:t>Θέσπιση κοινών ελάχιστων προτύπων υγείας σε επίπεδο Ένωσης, τα οποία καλύπτουν επίσης την πρόληψη και την προσβασιμότητα της περίθαλψης, καθώς και την εγγύτητα στην περίθαλψη, και παρέχουν στήριξη για τη θέσπιση τέτοιων προτύπων. [#39, GT]</w:t>
      </w:r>
    </w:p>
    <w:p>
      <w:pPr>
        <w:pStyle w:val="Puce3"/>
        <w:tabs>
          <w:tab w:val="clear" w:pos="720"/>
        </w:tabs>
        <w:rPr/>
      </w:pPr>
      <w:r>
        <w:rPr/>
        <w:t>2.</w:t>
        <w:tab/>
        <w:t>ΑΝΑΓΝΩΡΙΖΕΙ την ανάγκη να ληφθεί πλήρως υπόψη η αρχή της επικουρικότητας και ο καίριος ρόλος των τοπικών, περιφερειακών και εθνικών φορέων στον τομέα της υγείας [NL3], ώστε να διασφαλιστεί ότι μπορεί να αναληφθεί δράση σε επίπεδο Ένωσης όταν αντιμετωπίζεται καλύτερα το δικαίωμα στην υγεία. Διευκόλυνση της ταχύτερης και σθεναρότερης λήψης αποφάσεων σε βασικά ζητήματα και βελτίωση της αποτελεσματικότητας της ευρωπαϊκής διακυβέρνησης για την ανάπτυξη της Ευρωπαϊκής Ένωσης Υγείας (π.χ. πανδημία ή σπάνιες ασθένειες). [#49, FRsouhait11, ψηφιακή πλατφόρμα]</w:t>
      </w:r>
    </w:p>
    <w:p>
      <w:pPr>
        <w:pStyle w:val="Puce3"/>
        <w:tabs>
          <w:tab w:val="clear" w:pos="720"/>
        </w:tabs>
        <w:rPr/>
      </w:pPr>
      <w:r>
        <w:rPr/>
        <w:t>3.</w:t>
        <w:tab/>
        <w:t>Να ενισχύσει την Ευρωπαϊκή Ένωση Υγείας αξιοποιώντας το πλήρες δυναμικό του ισχύοντος πλαισίου και να συμπεριλάβει την υγεία και την υγειονομική περίθαλψη στις συντρέχουσες αρμοδιότητες μεταξύ της Ένωσης και των κρατών μελών της με την τροποποίηση του άρθρου 4 της ΣΛΕΕ. [#49, FRsouhait11, ψηφιακή πλατφόρμα, GT]</w:t>
      </w:r>
      <w:r>
        <w:rPr>
          <w:rStyle w:val="Ancredenotedefin"/>
          <w:rStyle w:val="Ancredenotedefin"/>
        </w:rPr>
        <w:endnoteReference w:id="8"/>
      </w:r>
      <w:r>
        <w:rPr/>
        <w:t>.</w:t>
      </w:r>
    </w:p>
    <w:p>
      <w:pPr>
        <w:pStyle w:val="Puce3"/>
        <w:tabs>
          <w:tab w:val="clear" w:pos="720"/>
        </w:tabs>
        <w:rPr/>
      </w:pPr>
      <w:r>
        <w:rPr/>
        <w:t>4.</w:t>
        <w:tab/>
        <w:t>Να διασφαλίσει ότι οποιοσδήποτε έχει πρόσβαση σε υφιστάμενες θεραπείες στην πρώτη χώρα της ΕΕ στην οποία είναι διαθέσιμες· για τον σκοπό αυτό, να βελτιωθεί η διασυνοριακή συνεργασία, ιδίως όσον αφορά τις σπάνιες νόσους, τον καρκίνο, τις καρδιαγγειακές παθήσεις και τις εξαιρετικά εξειδικευμένες θεραπείες, όπως οι μεταμοσχεύσεις οργάνων και η αντιμετώπιση σοβαρών εγκαυμάτων. Θα πρέπει να δημιουργηθεί ένα ευρωπαϊκό δίκτυο μεταμόσχευσης και δωρεάς οργάνων για όλους τους Ευρωπαίους ασθενείς που χρήζουν μεταμόσχευσης. [πλήρης και GT]</w:t>
      </w:r>
    </w:p>
    <w:p>
      <w:pPr>
        <w:pStyle w:val="Puce3"/>
        <w:tabs>
          <w:tab w:val="clear" w:pos="720"/>
        </w:tabs>
        <w:rPr/>
      </w:pPr>
      <w:r>
        <w:rPr/>
        <w:t>5.</w:t>
        <w:tab/>
        <w:t>Εξασφάλιση οικονομικά προσιτής περίθαλψης, μέσω μεγαλύτερων επενδύσεων στην υγειονομική περίθαλψη, ιδίως στην οδοντιατρική περίθαλψη, συμπεριλαμβανομένης της προφύλαξης και διασφάλιση ότι η προσιτή οδοντιατρική περίθαλψη είναι προσβάσιμη σε όλους εντός 15-20 ετών. [#48, GT]</w:t>
      </w:r>
    </w:p>
    <w:p>
      <w:pPr>
        <w:pStyle w:val="Puce3"/>
        <w:tabs>
          <w:tab w:val="clear" w:pos="720"/>
        </w:tabs>
        <w:rPr/>
      </w:pPr>
      <w:r>
        <w:rPr/>
        <w:t>6.</w:t>
        <w:tab/>
        <w:t>Να διασφαλίσει ότι οι θεραπείες και τα φάρμακα σε ολόκληρη την Ένωση είναι ίσης ποιότητας και έχουν δίκαιο τοπικό κόστος, μεταξύ άλλων με την αντιμετώπιση του σημερινού κατακερματισμού της εσωτερικής αγοράς. [#40, NL3, ομάδα εργασίας, ολομέλεια]</w:t>
      </w:r>
    </w:p>
    <w:p>
      <w:pPr>
        <w:pStyle w:val="Puce3"/>
        <w:tabs>
          <w:tab w:val="clear" w:pos="720"/>
        </w:tabs>
        <w:rPr/>
      </w:pPr>
      <w:r>
        <w:rPr/>
        <w:t>7.</w:t>
        <w:tab/>
        <w:t>Καταπολέμηση της ανασφάλειας στον τομέα της υγείας, ενθαρρύνοντας την παροχή δωρεάν οδοντιατρικής περίθαλψης σε παιδιά, ομάδες χαμηλού εισοδήματος και άλλες ευάλωτες ομάδες, όπως τα άτομα με αναπηρία. Μελετήστε επίσης τις επιπτώσεις της κακής στέγασης στην υγεία. [#48, GT]</w:t>
      </w:r>
    </w:p>
    <w:p>
      <w:pPr>
        <w:pStyle w:val="Puce3"/>
        <w:tabs>
          <w:tab w:val="clear" w:pos="720"/>
        </w:tabs>
        <w:rPr/>
      </w:pPr>
      <w:r>
        <w:rPr/>
        <w:t>8.</w:t>
        <w:tab/>
        <w:t>Να λάβει υπόψη τη διεθνή διάσταση της υγείας και να αναγνωρίσει ότι τα φάρμακα θα πρέπει να είναι παγκοσμίως διαθέσιμα, μεταξύ άλλων και στις φτωχότερες χώρες.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ΕΙΚΟΝΑ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ΕΙΚΟΝΑ23"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Μια ισχυρότερη οικονομία, κοινωνική δικαιοσύνη και απασχόληση</w:t>
      </w:r>
    </w:p>
    <w:p>
      <w:pPr>
        <w:pStyle w:val="P68B1DB1Normal15"/>
        <w:rPr>
          <w:b/>
          <w:b/>
        </w:rPr>
      </w:pPr>
      <w:r>
        <w:rPr/>
        <w:t>Εισαγωγή</w:t>
      </w:r>
    </w:p>
    <w:p>
      <w:pPr>
        <w:pStyle w:val="Normal"/>
        <w:rPr/>
      </w:pPr>
      <w:r>
        <w:rPr/>
        <w:t>Ζούμε σε εξαιρετικές περιστάσεις και η Ευρωπαϊκή Ένωση θα κριθεί από τις προσπάθειές της να βγει ισχυρότερη από τις τρέχουσες κρίσεις, με ένα πιο βιώσιμο, ανταγωνιστικό και ανθεκτικό μοντέλο ανάπτυξης χωρίς αποκλεισμούς. Η εισβολή της Ρωσίας στην Ουκρανία και η πανδημία COVID-19 έχουν αλλάξει το πρόσωπο της ΕΕ. Η διάσκεψη θα πρέπει επίσης να αντιμετωπίσει τις κοινωνικές και οικονομικές συνέπειες αυτού του πολέμου σε ένα ήδη πολύ δύσκολο πλαίσιο μετά την πανδημία. Ταυτόχρονα, η κλιματική αλλαγή εξακολουθεί να αποτελεί απειλή για την ανθρωπότητα και θα έχει δραματικές επιπτώσεις στην οικονομία και τις κοινωνίες μας. Από τις συστάσεις που ελήφθησαν είναι σαφές ότι οι πολίτες ζητούν ισχυρότερη δράση της ΕΕ. Οι ανεπίλυτες διεθνικές προκλήσεις, όπως η ανισότητα, η ανταγωνιστικότητα, η υγεία, η κλιματική αλλαγή, η μετανάστευση, η ψηφιοποίηση ή η δίκαιη φορολογία, απαιτούν κατάλληλες ευρωπαϊκές λύσεις. Είναι επίσης σαφές από τις συστάσεις και τις συζητήσεις ότι χρειαζόμαστε μια ολοκληρωμένη στρατηγική για τη διασφάλιση μεγαλύτερης ευημερίας των ευρωπαίων πολιτών σε διάφορες πτυχές της ζωής τους. Ορισμένα στοιχεία της στρατηγικής αυτής περιλαμβάνονται στις υφιστάμενες πολιτικές και μπορούν να επιτευχθούν με την πλήρη αξιοποίηση του υφιστάμενου θεσμικού πλαισίου σε ευρωπαϊκό και εθνικό επίπεδο· άλλες θα απαιτήσουν νέες πολιτικές και, σε ορισμένες περιπτώσεις, αλλαγές στις συνθήκες. Ωστόσο, οι νέες πολιτικές και οι αλλαγές των συνθηκών θα πρέπει να θεωρούνται ως μέσα βελτίωσης της ευημερίας και όχι ως αυτοσκοπός. Είναι δυνατό και αναγκαίο να επαναπροσδιοριστεί η Ένωση έτσι ώστε να εγγυηθεί τη στρατηγική της αυτονομία, τη βιώσιμη ανάπτυξή της, τη βελτίωση των συνθηκών διαβίωσης και εργασίας και την ανθρώπινη πρόοδο, χωρίς να εξαντλήσει ή να καταστρέψει τους πόρους του πλανήτη μας, με ένα ανανεωμένο κοινωνικό συμβόλαιο. Οι συστάσεις αυτές αποσκοπούν στην επίτευξη αυτών των στόχων. Οι παρακάτω προτάσεις θα πρέπει να διαβαστούν λαμβάνοντας υπόψη ότι οι πολίτες σε ολόκληρη την Ευρώπη διατύπωσαν ποικίλες απόψεις και συστάσεις. Αυτή η ποικιλία απόψεων είναι ένα από τα ασύγκριτα πλεονεκτήματα της Ευρώπης.</w:t>
      </w:r>
    </w:p>
    <w:p>
      <w:pPr>
        <w:pStyle w:val="Normal"/>
        <w:rPr/>
      </w:pPr>
      <w:r>
        <w:rPr/>
      </w:r>
      <w:r>
        <w:br w:type="page"/>
      </w:r>
    </w:p>
    <w:p>
      <w:pPr>
        <w:pStyle w:val="Titre3"/>
        <w:numPr>
          <w:ilvl w:val="2"/>
          <w:numId w:val="2"/>
        </w:numPr>
        <w:rPr/>
      </w:pPr>
      <w:bookmarkStart w:id="58" w:name="__RefHeading___Toc298290_1346298689"/>
      <w:bookmarkEnd w:id="58"/>
      <w:r>
        <w:rPr/>
        <w:t>11. ΠΡΟΤΑΣΗ: Βιώσιμη ανάπτυξη και καινοτομία</w:t>
      </w:r>
    </w:p>
    <w:p>
      <w:pPr>
        <w:pStyle w:val="P68B1DB1Normal15"/>
        <w:rPr>
          <w:b/>
          <w:b/>
        </w:rPr>
      </w:pPr>
      <w:r>
        <w:rPr/>
        <w:t>ΣΚΟΠΟΣ ΣΤΟΧΟΣ: Προτείνουμε η ΕΕ να στηρίξει τη μετάβαση σε ένα βιώσιμο και ανθεκτικό μοντέλο ανάπτυξης, λαμβάνοντας υπόψη την πράσινη και την ψηφιακή μετάβαση με ισχυρή κοινωνική διάσταση στο Ευρωπαϊκό Εξάμηνο και την ενδυνάμωση των πολιτών, των συνδικαλιστικών οργανώσεων και των επιχειρήσεων. Οι συμβατικοί μακροοικονομικοί δείκτες και το ΑΕγχΠ θα μπορούσαν να συμπληρωθούν με νέους δείκτες για την ανταπόκριση στις νέες ευρωπαϊκές προτεραιότητες, όπως η Ευρωπαϊκή Πράσινη Συμφωνία ή ο ευρωπαϊκός πυλώνας κοινωνικών δικαιωμάτων, και να αντικατοπτρίζουν καλύτερα την πράσινη και την ψηφιακή μετάβαση και την ευημερία των πολιτών. Αυτό θα μπορούσε να επιτευχθεί με τα ακόλουθα μέτρα: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9"/>
      </w:r>
      <w:r>
        <w:rPr/>
        <w:t>:</w:t>
      </w:r>
    </w:p>
    <w:p>
      <w:pPr>
        <w:pStyle w:val="Puce3"/>
        <w:rPr/>
      </w:pPr>
      <w:r>
        <w:rPr/>
        <w:t>1.</w:t>
        <w:tab/>
        <w:t>Προώθηση πιο πράσινων διαδικασιών παραγωγής από τις εταιρείες, βοήθεια στις επιχειρήσεις να βρουν τις καλύτερες λύσεις και παροχή θετικών και αρνητικών κινήτρων. (PCE 11 και 12) και αύξηση της τοπικής παραγωγής και κατανάλωσης (συζητήσεις).</w:t>
      </w:r>
    </w:p>
    <w:p>
      <w:pPr>
        <w:pStyle w:val="Puce3"/>
        <w:tabs>
          <w:tab w:val="clear" w:pos="720"/>
        </w:tabs>
        <w:rPr/>
      </w:pPr>
      <w:r>
        <w:rPr/>
        <w:t>2.</w:t>
        <w:tab/>
        <w:t>Προσπάθεια για μια πιο βιώσιμη και κυκλική οικονομία με την αντιμετώπιση του προβλήματος της προγραμματισμένης απαξίωσης και τη διασφάλιση του δικαιώματος αποκατάστασης (PCE 14).</w:t>
      </w:r>
    </w:p>
    <w:p>
      <w:pPr>
        <w:pStyle w:val="Puce3"/>
        <w:tabs>
          <w:tab w:val="clear" w:pos="720"/>
        </w:tabs>
        <w:rPr/>
      </w:pPr>
      <w:r>
        <w:rPr/>
        <w:t>3.</w:t>
        <w:tab/>
        <w:t>Να εξετάσει την οικονομική διακυβέρνηση της Ένωσης και το Ευρωπαϊκό Εξάμηνο για να διασφαλίσει ότι η πράσινη και η ψηφιακή μετάβαση, η κοινωνική δικαιοσύνη και η κοινωνική πρόοδος συμβαδίζουν με την οικονομική ανταγωνιστικότητα, χωρίς να αγνοείται ο οικονομικός και δημοσιονομικός χαρακτήρας του Ευρωπαϊκού Εξαμήνου. Επιπλέον, υπάρχει ανάγκη καλύτερης συμμετοχής των κοινωνικών εταίρων και των τοπικών και περιφερειακών αρχών στην υλοποίηση του Ευρωπαϊκού Εξαμήνου, προκειμένου να βελτιωθεί η εφαρμογή και η λογοδοσία του (ηλεκτρονική πλατφόρμα, συζητήσεις).</w:t>
      </w:r>
    </w:p>
    <w:p>
      <w:pPr>
        <w:pStyle w:val="Puce3"/>
        <w:tabs>
          <w:tab w:val="clear" w:pos="720"/>
        </w:tabs>
        <w:rPr/>
      </w:pPr>
      <w:r>
        <w:rPr/>
        <w:t>4.</w:t>
        <w:tab/>
        <w:t>Καταπολέμηση της χρήσης πλαστικών συσκευασιών/εμπορευματοκιβωτίων μίας χρήσης (PCE 12).</w:t>
      </w:r>
    </w:p>
    <w:p>
      <w:pPr>
        <w:pStyle w:val="Puce3"/>
        <w:tabs>
          <w:tab w:val="clear" w:pos="720"/>
        </w:tabs>
        <w:rPr/>
      </w:pPr>
      <w:r>
        <w:rPr/>
        <w:t>5.</w:t>
        <w:tab/>
        <w:t>Να διευρυνθεί η χρήση της ευρωπαϊκής τεχνολογίας και να καταστεί βιώσιμη εναλλακτική λύση έναντι της ξένης τεχνολογίας (συζητήσεις).</w:t>
      </w:r>
    </w:p>
    <w:p>
      <w:pPr>
        <w:pStyle w:val="Puce3"/>
        <w:tabs>
          <w:tab w:val="clear" w:pos="720"/>
        </w:tabs>
        <w:rPr/>
      </w:pPr>
      <w:r>
        <w:rPr/>
        <w:t>6.</w:t>
        <w:tab/>
        <w:t>Προώθηση της έρευνας για νέα υλικά και τεχνολογίες, καθώς και καινοτόμος χρήση των υφιστάμενων υλικών, αποφεύγοντας παράλληλα την αλληλεπικάλυψη των ερευνητικών προσπαθειών (PCE 9, NL 1).</w:t>
      </w:r>
    </w:p>
    <w:p>
      <w:pPr>
        <w:pStyle w:val="Puce3"/>
        <w:tabs>
          <w:tab w:val="clear" w:pos="720"/>
        </w:tabs>
        <w:rPr/>
      </w:pPr>
      <w:r>
        <w:rPr/>
        <w:t>7.</w:t>
        <w:tab/>
        <w:t>Να εξετάσουν τη βιωσιμότητα, την οικονομική προσιτότητα και την προσβασιμότητα της ενέργειας, λαμβάνοντας υπόψη την ενεργειακή φτώχεια και την εξάρτηση από τρίτες χώρες, αυξάνοντας το μερίδιο της βιώσιμης παραγωγής ενέργειας (CEP 10, LT 3, IT 1.1).</w:t>
      </w:r>
    </w:p>
    <w:p>
      <w:pPr>
        <w:pStyle w:val="Puce3"/>
        <w:tabs>
          <w:tab w:val="clear" w:pos="720"/>
        </w:tabs>
        <w:rPr/>
      </w:pPr>
      <w:r>
        <w:rPr/>
        <w:t>8.</w:t>
        <w:tab/>
        <w:t>Ευαισθητοποίηση των επιχειρήσεων και των πολιτών για την υιοθέτηση πιο βιώσιμης συμπεριφοράς και τη διασφάλιση μιας δίκαιης μετάβασης με βάση τον κοινωνικό διάλογο και τις ποιοτικές θέσεις εργασίας (CEP 12 και επιγραμμική πλατφόρμα).</w:t>
      </w:r>
    </w:p>
    <w:p>
      <w:pPr>
        <w:pStyle w:val="Puce3"/>
        <w:tabs>
          <w:tab w:val="clear" w:pos="720"/>
        </w:tabs>
        <w:rPr/>
      </w:pPr>
      <w:r>
        <w:rPr/>
        <w:t>9.</w:t>
        <w:tab/>
        <w:t>Συμπερίληψη φιλόδοξων κοινωνικών και εργασιακών προτύπων και προτύπων υγείας, συμπεριλαμβανομένης της υγείας και της ασφάλειας στην εργασία, στις νέες εμπορικές συμφωνίες της ΕΕ.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ΠΡΟΤΑΣΗ: Ενίσχυση της ανταγωνιστικότητας της Ένωσης και περαιτέρω εμβάθυνση της ενιαίας αγοράς</w:t>
      </w:r>
    </w:p>
    <w:p>
      <w:pPr>
        <w:pStyle w:val="Normal"/>
        <w:rPr/>
      </w:pPr>
      <w:r>
        <w:rPr/>
        <w:t>ΣΚΟΠΟΣ ΣΤΟΧΟΣ: Προτείνουμε να ενισχυθεί η ανταγωνιστικότητα και η ανθεκτικότητα της οικονομίας, της ενιαίας αγοράς και της βιομηχανίας της ΕΕ και να αντιμετωπιστούν οι στρατηγικές εξαρτήσεις. Πρέπει να προωθήσουμε μια επιχειρηματική νοοτροπία στην ΕΕ, στην οποία οι καινοτόμες εταιρείες κάθε μεγέθους, ιδίως οι πολύ μικρές, οι μικρές και οι μεσαίες επιχειρήσεις και οι νεοσύστατες επιχειρήσεις, ενθαρρύνονται και μπορούν να ευδοκιμήσουν προκειμένου να συμβάλουν σε πιο ανθεκτικές και χωρίς αποκλεισμούς κοινωνίες. Απαιτείται ισχυρή και βιώσιμη οικονομία της αγοράς για να διευκολυνθεί το όραμα για μια πιο κοινωνική Ευρώπη. Αυτό θα μπορούσε να επιτευχθεί με τα ακόλουθα μέτρα: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10"/>
      </w:r>
      <w:r>
        <w:rPr/>
        <w:t>:</w:t>
      </w:r>
    </w:p>
    <w:p>
      <w:pPr>
        <w:pStyle w:val="Puce3"/>
        <w:tabs>
          <w:tab w:val="clear" w:pos="720"/>
        </w:tabs>
        <w:rPr/>
      </w:pPr>
      <w:r>
        <w:rPr/>
        <w:t>1.</w:t>
        <w:tab/>
        <w:t>Να αναπτύξει ένα σαφές όραμα για την ευρωπαϊκή οικονομία και να αξιοποιήσει τα πλεονεκτήματα, την ποιότητα και την πολυμορφία της Ευρώπης, λαμβάνοντας παράλληλα υπόψη τις οικονομικές και άλλες διαφορές μεταξύ των κρατών μελών, και να προωθήσει τη συνεργασία και τον ανταγωνισμό μεταξύ των επιχειρήσεων. (NL 1 &amp; 2)</w:t>
      </w:r>
    </w:p>
    <w:p>
      <w:pPr>
        <w:pStyle w:val="Puce3"/>
        <w:tabs>
          <w:tab w:val="clear" w:pos="720"/>
        </w:tabs>
        <w:rPr/>
      </w:pPr>
      <w:r>
        <w:rPr/>
        <w:t>2.</w:t>
        <w:tab/>
        <w:t>Ενοποίηση των ενεργειών όσον αφορά το ενιαίο νόμισμα και τη διασύνδεση των συστημάτων πληρωμών και των τηλεπικοινωνιών. (Στοιχείο 4.α.2)</w:t>
      </w:r>
    </w:p>
    <w:p>
      <w:pPr>
        <w:pStyle w:val="Puce3"/>
        <w:tabs>
          <w:tab w:val="clear" w:pos="720"/>
        </w:tabs>
        <w:rPr/>
      </w:pPr>
      <w:r>
        <w:rPr/>
        <w:t>3.</w:t>
        <w:tab/>
        <w:t>Μείωση της τυποποίησης των προϊόντων και αναγνώριση των τοπικών και περιφερειακών ιδιαιτεροτήτων όσον αφορά τον πολιτισμό και την παραγωγή (σεβασμός των παραδόσεων παραγωγής). (ΣΗΜ. 2.2)</w:t>
      </w:r>
    </w:p>
    <w:p>
      <w:pPr>
        <w:pStyle w:val="Puce3"/>
        <w:tabs>
          <w:tab w:val="clear" w:pos="720"/>
        </w:tabs>
        <w:rPr/>
      </w:pPr>
      <w:r>
        <w:rPr/>
        <w:t>4.</w:t>
        <w:tab/>
        <w:t>Ενίσχυση της ανοδικής κοινωνικής και οικονομικής σύγκλισης εντός της ενιαίας αγοράς, ολοκλήρωση υφιστάμενων πρωτοβουλιών όπως η Τραπεζική Ένωση και η Ένωση Κεφαλαιαγορών και εφαρμογή μιας μακρόπνοης μεταρρύθμισης της Οικονομικής και Νομισματικής Ένωσης (συζητήσεις).</w:t>
      </w:r>
    </w:p>
    <w:p>
      <w:pPr>
        <w:pStyle w:val="Puce3"/>
        <w:tabs>
          <w:tab w:val="clear" w:pos="720"/>
        </w:tabs>
        <w:rPr/>
      </w:pPr>
      <w:r>
        <w:rPr/>
        <w:t>5.</w:t>
        <w:tab/>
        <w:t>Προώθηση πολιτικών για μια ισχυρή βιομηχανική βάση και καινοτομία σε βασικές τεχνολογίες γενικής εφαρμογής, καθώς και μιας μακρόπνοης πολιτικής για το κλίμα, σε συνδυασμό με τη βιομηχανική ανταγωνιστικότητα με ισχυρή κοινωνική διάσταση, με βάση τον κοινωνικό διάλογο και την εύρυθμη λειτουργία των εργασιακών σχέσεων (συζητήσεις).</w:t>
      </w:r>
    </w:p>
    <w:p>
      <w:pPr>
        <w:pStyle w:val="Puce3"/>
        <w:tabs>
          <w:tab w:val="clear" w:pos="720"/>
        </w:tabs>
        <w:rPr/>
      </w:pPr>
      <w:r>
        <w:rPr/>
        <w:t>6.</w:t>
        <w:tab/>
        <w:t>Σε όλες τις νέες πρωτοβουλίες, δώστε ιδιαίτερη προσοχή στις ΜΜΕ, οι οποίες αποτελούν τη ραχοκοκαλιά της οικονομίας μας. Η αρχή της «προτεραιότητας στις ΜΜΕ» πρέπει να τηρείται σε όλες τις νομοθετικές προτάσεις της ΕΕ και το τεστ ΜΜΕ θα πρέπει να ενισχυθεί στις εκτιμήσεις επιπτώσεων της Επιτροπής, σύμφωνα με σαφείς αρχές, με πλήρη σεβασμό των κοινωνικών και περιβαλλοντικών προτύπων και των δικαιωμάτων των καταναλωτών (συζητήσεις).</w:t>
      </w:r>
    </w:p>
    <w:p>
      <w:pPr>
        <w:pStyle w:val="Puce3"/>
        <w:tabs>
          <w:tab w:val="clear" w:pos="720"/>
        </w:tabs>
        <w:rPr/>
      </w:pPr>
      <w:r>
        <w:rPr/>
        <w:t>7.</w:t>
        <w:tab/>
        <w:t>Διασφάλιση της συμμετοχής των ΜΜΕ σε αιτήσεις χρηματοδότησης, προσκλήσεις υποβολής προσφορών και δίκτυα, με τη μικρότερη δυνατή διοικητική προσπάθεια. Η πρόσβαση των ΜΜΕ σε χρηματοδότηση για έργα καινοτομίας υψηλού κινδύνου θα πρέπει να αναπτυχθεί περαιτέρω από φορείς όπως το Ευρωπαϊκό Συμβούλιο Καινοτομίας και η Ευρωπαϊκή Τράπεζα Επενδύσεων (συζητήσεις).</w:t>
      </w:r>
    </w:p>
    <w:p>
      <w:pPr>
        <w:pStyle w:val="Puce3"/>
        <w:tabs>
          <w:tab w:val="clear" w:pos="720"/>
        </w:tabs>
        <w:rPr/>
      </w:pPr>
      <w:r>
        <w:rPr/>
        <w:t>8.</w:t>
        <w:tab/>
        <w:t>Δημιουργία καλύτερου πλαισίου για επενδύσεις στην Ε &amp; Κ με στόχο την ανάπτυξη πιο βιώσιμων και πλούσιων σε βιοποικιλότητα επιχειρηματικών μοντέλων (CEP 10, 11 και 14)· εστίαση στην τεχνολογία και την καινοτομία ως κινητήριες δυνάμεις της ανάπτυξης. (Π.Χ. 1.3)</w:t>
      </w:r>
    </w:p>
    <w:p>
      <w:pPr>
        <w:pStyle w:val="Puce3"/>
        <w:tabs>
          <w:tab w:val="clear" w:pos="720"/>
        </w:tabs>
        <w:rPr/>
      </w:pPr>
      <w:r>
        <w:rPr/>
        <w:t>9.</w:t>
        <w:tab/>
        <w:t>Προώθηση των συλλογικών οικονομικών επιδόσεων μέσω μιας αυτόνομης και ανταγωνιστικής βιομηχανίας. (FR3)</w:t>
      </w:r>
    </w:p>
    <w:p>
      <w:pPr>
        <w:pStyle w:val="Puce3"/>
        <w:tabs>
          <w:tab w:val="clear" w:pos="720"/>
        </w:tabs>
        <w:rPr/>
      </w:pPr>
      <w:r>
        <w:rPr/>
        <w:t>10.</w:t>
        <w:tab/>
        <w:t>Προσδιορισμός και ανάπτυξη στρατηγικών τομέων, συμπεριλαμβανομένων του διαστήματος, της ρομποτικής και της τεχνητής νοημοσύνης. (EN 3 &amp; 9)</w:t>
      </w:r>
    </w:p>
    <w:p>
      <w:pPr>
        <w:pStyle w:val="Puce3"/>
        <w:tabs>
          <w:tab w:val="clear" w:pos="720"/>
        </w:tabs>
        <w:rPr/>
      </w:pPr>
      <w:r>
        <w:rPr/>
        <w:t>11.</w:t>
        <w:tab/>
        <w:t>Επενδύστε στον τουρισμό και την πολιτιστική οικονομία, αποτιμώντας επίσης τους πολλούς μικρούς προορισμούς στην Ευρώπη. (ΣΗΜ. 1.2)</w:t>
      </w:r>
    </w:p>
    <w:p>
      <w:pPr>
        <w:pStyle w:val="Puce3"/>
        <w:tabs>
          <w:tab w:val="clear" w:pos="720"/>
        </w:tabs>
        <w:rPr/>
      </w:pPr>
      <w:r>
        <w:rPr/>
        <w:t>12.</w:t>
        <w:tab/>
        <w:t>Διασφάλιση της ασφάλειας του εφοδιασμού μέσω της διαφοροποίησης των πηγών εισροών/πρώτων υλών και της αύξησης της παραγωγής βασικών αγαθών στην Ευρώπη, όπως η υγεία, τα τρόφιμα, η ενέργεια, η άμυνα και οι μεταφορές. (EN 9, LT 1, IT 1.4)</w:t>
      </w:r>
    </w:p>
    <w:p>
      <w:pPr>
        <w:pStyle w:val="Puce3"/>
        <w:tabs>
          <w:tab w:val="clear" w:pos="720"/>
        </w:tabs>
        <w:rPr/>
      </w:pPr>
      <w:r>
        <w:rPr/>
        <w:t>13.</w:t>
        <w:tab/>
        <w:t>Προώθηση της ψηφιοποίησης των ευρωπαϊκών επιχειρήσεων, για παράδειγμα μέσω ενός ειδικού πίνακα αποτελεσμάτων που θα επιτρέπει στις εταιρείες να συγκρίνουν τον βαθμό ψηφιοποίησης τους, με γενικό στόχο την αύξηση της ανταγωνιστικότητάς τους. (ΑΠΌ 2.1)</w:t>
      </w:r>
    </w:p>
    <w:p>
      <w:pPr>
        <w:pStyle w:val="Puce3"/>
        <w:tabs>
          <w:tab w:val="clear" w:pos="720"/>
        </w:tabs>
        <w:rPr/>
      </w:pPr>
      <w:r>
        <w:rPr/>
        <w:t>14.</w:t>
        <w:tab/>
        <w:t>Προώθηση της ψηφιακής συνοχής προκειμένου να συμβάλει στην οικονομική, κοινωνική και εδαφική συνοχή, όπως ορίζεται στη Συνθήκη για τη λειτουργία της Ευρωπαϊκής Ένωσης (συζητήσεις).</w:t>
      </w:r>
    </w:p>
    <w:p>
      <w:pPr>
        <w:pStyle w:val="Puce3"/>
        <w:tabs>
          <w:tab w:val="clear" w:pos="720"/>
        </w:tabs>
        <w:rPr/>
      </w:pPr>
      <w:r>
        <w:rPr/>
        <w:t>15.</w:t>
        <w:tab/>
        <w:t>Ενίσχυση της διασυνοριακής συνεργασίας προκειμένου να ενισχυθεί η συνοχή και η ανθεκτικότητα εντός και εκτός των περιφερειών, ενθαρρύνοντας τον ευρωπαϊκό διασυνοριακό μηχανισμό και παρόμοια εργαλεία (συζητήσεις).</w:t>
      </w:r>
    </w:p>
    <w:p>
      <w:pPr>
        <w:pStyle w:val="Puce3"/>
        <w:tabs>
          <w:tab w:val="clear" w:pos="720"/>
        </w:tabs>
        <w:rPr/>
      </w:pPr>
      <w:r>
        <w:rPr/>
        <w:t>16.</w:t>
        <w:tab/>
        <w:t>Ενίσχυση και προώθηση των ευκαιριών διασυνοριακής κατάρτισης προκειμένου να αναβαθμιστούν οι δεξιότητες του ευρωπαϊκού εργατικού δυναμικού και να αυξηθεί η ανταγωνιστικότητα, με παράλληλη ενίσχυση των δεξιοτήτων των πολιτών στον οικονομικό τομέα. (DE 2.2, LT7). Προώθηση του εμπορίου μεταξύ των εργαζομένων στην Ευρώπη μέσω ενός Ευρωπαϊκού Κέντρου Απασχόλησης· (IT 6.1) ενθαρρύνει τους νέους να μελετήσουν επιστημονικά θέματα. (ΣΕ 1.5)</w:t>
      </w:r>
    </w:p>
    <w:p>
      <w:pPr>
        <w:pStyle w:val="Puce3"/>
        <w:tabs>
          <w:tab w:val="clear" w:pos="720"/>
        </w:tabs>
        <w:rPr/>
      </w:pPr>
      <w:r>
        <w:rPr/>
        <w:t>17.</w:t>
        <w:tab/>
        <w:t>Μείωση της γραφειοκρατίας (άδειες, πιστοποιήσεις) όπου αυτό δεν είναι απαραίτητο. (ΣΕ 2.1)</w:t>
      </w:r>
    </w:p>
    <w:p>
      <w:pPr>
        <w:pStyle w:val="Puce3"/>
        <w:tabs>
          <w:tab w:val="clear" w:pos="720"/>
        </w:tabs>
        <w:rPr/>
      </w:pPr>
      <w:r>
        <w:rPr/>
        <w:t>18.</w:t>
        <w:tab/>
        <w:t>Καταπολέμηση της παραποίησης/απομίμησης και του αθέμιτου ανταγωνισμού. (ΣΕ 2.4)</w:t>
      </w:r>
    </w:p>
    <w:p>
      <w:pPr>
        <w:pStyle w:val="Puce3"/>
        <w:tabs>
          <w:tab w:val="clear" w:pos="720"/>
        </w:tabs>
        <w:rPr/>
      </w:pPr>
      <w:r>
        <w:rPr/>
        <w:t>19.</w:t>
        <w:tab/>
        <w:t>Εξασφάλιση μεγαλύτερης συμμετοχής των νεοφυών επιχειρήσεων και των ΜΜΕ σε έργα καινοτομίας, καθώς αυτό ενισχύει τη δύναμη καινοτομίας, την ανταγωνιστικότητα και τη δικτύωσή τους (ηλεκτρονική πλατφόρμα, συζητήσεις).</w:t>
      </w:r>
    </w:p>
    <w:p>
      <w:pPr>
        <w:pStyle w:val="Puce3"/>
        <w:tabs>
          <w:tab w:val="clear" w:pos="720"/>
        </w:tabs>
        <w:rPr/>
      </w:pPr>
      <w:r>
        <w:rPr/>
        <w:t>20.</w:t>
        <w:tab/>
        <w:t>Η ενοποίηση και η προστασία της ενιαίας αγοράς θα πρέπει να εξακολουθήσουν να αποτελούν προτεραιότητα· τα μέτρα και οι πρωτοβουλίες που λαμβάνονται σε εθνικό και ενωσιακό επίπεδο δεν θα πρέπει να θίγουν την ενιαία αγορά και θα πρέπει να συμβάλλουν στην ελεύθερη κυκλοφορία των προσώπων, των αγαθών, των υπηρεσιών και των κεφαλαίων (συζητήσεις).</w:t>
      </w:r>
    </w:p>
    <w:p>
      <w:pPr>
        <w:pStyle w:val="Puce3"/>
        <w:tabs>
          <w:tab w:val="clear" w:pos="720"/>
        </w:tabs>
        <w:rPr/>
      </w:pPr>
      <w:r>
        <w:rPr/>
        <w:t>21.</w:t>
        <w:tab/>
        <w:t>Οι νέες πρωτοβουλίες πολιτικής της ΕΕ θα πρέπει να υπόκεινται σε «έλεγχο ανταγωνιστικότητας» προκειμένου να αναλύεται ο αντίκτυπός τους στις επιχειρήσεις και το επιχειρηματικό τους περιβάλλον (κόστος οικονομικής δραστηριότητας, ικανότητα καινοτομίας, διεθνής ανταγωνιστικότητα, ίσοι όροι ανταγωνισμού κ.λπ.). Η παρακολούθηση αυτή συνάδει με τη Συμφωνία του Παρισιού και τους Στόχους Βιώσιμης Ανάπτυξης, συμπεριλαμβανομένης της ισότητας των φύλων, και δεν υπονομεύει την προστασία των ανθρωπίνων δικαιωμάτων, των κοινωνικών και εργασιακών δικαιωμάτων ή των προτύπων προστασίας του περιβάλλοντος και των καταναλωτών. Για τον σκοπό αυτό, προτείνουμε επίσης τη δημιουργία ενός ευρωπαϊκού συμβουλευτικού οργάνου για την ανταγωνιστικότητα, ο οποίος θα παρακολουθεί τον τρόπο με τον οποίο πραγματοποιείται η παρακολούθηση της ανταγωνιστικότητας και, ειδικότερα, θα αξιολογεί τις σωρευτικές επιπτώσεις της νομοθεσίας, καθώς και να υποβάλει προτάσεις για τη βελτίωση του κατάλληλου πλαισίου συνθηκών για την ανταγωνιστικότητα των επιχειρήσεων της ΕΕ. Ο φορέας αυτός θα πρέπει να περιλαμβάνει την οργανωμένη κοινωνία των πολιτών και τους κοινωνικούς εταίρους στη διακυβέρνησή του· (συζητήσεις)</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ΠΡΟΤΑΣΗ: Αγορές εργασίας χωρίς αποκλεισμούς</w:t>
      </w:r>
    </w:p>
    <w:p>
      <w:pPr>
        <w:pStyle w:val="P68B1DB1Normal15"/>
        <w:rPr>
          <w:b/>
          <w:b/>
        </w:rPr>
      </w:pPr>
      <w:r>
        <w:rPr/>
        <w:t>ΣΚΟΠΟΣ ΣΤΟΧΟΣ: Προτείνουμε να βελτιωθεί η λειτουργία των αγορών εργασίας ώστε να εξασφαλιστούν δικαιότερες συνθήκες εργασίας και να προωθηθεί η ισότητα των φύλων και η απασχόληση, ιδίως για τους νέους και τις ευάλωτες ομάδες. Η ΕΕ, τα κράτη μέλη και οι κοινωνικοί εταίροι πρέπει να εργαστούν για τον τερματισμό της φτώχειας των εργαζομένων, την ενίσχυση των δικαιωμάτων των εργαζομένων σε πλατφόρμες, την απαγόρευση της μη αμειβόμενης πρακτικής άσκησης και τη διασφάλιση δίκαιης κινητικότητας του εργατικού δυναμικού στην Ένωση. Πρέπει να προωθήσουμε τον κοινωνικό διάλογο και τις συλλογικές διαπραγματεύσεις. Πρέπει να διασφαλίσουμε την πλήρη εφαρμογή του ευρωπαϊκού πυλώνα κοινωνικών δικαιωμάτων, συμπεριλαμβανομένων των σχετικών πρωταρχικών στόχων του για το 2030, σε ευρωπαϊκό, εθνικό, περιφερειακό και τοπικό επίπεδο στους τομείς των «ίσων ευκαιριών και πρόσβασης στην αγορά εργασίας» και των «δίκαιων συνθηκών εργασίας», σεβόμενοι παράλληλα τις αρμοδιότητες και τις αρχές της επικουρικότητας και της αναλογικότητας, και να συμπεριλάβουμε στις Συνθήκες ένα πρωτόκολλο για την κοινωνική πρόοδο. Στο πλαίσιο αυτό, είναι αναγκαίο να σεβαστούμε τις εθνικές παραδόσεις και την αυτονομία των κοινωνικών εταίρων και να συνεργαστούμε με την κοινωνία των πολιτών. Αυτό θα μπορούσε να επιτευχθεί με τα ακόλουθα μέτρα: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11"/>
      </w:r>
      <w:r>
        <w:rPr/>
        <w:t>:</w:t>
      </w:r>
    </w:p>
    <w:p>
      <w:pPr>
        <w:pStyle w:val="Puce3"/>
        <w:tabs>
          <w:tab w:val="clear" w:pos="720"/>
        </w:tabs>
        <w:rPr/>
      </w:pPr>
      <w:r>
        <w:rPr/>
        <w:t>1.</w:t>
        <w:tab/>
        <w:t>Να διασφαλίσει ότι οι νόμιμοι κατώτατοι μισθοί εγγυώνται σε κάθε εργαζόμενο αξιοπρεπή και παρόμοια ποιότητα ζωής σε όλα τα κράτη μέλη. Θα πρέπει να καθοριστούν σαφή κριτήρια (π.χ. κόστος ζωής, πληθωρισμός, επίπεδο πάνω από το όριο της φτώχειας, μέσος και διάμεσος μισθός σε εθνικό επίπεδο) που θα πρέπει να λαμβάνονται υπόψη κατά τον καθορισμό του κατώτατου μισθού. Τα επίπεδα των νόμιμων κατώτατων μισθών θα πρέπει να επανεξετάζονται τακτικά με βάση τα εν λόγω κριτήρια, προκειμένου να διασφαλίζεται η καταλληλότητά τους. Ιδιαίτερη προσοχή θα πρέπει να δοθεί στην αποτελεσματική εφαρμογή των κανόνων αυτών και στην παρακολούθηση και παρακολούθηση της βελτίωσης του βιοτικού επιπέδου. Ταυτόχρονα, οι συλλογικές διαπραγματεύσεις θα πρέπει να ενισχυθούν και να προωθηθούν σε ολόκληρη την Ένωση (PCE 1 και 30· 4.2. διαδικτυακή πλατφόρμα).</w:t>
      </w:r>
    </w:p>
    <w:p>
      <w:pPr>
        <w:pStyle w:val="Puce3"/>
        <w:tabs>
          <w:tab w:val="clear" w:pos="720"/>
        </w:tabs>
        <w:rPr/>
      </w:pPr>
      <w:r>
        <w:rPr/>
        <w:t>2.</w:t>
        <w:tab/>
        <w:t>Να προβεί σε απολογισμό και να ενισχύσει περαιτέρω την εφαρμογή της οδηγίας για τον χρόνο εργασίας (οδηγία 2003/88/ΕΚ) και άλλων σχετικών νομοθετικών πράξεων που διασφαλίζουν υγιή ισορροπία μεταξύ επαγγελματικής και ιδιωτικής ζωής, εξετάζοντας παράλληλα νέες εθνικές πολιτικές στον τομέα αυτό (CEP 2).</w:t>
      </w:r>
    </w:p>
    <w:p>
      <w:pPr>
        <w:pStyle w:val="Puce3"/>
        <w:tabs>
          <w:tab w:val="clear" w:pos="720"/>
        </w:tabs>
        <w:rPr/>
      </w:pPr>
      <w:r>
        <w:rPr/>
        <w:t>3.</w:t>
        <w:tab/>
        <w:t>Να εισαγάγει ή να ενισχύσει την ισχύουσα νομοθεσία για την «έξυπνη εργασία» και να ενθαρρύνει τις επιχειρήσεις να προωθήσουν αυτόν τον νέο τρόπο εργασίας. (PCE 7) Η Ένωση θα πρέπει να εγγυάται το δικαίωμα στην αποσύνδεση, να κάνει περισσότερα για την αντιμετώπιση του ψηφιακού χάσματος στον χώρο εργασίας και να αξιολογεί τις επιπτώσεις της εξ αποστάσεως εργασίας στην υγεία, τον χρόνο εργασίας και τις επιδόσεις. Υπάρχει ανάγκη να διασφαλιστεί η δίκαιη ψηφιοποίηση με βάση τα ανθρώπινα δικαιώματα, τη βελτίωση των συνθηκών εργασίας και τις συλλογικές διαπραγματεύσεις (συζητήσεις).</w:t>
      </w:r>
    </w:p>
    <w:p>
      <w:pPr>
        <w:pStyle w:val="Puce3"/>
        <w:tabs>
          <w:tab w:val="clear" w:pos="720"/>
        </w:tabs>
        <w:rPr/>
      </w:pPr>
      <w:r>
        <w:rPr/>
        <w:t>4.</w:t>
        <w:tab/>
        <w:t>Ενσωμάτωση των πολιτικών απασχόλησης σε επίπεδο ΕΕ, όπου οι ενεργητικές πολιτικές για την αγορά εργασίας παραμένουν κεντρικές και όλο και περισσότερο συντονισμένες (IT 6.2), ενώ τα κράτη μέλη επικεντρώνονται σε περαιτέρω μεταρρυθμιστικές προσπάθειες για τη δημιουργία ευνοϊκών συνθηκών για τη δημιουργία ποιοτικών θέσεων εργασίας (συζητήσεις).</w:t>
      </w:r>
    </w:p>
    <w:p>
      <w:pPr>
        <w:pStyle w:val="Puce3"/>
        <w:tabs>
          <w:tab w:val="clear" w:pos="720"/>
        </w:tabs>
        <w:rPr/>
      </w:pPr>
      <w:r>
        <w:rPr/>
        <w:t>5.</w:t>
        <w:tab/>
        <w:t>Να λάβει μέτρα για να διασφαλίσει ότι τα κοινωνικά δικαιώματα προστατεύονται πλήρως και υπερισχύουν των οικονομικών ελευθεριών σε περίπτωση σύγκρουσης, μεταξύ άλλων με την εισαγωγή πρωτοκόλλου για την κοινωνική πρόοδο στις συνθήκες (επιγραμμική πλατφόρμα, συζητήσεις).</w:t>
      </w:r>
    </w:p>
    <w:p>
      <w:pPr>
        <w:pStyle w:val="Puce3"/>
        <w:tabs>
          <w:tab w:val="clear" w:pos="720"/>
        </w:tabs>
        <w:rPr/>
      </w:pPr>
      <w:r>
        <w:rPr/>
        <w:t>6.</w:t>
        <w:tab/>
        <w:t>Διασφάλιση της ισότητας των φύλων, σύμφωνα με τη στρατηγική της ΕΕ για την ισότητα των φύλων 2020-2025. Η Ένωση θα πρέπει να συνεχίσει να υπολογίζει την ισότητα των φύλων μέσω ενός δείκτη ισότητας των φύλων (στάσεις, μισθολογικές διαφορές, απασχόληση, ηγεσία κ.λπ.), να παρακολουθεί τη στρατηγική σε ετήσια βάση, να είναι διαφανής σχετικά με τα επιτευχθέντα αποτελέσματα, να ενθαρρύνει την ανταλλαγή εμπειρογνωμοσύνης και βέλτιστων πρακτικών και να δημιουργήσει έναν πιθανό άμεσο μηχανισμό για την ανάδραση των πολιτών (π.χ. διαμεσολαβητής) (ECP 28· 5.α.1). Είναι αναγκαίο να αντιμετωπιστεί το μισθολογικό χάσμα μεταξύ των φύλων και να θεσπιστούν ποσοστώσεις για θέσεις ανώτερων διοικητικών στελεχών. Οι γυναίκες επιχειρηματίες θα πρέπει να επωφελούνται από την αυξημένη στήριξη στο επιχειρηματικό περιβάλλον, όπως και οι γυναίκες στους τομείς των επιστημών, της τεχνολογίας, της μηχανικής και των μαθηματικών (συζητήσεις).</w:t>
      </w:r>
    </w:p>
    <w:p>
      <w:pPr>
        <w:pStyle w:val="Puce3"/>
        <w:tabs>
          <w:tab w:val="clear" w:pos="720"/>
        </w:tabs>
        <w:rPr/>
      </w:pPr>
      <w:r>
        <w:rPr/>
        <w:t>7.</w:t>
        <w:tab/>
        <w:t>Προώθηση της απασχόλησης των νέων, μεταξύ άλλων μέσω της οικονομικής στήριξης των επιχειρήσεων, αλλά και μέσω της παροχής πρόσθετης στήριξης στους εργοδότες και τους εργαζομένους (NL 4) και της στήριξης των νέων επιχειρηματιών και των νέων αυτοαπασχολούμενων εργαζομένων, για παράδειγμα μέσω εκπαιδευτικών εργαλείων και μαθημάτων (συζητήσεις).</w:t>
      </w:r>
    </w:p>
    <w:p>
      <w:pPr>
        <w:pStyle w:val="Puce3"/>
        <w:tabs>
          <w:tab w:val="clear" w:pos="720"/>
        </w:tabs>
        <w:rPr/>
      </w:pPr>
      <w:r>
        <w:rPr/>
        <w:t>8.</w:t>
        <w:tab/>
        <w:t>Προώθηση της απασχόλησης μειονεκτουσών ομάδων (NL 4), ιδίως για τα άτομα με αναπηρία (επιγραμμική πλατφόρμα).</w:t>
      </w:r>
    </w:p>
    <w:p>
      <w:pPr>
        <w:pStyle w:val="Puce3"/>
        <w:tabs>
          <w:tab w:val="clear" w:pos="720"/>
        </w:tabs>
        <w:rPr/>
      </w:pPr>
      <w:r>
        <w:rPr/>
        <w:t>9.</w:t>
        <w:tab/>
        <w:t>Προώθηση της απασχόλησης και της κοινωνικής κινητικότητας, έτσι ώστε οι άνθρωποι να έχουν κάθε ευκαιρία για προσωπική ανάπτυξη και αυτοδιάθεση. (IT 5.a.4 και IT 6.1) Θα μπορούσε να υπάρξει μια μακροπρόθεσμη στρατηγική για να διασφαλιστεί ότι οποιοσδήποτε στην κοινωνία μας έχει τις κατάλληλες δεξιότητες για να βρει δουλειά και να αυξήσει το ταλέντο του, ειδικά τη νεότερη γενιά (συζητήσεις). Είναι σημαντικό να πραγματοποιηθούν επενδύσεις σε δεξιότητες προσαρμοσμένες στις μεταβαλλόμενες ανάγκες της αγοράς εργασίας και να προωθηθεί η διά βίου μάθηση μέσω, μεταξύ άλλων, ενός προγράμματος ανταλλαγών σε όλα τα στάδια της ζωής, και να διασφαλιστεί το δικαίωμα στη διά βίου μάθηση και το δικαίωμα στην κατάρτιση. (FR 6) Για το σκοπό αυτό, είναι αναγκαίο να ενισχυθεί η συνεργασία μεταξύ επιχειρήσεων, συνδικαλιστικών οργανώσεων και παρόχων υπηρεσιών επαγγελματικής εκπαίδευσης και κατάρτισης (συζητήσεις).</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ΠΡΟΤΑΣΗ: Ισχυρότερες κοινωνικές πολιτικές</w:t>
      </w:r>
    </w:p>
    <w:p>
      <w:pPr>
        <w:pStyle w:val="Normal"/>
        <w:rPr/>
      </w:pPr>
      <w:r>
        <w:rPr/>
        <w:t>ΣΚΟΠΟΣ ΣΤΟΧΟΣ: Προτείνουμε τη μείωση των ανισοτήτων, την καταπολέμηση του κοινωνικού αποκλεισμού και της φτώχειας. Πρέπει να θέσουμε σε εφαρμογή μια ολοκληρωμένη στρατηγική για την καταπολέμηση της φτώχειας, η οποία θα μπορούσε να περιλαμβάνει, μεταξύ άλλων, την ενίσχυση των εγγυήσεων για τα παιδιά και των εγγυήσεων για τη νεολαία, τη θέσπιση κατώτατων μισθών, ένα κοινό ευρωπαϊκό πλαίσιο για συστήματα ελάχιστου εισοδήματος και αξιοπρεπή κοινωνική στέγαση. Πρέπει να διασφαλίσουμε την πλήρη εφαρμογή του ευρωπαϊκού πυλώνα κοινωνικών δικαιωμάτων, συμπεριλαμβανομένων των σχετικών πρωταρχικών στόχων του για το 2030, σε ευρωπαϊκό, εθνικό, περιφερειακό και τοπικό επίπεδο στους τομείς της «κοινωνικής προστασίας και ένταξης», σεβόμενοι παράλληλα τις αντίστοιχες αρμοδιότητες και τις αρχές της επικουρικότητας και της αναλογικότητας, και να συμπεριλάβουμε ένα πρωτόκολλο για την κοινωνική πρόοδο στις Συνθήκες. Αυτό θα μπορούσε να επιτευχθεί με τα ακόλουθα μέτρα: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12"/>
      </w:r>
      <w:r>
        <w:rPr/>
        <w:t>:</w:t>
      </w:r>
    </w:p>
    <w:p>
      <w:pPr>
        <w:pStyle w:val="Puce3"/>
        <w:tabs>
          <w:tab w:val="clear" w:pos="720"/>
        </w:tabs>
        <w:rPr/>
      </w:pPr>
      <w:r>
        <w:rPr/>
        <w:t>1.</w:t>
        <w:tab/>
        <w:t>Ενίσχυση των αρμοδιοτήτων της Ένωσης στον τομέα των κοινωνικών πολιτικών και πρόταση εναρμονισμένης ενωσιακής νομοθεσίας για την προώθηση των κοινωνικών πολιτικών και τη διασφάλιση ίσων δικαιωμάτων, συμπεριλαμβανομένων των δικαιωμάτων υγείας, λαμβάνοντας υπόψη τους θεσπισμένους κανονισμούς και τις ελάχιστες απαιτήσεις σε ολόκληρη την επικράτεια. (CEP 19 &amp; 21) Η ΕΕ θα μπορούσε να στηρίξει και να συμπληρώσει τις πολιτικές των κρατών μελών, μεταξύ άλλων προτείνοντας ένα κοινό πλαίσιο για τη διασφάλιση ελάχιστου εισοδήματος ώστε να μην μείνει κανείς στο περιθώριο. Οι δράσεις αυτές θα πρέπει να υλοποιηθούν στο πλαίσιο της πλήρους εφαρμογής του ευρωπαϊκού πυλώνα κοινωνικών δικαιωμάτων και του σχεδίου δράσης του (συζητήσεις).</w:t>
      </w:r>
    </w:p>
    <w:p>
      <w:pPr>
        <w:pStyle w:val="Puce3"/>
        <w:tabs>
          <w:tab w:val="clear" w:pos="720"/>
        </w:tabs>
        <w:rPr/>
      </w:pPr>
      <w:r>
        <w:rPr/>
        <w:t>2.</w:t>
        <w:tab/>
        <w:t>Μην συμβιβάζεστε με τα κοινωνικά δικαιώματα (δημόσια υγεία, δημόσια εκπαίδευση, εργασιακές πολιτικές). (Στοιχείο 4.α.1)</w:t>
      </w:r>
    </w:p>
    <w:p>
      <w:pPr>
        <w:pStyle w:val="Puce3"/>
        <w:tabs>
          <w:tab w:val="clear" w:pos="720"/>
        </w:tabs>
        <w:rPr/>
      </w:pPr>
      <w:r>
        <w:rPr/>
        <w:t>3.</w:t>
        <w:tab/>
        <w:t>Προώθηση της κοινωνικής έρευνας και της έρευνας στον τομέα της υγείας στην ΕΕ, σύμφωνα με γραμμές προτεραιότητας που θεωρούνται δημόσιου συμφέροντος και έχουν εγκριθεί από τα κράτη μέλη, και πρόβλεψη κατάλληλης χρηματοδότησης. Αυτό θα μπορούσε να επιτευχθεί εν μέρει με την ενίσχυση της συνεργασίας μεταξύ τομέων εμπειρογνωμοσύνης, χωρών και κέντρων σπουδών (πανεπιστήμια κ.λπ.) (CEP 20).</w:t>
      </w:r>
    </w:p>
    <w:p>
      <w:pPr>
        <w:pStyle w:val="Puce3"/>
        <w:tabs>
          <w:tab w:val="clear" w:pos="720"/>
        </w:tabs>
        <w:rPr/>
      </w:pPr>
      <w:r>
        <w:rPr/>
        <w:t>4.</w:t>
        <w:tab/>
        <w:t>Παροχή πρόσβασης σε ιατρικές υπηρεσίες σε όλα τα άτομα ηλικίας κάτω των 16 ετών σε ολόκληρη την ΕΕ, εάν οι υπηρεσίες αυτές δεν είναι διαθέσιμες στο εθνικό πλαίσιο (συζητήσεις).</w:t>
      </w:r>
    </w:p>
    <w:p>
      <w:pPr>
        <w:pStyle w:val="Puce3"/>
        <w:tabs>
          <w:tab w:val="clear" w:pos="720"/>
        </w:tabs>
        <w:rPr/>
      </w:pPr>
      <w:r>
        <w:rPr/>
        <w:t>5.</w:t>
        <w:tab/>
        <w:t>Να διασφαλίσει ότι η ΕΕ, από κοινού με τους κοινωνικούς εταίρους και τις εθνικές κυβερνήσεις, στηρίζει τη στοχευμένη πρόσβαση των πολιτών σε αξιοπρεπή κοινωνική στέγαση, ανάλογα με τις ειδικές ανάγκες τους· η χρηματοδοτική προσπάθεια θα πρέπει να κατανεμηθεί μεταξύ ιδιωτών χορηγών, ιδιοκτητών κατοικιών, δικαιούχων στέγασης, κυβερνήσεων των κρατών μελών σε κεντρικό και τοπικό επίπεδο και της Ευρωπαϊκής Ένωσης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ΠΡΟΤΑΣΗ: Δημογραφική μετάβαση</w:t>
      </w:r>
    </w:p>
    <w:p>
      <w:pPr>
        <w:pStyle w:val="P68B1DB1Normal15"/>
        <w:rPr>
          <w:b/>
          <w:b/>
        </w:rPr>
      </w:pPr>
      <w:r>
        <w:rPr/>
        <w:t>ΣΚΟΠΟΣ ΣΤΟΧΟΣ: προτείνουμε να αντιμετωπιστούν οι προκλήσεις που προκύπτουν από τη δημογραφική μετάβαση ως κρίσιμη συνιστώσα της συνολικής ανθεκτικότητας της Ευρώπης, ιδίως τα χαμηλά ποσοστά γεννήσεων και η συνεχής γήρανση του πληθυσμού, παρέχοντας στήριξη στους ανθρώπους καθ’ όλη τη διάρκεια της ζωής τους. Αυτό θα πρέπει να είναι μια ολοκληρωμένη δράση που θα απευθύνεται σε όλες τις γενιές, από τα παιδιά και τους νέους έως τις οικογένειες, τον πληθυσμό σε ηλικία εργασίας, τους ηλικιωμένους που είναι ακόμη έτοιμοι να εργαστούν και εκείνους που συνταξιοδοτούνται ή χρειάζονται φροντίδα. Αυτό θα μπορούσε να επιτευχθεί με τα ακόλουθα μέτρα: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13"/>
      </w:r>
      <w:r>
        <w:rPr/>
        <w:t>:</w:t>
      </w:r>
    </w:p>
    <w:p>
      <w:pPr>
        <w:pStyle w:val="Puce3"/>
        <w:tabs>
          <w:tab w:val="clear" w:pos="720"/>
        </w:tabs>
        <w:rPr/>
      </w:pPr>
      <w:r>
        <w:rPr/>
        <w:t>1.</w:t>
        <w:tab/>
        <w:t>Διασφάλιση ποιοτικών, οικονομικά προσιτών και προσβάσιμων υπηρεσιών παιδικής μέριμνας σε ολόκληρη την ΕΕ, ώστε οι μητέρες και οι πατέρες να μπορούν να συνδυάζουν με σιγουριά την επαγγελματική και την οικογενειακή ζωή. Κατά περίπτωση, αυτό θα μπορούσε να περιλαμβάνει ευκαιρίες παιδικής φροντίδας εντός ή πλησίον του χώρου εργασίας. Σε ορισμένα κράτη μέλη, υπάρχει επίσης διαθέσιμη παιδική φροντίδα κατά τη διάρκεια της νύχτας, η οποία θα πρέπει να χρησιμεύσει ως παράδειγμα. Επιπλέον, τα μέτρα αυτά θα μπορούσαν να συνοδεύονται από μέτρα στήριξης, όπως μειωμένους συντελεστές ΦΠΑ για τον εξοπλισμό που απαιτείται για τα παιδιά. Είναι σημαντικό να προληφθεί η παιδική φτώχεια και ο κοινωνικός αποκλεισμός. (CEP 22-26) Η ενίσχυση της εγγύησης για τα παιδιά, διασφαλίζοντας την πρόσβαση των παιδιών που έχουν ανάγκη σε υπηρεσίες όπως η εκπαίδευση και η φροντίδα των παιδιών, η υγειονομική περίθαλψη, η διατροφή και η στέγαση, θα μπορούσε να αποτελέσει μέσο για την επίτευξη αυτού του στόχου (ηλεκτρονική πλατφόρμα, συζητήσεις).</w:t>
      </w:r>
    </w:p>
    <w:p>
      <w:pPr>
        <w:pStyle w:val="Puce3"/>
        <w:tabs>
          <w:tab w:val="clear" w:pos="720"/>
        </w:tabs>
        <w:rPr/>
      </w:pPr>
      <w:r>
        <w:rPr/>
        <w:t>2.</w:t>
        <w:tab/>
        <w:t>Δημιουργία ειδικής στήριξης και προστασίας της εργασίας για τους νέους. Τα μέτρα που στοχεύουν στον πληθυσμό σε ηλικία εργασίας θα πρέπει να περιλαμβάνουν την πρόσβαση των μητέρων και των πατέρων στη γνώση κατά την επιστροφή τους στην εργασία (CEP 22). Η ενίσχυση των εγγυήσεων για τη νεολαία θα μπορούσε να αποτελέσει μέσο για τη βελτίωση της πρόσβασης των νέων ηλικίας κάτω των 30 ετών σε μια ποιοτική προσφορά απασχόλησης, συνεχούς εκπαίδευσης, μαθητείας ή πρακτικής άσκησης. (συζητήσεις)</w:t>
      </w:r>
    </w:p>
    <w:p>
      <w:pPr>
        <w:pStyle w:val="Puce3"/>
        <w:tabs>
          <w:tab w:val="clear" w:pos="720"/>
        </w:tabs>
        <w:rPr/>
      </w:pPr>
      <w:r>
        <w:rPr/>
        <w:t>3.</w:t>
        <w:tab/>
        <w:t>Προώθηση του δικαιώματος στην ελεύθερη κυκλοφορία της εκπαίδευσης εντός της Ένωσης, ιδίως μέσω της αμοιβαίας αναγνώρισης διπλωμάτων, βαθμών, ικανοτήτων και προσόντων. (συζητήσεις)</w:t>
      </w:r>
    </w:p>
    <w:p>
      <w:pPr>
        <w:pStyle w:val="Puce3"/>
        <w:tabs>
          <w:tab w:val="clear" w:pos="720"/>
        </w:tabs>
        <w:rPr/>
      </w:pPr>
      <w:r>
        <w:rPr/>
        <w:t>4.</w:t>
        <w:tab/>
        <w:t>Βελτίωση της νομοθεσίας και της εφαρμογής της προκειμένου να παρέχεται στήριξη στις οικογένειες σε όλα τα κράτη μέλη, για παράδειγμα όσον αφορά τη γονική άδεια και τα επιδόματα τοκετού και παιδικής μέριμνας. (PCE 26 και IT 5.α.1) Η στέγαση διαδραματίζει καίριο ρόλο στη στήριξη των οικογενειών και θα πρέπει να αντιμετωπιστεί (επιγραμμική πλατφόρμα, συζητήσεις).</w:t>
      </w:r>
    </w:p>
    <w:p>
      <w:pPr>
        <w:pStyle w:val="Puce3"/>
        <w:tabs>
          <w:tab w:val="clear" w:pos="720"/>
        </w:tabs>
        <w:rPr/>
      </w:pPr>
      <w:r>
        <w:rPr/>
        <w:t>5.</w:t>
        <w:tab/>
        <w:t>Να λάβει μέτρα για να διασφαλίσει ότι όλες οι οικογένειες απολαμβάνουν τα ίδια οικογενειακά δικαιώματα σε όλα τα κράτη μέλη. Αυτό θα πρέπει να περιλαμβάνει το δικαίωμα του γάμου και της υιοθεσίας. (PCE 27)</w:t>
      </w:r>
    </w:p>
    <w:p>
      <w:pPr>
        <w:pStyle w:val="Puce3"/>
        <w:tabs>
          <w:tab w:val="clear" w:pos="720"/>
        </w:tabs>
        <w:rPr/>
      </w:pPr>
      <w:r>
        <w:rPr/>
        <w:t>6.</w:t>
        <w:tab/>
        <w:t>Προώθηση μιας ευέλικτης ηλικίας συνταξιοδότησης λαμβάνοντας υπόψη την ιδιαίτερη κατάσταση των ηλικιωμένων. Κατά τον καθορισμό της ηλικίας συνταξιοδότησης, είναι απαραίτητο να διαφοροποιείται ανάλογα με το επάγγελμα και, ως εκ τούτου, να λαμβάνεται υπόψη μια ιδιαίτερα απαιτητική εργασία, τόσο ψυχική όσο και σωματική. (PCE 21 και IT 5.α.1)</w:t>
      </w:r>
    </w:p>
    <w:p>
      <w:pPr>
        <w:pStyle w:val="Puce3"/>
        <w:tabs>
          <w:tab w:val="clear" w:pos="720"/>
        </w:tabs>
        <w:rPr/>
      </w:pPr>
      <w:r>
        <w:rPr/>
        <w:t>7.</w:t>
        <w:tab/>
        <w:t>Πρόληψη της φτώχειας μεταξύ των ηλικιωμένων με τη θέσπιση ελάχιστων συντάξεων. Τα εν λόγω ελάχιστα επίπεδα θα πρέπει να λαμβάνουν υπόψη το βιοτικό επίπεδο, το όριο φτώχειας και την αγοραστική δύναμη στο οικείο κράτος μέλος. (PCE 21)</w:t>
      </w:r>
    </w:p>
    <w:p>
      <w:pPr>
        <w:pStyle w:val="Puce3"/>
        <w:tabs>
          <w:tab w:val="clear" w:pos="720"/>
        </w:tabs>
        <w:rPr/>
      </w:pPr>
      <w:r>
        <w:rPr/>
        <w:t>8.</w:t>
        <w:tab/>
        <w:t>Εξασφάλιση κατάλληλης κοινωνικής βοήθειας και υγειονομικής περίθαλψης για τους ηλικιωμένους. Με αυτόν τον τρόπο, είναι σημαντικό να επικεντρωθούμε τόσο στην φροντίδα της κοινότητας όσο και στην φροντίδα κατ’ οίκον. Ομοίως, τα μέτρα πρέπει να λαμβάνουν υπόψη τόσο τους αποδέκτες φροντίδας όσο και τους παρόχους φροντίδας. (PCE 23)</w:t>
      </w:r>
    </w:p>
    <w:p>
      <w:pPr>
        <w:pStyle w:val="Puce3"/>
        <w:tabs>
          <w:tab w:val="clear" w:pos="720"/>
        </w:tabs>
        <w:rPr/>
      </w:pPr>
      <w:r>
        <w:rPr/>
        <w:t>9.</w:t>
        <w:tab/>
        <w:t>Διασφάλιση της βιώσιμης ανάπτυξης και της δημογραφικής ανθεκτικότητας των υστερουσών περιφερειών, ώστε να καταστούν πιο δυναμικές και ελκυστικές, μεταξύ άλλων μέσω της πολιτικής συνοχής. (διαδικτυακή πλατφόρμα και συζητήσεις)</w:t>
      </w:r>
    </w:p>
    <w:p>
      <w:pPr>
        <w:pStyle w:val="Puce3"/>
        <w:tabs>
          <w:tab w:val="clear" w:pos="720"/>
        </w:tabs>
        <w:rPr/>
      </w:pPr>
      <w:r>
        <w:rPr/>
        <w:t>10.</w:t>
        <w:tab/>
        <w:t>Να αναλάβει συντονισμένη δράση σε ευρωπαϊκό επίπεδο για τη συλλογή δεδομένων ανά παράγοντες όπως το φύλο και την ανάλυση των δημογραφικών τάσεων, την ανταλλαγή βέλτιστων πρακτικών και γνώσεων και την παροχή συνδρομής στα κράτη μέλη στην ανάπτυξη και την εφαρμογή κατάλληλων πολιτικών, μεταξύ άλλων με τη δημιουργία ενός φορέα της ΕΕ ειδικευμένου στον τομέα αυτό. (διαδικτυακή πλατφόρμα και συζητήσεις).</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ΠΡΟΤΑΣΗ: Δημοσιονομικές και δημοσιονομικές πολιτικές</w:t>
      </w:r>
    </w:p>
    <w:p>
      <w:pPr>
        <w:pStyle w:val="P68B1DB1Normal15"/>
        <w:rPr>
          <w:b/>
          <w:b/>
        </w:rPr>
      </w:pPr>
      <w:r>
        <w:rPr/>
        <w:t>ΣΚΟΠΟΣ ΣΤΟΧΟΣ: προτείνουμε στην ΕΕ να ενθαρρύνει μελλοντικές επενδύσεις με επίκεντρο την πράσινη και την ψηφιακή μετάβαση με ισχυρή κοινωνική διάσταση και διάσταση φύλου, λαμβάνοντας υπόψη τα παραδείγματα του Next Generation EU και του Ευρωπαϊκού Μέσου Προσωρινής Στήριξης για την άμβλυνση των κινδύνων ανεργίας σε καταστάσεις έκτακτης ανάγκης (SURE). Η Ένωση πρέπει να λάβει υπόψη τις κοινωνικές και οικονομικές επιπτώσεις του πολέμου κατά της Ουκρανίας και τη σχέση μεταξύ της οικονομικής διακυβέρνησής της και του νέου γεωπολιτικού πλαισίου, ενισχύοντας τον δικό της προϋπολογισμό με νέους ιδίους πόρους. Οι πολίτες θέλουν η φορολογία να απομακρυνθεί από τους πολίτες και τις ΜΜΕ και να στοχεύσει τους φοροαπατεώνες, τους μεγάλους ρυπαίνοντες και τους ψηφιακούς γίγαντες, επιθυμώντας παράλληλα η ΕΕ να στηρίξει την ικανότητα των κρατών μελών και των τοπικών αρχών να αυτοχρηματοδοτούνται και να χρησιμοποιούν κονδύλια της ΕΕ. Ο στόχος αυτός θα πρέπει να επιτευχθεί με τα ακόλουθα μέτρα: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14"/>
      </w:r>
      <w:r>
        <w:rPr/>
        <w:t>:</w:t>
      </w:r>
    </w:p>
    <w:p>
      <w:pPr>
        <w:pStyle w:val="Puce3"/>
        <w:tabs>
          <w:tab w:val="clear" w:pos="720"/>
        </w:tabs>
        <w:rPr/>
      </w:pPr>
      <w:r>
        <w:rPr/>
        <w:t>1.</w:t>
        <w:tab/>
        <w:t>Εναρμόνιση και συντονισμός των φορολογικών πολιτικών εντός των κρατών μελών της ΕΕ για την πρόληψη της φοροδιαφυγής και της φοροαποφυγής, την αποφυγή των φορολογικών παραδείσων εντός της ΕΕ και την στόχευση της μετεγκατάστασης εντός της Ευρώπης, μεταξύ άλλων διασφαλίζοντας ότι οι φορολογικές αποφάσεις μπορούν να λαμβάνονται με ειδική πλειοψηφία στο Συμβούλιο της ΕΕ. Από την άλλη πλευρά, υπάρχουν συστάσεις από ομάδες πολιτών ότι η φορολογία εμπίπτει στην αρμοδιότητα των διαφόρων χωρών, οι οποίες έχουν τους δικούς τους στόχους και περιστάσεις. (PCE 13 και 31, IT 4.b.3, NL 2.3)</w:t>
      </w:r>
    </w:p>
    <w:p>
      <w:pPr>
        <w:pStyle w:val="Puce3"/>
        <w:tabs>
          <w:tab w:val="clear" w:pos="720"/>
        </w:tabs>
        <w:rPr/>
      </w:pPr>
      <w:r>
        <w:rPr/>
        <w:t>2.</w:t>
        <w:tab/>
        <w:t>Προώθηση της συνεργασίας μεταξύ των κρατών μελών της ΕΕ προκειμένου να διασφαλιστεί ότι όλες οι εταιρείες της ΕΕ καταβάλλουν το μερίδιο των φόρων που τους αναλογεί· καθιέρωση κοινής βάσης φορολογίας εταιρειών (ΚΒΦΕ) ή ελάχιστου πραγματικού συντελεστή. (NL 3)</w:t>
      </w:r>
    </w:p>
    <w:p>
      <w:pPr>
        <w:pStyle w:val="Puce3"/>
        <w:tabs>
          <w:tab w:val="clear" w:pos="720"/>
        </w:tabs>
        <w:rPr/>
      </w:pPr>
      <w:r>
        <w:rPr/>
        <w:t>3.</w:t>
        <w:tab/>
        <w:t>Βεβαιωθείτε ότι οι εταιρείες πληρώνουν φόρους όπου πραγματοποιούνται κέρδη. (PCE 13)</w:t>
      </w:r>
    </w:p>
    <w:p>
      <w:pPr>
        <w:pStyle w:val="Puce3"/>
        <w:tabs>
          <w:tab w:val="clear" w:pos="720"/>
        </w:tabs>
        <w:rPr/>
      </w:pPr>
      <w:r>
        <w:rPr/>
        <w:t>4.</w:t>
        <w:tab/>
        <w:t>Διασφάλιση ότι η φορολογική πολιτική στηρίζει την ευρωπαϊκή βιομηχανία και αποτρέπει την απώλεια θέσεων εργασίας στην Ευρώπη. (PCE 13 και 31)</w:t>
      </w:r>
    </w:p>
    <w:p>
      <w:pPr>
        <w:pStyle w:val="Puce3"/>
        <w:tabs>
          <w:tab w:val="clear" w:pos="720"/>
        </w:tabs>
        <w:rPr/>
      </w:pPr>
      <w:r>
        <w:rPr/>
        <w:t>5.</w:t>
        <w:tab/>
        <w:t>Να διερευνήσει λεπτομερέστερα τη δυνατότητα κοινού δανεισμού σε επίπεδο Ένωσης, με σκοπό τη δημιουργία ευνοϊκότερων όρων δανεισμού, διατηρώντας παράλληλα υπεύθυνες δημοσιονομικές πολιτικές σε επίπεδο κρατών μελών. (ΛΤ 9)</w:t>
      </w:r>
    </w:p>
    <w:p>
      <w:pPr>
        <w:pStyle w:val="Puce3"/>
        <w:tabs>
          <w:tab w:val="clear" w:pos="720"/>
        </w:tabs>
        <w:rPr/>
      </w:pPr>
      <w:r>
        <w:rPr/>
        <w:t>6.</w:t>
        <w:tab/>
        <w:t>Ενίσχυση της παρακολούθησης της απορρόφησης και της χρήσης των κονδυλίων της Ένωσης, μεταξύ άλλων σε τοπικό και δημοτικό επίπεδο (LT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ΕΙΚΟΝΑ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ΕΙΚΟΝΑ 24"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«Η ΕΕ στον κόσμο»</w:t>
      </w:r>
    </w:p>
    <w:p>
      <w:pPr>
        <w:pStyle w:val="Titre3"/>
        <w:numPr>
          <w:ilvl w:val="2"/>
          <w:numId w:val="2"/>
        </w:numPr>
        <w:rPr/>
      </w:pPr>
      <w:bookmarkStart w:id="65" w:name="__RefHeading___Toc298304_1346298689"/>
      <w:bookmarkEnd w:id="65"/>
      <w:r>
        <w:rPr/>
        <w:t>17. ΠΡΟΤΑΣΗ: Μείωση της εξάρτησης της ΕΕ από εξωτερικούς παράγοντες σε στρατηγικούς τομείς από οικονομική άποψη</w:t>
      </w:r>
    </w:p>
    <w:p>
      <w:pPr>
        <w:pStyle w:val="P68B1DB1Normal15"/>
        <w:rPr>
          <w:b/>
          <w:b/>
        </w:rPr>
      </w:pPr>
      <w:r>
        <w:rPr/>
        <w:t>ΣΚΟΠΟΣ ΣΤΟΧΟΣ: Προτείνουμε στην ΕΕ να λάβει μέτρα για την ενίσχυση της αυτονομίας της σε βασικούς στρατηγικούς τομείς όπως τα γεωργικά προϊόντα, τα στρατηγικά οικονομικά αγαθά, οι ημιαγωγοί, τα ιατρικά προϊόντα, οι καινοτόμες ψηφιακές και περιβαλλοντικές τεχνολογίες και η ενέργεια, μέσω των ακόλουθων μέτρων:</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Μετρα:</w:t>
      </w:r>
    </w:p>
    <w:p>
      <w:pPr>
        <w:pStyle w:val="Puce3"/>
        <w:tabs>
          <w:tab w:val="clear" w:pos="720"/>
        </w:tabs>
        <w:rPr/>
      </w:pPr>
      <w:r>
        <w:rPr/>
        <w:t>1.</w:t>
        <w:tab/>
        <w:t>Προώθηση δραστηριοτήτων έρευνας, ανάπτυξης και καινοτομίας και συνεργασία μεταξύ δημόσιων και ιδιωτικών εταίρων στον τομέα αυτό.</w:t>
      </w:r>
    </w:p>
    <w:p>
      <w:pPr>
        <w:pStyle w:val="Puce3"/>
        <w:tabs>
          <w:tab w:val="clear" w:pos="720"/>
        </w:tabs>
        <w:rPr/>
      </w:pPr>
      <w:r>
        <w:rPr/>
        <w:t>2.</w:t>
        <w:tab/>
        <w:t>Διατήρηση ενός φιλόδοξου θεματολογίου για τις εμπορικές διαπραγματεύσεις που μπορεί να συμβάλει στην ενίσχυση της ανθεκτικότητας και της διαφοροποίησης των αλυσίδων εφοδιασμού, ιδίως όσον αφορά τις πρώτες ύλες, ενώ μοιράζεται τα οφέλη του εμπορίου πιο δίκαια και με περισσότερους εταίρους, περιορίζοντας έτσι την έκθεσή μας και την εξάρτησή μας από μικρό αριθμό προμηθευτών που ενδέχεται να παρουσιάζουν κίνδυνο</w:t>
      </w:r>
      <w:r>
        <w:rPr>
          <w:rStyle w:val="Ancredenotedefin"/>
          <w:rStyle w:val="Ancredenotedefin"/>
        </w:rPr>
        <w:endnoteReference w:id="15"/>
      </w:r>
      <w:r>
        <w:rPr/>
        <w:t>.</w:t>
      </w:r>
    </w:p>
    <w:p>
      <w:pPr>
        <w:pStyle w:val="Puce3"/>
        <w:tabs>
          <w:tab w:val="clear" w:pos="720"/>
        </w:tabs>
        <w:rPr/>
      </w:pPr>
      <w:r>
        <w:rPr/>
        <w:t>3.</w:t>
        <w:tab/>
        <w:t>Μεγαλύτερη ανθεκτικότητα των αλυσίδων εφοδιασμού της ΕΕ με την προώθηση των επενδύσεων σε στρατηγικούς τομείς στην Ένωση, την αποθήκευση κρίσιμης παραγωγής και συσκευών και τη διαφοροποίηση των πηγών εφοδιασμού κρίσιμων πρώτων υλών.</w:t>
      </w:r>
    </w:p>
    <w:p>
      <w:pPr>
        <w:pStyle w:val="Puce3"/>
        <w:tabs>
          <w:tab w:val="clear" w:pos="720"/>
        </w:tabs>
        <w:rPr/>
      </w:pPr>
      <w:r>
        <w:rPr/>
        <w:t>4.</w:t>
        <w:tab/>
        <w:t>Νέες επενδύσεις για την ολοκλήρωση της εσωτερικής αγοράς και τη δημιουργία ισότιμων όρων ανταγωνισμού ώστε να καταστεί ελκυστικότερη η παραγωγή και η αγορά αυτών των ειδών στην Ευρωπαϊκή Ένωση.</w:t>
      </w:r>
    </w:p>
    <w:p>
      <w:pPr>
        <w:pStyle w:val="Puce3"/>
        <w:tabs>
          <w:tab w:val="clear" w:pos="720"/>
        </w:tabs>
        <w:rPr/>
      </w:pPr>
      <w:r>
        <w:rPr/>
        <w:t>5.</w:t>
        <w:tab/>
        <w:t>Στήριξη της δυνατότητας να διατίθενται και να είναι οικονομικά προσιτά τα προϊόντα αυτά για τους ευρωπαίους καταναλωτές και συμβολή στη μείωση των εξωτερικών εξαρτήσεων, για παράδειγμα μέσω διαρθρωτικών και περιφερειακών πολιτικών, φορολογικών ελαφρύνσεων, επιδοτήσεων, επενδύσεων σε υποδομές και έρευνας, τόνωσης της ανταγωνιστικότητας των ΜΜΕ, καθώς και εκπαιδευτικών προγραμμάτων για τη διατήρηση των αντίστοιχων δεξιοτήτων και θέσεων εργασίας στην Ευρώπη, τα οποία είναι σημαντικά για την εξασφάλιση βασικών αναγκών</w:t>
      </w:r>
      <w:r>
        <w:rPr>
          <w:rStyle w:val="Ancredenotedefin"/>
          <w:rStyle w:val="Ancredenotedefin"/>
        </w:rPr>
        <w:endnoteReference w:id="16"/>
      </w:r>
      <w:r>
        <w:rPr/>
        <w:t>.</w:t>
      </w:r>
    </w:p>
    <w:p>
      <w:pPr>
        <w:pStyle w:val="Puce3"/>
        <w:tabs>
          <w:tab w:val="clear" w:pos="720"/>
        </w:tabs>
        <w:rPr/>
      </w:pPr>
      <w:r>
        <w:rPr/>
        <w:t>6.</w:t>
        <w:tab/>
        <w:t>Ένα ευρωπαϊκό πρόγραμμα για τη στήριξη των μικρών τοπικών παραγωγών σε στρατηγικούς τομείς σε όλα τα</w:t>
      </w:r>
      <w:r>
        <w:rPr>
          <w:rStyle w:val="Ancredenotedefin"/>
          <w:rStyle w:val="Ancredenotedefin"/>
        </w:rPr>
        <w:endnoteReference w:id="17"/>
      </w:r>
      <w:r>
        <w:rPr/>
        <w:t>κράτη μέλη, αξιοποιώντας περισσότερο τα προγράμματα και τα χρηματοδοτικά μέσα της ΕΕ, όπως το InvestEU.</w:t>
      </w:r>
    </w:p>
    <w:p>
      <w:pPr>
        <w:pStyle w:val="Puce3"/>
        <w:tabs>
          <w:tab w:val="clear" w:pos="720"/>
        </w:tabs>
        <w:rPr/>
      </w:pPr>
      <w:r>
        <w:rPr/>
        <w:t>7.</w:t>
        <w:tab/>
        <w:t>Βελτίωση της συνεργασίας μεταξύ των κρατών μελών για τη διαχείριση των κινδύνων της αλυσίδας εφοδιασμού.</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ΠΡΟΤΑΣΗ: Μείωση της εξάρτησης της ΕΕ από ξένους ενεργειακούς παράγοντες</w:t>
      </w:r>
    </w:p>
    <w:p>
      <w:pPr>
        <w:pStyle w:val="P68B1DB1Normal15"/>
        <w:rPr>
          <w:b/>
          <w:b/>
        </w:rPr>
      </w:pPr>
      <w:r>
        <w:rPr/>
        <w:t>ΣΚΟΠΟΣ ΣΤΟΧΟΣ: Προτείνουμε η ΕΕ να επιτύχει μεγαλύτερη αυτονομία όσον αφορά την παραγωγή και τον εφοδιασμό ενέργειας, στο πλαίσιο της συνεχιζόμενης οικολογικής μετάβασης, μέσω των ακόλουθων μέτρων:</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Μετρα:</w:t>
      </w:r>
    </w:p>
    <w:p>
      <w:pPr>
        <w:pStyle w:val="Puce3"/>
        <w:tabs>
          <w:tab w:val="clear" w:pos="720"/>
        </w:tabs>
        <w:rPr/>
      </w:pPr>
      <w:r>
        <w:rPr/>
        <w:t>1.</w:t>
        <w:tab/>
        <w:t>Η υιοθέτηση μιας στρατηγικής που θα την καταστήσει πιο αυτόνομη στην παραγωγή ενέργειας. Ένας ευρωπαϊκός οργανισμός θα πρέπει να ενσωματώσει τους υφιστάμενους ευρωπαϊκούς οργανισμούς ενέργειας, να συντονίσει την ανάπτυξη των ανανεώσιμων πηγών ενέργειας και να προωθήσει την ανταλλαγή γνώσεων</w:t>
      </w:r>
      <w:r>
        <w:rPr>
          <w:rStyle w:val="Ancredenotedefin"/>
          <w:rStyle w:val="Ancredenotedefin"/>
        </w:rPr>
        <w:endnoteReference w:id="19"/>
      </w:r>
      <w:r>
        <w:rPr/>
        <w:t>.</w:t>
      </w:r>
    </w:p>
    <w:p>
      <w:pPr>
        <w:pStyle w:val="Puce3"/>
        <w:tabs>
          <w:tab w:val="clear" w:pos="720"/>
        </w:tabs>
        <w:rPr/>
      </w:pPr>
      <w:r>
        <w:rPr/>
        <w:t>2.</w:t>
        <w:tab/>
        <w:t>Ενεργός στήριξη για έργα δημόσιων μεταφορών και ενεργειακής απόδοσης, για ένα ευρωπαϊκό σιδηροδρομικό δίκτυο μεταφορών υψηλής ταχύτητας, για την επέκταση του εφοδιασμού καθαρής και ανανεώσιμης ενέργειας (συμπεριλαμβανομένης της ηλιακής και της αιολικής ενέργειας), για εναλλακτικές τεχνολογίες (όπως το υδρογόνο ή την ανάκτηση ενέργειας από απόβλητα) και για τη μετάβαση στις αστικές περιοχές από την κουλτούρα ενός ενιαίου αυτοκινήτου σε μια νοοτροπία δημόσιων μεταφορών, κοινής χρήσης ηλεκτρικών αυτοκινήτων και ποδηλασίας</w:t>
      </w:r>
      <w:r>
        <w:rPr>
          <w:rStyle w:val="Ancredenotedefin"/>
          <w:rStyle w:val="Ancredenotedefin"/>
        </w:rPr>
        <w:endnoteReference w:id="20"/>
      </w:r>
      <w:r>
        <w:rPr/>
        <w:t>.</w:t>
      </w:r>
    </w:p>
    <w:p>
      <w:pPr>
        <w:pStyle w:val="Puce3"/>
        <w:tabs>
          <w:tab w:val="clear" w:pos="720"/>
        </w:tabs>
        <w:rPr/>
      </w:pPr>
      <w:r>
        <w:rPr/>
        <w:t>3.</w:t>
        <w:tab/>
        <w:t>Διασφάλιση δίκαιης και δίκαιης μετάβασης, ιδίως με τη στήριξη ευάλωτων πολιτών, οι οποίοι αντιμετωπίζουν τις μεγαλύτερες προκλήσεις κατά τη μετάβαση προς την κλιματική ουδετερότητα και οι οποίοι ήδη πλήττονται από υψηλότερες τιμές ενέργειας λόγω της ενεργειακής εξάρτησης και του πρόσφατου τριπλασιασμού των τιμών της ενέργειας.</w:t>
      </w:r>
    </w:p>
    <w:p>
      <w:pPr>
        <w:pStyle w:val="Normal"/>
        <w:rPr/>
      </w:pPr>
      <w:r>
        <w:rPr/>
      </w:r>
    </w:p>
    <w:p>
      <w:pPr>
        <w:pStyle w:val="Puce3"/>
        <w:tabs>
          <w:tab w:val="clear" w:pos="720"/>
        </w:tabs>
        <w:rPr/>
      </w:pPr>
      <w:r>
        <w:rPr/>
        <w:t>4.</w:t>
        <w:tab/>
        <w:t>Αυξημένη συνεργασία για την αξιολόγηση της χρήσης της πυρηνικής ενέργειας στο πλαίσιο της τρέχουσας πράσινης μετάβασης προς τις ανανεώσιμες πηγές ενέργειας στην Ευρώπη, εξετάζοντας τα συλλογικά ζητήματα που θα μπορούσε να επιλύσει ή να δημιουργήσει, καθώς εξακολουθεί να χρησιμοποιείται από πολλά κράτη μέλη</w:t>
      </w:r>
      <w:r>
        <w:rPr>
          <w:rStyle w:val="Ancredenotedefin"/>
          <w:rStyle w:val="Ancredenotedefin"/>
        </w:rPr>
        <w:endnoteReference w:id="21"/>
      </w:r>
      <w:r>
        <w:rPr/>
        <w:t>.</w:t>
      </w:r>
    </w:p>
    <w:p>
      <w:pPr>
        <w:pStyle w:val="Puce3"/>
        <w:tabs>
          <w:tab w:val="clear" w:pos="720"/>
        </w:tabs>
        <w:rPr/>
      </w:pPr>
      <w:r>
        <w:rPr/>
        <w:t>5.</w:t>
        <w:tab/>
        <w:t>Συνεργασία με διεθνείς εταίρους για τη δέσμευσή τους στην επίτευξη πιο φιλόδοξων στόχων για την κλιματική αλλαγή σε διάφορα διεθνή φόρα, συμπεριλαμβανομένων των G7 και G20.</w:t>
      </w:r>
    </w:p>
    <w:p>
      <w:pPr>
        <w:pStyle w:val="Puce3"/>
        <w:tabs>
          <w:tab w:val="clear" w:pos="720"/>
        </w:tabs>
        <w:rPr/>
      </w:pPr>
      <w:r>
        <w:rPr/>
        <w:t>6.</w:t>
        <w:tab/>
        <w:t>Σύνδεση του εξωτερικού εμπορίου με μέτρα πολιτικής για την κλιματική αλλαγή (π.χ. με τη δρομολόγηση δέσμης επενδυτικών μέτρων για φιλικές προς το κλίμα τεχνολογίες και καινοτομίες, συμπεριλαμβανομένων των χρηματοδοτικών προγραμμάτων)</w:t>
      </w:r>
      <w:r>
        <w:rPr>
          <w:rStyle w:val="Ancredenotedefin"/>
          <w:rStyle w:val="Ancredenotedefin"/>
        </w:rPr>
        <w:endnoteReference w:id="22"/>
      </w:r>
      <w:r>
        <w:rPr/>
        <w:t>.</w:t>
      </w:r>
    </w:p>
    <w:p>
      <w:pPr>
        <w:pStyle w:val="Puce3"/>
        <w:tabs>
          <w:tab w:val="clear" w:pos="720"/>
        </w:tabs>
        <w:rPr/>
      </w:pPr>
      <w:r>
        <w:rPr/>
        <w:t>7.</w:t>
        <w:tab/>
        <w:t>Κοινές αγορές εισαγόμενης ενέργειας και εταιρικών σχέσεων βιώσιμης ενέργειας, προκειμένου να μειωθεί η εξάρτηση της Ευρώπης από τις εισαγωγές ενέργειας, ιδίως στον τομέα του φυσικού αερίου και του πετρελαίου, και να αναπτυχθούν οι εγχώριες πηγές ενέργειας της ΕΕ.</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ΠΡΟΤΑΣΗ: Καθορισμός προτύπων εντός και εκτός της ΕΕ στις εμπορικές και επενδυτικές σχέσεις</w:t>
      </w:r>
    </w:p>
    <w:p>
      <w:pPr>
        <w:pStyle w:val="P68B1DB1Normal15"/>
        <w:rPr>
          <w:b/>
          <w:b/>
        </w:rPr>
      </w:pPr>
      <w:r>
        <w:rPr/>
        <w:t>ΣΚΟΠΟΣ ΣΤΟΧΟΣ: Προτείνουμε στην ΕΕ να ενισχύσει τη δεοντολογική διάσταση των εμπορικών και επενδυτικών σχέσεών της με τα ακόλουθα μέτρα: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Μετρα:</w:t>
      </w:r>
    </w:p>
    <w:p>
      <w:pPr>
        <w:pStyle w:val="Puce3"/>
        <w:tabs>
          <w:tab w:val="clear" w:pos="720"/>
        </w:tabs>
        <w:rPr/>
      </w:pPr>
      <w:r>
        <w:rPr/>
        <w:t>1.</w:t>
        <w:tab/>
        <w:t>Διατήρηση και μεταρρύθμιση της βασισμένης σε κανόνες πολυμερούς αρχιτεκτονικής διεθνούς εμπορίου και εταιρικής σχέσης με ομοϊδεάτες δημοκρατίες.</w:t>
      </w:r>
    </w:p>
    <w:p>
      <w:pPr>
        <w:pStyle w:val="Puce3"/>
        <w:tabs>
          <w:tab w:val="clear" w:pos="720"/>
        </w:tabs>
        <w:rPr/>
      </w:pPr>
      <w:r>
        <w:rPr/>
        <w:t>2.</w:t>
        <w:tab/>
        <w:t>Αποτελεσματική και αναλογική νομοθεσία της ΕΕ για να διασφαλιστεί ότι τα πρότυπα αξιοπρεπούς εργασίας εφαρμόζονται πλήρως σε όλες τις παγκόσμιες αλυσίδες αξίας, μεταξύ άλλων στις διαδικασίες παραγωγής και εφοδιασμού της ΕΕ, και ότι τα εισαγόμενα αγαθά συμμορφώνονται με τα ποιοτικά δεοντολογικά πρότυπα, τη βιώσιμη ανάπτυξη και τα πρότυπα ανθρωπίνων δικαιωμάτων, συμπεριλαμβανομένων των εργασιακών και συνδικαλιστικών δικαιωμάτων, προσφέροντας πιστοποίηση για προϊόντα σύμφωνα με την εν λόγω νομοθεσία της ΕΕ</w:t>
      </w:r>
      <w:r>
        <w:rPr>
          <w:rStyle w:val="Ancredenotedefin"/>
          <w:rStyle w:val="Ancredenotedefin"/>
        </w:rPr>
        <w:endnoteReference w:id="23"/>
      </w:r>
      <w:r>
        <w:rPr/>
        <w:t xml:space="preserve"> και συμμετέχοντας σε διαδικασία διαλόγου σε επίπεδο ΕΕ με στόχο την ενημέρωση και την εκπαίδευση σχετικά με τις περιβαλλοντικές και δεοντολογικές επιπτώσεις των στρατηγικών αλλαγών στο διεθνές εμπόριο.</w:t>
      </w:r>
    </w:p>
    <w:p>
      <w:pPr>
        <w:pStyle w:val="Normal"/>
        <w:rPr/>
      </w:pPr>
      <w:r>
        <w:rPr/>
      </w:r>
    </w:p>
    <w:p>
      <w:pPr>
        <w:pStyle w:val="Puce3"/>
        <w:tabs>
          <w:tab w:val="clear" w:pos="720"/>
        </w:tabs>
        <w:rPr/>
      </w:pPr>
      <w:r>
        <w:rPr/>
        <w:t>3.</w:t>
        <w:tab/>
        <w:t>Περιορισμοί στην εισαγωγή και πώληση προϊόντων από χώρες που επιτρέπουν την καταναγκαστική εργασία και την παιδική εργασία, ένας τακτικά ενημερωμένος μαύρος κατάλογος επιχειρήσεων και η ευαισθητοποίηση των καταναλωτών σχετικά με την παιδική εργασία μέσω πληροφοριών που δημοσιεύονται μέσω επίσημων διαύλων της ΕΕ</w:t>
      </w:r>
      <w:r>
        <w:rPr>
          <w:rStyle w:val="Ancredenotedefin"/>
          <w:rStyle w:val="Ancredenotedefin"/>
        </w:rPr>
        <w:endnoteReference w:id="24"/>
      </w:r>
      <w:r>
        <w:rPr/>
        <w:t>.</w:t>
      </w:r>
    </w:p>
    <w:p>
      <w:pPr>
        <w:pStyle w:val="Puce3"/>
        <w:tabs>
          <w:tab w:val="clear" w:pos="720"/>
        </w:tabs>
        <w:rPr/>
      </w:pPr>
      <w:r>
        <w:rPr/>
        <w:t>4.</w:t>
        <w:tab/>
        <w:t>Παρακολούθηση και επιβολή εκτελεστών κεφαλαίων για το εμπόριο και τη βιώσιμη ανάπτυξη στις συμφωνίες ελεύθερων συναλλαγών της ΕΕ, συμπεριλαμβανομένης της δυνατότητας ενός μηχανισμού έσχατης ανάγκης βάσει κυρώσεων.</w:t>
      </w:r>
    </w:p>
    <w:p>
      <w:pPr>
        <w:pStyle w:val="Puce3"/>
        <w:tabs>
          <w:tab w:val="clear" w:pos="720"/>
        </w:tabs>
        <w:rPr/>
      </w:pPr>
      <w:r>
        <w:rPr/>
        <w:t>5.</w:t>
        <w:tab/>
        <w:t>Τη μεταρρύθμιση του συστήματος γενικευμένων προτιμήσεων (ΣΓΠ) της ΕΕ, ώστε να συμπεριληφθούν αυστηρές διατάξεις πολλαπλής συμμόρφωσης και αποτελεσματικές και κατάλληλες διαδικασίες παρακολούθησης, υποβολής εκθέσεων και διαλόγου για τη βελτίωση του αντικτύπου που μπορεί να έχει το ΣΓΠ στο εμπόριο, τα ανθρώπινα δικαιώματα και την ανάπτυξη στις χώρες εταίρους, με δυνατότητα ανάκλησης εμπορικών προτιμήσεων σε περίπτωση μη συμμόρφωσης.</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ΠΡΟΤΑΣΗ: Καθορισμός προτύπων εντός και εκτός της ΕΕ για τις περιβαλλοντικές πολιτικές</w:t>
      </w:r>
    </w:p>
    <w:p>
      <w:pPr>
        <w:pStyle w:val="P68B1DB1Normal15"/>
        <w:rPr>
          <w:b/>
          <w:b/>
        </w:rPr>
      </w:pPr>
      <w:r>
        <w:rPr/>
        <w:t>ΣΚΟΠΟΣ ΣΤΟΧΟΣ: Προτείνουμε στην ΕΕ να ενισχύσει την περιβαλλοντική διάσταση των εμπορικών της σχέσεων με τα ακόλουθα μέτρα: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Μετρα:</w:t>
      </w:r>
    </w:p>
    <w:p>
      <w:pPr>
        <w:pStyle w:val="Puce3"/>
        <w:tabs>
          <w:tab w:val="clear" w:pos="720"/>
        </w:tabs>
        <w:rPr/>
      </w:pPr>
      <w:r>
        <w:rPr/>
        <w:t>1.</w:t>
        <w:tab/>
        <w:t>Εναρμόνιση και ενίσχυση της οικολογικής σήμανσης και υποχρεωτική απεικόνιση ενός ευρωπαϊκού δείκτη περιβαλλοντικών επιπτώσεων (ecoscore) σε όλα τα καταναλωτικά προϊόντα. Ο οικολογικός δείκτης θα υπολογίζεται με βάση τις εκπομπές από την παραγωγή και τις μεταφορές, καθώς και με βάση τον επιβλαβή χαρακτήρα του περιεχομένου, με βάση κατάλογο επικίνδυνων προϊόντων. Η διαχείριση και η παρακολούθηση του Ecoscore θα πρέπει να πραγματοποιείται από μια ευρωπαϊκή αρχή</w:t>
      </w:r>
      <w:r>
        <w:rPr>
          <w:rStyle w:val="Ancredenotedefin"/>
          <w:rStyle w:val="Ancredenotedefin"/>
        </w:rPr>
        <w:endnoteReference w:id="25"/>
      </w:r>
      <w:r>
        <w:rPr/>
        <w:t>.</w:t>
      </w:r>
    </w:p>
    <w:p>
      <w:pPr>
        <w:pStyle w:val="Puce3"/>
        <w:tabs>
          <w:tab w:val="clear" w:pos="720"/>
        </w:tabs>
        <w:rPr/>
      </w:pPr>
      <w:r>
        <w:rPr/>
        <w:t>2.</w:t>
        <w:tab/>
        <w:t>Υψηλότερα περιβαλλοντικά πρότυπα για την εξαγωγή αποβλήτων, καθώς και αυστηρότεροι έλεγχοι και κυρώσεις για την παύση των παράνομων εξαγωγών. Η Ένωση θα πρέπει να ενθαρρύνει τα κράτη μέλη να ανακυκλώνουν τα δικά τους απόβλητα και να τα χρησιμοποιούν για την παραγωγή ενέργειας</w:t>
      </w:r>
      <w:r>
        <w:rPr>
          <w:rStyle w:val="Ancredenotedefin"/>
          <w:rStyle w:val="Ancredenotedefin"/>
        </w:rPr>
        <w:endnoteReference w:id="26"/>
      </w:r>
      <w:r>
        <w:rPr/>
        <w:t>.</w:t>
      </w:r>
    </w:p>
    <w:p>
      <w:pPr>
        <w:pStyle w:val="Puce3"/>
        <w:tabs>
          <w:tab w:val="clear" w:pos="720"/>
        </w:tabs>
        <w:rPr/>
      </w:pPr>
      <w:r>
        <w:rPr/>
        <w:t>3.</w:t>
        <w:tab/>
        <w:t>Τον καθορισμό ενός στόχου για την εξάλειψη των ρυπογόνων συσκευασιών μέσω της προώθησης λιγότερο ρυπογόνων συσκευασιών ή πιο φιλικών προς το περιβάλλον συσκευασιών</w:t>
      </w:r>
      <w:r>
        <w:rPr>
          <w:rStyle w:val="Ancredenotedefin"/>
          <w:rStyle w:val="Ancredenotedefin"/>
        </w:rPr>
        <w:endnoteReference w:id="27"/>
      </w:r>
      <w:r>
        <w:rPr/>
        <w:t xml:space="preserve"> και τη δημιουργία εταιρικών σχέσεων με τις αναπτυσσόμενες χώρες, με τη στήριξη των υποδομών τους και με την εξέταση αμοιβαία επωφελών εμπορικών συμφωνιών, προκειμένου να βοηθηθούν στη μετάβασή τους σε πράσινες πηγές ενέργειας</w:t>
      </w:r>
      <w:r>
        <w:rPr>
          <w:rStyle w:val="Ancredenotedefin"/>
          <w:rStyle w:val="Ancredenotedefin"/>
        </w:rPr>
        <w:endnoteReference w:id="28"/>
      </w:r>
      <w:r>
        <w:rPr/>
        <w:t>.</w:t>
      </w:r>
    </w:p>
    <w:p>
      <w:pPr>
        <w:pStyle w:val="Puce3"/>
        <w:tabs>
          <w:tab w:val="clear" w:pos="720"/>
        </w:tabs>
        <w:rPr/>
      </w:pPr>
      <w:r>
        <w:rPr/>
        <w:t>4.</w:t>
        <w:tab/>
        <w:t>Τη δυνατότητα επιβράβευσης των χωρών με υψηλά πρότυπα βιωσιμότητας με την παροχή πρόσθετης πρόσβασης στην αγορά της ΕΕ για τα διαρκή αγαθά και τις υπηρεσίες τους, είτε μονομερώς μέσω του συστήματος γενικευμένων προτιμήσεων του ΣΓΠ+, είτε διμερώς μέσω διαπραγματεύσεων εμπορικών συμφωνιών είτε πολυμερώς μέσω πρωτοβουλιών στο πλαίσιο του Παγκόσμιου Οργανισμού Εμπορίου.</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ΠΡΟΤΑΣΗ: Λήψη αποφάσεων και συνοχή εντός της Ένωσης</w:t>
      </w:r>
    </w:p>
    <w:p>
      <w:pPr>
        <w:pStyle w:val="P68B1DB1Normal15"/>
        <w:rPr>
          <w:b/>
          <w:b/>
        </w:rPr>
      </w:pPr>
      <w:r>
        <w:rPr/>
        <w:t>ΣΚΟΠΟΣ ΣΤΟΧΟΣ: Προτείνουμε στην ΕΕ να βελτιώσει την ικανότητά της να λαμβάνει ταχείες και αποτελεσματικές αποφάσεις στο πλαίσιο της Κοινής Εξωτερικής Πολιτικής και Πολιτικής Ασφαλείας (ΚΕΠΠΑ) μιλώντας με μία φωνή και ενεργώντας ως πραγματικά παγκόσμιος παράγοντας, ώστε να διαδραματίζει θετικό ρόλο στον κόσμο και να κάνει τη διαφορά για την αντιμετώπιση οποιασδήποτε κρίσης, μεταξύ άλλων:</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Μετρα:</w:t>
      </w:r>
    </w:p>
    <w:p>
      <w:pPr>
        <w:pStyle w:val="Puce3"/>
        <w:tabs>
          <w:tab w:val="clear" w:pos="720"/>
        </w:tabs>
        <w:rPr/>
      </w:pPr>
      <w:r>
        <w:rPr/>
        <w:t>1.</w:t>
        <w:tab/>
        <w:t>Εξασφαλίζοντας ότι, ιδίως στον τομέα της ΚΕΠΠΑ, τα θέματα που λαμβάνονται επί του παρόντος με ομοφωνία λαμβάνονται συνήθως με ειδική πλειοψηφία</w:t>
      </w:r>
      <w:r>
        <w:rPr>
          <w:rStyle w:val="Ancredenotedefin"/>
          <w:rStyle w:val="Ancredenotedefin"/>
        </w:rPr>
        <w:endnoteReference w:id="29"/>
      </w:r>
      <w:r>
        <w:rPr/>
        <w:t>.</w:t>
      </w:r>
    </w:p>
    <w:p>
      <w:pPr>
        <w:pStyle w:val="Puce3"/>
        <w:tabs>
          <w:tab w:val="clear" w:pos="720"/>
        </w:tabs>
        <w:rPr/>
      </w:pPr>
      <w:r>
        <w:rPr/>
        <w:t>2.</w:t>
        <w:tab/>
        <w:t>Να βασιστεί η συνεργασία στην πολιτική ασφάλειας και άμυνας στην προσφάτως εγκριθείσα στρατηγική πυξίδα και να χρησιμοποιηθεί ο Ευρωπαϊκός Μηχανισμός για την Ειρήνη</w:t>
      </w:r>
      <w:r>
        <w:rPr>
          <w:rStyle w:val="Ancredenotedefin"/>
          <w:rStyle w:val="Ancredenotedefin"/>
        </w:rPr>
        <w:endnoteReference w:id="30"/>
      </w:r>
      <w:r>
        <w:rPr/>
        <w:t>.</w:t>
      </w:r>
    </w:p>
    <w:p>
      <w:pPr>
        <w:pStyle w:val="Puce3"/>
        <w:tabs>
          <w:tab w:val="clear" w:pos="720"/>
        </w:tabs>
        <w:rPr/>
      </w:pPr>
      <w:r>
        <w:rPr/>
        <w:t>3.</w:t>
        <w:tab/>
        <w:t>Ενίσχυση του ρόλου της Ύπατης Εκπροσώπου όσον αφορά τη διασφάλιση ότι η ΕΕ θα μιλάει με μία φωνή</w:t>
      </w:r>
      <w:r>
        <w:rPr>
          <w:rStyle w:val="Ancredenotedefin"/>
          <w:rStyle w:val="Ancredenotedefin"/>
        </w:rPr>
        <w:endnoteReference w:id="31"/>
      </w:r>
      <w:r>
        <w:rPr/>
        <w:t>.</w:t>
      </w:r>
    </w:p>
    <w:p>
      <w:pPr>
        <w:pStyle w:val="Puce3"/>
        <w:tabs>
          <w:tab w:val="clear" w:pos="720"/>
        </w:tabs>
        <w:rPr/>
      </w:pPr>
      <w:r>
        <w:rPr/>
        <w:t>4.</w:t>
        <w:tab/>
        <w:t>Επίτευξη συμφωνίας σχετικά με ένα ισχυρό όραμα και μια κοινή στρατηγική για την εδραίωση της ενότητας και της ικανότητας λήψης αποφάσεων της ΕΕ, προκειμένου να προετοιμαστεί η Ένωση για περαιτέρω διευρύνσεις</w:t>
      </w:r>
      <w:r>
        <w:rPr>
          <w:rStyle w:val="Ancredenotedefin"/>
          <w:rStyle w:val="Ancredenotedefin"/>
        </w:rPr>
        <w:endnoteReference w:id="32"/>
      </w:r>
      <w:r>
        <w:rPr/>
        <w:t>.</w:t>
      </w:r>
    </w:p>
    <w:p>
      <w:pPr>
        <w:pStyle w:val="Puce3"/>
        <w:tabs>
          <w:tab w:val="clear" w:pos="720"/>
        </w:tabs>
        <w:rPr/>
      </w:pPr>
      <w:r>
        <w:rPr/>
        <w:t>5.</w:t>
        <w:tab/>
        <w:t>Με την ταχεία επικύρωση των εμπορικών συμφωνιών που συνήφθησαν πρόσφατα, χωρίς να απαρνηθεί την κατάλληλη εξέταση και συζήτηση.</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ΠΡΟΤΑΣΗ: Διαφάνεια της ΕΕ και των σχέσεών της με τους πολίτες</w:t>
      </w:r>
    </w:p>
    <w:p>
      <w:pPr>
        <w:pStyle w:val="P68B1DB1Normal15"/>
        <w:rPr>
          <w:b/>
          <w:b/>
        </w:rPr>
      </w:pPr>
      <w:r>
        <w:rPr/>
        <w:t>ΣΚΟΠΟΣ ΣΤΟΧΟΣ: προτείνουμε η ΕΕ, ιδίως στις δράσεις της σε διεθνές επίπεδο, συμπεριλαμβανομένων των εμπορικών διαπραγματεύσεων, να αυξήσει την προσβασιμότητά της στους πολίτες βελτιώνοντας την πληροφόρηση, την εκπαίδευση, τη συμμετοχή των πολιτών και τη διαφάνεια, ιδίως με:</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Μετρα:</w:t>
      </w:r>
    </w:p>
    <w:p>
      <w:pPr>
        <w:pStyle w:val="Puce3"/>
        <w:tabs>
          <w:tab w:val="clear" w:pos="720"/>
        </w:tabs>
        <w:rPr/>
      </w:pPr>
      <w:r>
        <w:rPr/>
        <w:t>1.</w:t>
        <w:tab/>
        <w:t>Ενίσχυση των δεσμών με τους πολίτες και τα τοπικά θεσμικά όργανα, προκειμένου να βελτιωθεί η διαφάνεια, να προσεγγίσει τους πολίτες και να επικοινωνήσει καλύτερα μαζί τους και να επικοινωνήσει μαζί τους σχετικά με συγκεκριμένες πρωτοβουλίες της ΕΕ σε διεθνές επίπεδο</w:t>
      </w:r>
      <w:r>
        <w:rPr>
          <w:rStyle w:val="Ancredenotedefin"/>
          <w:rStyle w:val="Ancredenotedefin"/>
        </w:rPr>
        <w:endnoteReference w:id="33"/>
      </w:r>
      <w:r>
        <w:rPr/>
        <w:t>.</w:t>
      </w:r>
    </w:p>
    <w:p>
      <w:pPr>
        <w:pStyle w:val="Puce3"/>
        <w:tabs>
          <w:tab w:val="clear" w:pos="720"/>
        </w:tabs>
        <w:rPr/>
      </w:pPr>
      <w:r>
        <w:rPr/>
        <w:t>2.</w:t>
        <w:tab/>
        <w:t>Μεγαλύτερη συμμετοχή των πολιτών στη διεθνή πολιτική της ΕΕ και σε εκδηλώσεις άμεσης συμμετοχής των πολιτών, όπως η Διάσκεψη για το Μέλλον της Ευρώπης, που διοργανώνεται σε εθνικό, τοπικό και ευρωπαϊκό επίπεδο</w:t>
      </w:r>
      <w:r>
        <w:rPr>
          <w:rStyle w:val="Ancredenotedefin"/>
          <w:rStyle w:val="Ancredenotedefin"/>
        </w:rPr>
        <w:endnoteReference w:id="34"/>
      </w:r>
      <w:r>
        <w:rPr/>
        <w:t xml:space="preserve"> και με την ενεργό συμμετοχή της οργανωμένης κοινωνίας των πολιτών</w:t>
      </w:r>
      <w:r>
        <w:rPr>
          <w:rStyle w:val="Ancredenotedefin"/>
          <w:rStyle w:val="Ancredenotedefin"/>
        </w:rPr>
        <w:endnoteReference w:id="35"/>
      </w:r>
      <w:r>
        <w:rPr/>
        <w:t>.</w:t>
      </w:r>
    </w:p>
    <w:p>
      <w:pPr>
        <w:pStyle w:val="Puce3"/>
        <w:tabs>
          <w:tab w:val="clear" w:pos="720"/>
        </w:tabs>
        <w:rPr/>
      </w:pPr>
      <w:r>
        <w:rPr/>
        <w:t>3.</w:t>
        <w:tab/>
        <w:t>Την πλήρη υποστήριξη όλων των σχετικών ενδιαφερόμενων μερών στους πολίτες που επιλέγουν να συμμετάσχουν σε οργανωμένες οργανώσεις της κοινωνίας των πολιτών, όπως συνέβη με τη νόσο COVID-19 και την Ουκρανία.</w:t>
      </w:r>
    </w:p>
    <w:p>
      <w:pPr>
        <w:pStyle w:val="Puce3"/>
        <w:tabs>
          <w:tab w:val="clear" w:pos="720"/>
        </w:tabs>
        <w:rPr/>
      </w:pPr>
      <w:r>
        <w:rPr/>
        <w:t>4.</w:t>
        <w:tab/>
        <w:t>Τη διάθεση ειδικού προϋπολογισμού για την ανάπτυξη εκπαιδευτικών προγραμμάτων σχετικά με τη λειτουργία της ΕΕ και τις αξίες της, τον οποίο θα μπορούσε να προτείνει στα κράτη μέλη εάν το επιθυμούν, ώστε να μπορέσουν να τα ενσωματώσουν στα προγράμματα σπουδών τους (πρωτοβάθμια, δευτεροβάθμια και πανεπιστημιακή). Επιπλέον, ένας συγκεκριμένος κύκλος μαθημάτων για την Ένωση και τη λειτουργία της θα μπορούσε να προσφερθεί σε φοιτητές που επιθυμούν να σπουδάσουν σε άλλη ευρωπαϊκή χώρα μέσω του προγράμματος Erasmus. Οι φοιτητές που επιλέγουν αυτό το μάθημα θα έχουν προτεραιότητα για να επωφεληθούν από τα προγράμματα Erasmus.</w:t>
      </w:r>
    </w:p>
    <w:p>
      <w:pPr>
        <w:pStyle w:val="Puce3"/>
        <w:tabs>
          <w:tab w:val="clear" w:pos="720"/>
        </w:tabs>
        <w:rPr/>
      </w:pPr>
      <w:r>
        <w:rPr/>
        <w:t>5.</w:t>
        <w:tab/>
        <w:t>Βελτίωση της στρατηγικής της ΕΕ για τα μέσα ενημέρωσης μέσω της μεγαλύτερης προβολής στα μέσα κοινωνικής δικτύωσης και της ενεργού προώθησης του περιεχομένου της· προώθηση της καινοτομίας μέσω της βελτίωσης της προσβασιμότητας της παρουσίας της ΕΕ στα μέσα κοινωνικής δικτύωσης</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ΠΡΟΤΑΣΗ: Η ΕΕ ως παγκόσμιος ηγέτης στην ειρήνη και την ασφάλεια</w:t>
      </w:r>
    </w:p>
    <w:p>
      <w:pPr>
        <w:pStyle w:val="P68B1DB1Normal15"/>
        <w:rPr>
          <w:b/>
          <w:b/>
        </w:rPr>
      </w:pPr>
      <w:r>
        <w:rPr/>
        <w:t>ΣΚΟΠΟΣ ΣΤΟΧΟΣ: προτείνουμε στην ΕΕ να συνεχίσει να ενεργεί για την προώθηση του διαλόγου και τη διασφάλιση της ειρήνης και μιας διεθνούς τάξης βασισμένης σε κανόνες, ενισχύοντας την πολυμέρεια και αξιοποιώντας τις μακροχρόνιες ειρηνευτικές πρωτοβουλίες της ΕΕ που συνέβαλαν στην απονομή του βραβείου Νόμπελ το 2012, ενισχύοντας παράλληλα την κοινή της ασφάλεια μέσω των ακόλουθων μέτρων:</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Κοινές ένοπλες δυνάμεις που χρησιμοποιούνται για σκοπούς αυτοάμυνας και αποσκοπούν στην πρόληψη κάθε επιθετικής στρατιωτικής δράσης οποιουδήποτε είδους, που έχουν την ικανότητα να παρέχουν βοήθεια σε περιόδους κρίσης, συμπεριλαμβανομένης της περίπτωσης φυσικής καταστροφής. Εκτός των ευρωπαϊκών συνόρων, θα μπορούσαν να αναπτυχθούν σε εξαιρετικές περιστάσεις, κατά προτίμηση στο πλαίσιο νομικής εντολής του Συμβουλίου Ασφαλείας των Ηνωμένων Εθνών και, ως εκ τούτου, σύμφωνα με το διεθνές δίκαιο</w:t>
      </w:r>
      <w:r>
        <w:rPr>
          <w:rStyle w:val="Ancredenotedefin"/>
          <w:rStyle w:val="Ancredenotedefin"/>
        </w:rPr>
        <w:endnoteReference w:id="39"/>
      </w:r>
      <w:r>
        <w:rPr/>
        <w:t>, χωρίς να ανταγωνίζονται το ΝΑΤΟ ή να αλληλεπικαλύπτουν το ΝΑΤΟ και να σέβονται τις διάφορες εθνικές σχέσεις με το ΝΑΤΟ· στο πλαίσιο αυτό, θα πρέπει να πραγματοποιηθεί αξιολόγηση των σχέσεων της ΕΕ με το ΝΑΤΟ στο πλαίσιο της συζήτησης για τη στρατηγική αυτονομία της ΕΕ.</w:t>
      </w:r>
    </w:p>
    <w:p>
      <w:pPr>
        <w:pStyle w:val="Normal"/>
        <w:rPr/>
      </w:pPr>
      <w:r>
        <w:rPr/>
      </w:r>
    </w:p>
    <w:p>
      <w:pPr>
        <w:pStyle w:val="Puce3"/>
        <w:tabs>
          <w:tab w:val="clear" w:pos="720"/>
        </w:tabs>
        <w:rPr/>
      </w:pPr>
      <w:r>
        <w:rPr/>
        <w:t>2.</w:t>
        <w:tab/>
        <w:t>Ηγετικός ρόλος στην οικοδόμηση της μεταπολεμικής παγκόσμιας τάξης ασφαλείας στην Ουκρανία, με βάση την προσφάτως εγκριθείσα στρατηγική πυξίδα της ΕΕ.</w:t>
      </w:r>
    </w:p>
    <w:p>
      <w:pPr>
        <w:pStyle w:val="Puce3"/>
        <w:tabs>
          <w:tab w:val="clear" w:pos="720"/>
        </w:tabs>
        <w:rPr/>
      </w:pPr>
      <w:r>
        <w:rPr/>
        <w:t>3.</w:t>
        <w:tab/>
        <w:t>Την προστασία της στρατηγικής έρευνας και των ικανοτήτων της σε τομείς προτεραιότητας όπως ο διαστημικός τομέας, η ασφάλεια στον κυβερνοχώρο, ο ιατρικός τομέας και το περιβάλλον</w:t>
      </w:r>
      <w:r>
        <w:rPr>
          <w:rStyle w:val="Ancredenotedefin"/>
          <w:rStyle w:val="Ancredenotedefin"/>
        </w:rPr>
        <w:endnoteReference w:id="40"/>
      </w:r>
      <w:r>
        <w:rPr/>
        <w:t>.</w:t>
      </w:r>
    </w:p>
    <w:p>
      <w:pPr>
        <w:pStyle w:val="Puce3"/>
        <w:tabs>
          <w:tab w:val="clear" w:pos="720"/>
        </w:tabs>
        <w:rPr/>
      </w:pPr>
      <w:r>
        <w:rPr/>
        <w:t>4.</w:t>
        <w:tab/>
        <w:t>Την ενίσχυση των επιχειρησιακών ικανοτήτων που απαιτούνται για τη διασφάλιση της αποτελεσματικότητας της ρήτρας αμοιβαίας συνδρομής που προβλέπεται στο άρθρο 42 παράγραφος 7 της Συνθήκης για την Ευρωπαϊκή Ένωση, η οποία εγγυάται επαρκή προστασία της ΕΕ σε κάθε κράτος μέλος που δέχεται επίθεση από τρίτη χώρα.</w:t>
      </w:r>
    </w:p>
    <w:p>
      <w:pPr>
        <w:pStyle w:val="Puce3"/>
        <w:tabs>
          <w:tab w:val="clear" w:pos="720"/>
        </w:tabs>
        <w:rPr/>
      </w:pPr>
      <w:r>
        <w:rPr/>
        <w:t>5.</w:t>
        <w:tab/>
        <w:t>Προβληματισμός σχετικά με τον τρόπο καταπολέμησης της παραπληροφόρησης και της προπαγάνδας με αντικειμενικό και πραγματικό τρόπο.</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ΠΡΟΤΑΣΗ: Η ΕΕ ως ηγετικός παγκόσμιος παράγοντας στην οικοδόμηση σχέσεων</w:t>
      </w:r>
    </w:p>
    <w:p>
      <w:pPr>
        <w:pStyle w:val="P68B1DB1Normal15"/>
        <w:rPr>
          <w:b/>
          <w:b/>
        </w:rPr>
      </w:pPr>
      <w:r>
        <w:rPr/>
        <w:t>ΣΚΟΠΟΣ ΣΤΟΧΟΣ: Προτείνουμε στην ΕΕ, στις σχέσεις της με τρίτες χώρες: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Μετρα:</w:t>
      </w:r>
    </w:p>
    <w:p>
      <w:pPr>
        <w:pStyle w:val="Puce3"/>
        <w:tabs>
          <w:tab w:val="clear" w:pos="720"/>
        </w:tabs>
        <w:rPr/>
      </w:pPr>
      <w:r>
        <w:rPr/>
        <w:t>1.</w:t>
        <w:tab/>
        <w:t>Να κάνει μεγαλύτερη χρήση του συλλογικού πολιτικού και οικονομικού βάρους της, μιλώντας με μία φωνή και ενεργώντας με ενιαίο τρόπο, χωρίς ορισμένα κράτη μέλη να διαιρούν την Ένωση με ακατάλληλες διμερείς παρεμβάσεις</w:t>
      </w:r>
      <w:r>
        <w:rPr>
          <w:rStyle w:val="Ancredenotedefin"/>
          <w:rStyle w:val="Ancredenotedefin"/>
        </w:rPr>
        <w:endnoteReference w:id="41"/>
      </w:r>
      <w:r>
        <w:rPr/>
        <w:t>.</w:t>
      </w:r>
    </w:p>
    <w:p>
      <w:pPr>
        <w:pStyle w:val="Puce3"/>
        <w:tabs>
          <w:tab w:val="clear" w:pos="720"/>
        </w:tabs>
        <w:rPr/>
      </w:pPr>
      <w:r>
        <w:rPr/>
        <w:t>2.</w:t>
        <w:tab/>
        <w:t>Ενισχύει την ικανότητά του να επιβάλλει κυρώσεις σε κράτη, κυβερνήσεις, οντότητες, ομάδες ή οργανισμούς, καθώς και σε άτομα που δεν συμμορφώνονται με τις θεμελιώδεις αρχές, συμφωνίες και νόμους του, και διασφαλίζει την ταχεία εφαρμογή και επιβολή των υφιστάμενων κυρώσεων. Οι κυρώσεις που επιβάλλονται σε τρίτες χώρες θα πρέπει να είναι ανάλογες προς τη δράση που τις ενεργοποίησε, να είναι αποτελεσματικές και να εφαρμόζονται εγκαίρως</w:t>
      </w:r>
      <w:r>
        <w:rPr>
          <w:rStyle w:val="Ancredenotedefin"/>
          <w:rStyle w:val="Ancredenotedefin"/>
        </w:rPr>
        <w:endnoteReference w:id="42"/>
      </w:r>
      <w:r>
        <w:rPr/>
        <w:t>.</w:t>
      </w:r>
    </w:p>
    <w:p>
      <w:pPr>
        <w:pStyle w:val="Puce3"/>
        <w:tabs>
          <w:tab w:val="clear" w:pos="720"/>
        </w:tabs>
        <w:rPr/>
      </w:pPr>
      <w:r>
        <w:rPr/>
        <w:t>3.</w:t>
        <w:tab/>
        <w:t>Προωθεί το βιώσιμο και βασιζόμενο σε κανόνες εμπόριο, ανοίγοντας παράλληλα νέες εμπορικές και επενδυτικές ευκαιρίες για τις ευρωπαϊκές επιχειρήσεις. Ενώ οι διμερείς εμπορικές και επενδυτικές συμφωνίες είναι απαραίτητες για την προώθηση της ευρωπαϊκής ανταγωνιστικότητας, απαιτούνται πρότυπα και κανόνες για τη διασφάλιση ισότιμων όρων ανταγωνισμού. Η ΕΕ πρέπει να παραμείνει ενεργός και αξιόπιστος εταίρος στη διαπραγμάτευση, τη σύναψη και την εφαρμογή εμπορικών συμφωνιών που θέτουν επίσης υψηλά πρότυπα βιωσιμότητας.</w:t>
      </w:r>
    </w:p>
    <w:p>
      <w:pPr>
        <w:pStyle w:val="Puce3"/>
        <w:tabs>
          <w:tab w:val="clear" w:pos="720"/>
        </w:tabs>
        <w:rPr/>
      </w:pPr>
      <w:r>
        <w:rPr/>
        <w:t>4.</w:t>
        <w:tab/>
        <w:t>Συνήψε τις κυριότερες συμφωνίες διεθνούς συνεργασίας εκπροσωπώντας την Ευρωπαϊκή Ένωση και όχι μεμονωμένες χώρες</w:t>
      </w:r>
      <w:r>
        <w:rPr>
          <w:rStyle w:val="Ancredenotedefin"/>
          <w:rStyle w:val="Ancredenotedefin"/>
        </w:rPr>
        <w:endnoteReference w:id="43"/>
      </w:r>
      <w:r>
        <w:rPr/>
        <w:t>.</w:t>
      </w:r>
    </w:p>
    <w:p>
      <w:pPr>
        <w:pStyle w:val="Puce3"/>
        <w:tabs>
          <w:tab w:val="clear" w:pos="720"/>
        </w:tabs>
        <w:rPr/>
      </w:pPr>
      <w:r>
        <w:rPr/>
        <w:t>5.</w:t>
        <w:tab/>
        <w:t>Μεταρρύθμιση της εμπορικής και επενδυτικής πολιτικής της ΕΕ για την επανεκκίνηση της παγκόσμιας πολυμέρειας, με στόχο τη δημιουργία αξιοπρεπών θέσεων εργασίας και την προστασία των θεμελιωδών ανθρωπίνων δικαιωμάτων, συμπεριλαμβανομένων των δικαιωμάτων των εργαζομένων και των συνδικαλιστικών δικαιωμάτων, τη διατήρηση του περιβάλλοντος και της βιοποικιλότητας και τον σεβασμό της συμφωνίας του Παρισιού για την κλιματική αλλαγή, τη διασφάλιση ποιοτικών δημόσιων υπηρεσιών και την ενίσχυση της βιομηχανικής βάσης της Ευρώπης. Η ΕΕ θα πρέπει να συμβάλει στην επανεκκίνηση της παγκόσμιας πολυμέρειας, μέσω ριζικών μεταρρυθμίσεων με βάση τη δημοκρατία και την ειρήνη, την αλληλεγγύη και τον σεβασμό των ανθρωπίνων δικαιωμάτων, των κοινωνικών και περιβαλλοντικών δικαιωμάτων, καθώς και την ενίσχυση του ρόλου της ΔΟΕ.</w:t>
      </w:r>
    </w:p>
    <w:p>
      <w:pPr>
        <w:pStyle w:val="Puce3"/>
        <w:tabs>
          <w:tab w:val="clear" w:pos="720"/>
        </w:tabs>
        <w:rPr/>
      </w:pPr>
      <w:r>
        <w:rPr/>
        <w:t>6.</w:t>
        <w:tab/>
        <w:t>Περιλαμβάνει την καταπολέμηση της εμπορίας ανθρώπων και της παράνομης μετανάστευσης, καθώς και τη συνεργασία σε πιθανές επιχειρήσεις επιστροφής, σε συμφωνίες συνεργασίας και επενδύσεων με τρίτες χώρες.</w:t>
      </w:r>
    </w:p>
    <w:p>
      <w:pPr>
        <w:pStyle w:val="Puce3"/>
        <w:tabs>
          <w:tab w:val="clear" w:pos="720"/>
        </w:tabs>
        <w:rPr/>
      </w:pPr>
      <w:r>
        <w:rPr/>
        <w:t>7.</w:t>
        <w:tab/>
        <w:t>Να αναπτύξουν εταιρικές σχέσεις με αναπτυσσόμενες χώρες για τη στήριξη των υποδομών τους και να εξετάσουν αμοιβαία επωφελείς εμπορικές συμφωνίες για να τις βοηθήσουν στη μετάβασή τους σε πράσινες πηγές ενέργειας</w:t>
      </w:r>
      <w:r>
        <w:rPr>
          <w:rStyle w:val="Ancredenotedefin"/>
          <w:rStyle w:val="Ancredenotedefin"/>
        </w:rPr>
        <w:endnoteReference w:id="44"/>
      </w:r>
      <w:r>
        <w:rPr/>
        <w:t>.</w:t>
      </w:r>
    </w:p>
    <w:p>
      <w:pPr>
        <w:pStyle w:val="Puce3"/>
        <w:tabs>
          <w:tab w:val="clear" w:pos="720"/>
        </w:tabs>
        <w:rPr/>
      </w:pPr>
      <w:r>
        <w:rPr/>
        <w:t>8.</w:t>
        <w:tab/>
        <w:t>Αναπτύσσει μια πιο αποτελεσματική και ενωμένη πολιτική για αυταρχικά και υβριδικά καθεστώτα και αναπτύσσει εταιρικές σχέσεις με οργανώσεις της κοινωνίας των πολιτών στις χώρες αυτές.</w:t>
      </w:r>
    </w:p>
    <w:p>
      <w:pPr>
        <w:pStyle w:val="Puce3"/>
        <w:tabs>
          <w:tab w:val="clear" w:pos="720"/>
        </w:tabs>
        <w:rPr/>
      </w:pPr>
      <w:r>
        <w:rPr/>
        <w:t>9.</w:t>
        <w:tab/>
        <w:t>Αύξηση των πόρων των αποστολών εκλογικών παρατηρητών της ΕΕ.</w:t>
      </w:r>
    </w:p>
    <w:p>
      <w:pPr>
        <w:pStyle w:val="Puce3"/>
        <w:tabs>
          <w:tab w:val="clear" w:pos="720"/>
        </w:tabs>
        <w:rPr/>
      </w:pPr>
      <w:r>
        <w:rPr/>
        <w:t>10.</w:t>
        <w:tab/>
        <w:t>Προσφέρει μια αξιόπιστη προοπτική προσχώρησης στις υποψήφιες και δυνάμει υποψήφιες χώρες, προκειμένου να προωθηθεί η ειρήνη και η σταθερότητα στην Ευρώπη και να επιτευχθεί ευημερία σε εκατομμύρια Ευρωπαίους</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ΣΗΜΕΊΩΣΗ: Αρκετά μέλη της ομάδας εργασίας θεωρούν ότι οι προτάσεις «Μείωση της εξάρτησης της ΕΕ από ξένους παράγοντες στον τομέα της ενέργειας» και «Διαφάνεια της ΕΕ και των σχέσεών της με τους πολίτες», ειδικότερα, εμπίπτουν σε άλλες ομάδες εργασίας. Ορισμένα μέλη επιθυμούσαν να αναφερθούν, εκτός από την ψηφοφορία με ειδική πλειοψηφία, εναλλακτικές λύσεις αντί της ομοφωνίας στο Συμβούλιο, όπως η μεταβλητή γεωμετρία, οι ρήτρες μη συμμετοχής και η ενισχυμένη συνεργασία. Ορισμένα μέλη της ομάδας εργασίας ζήτησαν τη χρήση του όρου «βιώσιμη» και όχι «δεοντολογική» στην πρόταση «Ο καθορισμός προτύπων εντός και εκτός της ΕΕ στις εμπορικές και επενδυτικές σχέσεις». Υπάρχει απόκλιση απόψεων σχετικά με το κατά πόσον η προσχώρηση των νέων κρατών μελών θα πρέπει να συνεχίσει να απαιτεί την ομόφωνη συμφωνία όλων των σημερινών κρατών μελών. Προέκυψαν διάφορες απόψεις ως προς τον επιθυμητό βαθμό κοινών ενόπλων δυνάμεων. Δύο μέλη αναφέρθηκαν στην προοπτική της ιρλανδικής ενότητας σε περίπτωση που η Βόρεια Ιρλανδία ψηφίσει προς αυτή την κατεύθυνση σύμφωνα με τις διατάξεις της συμφωνίας της Μεγάλης Παρασκευής και την ανάγκη να προετοιμαστεί η Ένωση για ένα τέτοιο ενδεχόμενο.</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ΕΙΚΟΝΑ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ΕΙΚΟΝΑ25"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Αξίες και δικαιώματα, κράτος δικαίου, ασφάλεια</w:t>
      </w:r>
    </w:p>
    <w:p>
      <w:pPr>
        <w:pStyle w:val="Titre3"/>
        <w:numPr>
          <w:ilvl w:val="2"/>
          <w:numId w:val="2"/>
        </w:numPr>
        <w:rPr/>
      </w:pPr>
      <w:bookmarkStart w:id="74" w:name="__RefHeading___Toc298322_1346298689"/>
      <w:bookmarkEnd w:id="74"/>
      <w:r>
        <w:rPr/>
        <w:t>25. ΠΡΟΤΑΣΗ: Κράτος δικαίου, δημοκρατικές αξίες και ευρωπαϊκή ταυτότητα</w:t>
      </w:r>
    </w:p>
    <w:p>
      <w:pPr>
        <w:pStyle w:val="P68B1DB1Normal15"/>
        <w:rPr>
          <w:b/>
          <w:b/>
        </w:rPr>
      </w:pPr>
      <w:r>
        <w:rPr/>
        <w:t>ΣΚΟΠΟΣ ΣΤΟΧΟΣ: Να σέβεται συστηματικά το κράτος δικαίου σε όλα τα κράτη μέλη, συμπεριλαμβανομένων των εξής: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46"/>
      </w:r>
      <w:r>
        <w:rPr/>
        <w:t>:</w:t>
      </w:r>
    </w:p>
    <w:p>
      <w:pPr>
        <w:pStyle w:val="Puce3"/>
        <w:tabs>
          <w:tab w:val="clear" w:pos="720"/>
        </w:tabs>
        <w:rPr/>
      </w:pPr>
      <w:r>
        <w:rPr/>
        <w:t>1.</w:t>
        <w:tab/>
        <w:t>Διασφάλιση ότι οι αξίες και οι αρχές που κατοχυρώνονται στις Συνθήκες της ΕΕ και στον Χάρτη των Θεμελιωδών Δικαιωμάτων της Ευρωπαϊκής Ένωσης είναι αδιαπραγμάτευτες και μη αναστρέψιμες και συνιστούν εκ των προτέρων προϋποθέσεις προσχώρησης και προσχώρησης στην Ένωση. Οι αξίες της ΕΕ πρέπει να τηρούνται πλήρως σε όλα τα κράτη μέλη· θα πρέπει επίσης να λειτουργούν ως διεθνές πρότυπο και να αποτελούν πόλο έλξης μέσω της διπλωματίας και του διαλόγου. Η διεύρυνση της Ένωσης δεν θα πρέπει να υπονομεύει το κεκτημένο της ΕΕ όσον αφορά τις θεμελιώδεις αξίες και τα δικαιώματα των πολιτών</w:t>
      </w:r>
      <w:r>
        <w:rPr>
          <w:rStyle w:val="Ancredenotedefin"/>
          <w:rStyle w:val="Ancredenotedefin"/>
        </w:rPr>
        <w:endnoteReference w:id="47"/>
      </w:r>
      <w:r>
        <w:rPr/>
        <w:t>.</w:t>
      </w:r>
    </w:p>
    <w:p>
      <w:pPr>
        <w:pStyle w:val="Puce3"/>
        <w:tabs>
          <w:tab w:val="clear" w:pos="720"/>
        </w:tabs>
        <w:rPr/>
      </w:pPr>
      <w:r>
        <w:rPr/>
        <w:t>2.</w:t>
        <w:tab/>
        <w:t>Καθιστώντας τις ευρωπαϊκές αξίες απτή πραγματικότητα για τους πολίτες της ΕΕ, ιδίως μέσω της πιο διαδραστικής και άμεσης συμμετοχής, η ευρωπαϊκή ιθαγένεια θα πρέπει να ενισχυθεί, για παράδειγμα μέσω του καθεστώτος του πολίτη της Ένωσης με δικαιώματα και ελευθερίες των πολιτών, καθώς και μέσω ενός καταστατικού για τις ευρωπαϊκές διασυνοριακές ενώσεις και μη κερδοσκοπικές οργανώσεις. Ομοίως, οι ευρωπαϊκές αξίες θα πρέπει να προωθηθούν μέσω ενός «χαρτοφυλάκου ενσωμάτωσης» που θα περιλαμβάνει εκπαιδευτικά στοιχεία και ενημερωτικό υλικό για τους πολίτες. Τέλος, θα πρέπει να δημιουργηθεί μια ευρωπαϊκή δημόσια σφαίρα οπτικοακουστικών και επιγραμμικών μέσων ενημέρωσης μέσω νέων επενδύσεων της ΕΕ, της βελτίωσης των υφιστάμενων πλατφορμών μέσων ενημέρωσης και της αυξημένης στήριξης για τα περισσότερα από 500 ευρωπαϊκά γραφεία συνδέσμου που υπάρχουν σε τοπικό επίπεδο</w:t>
      </w:r>
      <w:r>
        <w:rPr>
          <w:rStyle w:val="Ancredenotedefin"/>
          <w:rStyle w:val="Ancredenotedefin"/>
        </w:rPr>
        <w:endnoteReference w:id="48"/>
      </w:r>
      <w:r>
        <w:rPr/>
        <w:t xml:space="preserve">. </w:t>
      </w:r>
    </w:p>
    <w:p>
      <w:pPr>
        <w:pStyle w:val="Puce3"/>
        <w:tabs>
          <w:tab w:val="clear" w:pos="720"/>
        </w:tabs>
        <w:rPr/>
      </w:pPr>
      <w:r>
        <w:rPr/>
        <w:t>3.</w:t>
        <w:tab/>
        <w:t>Ο Χάρτης των Θεμελιωδών Δικαιωμάτων της Ευρωπαϊκής Ένωσης θα πρέπει να έχει καθολική ισχύ. Επιπλέον, θα πρέπει να διοργανώνονται ετήσιες διασκέψεις για το κράτος δικαίου (μετά την έκθεση της Επιτροπής για το κράτος δικαίου), στις οποίες θα συμμετέχουν αντιπροσωπείες από όλα τα κράτη μέλη, οι οποίες θα αποτελούνται από πολίτες, υπαλλήλους, βουλευτές, τοπικές αρχές, κοινωνικούς εταίρους και την κοινωνία των πολιτών, οι οποίες θα επιλέγονται με τυχαίο και ποικιλόμορφο τρόπο. Είναι επίσης σημαντικό να υποστηριχθούν περαιτέρω οργανώσεις, συμπεριλαμβανομένων των οργανώσεων της κοινωνίας των πολιτών, οι οποίες προωθούν το κράτος δικαίου στην πράξη</w:t>
      </w:r>
      <w:r>
        <w:rPr>
          <w:rStyle w:val="Ancredenotedefin"/>
          <w:rStyle w:val="Ancredenotedefin"/>
        </w:rPr>
        <w:endnoteReference w:id="49"/>
      </w:r>
      <w:r>
        <w:rPr/>
        <w:t>.</w:t>
      </w:r>
    </w:p>
    <w:p>
      <w:pPr>
        <w:pStyle w:val="Puce3"/>
        <w:tabs>
          <w:tab w:val="clear" w:pos="720"/>
        </w:tabs>
        <w:rPr/>
      </w:pPr>
      <w:r>
        <w:rPr/>
        <w:t>4.</w:t>
        <w:tab/>
        <w:t>Με την αποτελεσματική εφαρμογή του αποκαλούμενου κανονισμού πολλαπλής συμμόρφωσης, την αξιολόγηση του πεδίου εφαρμογής του εν λόγω κανονισμού και άλλων πράξεων για το κράτος δικαίου, καθώς και το ενδεχόμενο επέκτασης του πεδίου εφαρμογής τους σε νέους τομείς, ανεξάρτητα από τη σημασία τους για τον προϋπολογισμό της Ένωσης. Όλα τα αναγκαία ένδικα μέσα, συμπεριλαμβανομένων των τροποποιήσεων των Συνθηκών, θα πρέπει να θεωρείται ότι τιμωρούν τις παραβιάσεις του κράτους δικαίου</w:t>
      </w:r>
      <w:r>
        <w:rPr>
          <w:rStyle w:val="Ancredenotedefin"/>
          <w:rStyle w:val="Ancredenotedefin"/>
        </w:rPr>
        <w:endnoteReference w:id="50"/>
      </w:r>
      <w:r>
        <w:rPr/>
        <w:t>.</w:t>
      </w:r>
    </w:p>
    <w:p>
      <w:pPr>
        <w:pStyle w:val="Puce3"/>
        <w:tabs>
          <w:tab w:val="clear" w:pos="720"/>
        </w:tabs>
        <w:rPr/>
      </w:pPr>
      <w:r>
        <w:rPr/>
        <w:t>5.</w:t>
        <w:tab/>
        <w:t>Προώθηση προγραμμάτων εκπαίδευσης και μέσων ενημέρωσης που θέτουν τις αξίες της Ένωσης στο επίκεντρο της διαδικασίας ένταξης των μεταναστών και ενθαρρύνουν την αλληλεπίδραση μεταξύ των πολιτών της Ένωσης και των μεταναστών, με στόχο την επιτυχή ένταξή τους στις κοινωνίες της Ένωσης και την ευαισθητοποίηση των πολιτών της Ένωσης σχετικά με τα μεταναστευτικά ζητήματα.</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ΠΡΟΤΑΣΗ: ΠΡΟΣΤΑΣΙΑ ΔΕΔΟΜΕΝΩΝ</w:t>
      </w:r>
    </w:p>
    <w:p>
      <w:pPr>
        <w:pStyle w:val="Corpsdetexte"/>
        <w:rPr/>
      </w:pPr>
      <w:r>
        <w:rPr/>
      </w:r>
    </w:p>
    <w:p>
      <w:pPr>
        <w:pStyle w:val="P68B1DB1Normal15"/>
        <w:rPr>
          <w:b/>
          <w:b/>
        </w:rPr>
      </w:pPr>
      <w:r>
        <w:rPr/>
        <w:t>ΣΚΟΠΟΣ ΣΤΟΧΟΣ: διασφάλιση μιας πιο προστατευτικής και καλύτερης πολιτικής επεξεργασίας δεδομένων για τους πολίτες, ιδίως: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52"/>
      </w:r>
      <w:r>
        <w:rPr/>
        <w:t>:</w:t>
      </w:r>
    </w:p>
    <w:p>
      <w:pPr>
        <w:pStyle w:val="Puce3"/>
        <w:tabs>
          <w:tab w:val="clear" w:pos="720"/>
        </w:tabs>
        <w:rPr/>
      </w:pPr>
      <w:r>
        <w:rPr/>
        <w:t>1.</w:t>
        <w:tab/>
        <w:t>Με την πλήρη εφαρμογή και αναθεώρηση της ισχύουσας νομοθεσίας για την προστασία των δεδομένων, προκειμένου να αξιολογηθεί η ανάγκη για ενισχυμένους μηχανισμούς επιβολής για τις οντότητες που επεξεργάζονται δεδομένα προσωπικού χαρακτήρα, οι οποίοι εμπίπτουν επί του παρόντος στην αρμοδιότητα ανεξάρτητων εθνικών αρχών προστασίας δεδομένων σύμφωνα με την αρχή της επικουρικότητας. Οι εν λόγω οντότητες θα πρέπει να τιμωρούνται αυστηρότερα από ό,τι κατά την τρέχουσα εφαρμογή των κανόνων, κατ’ αναλογία προς τον ετήσιο κύκλο εργασιών τους (έως 4 %), ή ακόμη και με απαγόρευση των δραστηριοτήτων τους, και θα πρέπει να υπόκεινται σε ανεξάρτητο ετήσιο έλεγχο</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Δίνοντας μεγαλύτερη ισχύ στην αρχή της ιδιωτικής ζωής ήδη από τον σχεδιασμό ή εξ ορισμού, για παράδειγμα με την αξιολόγηση και την ανάπτυξη εντύπων συγκατάθεσης δεδομένων που είναι εύκολα κατανοητά, συνοπτικά και διαισθητικά και υποδεικνύουν σαφώς τι χρειάζεται και τι όχι. Οι χρήστες πρέπει να είναι σε θέση να παρέχουν ή να ανακαλούν τη συγκατάθεσή τους για την επεξεργασία των δεδομένων με απλό, γρήγορο και μόνιμο τρόπο.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Αξιολόγηση και θέσπιση σαφέστερων και πιο προστατευτικών κανόνων για την επεξεργασία δεδομένων που αφορούν ανηλίκους, ενδεχομένως στον ΓΚΠΔ της ΕΕ, ιδίως με τη δημιουργία ειδικής κατηγορίας για ευαίσθητα δεδομένα ανηλίκων και την εναρμόνιση της ελάχιστης ηλικίας συναίνεσης στα κράτη μέλη. Ενώ το μεγαλύτερο μέρος της εφαρμογής των κανόνων για την προστασία της ιδιωτικής ζωής και την ευαισθητοποίηση θα πρέπει να εξακολουθήσει να εμπίπτει στην αρμοδιότητα των κρατών μελών, ιδίως μέσω της αύξησης των επενδύσεων και των πόρων σε εθνικό επίπεδο, η Ένωση θα πρέπει επίσης να διαδραματίσει σημαντικότερο ρόλο, για παράδειγμα με τη δημιουργία ευρωπαϊκών ικανοτήτων στην αγωγή του πολίτη σχετικά με την προστασία των δεδομένων</w:t>
      </w:r>
      <w:r>
        <w:rPr>
          <w:rStyle w:val="Ancredenotedefin"/>
          <w:rStyle w:val="Ancredenotedefin"/>
        </w:rPr>
        <w:endnoteReference w:id="57"/>
      </w:r>
      <w:r>
        <w:rPr/>
        <w:t>.</w:t>
      </w:r>
    </w:p>
    <w:p>
      <w:pPr>
        <w:pStyle w:val="Puce3"/>
        <w:tabs>
          <w:tab w:val="clear" w:pos="720"/>
        </w:tabs>
        <w:rPr/>
      </w:pPr>
      <w:r>
        <w:rPr/>
        <w:t>4.</w:t>
        <w:tab/>
        <w:t>Καλύτερη συμμόρφωση με τα κριτήρια επιλεξιμότητας που ισχύουν για τις ευρωπαϊκές και εθνικές αρχές προστασίας δεδομένων, όσον αφορά τα προσόντα και την καταλληλότητα, προκειμένου να διασφαλιστεί η μέγιστη ανεξαρτησία των μελών τους.</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ΠΡΟΤΑΣΗ: Μέσα ενημέρωσης, ψευδείς ειδήσεις, παραπληροφόρηση, έλεγχος γεγονότων, ασφάλεια στον κυβερνοχώρο</w:t>
      </w:r>
    </w:p>
    <w:p>
      <w:pPr>
        <w:pStyle w:val="P68B1DB1Normal15"/>
        <w:rPr>
          <w:b/>
          <w:b/>
        </w:rPr>
      </w:pPr>
      <w:r>
        <w:rPr/>
        <w:t>ΣΚΟΠΟΣ ΣΤΟΧΟΣ: Καταπολέμηση της παραπληροφόρησης μέσω της αυξημένης προώθησης της ανεξαρτησίας και της πολυφωνίας των μέσων ενημέρωσης και του γραμματισμού στα μέσα, ιδίως: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60"/>
      </w:r>
      <w:r>
        <w:rPr/>
        <w:t>:</w:t>
      </w:r>
    </w:p>
    <w:p>
      <w:pPr>
        <w:pStyle w:val="Puce3"/>
        <w:tabs>
          <w:tab w:val="clear" w:pos="720"/>
        </w:tabs>
        <w:rPr/>
      </w:pPr>
      <w:r>
        <w:rPr/>
        <w:t>1.</w:t>
        <w:tab/>
        <w:t>Θέσπιση νομοθεσίας για την καταπολέμηση των απειλών κατά της ανεξαρτησίας των μέσων ενημέρωσης μέσω ελάχιστων προτύπων που θα ισχύουν σε ολόκληρη την Ένωση, συμπεριλαμβανομένης της επανεξέτασης του επιχειρηματικού μοντέλου των μέσων ενημέρωσης, προκειμένου να διασφαλιστεί η ακεραιότητα και η ανεξαρτησία της ευρωπαϊκής αγοράς μέσων ενημέρωσης</w:t>
      </w:r>
      <w:r>
        <w:rPr>
          <w:rStyle w:val="Ancredenotedefin"/>
          <w:rStyle w:val="Ancredenotedefin"/>
        </w:rPr>
        <w:endnoteReference w:id="61"/>
      </w:r>
      <w:r>
        <w:rPr/>
        <w:t>.</w:t>
      </w:r>
    </w:p>
    <w:p>
      <w:pPr>
        <w:pStyle w:val="Puce3"/>
        <w:tabs>
          <w:tab w:val="clear" w:pos="720"/>
        </w:tabs>
        <w:rPr/>
      </w:pPr>
      <w:r>
        <w:rPr/>
        <w:t>2.</w:t>
        <w:tab/>
        <w:t>Αυστηρή εφαρμογή των κανόνων ανταγωνισμού της ΕΕ στον τομέα των μέσων ενημέρωσης, προκειμένου να αποτραπεί η δημιουργία μεγάλων μονοπωλίων μέσων ενημέρωσης και να διασφαλιστεί η πολυφωνία και η ανεξαρτησία των μέσων ενημέρωσης από κάθε ανεπιθύμητη παρέμβαση των πολιτικών, επιχειρηματικών ή/και ξένων χωρών. Θα πρέπει επίσης να ενθαρρυνθεί η ποιοτική δημοσιογραφία, με αναγνωρισμένα και υψηλά πρότυπα δεοντολογίας και αυτορρύθμισης</w:t>
      </w:r>
      <w:r>
        <w:rPr>
          <w:rStyle w:val="Ancredenotedefin"/>
          <w:rStyle w:val="Ancredenotedefin"/>
        </w:rPr>
        <w:endnoteReference w:id="62"/>
      </w:r>
      <w:r>
        <w:rPr/>
        <w:t>.</w:t>
      </w:r>
    </w:p>
    <w:p>
      <w:pPr>
        <w:pStyle w:val="Puce3"/>
        <w:tabs>
          <w:tab w:val="clear" w:pos="720"/>
        </w:tabs>
        <w:rPr/>
      </w:pPr>
      <w:r>
        <w:rPr/>
        <w:t>3.</w:t>
        <w:tab/>
        <w:t xml:space="preserve">Σύσταση φορέα της ΕΕ για την καταπολέμηση της στοχευμένης παραπληροφόρησης και των παρεμβολών, βελτίωση της αντίληψης της κατάστασης και ενίσχυση των οργανισμών ελέγχου των γεγονότων και των ανεξάρτητων μέσων ενημέρωσης. Οι «αριθμοί έκτακτης ανάγκης» και οι ιστότοποι, όπως το Europe Direct, που επιτρέπουν στους πολίτες και τα εθνικά μέσα ενημέρωσης να ζητούν και να λαμβάνουν επαληθευμένες πληροφορίες σχετικά με τις στρατηγικές και τις πολιτικές της ΕΕ θα πρέπει επίσης να υποστηρίζονται περαιτέρω και να προωθούνται πιο ενεργά.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Ενθάρρυνση του γραμματισμού στα μέσα επικοινωνίας και της ευαισθητοποίησης του κοινού σχετικά με την παραπληροφόρηση και την ακούσια διάδοση των ειδήσεων, μεταξύ άλλων μέσω της υποχρεωτικής σχολικής εκπαίδευσης. Τα κράτη μέλη θα πρέπει επίσης να ενθαρρυνθούν να διαθέσουν επαρκείς ανθρώπινους και οικονομικούς πόρους για τον σκοπό αυτό. </w:t>
      </w:r>
      <w:r>
        <w:rPr>
          <w:rStyle w:val="Ancredenotedefin"/>
          <w:rStyle w:val="Ancredenotedefin"/>
        </w:rPr>
        <w:endnoteReference w:id="65"/>
      </w:r>
    </w:p>
    <w:p>
      <w:pPr>
        <w:pStyle w:val="Puce3"/>
        <w:tabs>
          <w:tab w:val="clear" w:pos="720"/>
        </w:tabs>
        <w:rPr/>
      </w:pPr>
      <w:r>
        <w:rPr/>
        <w:t>5.</w:t>
        <w:tab/>
        <w:t>Με βάση υφιστάμενες πρωτοβουλίες, όπως ο κώδικας ορθής πρακτικής κατά της παραπληροφόρησης και το Ευρωπαϊκό Παρατηρητήριο Ψηφιακών Μέσων Ενημέρωσης (EDMO), για να υποχρεωθούν οι επιγραμμικές πλατφόρμες να δημοσιεύουν σαφείς πληροφορίες σχετικά με τους αλγόριθμους που χρησιμοποιούν (με επιλογή των χρηστών να συναινούν ή όχι) και τους κινδύνους παραπληροφόρησης στους οποίους εκτίθενται οι χρήστες, διαφυλάσσοντας παράλληλα το δικαίωμα στην ελευθερία του λόγου και το δικαίωμα στην ιδιωτική ζωή.</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ΠΡΟΤΑΣΗ: Μέσα ενημέρωσης, ψευδείς ειδήσεις, παραπληροφόρηση, έλεγχος γεγονότων, ασφάλεια στον κυβερνοχώρο (bis)</w:t>
      </w:r>
    </w:p>
    <w:p>
      <w:pPr>
        <w:pStyle w:val="P68B1DB1Normal15"/>
        <w:rPr>
          <w:b/>
          <w:b/>
        </w:rPr>
      </w:pPr>
      <w:r>
        <w:rPr/>
        <w:t>ΣΚΟΠΟΣ ΣΤΟΧΟΣ: ενίσχυση του ρόλου της Ένωσης στην αντιμετώπιση των απειλών κατά της κυβερνοασφάλειας, ιδίως: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Μετρα:</w:t>
      </w:r>
    </w:p>
    <w:p>
      <w:pPr>
        <w:pStyle w:val="Puce3"/>
        <w:tabs>
          <w:tab w:val="clear" w:pos="720"/>
        </w:tabs>
        <w:rPr/>
      </w:pPr>
      <w:r>
        <w:rPr/>
        <w:t>1.</w:t>
        <w:tab/>
        <w:t xml:space="preserve">Ενίσχυση του Οργανισμού της Ευρωπαϊκής Ένωσης για την Κυβερνοασφάλεια (ENISA) για την καλύτερη προστασία των ατόμων, των οργανισμών και των θεσμικών οργάνων από παραβιάσεις της ασφάλειας στον κυβερνοχώρο και τη χρήση της τεχνητής νοημοσύνης για εγκληματικούς σκοπούς. Ταυτόχρονα, θα πρέπει να διαφυλαχθεί η εμπιστευτικότητα και η προστασία των δεδομένων προσωπικού χαρακτήρα.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Βελτίωση του συντονισμού των εθνικών αρχών κυβερνοασφάλειας και καταβολή πρόσθετων προσπαθειών για τη διασφάλιση της αποτελεσματικής εφαρμογής των κανόνων της Ένωσης σε εθνικό επίπεδο.</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ΠΡΟΤΑΣΗ: Καταπολέμηση των διακρίσεων, της ισότητας και της ποιότητας ζωής</w:t>
      </w:r>
    </w:p>
    <w:p>
      <w:pPr>
        <w:pStyle w:val="P68B1DB1Normal15"/>
        <w:rPr>
          <w:b/>
          <w:b/>
        </w:rPr>
      </w:pPr>
      <w:r>
        <w:rPr/>
        <w:t>ΣΚΟΠΟΣ ΣΤΟΧΟΣ: Να λάβει μέτρα για την εναρμόνιση των συνθηκών διαβίωσης σε ολόκληρη την Ένωση και τη βελτίωση της κοινωνικοοικονομικής ποιότητας ζωής των πολιτών της, ιδίως: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72"/>
      </w:r>
      <w:r>
        <w:rPr/>
        <w:t>:</w:t>
      </w:r>
    </w:p>
    <w:p>
      <w:pPr>
        <w:pStyle w:val="Puce3"/>
        <w:tabs>
          <w:tab w:val="clear" w:pos="720"/>
        </w:tabs>
        <w:rPr/>
      </w:pPr>
      <w:r>
        <w:rPr/>
        <w:t>1.</w:t>
        <w:tab/>
        <w:t>Ανάπτυξη διαφανών δεικτών ποιότητας ζωής, συμπεριλαμβανομένων οικονομικών, κοινωνικών κριτηρίων και κριτηρίων για το κράτος δικαίου, σε διαβούλευση με εμπειρογνώμονες και κοινωνικούς εταίρους, προκειμένου να καθοριστεί σαφές και ρεαλιστικό χρονοδιάγραμμα για την αύξηση των κοινωνικών προτύπων και τη θέσπιση κοινής κοινωνικοοικονομικής δομής της Ένωσης, μεταξύ άλλων μέσω της εφαρμογής του ευρωπαϊκού πυλώνα κοινωνικών δικαιωμάτων. Τα μέτρα αυτά θα πρέπει να ενσωματωθούν στο πλαίσιο οικονομικής διακυβέρνησης και στη διαδικασία του Ευρωπαϊκού Εξαμήνου</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Αύξηση και διευκόλυνση των άμεσων δημόσιων επενδύσεων στην υγεία, την εκπαίδευση, τις υλικές υποδομές και τη φροντίδα των ηλικιωμένων και των ατόμων με αναπηρία. Οι πρόσθετες επενδύσεις θα πρέπει επίσης να αποσκοπούν στη διασφάλιση ικανοποιητικής ισορροπίας μεταξύ επαγγελματικής και ιδιωτικής ζωής για τους πολίτες. Οι επενδύσεις αυτές θα πρέπει να πραγματοποιούνται με πλήρη διαφάνεια για την παρακολούθηση ολόκληρης της διαδικασίας</w:t>
      </w:r>
      <w:r>
        <w:rPr>
          <w:rStyle w:val="Ancredenotedefin"/>
          <w:rStyle w:val="Ancredenotedefin"/>
        </w:rPr>
        <w:endnoteReference w:id="75"/>
      </w:r>
      <w:r>
        <w:rPr/>
        <w:t>.</w:t>
      </w:r>
    </w:p>
    <w:p>
      <w:pPr>
        <w:pStyle w:val="Puce3"/>
        <w:tabs>
          <w:tab w:val="clear" w:pos="720"/>
        </w:tabs>
        <w:rPr/>
      </w:pPr>
      <w:r>
        <w:rPr/>
        <w:t>3.</w:t>
        <w:tab/>
        <w:t>Ενθάρρυνση της φορολόγησης των μεγάλων επιχειρήσεων, καταπολέμηση της πρόσβασης σε φορολογικούς παραδείσους και εξάλειψη της ύπαρξής τους στην ΕΕ με σκοπό την αύξηση των δημόσιων επενδύσεων σε τομείς προτεραιότητας όπως η εκπαίδευση (υποτροφίες σπουδών, Erasmus) και η έρευνα. Η καταπολέμηση της φοροδιαφυγής σε επίπεδο ΕΕ θα πρέπει επίσης να αποτελέσει μέσο άντλησης κεφαλαίων για πρωτοβουλίες που χρηματοδοτούνται από το δημόσιο</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Με τη θέσπιση κριτηρίων σε επίπεδο Ένωσης για την καταπολέμηση των διακρίσεων στην αγορά εργασίας και με την ενθάρρυνση της πρόσληψης από ιδιωτικές εταιρείες ατόμων που πλήττονται εν γένει περισσότερο από διακρίσεις (συμπεριλαμβανομένων των νέων, των ηλικιωμένων, των γυναικών και των ατόμων που προέρχονται από μειονότητες), μεταξύ άλλων μέσω επιδοτήσεων, και, δεύτερον, προσωρινών ποσοστώσεων. Οι κοινωνικοί εταίροι θα πρέπει να συμμετέχουν ενεργά στις προσπάθειες αυτές. Οι διακρίσεις εκτός της αγοράς εργασίας θα πρέπει επίσης να απαγορεύονται από το νόμο και θα πρέπει να ενθαρρύνεται η ισότητα</w:t>
      </w:r>
      <w:r>
        <w:rPr>
          <w:rStyle w:val="Ancredenotedefin"/>
          <w:rStyle w:val="Ancredenotedefin"/>
        </w:rPr>
        <w:endnoteReference w:id="78"/>
      </w:r>
      <w:r>
        <w:rPr/>
        <w:t>.</w:t>
      </w:r>
    </w:p>
    <w:p>
      <w:pPr>
        <w:pStyle w:val="Puce3"/>
        <w:tabs>
          <w:tab w:val="clear" w:pos="720"/>
        </w:tabs>
        <w:rPr/>
      </w:pPr>
      <w:r>
        <w:rPr/>
        <w:t>5.</w:t>
        <w:tab/>
        <w:t>Διασφάλιση της δημιουργίας και διευκόλυνσης της ύπαρξης οικονομικά προσιτών παιδικών σταθμών, δημόσιων και ιδιωτικών, καθώς και δωρεάν υπηρεσιών παιδικής μέριμνας για όσους έχουν ανάγκη</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ΠΡΟΤΑΣΗ: Δικαιώματα των ζώων, γεωργία</w:t>
      </w:r>
    </w:p>
    <w:p>
      <w:pPr>
        <w:pStyle w:val="P68B1DB1Normal15"/>
        <w:rPr>
          <w:b/>
          <w:b/>
        </w:rPr>
      </w:pPr>
      <w:r>
        <w:rPr/>
        <w:t>ΣΚΟΠΟΣ ΣΤΟΧΟΣ: Λήψη αποφασιστικών μέτρων για την προώθηση και τη διασφάλιση μιας πιο φιλικής προς το περιβάλλον και φιλικής προς το κλίμα γεωργίας, ιδίως: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80"/>
      </w:r>
      <w:r>
        <w:rPr/>
        <w:t>:</w:t>
      </w:r>
    </w:p>
    <w:p>
      <w:pPr>
        <w:pStyle w:val="Puce3"/>
        <w:tabs>
          <w:tab w:val="clear" w:pos="720"/>
        </w:tabs>
        <w:rPr/>
      </w:pPr>
      <w:r>
        <w:rPr/>
        <w:t>1.</w:t>
        <w:tab/>
        <w:t>Με τον καθορισμό λεπτομερών, μετρήσιμων και χρονικά καθορισμένων ελάχιστων κριτηρίων για την προστασία των εκτρεφόμενων ζώων, με στόχο την εξασφάλιση υψηλότερων προτύπων καλής μεταχείρισης των ζώων σύμφωνα με την καθιέρωση στόχων βιωσιμότητας και με βάση μια ολοκληρωμένη προσέγγιση του συστήματος τροφίμων</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Θέσπιση οικονομικών κυρώσεων για τις δυσμενείς επιπτώσεις που προκαλούνται από τη γεωργική δραστηριότητα (π.χ. εκπομπές αερίων του θερμοκηπίου, χρήση φυτοφαρμάκων, υπερβολική κατανάλωση νερού, μεταφορές μεγάλων αποστάσεων κ.λπ.) ανάλογα με τις επιπτώσεις τους στο περιβάλλον. Τα γεωργικά προϊόντα που εισάγονται στην Ένωση θα πρέπει επίσης να αξιολογούνται σε αυτή τη βάση, μεταξύ άλλων μέσω τελωνειακών δασμών, προκειμένου να εξαλειφθεί κάθε ανταγωνιστικό πλεονέκτημα που απορρέει από λιγότερο αυστηρά περιβαλλοντικά πρότυπα</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Μείωση των επιδοτήσεων για τη μαζική γεωργική παραγωγή όταν δεν συμβάλλει στη βιώσιμη μετάβαση και ανακατεύθυνση των πόρων αυτών για τη στήριξη της περιβαλλοντικά βιώσιμης γεωργίας, διασφαλίζοντας παράλληλα την οικονομική προσιτότητα των προϊόντων διατροφής.</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ΕΙΚΟΝΑ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ΕΙΚΟΝΑ 26"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«Ψηφιακός μετασχηματισμός»</w:t>
      </w:r>
    </w:p>
    <w:p>
      <w:pPr>
        <w:pStyle w:val="Normal"/>
        <w:rPr/>
      </w:pPr>
      <w:r>
        <w:rPr/>
        <w:t>Η Ευρώπη πρέπει να βρίσκεται στην πρώτη γραμμή του κόσμου και να θέσει πρότυπα για τον ψηφιακό μετασχηματισμό, και πρέπει να χαράξει μια ευρωπαϊκή πορεία προς μια δεοντολογική, ανθρωποκεντρική, διαφανή και ασφαλή κοινωνία. Η Ευρώπη πρέπει να υιοθετήσει μια φιλόδοξη προσέγγιση και να αξιοποιήσει πλήρως τις ευκαιρίες που προσφέρει η ψηφιοποίηση, ενώ παράλληλα θα διαχειρίζεται τους κινδύνους και τις προκλήσεις που θέτει η ψηφιοποίηση. Η ψηφιοποίηση αφορά όλους τους τομείς της κοινωνίας μας και πρέπει να λαμβάνεται συστηματικά υπόψη. Στο πλαίσιο αυτό, έχει γίνει αναφορά στην Ευρωπαϊκή Διακήρυξη για τα ψηφιακά δικαιώματα και τις αρχές για την ψηφιακή δεκαετία και έχει προταθεί να εξεταστεί στο μέλλον η πιθανή εκπόνηση ενός Χάρτη Ψηφιακών Δικαιωμάτων.</w:t>
      </w:r>
    </w:p>
    <w:p>
      <w:pPr>
        <w:pStyle w:val="Normal"/>
        <w:rPr/>
      </w:pPr>
      <w:r>
        <w:rPr/>
        <w:t>Η ρωσική επιθετικότητα στην Ουκρανία επιβεβαιώνει μόνο πολλά στοιχεία που εξετάζονται στις προτάσεις, όπως η ανάγκη για ψηφιακή κυριαρχία, η αυξημένη προσοχή στην κυβερνοάμυνα και η προστασία από την παραπληροφόρηση. Αποδεικνύει επίσης ότι οι σύγχρονες συγκρούσεις έχουν συνέπειες στην ψηφιακή σφαίρα και εγείρει νέα ερωτήματα, όπως οι μακροπρόθεσμες συνέπειες της κατάχρησης προσωπικών πληροφοριών και η παράνομη χρήση αυτών των δεδομένων στο μέλλον.</w:t>
      </w:r>
    </w:p>
    <w:p>
      <w:pPr>
        <w:pStyle w:val="Normal"/>
        <w:rPr/>
      </w:pPr>
      <w:r>
        <w:rPr/>
      </w:r>
    </w:p>
    <w:p>
      <w:pPr>
        <w:pStyle w:val="Titre3"/>
        <w:numPr>
          <w:ilvl w:val="2"/>
          <w:numId w:val="2"/>
        </w:numPr>
        <w:rPr/>
      </w:pPr>
      <w:bookmarkStart w:id="81" w:name="__RefHeading___Toc298336_1346298689"/>
      <w:bookmarkEnd w:id="81"/>
      <w:r>
        <w:rPr/>
        <w:t>31. ΠΡΟΤΑΣΗ: Πρόσβαση σε ψηφιακές υποδομές</w:t>
      </w:r>
    </w:p>
    <w:p>
      <w:pPr>
        <w:pStyle w:val="Normal"/>
        <w:rPr/>
      </w:pPr>
      <w:r>
        <w:rPr/>
        <w:t>ΣΚΟΠΟΣ ΣΤΟΧΟΣ: Η ισότιμη πρόσβαση στο διαδίκτυο αποτελεί θεμελιώδες δικαίωμα για κάθε Ευρωπαίο πολίτη. Προτείνουμε όλοι στην Ευρώπη να έχουν αποτελεσματική πρόσβαση στο διαδίκτυο και τις ψηφιακές υπηρεσίες και να ενισχυθεί η κυριαρχία των ψηφιακών υποδομών της ΕΕ, εφαρμόζοντας τα ακόλουθα μέτρα: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86"/>
      </w:r>
      <w:r>
        <w:rPr/>
        <w:t>:</w:t>
      </w:r>
    </w:p>
    <w:p>
      <w:pPr>
        <w:pStyle w:val="Puce3"/>
        <w:tabs>
          <w:tab w:val="clear" w:pos="720"/>
        </w:tabs>
        <w:rPr/>
      </w:pPr>
      <w:r>
        <w:rPr/>
        <w:t>1.</w:t>
        <w:tab/>
        <w:t>Επένδυση σε υψηλής ποιότητας και καινοτόμες ευρωπαϊκές ψηφιακές υποδομές (συμπεριλαμβανομένης της ανάπτυξης 5G και 6G στην Ευρώπη) (συστάσεις 40 και 47 του ECP 1 και αριθ. 1 του εθνικού σημείου επαφής των Κάτω Χωρών).</w:t>
      </w:r>
    </w:p>
    <w:p>
      <w:pPr>
        <w:pStyle w:val="Puce3"/>
        <w:tabs>
          <w:tab w:val="clear" w:pos="720"/>
        </w:tabs>
        <w:rPr/>
      </w:pPr>
      <w:r>
        <w:rPr/>
        <w:t>2.</w:t>
        <w:tab/>
        <w:t>Εξασφάλιση ταχείας, οικονομικά προσιτής, ασφαλούς και σταθερής πρόσβασης στο διαδίκτυο σε ολόκληρη την Ένωση, συμπεριλαμβανομένης της περιαγωγής, με προτεραιότητα στη δημιουργία διαδικτυακών συνδέσεων σε «λευκές/νεκρές ζώνες», αγροτικές και απομακρυσμένες και περιφερειακές περιοχές, προκειμένου να αντιμετωπιστεί το ψηφιακό χάσμα μεταξύ και εντός των κρατών μελών και να διασφαλιστεί ότι κανείς δεν θα μείνει στο περιθώριο (συστάσεις 17 και 47 του ολλανδικού εθνικού σημείου επαφής 1 και αριθ. 1).</w:t>
      </w:r>
    </w:p>
    <w:p>
      <w:pPr>
        <w:pStyle w:val="Puce3"/>
        <w:tabs>
          <w:tab w:val="clear" w:pos="720"/>
        </w:tabs>
        <w:rPr/>
      </w:pPr>
      <w:r>
        <w:rPr/>
        <w:t>3.</w:t>
        <w:tab/>
        <w:t>Να προωθήσει την ανάπτυξη, σε δημόσιους και ιδιωτικούς χώρους, ψηφιακών και ηλεκτρικών υποδομών που επιτρέπουν τη χρήση ηλεκτρικών και αυτόνομων οχημάτων (συζήτηση στην ομάδα εργασίας)</w:t>
      </w:r>
      <w:r>
        <w:rPr>
          <w:rStyle w:val="Ancredenotedefin"/>
          <w:rStyle w:val="Ancredenotedefin"/>
        </w:rPr>
        <w:endnoteReference w:id="87"/>
      </w:r>
      <w:r>
        <w:rPr/>
        <w:t>.</w:t>
      </w:r>
    </w:p>
    <w:p>
      <w:pPr>
        <w:pStyle w:val="Puce3"/>
        <w:tabs>
          <w:tab w:val="clear" w:pos="720"/>
        </w:tabs>
        <w:rPr/>
      </w:pPr>
      <w:r>
        <w:rPr/>
        <w:t>4.</w:t>
        <w:tab/>
        <w:t>Να λάβει μέτρα για τη διασφάλιση θεμιτού και ανοικτού ανταγωνισμού και την πρόληψη των μονοπωλίων, της εξάρτησης από τους προμηθευτές, της συγκέντρωσης δεδομένων και της εξάρτησης από τρίτες χώρες από υποδομές και υπηρεσίες· βελτίωση των αγορών από την άποψη των καταναλωτών (σύσταση CEP αριθ. 17 1).</w:t>
      </w:r>
    </w:p>
    <w:p>
      <w:pPr>
        <w:pStyle w:val="Puce3"/>
        <w:tabs>
          <w:tab w:val="clear" w:pos="720"/>
        </w:tabs>
        <w:rPr/>
      </w:pPr>
      <w:r>
        <w:rPr/>
        <w:t>5.</w:t>
        <w:tab/>
        <w:t>Να καταστήσει τα παιδιά, τις οικογένειες, τους ηλικιωμένους και τις ευάλωτες ομάδες προτεραιότητα όσον αφορά την πρόσβαση στο διαδίκτυο και στον εξοπλισμό ΤΠ, συμπεριλαμβανομένης της πρόσβασης στην εκπαίδευση, τις δημόσιες υπηρεσίες και την υγεία (Σύσταση 17 του CEP 1 και συζήτηση στην ομάδα εργασίας).</w:t>
      </w:r>
    </w:p>
    <w:p>
      <w:pPr>
        <w:pStyle w:val="Puce3"/>
        <w:tabs>
          <w:tab w:val="clear" w:pos="720"/>
        </w:tabs>
        <w:rPr/>
      </w:pPr>
      <w:r>
        <w:rPr/>
        <w:t>6.</w:t>
        <w:tab/>
        <w:t>Βελτίωση της ψηφιακής πρόσβασης, με πλήρη προσβασιμότητα, σε βασικές δημόσιες και ιδιωτικές υπηρεσίες για τους πολίτες και τις επιχειρήσεις, π.χ. όσον αφορά τις διοικητικές διαδικασίες, και διασφάλιση της πρόσβασης και της υποστήριξης που συνδέεται με αυτές τις υπηρεσίες για όλους, π.χ. μέσω υπηρεσιών υποστήριξης (συζήτηση στην ομάδα εργασίας, πολύγλωσση ψηφιακή πλατφόρμα).</w:t>
      </w:r>
    </w:p>
    <w:p>
      <w:pPr>
        <w:pStyle w:val="Puce3"/>
        <w:tabs>
          <w:tab w:val="clear" w:pos="720"/>
        </w:tabs>
        <w:rPr/>
      </w:pPr>
      <w:r>
        <w:rPr/>
        <w:t>7.</w:t>
        <w:tab/>
        <w:t>Εναρμόνιση των ψηφιακών προτύπων υψηλής ποιότητας και βελτίωση της ασφαλούς κινητικότητας των δεδομένων προκειμένου να διευκολυνθεί η διασυνοριακή διαλειτουργικότητα (συζήτηση στην ομάδα εργασίας, πολύγλωσση ψηφιακή πλατφόρμα).</w:t>
      </w:r>
    </w:p>
    <w:p>
      <w:pPr>
        <w:pStyle w:val="Puce3"/>
        <w:tabs>
          <w:tab w:val="clear" w:pos="720"/>
        </w:tabs>
        <w:rPr/>
      </w:pPr>
      <w:r>
        <w:rPr/>
        <w:t>8.</w:t>
        <w:tab/>
        <w:t>Προβληματισμός σχετικά με τις περιβαλλοντικές επιπτώσεις των ψηφιακών υποδομών και της ψηφιοποίησης προκειμένου ο ψηφιακός μετασχηματισμός να καταστεί βιώσιμος και να κινηθεί προς μια πράσινη ψηφιακή κοινωνία (συζήτηση στην ομάδα εργασίας, πολυγλωσσική ψηφιακή πλατφόρμα).</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ΠΡΟΤΑΣΗ: Ψηφιακές γνώσεις και δεξιότητες που ενδυναμώνουν τους ανθρώπους</w:t>
      </w:r>
    </w:p>
    <w:p>
      <w:pPr>
        <w:pStyle w:val="P68B1DB1Normal15"/>
        <w:rPr>
          <w:b/>
          <w:b/>
        </w:rPr>
      </w:pPr>
      <w:r>
        <w:rPr/>
        <w:t>ΣΚΟΠΟΣ ΣΤΟΧΟΣ: Προτείνουμε στην ΕΕ να διασφαλίσει ότι όλοι οι ευρωπαίοι πολίτες μπορούν να επωφεληθούν από την ψηφιοποίηση, παρέχοντάς τους τη δυνατότητα να αποκτήσουν τις απαραίτητες ψηφιακές δεξιότητες και ευκαιρίες εφαρμόζοντας τα ακόλουθα μέτρα: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88"/>
      </w:r>
      <w:r>
        <w:rPr/>
        <w:t>:</w:t>
      </w:r>
    </w:p>
    <w:p>
      <w:pPr>
        <w:pStyle w:val="Puce3"/>
        <w:tabs>
          <w:tab w:val="clear" w:pos="720"/>
        </w:tabs>
        <w:rPr/>
      </w:pPr>
      <w:r>
        <w:rPr/>
        <w:t>1.</w:t>
        <w:tab/>
        <w:t>Διασφάλιση της πρόσβασης στην κατάρτιση και την εκπαίδευση, συμπεριλαμβανομένων των σχολικών, τυπικών και μη τυπικών προγραμμάτων σπουδών, σε δια βίου ψηφιακές δεξιότητες και γνώσεις, με βάση τις υφιστάμενες πρωτοβουλίες σε ευρωπαϊκό επίπεδο, με ιδιαίτερη προσοχή στην ένταξη των ατόμων που ανήκουν σε ευάλωτες ομάδες και τους ηλικιωμένους, καθώς και στην ενίσχυση των ψηφιακών δεξιοτήτων των παιδιών κατά τρόπο συμβατό με την ορθή ανάπτυξή τους και την αντιμετώπιση των ψηφιακών ανισοτήτων, συμπεριλαμβανομένου του ψηφιακού χάσματος μεταξύ ανδρών και γυναικών (σύσταση της Ευρωπαϊκής Επιτροπής αριθ. 8, σύσταση 5.2 του εθνικού σημείου επαφής της Ιταλίας και συζήτηση στην ομάδα εργασίας).</w:t>
      </w:r>
    </w:p>
    <w:p>
      <w:pPr>
        <w:pStyle w:val="Puce3"/>
        <w:tabs>
          <w:tab w:val="clear" w:pos="720"/>
        </w:tabs>
        <w:rPr/>
      </w:pPr>
      <w:r>
        <w:rPr/>
        <w:t>2.</w:t>
        <w:tab/>
        <w:t>Διασφάλιση της ορθής χρήσης του διαδικτύου, ενθαρρύνοντας τα κράτη μέλη να αναπτύξουν κατάρτιση σε ψηφιακές δεξιότητες για όλες τις ηλικιακές ομάδες με εναρμονισμένα προγράμματα και περιεχόμενο σε ευρωπαϊκό επίπεδο, όπως οι κίνδυνοι και οι ευκαιρίες στο διαδίκτυο, τα επιγραμμικά δικαιώματα των χρηστών και το διαδίκτυο (σύσταση 47 της CEP 1 και συζήτηση στην ομάδα εργασίας).</w:t>
      </w:r>
    </w:p>
    <w:p>
      <w:pPr>
        <w:pStyle w:val="Puce3"/>
        <w:tabs>
          <w:tab w:val="clear" w:pos="720"/>
        </w:tabs>
        <w:rPr/>
      </w:pPr>
      <w:r>
        <w:rPr/>
        <w:t>3.</w:t>
        <w:tab/>
        <w:t>Να λάβουν όλα τα αναγκαία μέτρα για να διασφαλίσουν ότι η ψηφιοποίηση της κοινωνίας δεν αποκλείει τους ηλικιωμένους και ότι η τεχνολογία είναι προσβάσιμη σε αυτούς, ενθαρρύνοντας σχετικά προγράμματα και πρωτοβουλίες, όπως μαθήματα προσαρμοσμένα στις ανάγκες τους. Ταυτόχρονα, θα πρέπει να διασφαλιστεί ότι οι βασικές υπηρεσίες είναι επίσης προσβάσιμες αυτοπροσώπως και με μη ψηφιακό τρόπο (συστάσεις 34 και 47 της CEP).</w:t>
      </w:r>
    </w:p>
    <w:p>
      <w:pPr>
        <w:pStyle w:val="Puce3"/>
        <w:tabs>
          <w:tab w:val="clear" w:pos="720"/>
        </w:tabs>
        <w:rPr/>
      </w:pPr>
      <w:r>
        <w:rPr/>
        <w:t>4.</w:t>
        <w:tab/>
        <w:t>Καθιέρωση στα σχολεία μιας ευρωπαϊκής πιστοποίησης για τις ψηφιακές δεξιότητες που θα προετοιμάσει τους νέους για τη μελλοντική αγορά εργασίας (Σύσταση 8 της CEP).</w:t>
      </w:r>
    </w:p>
    <w:p>
      <w:pPr>
        <w:pStyle w:val="Puce3"/>
        <w:tabs>
          <w:tab w:val="clear" w:pos="720"/>
        </w:tabs>
        <w:rPr/>
      </w:pPr>
      <w:r>
        <w:rPr/>
        <w:t>5.</w:t>
        <w:tab/>
        <w:t>Εφαρμογή συντονισμένων πρωτοβουλιών κατάρτισης σε επίπεδο Ένωσης για την επανειδίκευση και την αναβάθμιση των δεξιοτήτων των εργαζομένων ώστε να παραμείνουν ανταγωνιστικοί στην αγορά εργασίας, ιδίως ενόψει των δεξιοτήτων και των προσόντων που απαιτούνται στις μικρές και μεσαίες επιχειρήσεις, καθώς και με σκοπό την κατάρτιση ψηφιακών ειδικών (Σύσταση 8 του CEP και συζήτηση στην ομάδα εργασίας).</w:t>
      </w:r>
    </w:p>
    <w:p>
      <w:pPr>
        <w:pStyle w:val="Puce3"/>
        <w:tabs>
          <w:tab w:val="clear" w:pos="720"/>
        </w:tabs>
        <w:rPr/>
      </w:pPr>
      <w:r>
        <w:rPr/>
        <w:t>6.</w:t>
        <w:tab/>
        <w:t>Δημοσιότητα των υφιστάμενων ψηφιακών πλατφορμών που συνδέουν τους πολίτες με τους εργοδότες και τους βοηθούν να βρουν θέσεις εργασίας στην ΕΕ, όπως το EURES (σύσταση CEP αριθ. 8 1).</w:t>
      </w:r>
    </w:p>
    <w:p>
      <w:pPr>
        <w:pStyle w:val="Puce3"/>
        <w:tabs>
          <w:tab w:val="clear" w:pos="720"/>
        </w:tabs>
        <w:rPr/>
      </w:pPr>
      <w:r>
        <w:rPr/>
        <w:t>7.</w:t>
        <w:tab/>
        <w:t>Αύξηση των επενδύσεων και των προσπαθειών για την τόνωση της ψηφιοποίησης της εκπαίδευσης, συμπεριλαμβανομένης της τριτοβάθμιας εκπαίδευσης (συζήτηση στην ομάδα εργασίας/πολυγλωσσική ψηφιακή πλατφόρμα).</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ΠΡΟΤΑΣΗ: Μια ασφαλής και αξιόπιστη ψηφιακή κοινωνία — κυβερνοασφάλεια και παραπληροφόρηση</w:t>
      </w:r>
    </w:p>
    <w:p>
      <w:pPr>
        <w:pStyle w:val="P68B1DB1Normal15"/>
        <w:rPr>
          <w:b/>
          <w:b/>
        </w:rPr>
      </w:pPr>
      <w:r>
        <w:rPr/>
        <w:t>ΣΚΟΠΟΣ ΣΤΟΧΟΣ: προτείνουμε, προκειμένου να δημιουργηθεί μια ασφαλής, ανθεκτική και αξιόπιστη ψηφιακή κοινωνία, η ΕΕ να διασφαλίσει την αποτελεσματική και έγκαιρη εφαρμογή της ισχύουσας νομοθεσίας και να έχει περισσότερες αρμοδιότητες για την ενίσχυση της κυβερνοασφάλειας, την καταπολέμηση του παράνομου περιεχομένου και του εγκλήματος στον κυβερνοχώρο, την αντιμετώπιση και την αντιμετώπιση των συνεπειών των κυβερνοαπειλών από μη κρατικούς φορείς και αυταρχικά κράτη, και την καταπολέμηση της παραπληροφόρησης, εφαρμόζοντας τα ακόλουθα μέτρα: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89"/>
      </w:r>
      <w:r>
        <w:rPr/>
        <w:t>:</w:t>
      </w:r>
    </w:p>
    <w:p>
      <w:pPr>
        <w:pStyle w:val="Puce3"/>
        <w:tabs>
          <w:tab w:val="clear" w:pos="720"/>
        </w:tabs>
        <w:rPr/>
      </w:pPr>
      <w:r>
        <w:rPr/>
        <w:t>1.</w:t>
        <w:tab/>
        <w:t>Ενίσχυση των ικανοτήτων της Ευρωπόλ/Ευρωπαϊκού Κέντρου για εγκλήματα στον κυβερνοχώρο όσον αφορά τους οικονομικούς και ανθρώπινους πόρους, προκειμένου να καταστεί δυνατή μια πιο προορατική προσέγγιση του εγκλήματος στον κυβερνοχώρο και να ενισχυθούν οι κοινές ευρωπαϊκές ικανότητες κυβερνοάμυνας έναντι επιθέσεων μεγάλης κλίμακας, μεταξύ άλλων μέσω καλύτερης συνεργασίας (σύσταση της ΕΚΤ αριθ. 39, σύσταση 2.6 του λιθουανικού εθνικού σημείου επαφής και σημείο 1 του εθνικού σημείου επαφής των Κάτω Χωρών και συζήτηση στην ομάδα εργασίας).</w:t>
      </w:r>
    </w:p>
    <w:p>
      <w:pPr>
        <w:pStyle w:val="Puce3"/>
        <w:tabs>
          <w:tab w:val="clear" w:pos="720"/>
        </w:tabs>
        <w:rPr/>
      </w:pPr>
      <w:r>
        <w:rPr/>
        <w:t>2.</w:t>
        <w:tab/>
        <w:t>Να λάβουν τα αναγκαία μέτρα για να προετοιμαστούν για επιθέσεις μεγάλης κλίμακας και διαταραχές των υπηρεσιών και να είναι σε θέση να τις ξεπεράσουν γρήγορα, για παράδειγμα διασφαλίζοντας την ύπαρξη ανθεκτικών υποδομών και εναλλακτικών διαύλων επικοινωνίας (συζήτηση στην ομάδα εργασίας).</w:t>
      </w:r>
    </w:p>
    <w:p>
      <w:pPr>
        <w:pStyle w:val="Puce3"/>
        <w:tabs>
          <w:tab w:val="clear" w:pos="720"/>
        </w:tabs>
        <w:rPr/>
      </w:pPr>
      <w:r>
        <w:rPr/>
        <w:t>3.</w:t>
        <w:tab/>
        <w:t>Διασφάλιση παρόμοιων κυρώσεων και της ταχείας και αποτελεσματικής επιβολής τους στα κράτη μέλη σε περίπτωση κυβερνοεγκλήματος μέσω βελτιωμένου συντονισμού των τοπικών, περιφερειακών και εθνικών κέντρων και αρχών κυβερνοασφάλειας (σύσταση CEP αριθ. 39 1).</w:t>
      </w:r>
    </w:p>
    <w:p>
      <w:pPr>
        <w:pStyle w:val="Puce3"/>
        <w:tabs>
          <w:tab w:val="clear" w:pos="720"/>
        </w:tabs>
        <w:rPr/>
      </w:pPr>
      <w:r>
        <w:rPr/>
        <w:t>4.</w:t>
        <w:tab/>
        <w:t>Βελτίωση της ψηφιακής γνώσης και της κριτικής σκέψης ως μέσου για την καταπολέμηση της παραπληροφόρησης, των διαδικτυακών απειλών και της ρητορικής μίσους, καθώς και των στημένων διεπαφών και των προτιμησιακών τιμών (συζήτηση στην ομάδα εργασίας).</w:t>
      </w:r>
    </w:p>
    <w:p>
      <w:pPr>
        <w:pStyle w:val="Puce3"/>
        <w:tabs>
          <w:tab w:val="clear" w:pos="720"/>
        </w:tabs>
        <w:rPr/>
      </w:pPr>
      <w:r>
        <w:rPr/>
        <w:t>5.</w:t>
        <w:tab/>
        <w:t>Αντιμετώπιση της παραπληροφόρησης με τη θέσπιση νομοθεσίας και κατευθυντήριων γραμμών που διασφαλίζουν ότι οι επιγραμμικές πλατφόρμες και οι εταιρείες μέσων κοινωνικής δικτύωσης αντιμετωπίζουν τα τρωτά σημεία παραπληροφόρησης και εφαρμόζουν μέτρα διαφάνειας, συμπεριλαμβανομένων, για παράδειγμα, αλγορίθμων βασιζόμενων στην τεχνητή νοημοσύνη που μπορούν να αναδείξουν την αξιοπιστία των πληροφοριών στα μέσα κοινωνικής δικτύωσης και στα νέα μέσα, παρέχοντας στον χρήστη επαληθευμένες πηγές πληροφοριών. Όταν χρησιμοποιούνται αλγόριθμοι, ο τελικός έλεγχος στις διαδικασίες λήψης αποφάσεων θα πρέπει να είναι ευθύνη των ανθρώπων (Σύσταση 46 της CEP 1 και συζήτηση στην ομάδα εργασίας).</w:t>
      </w:r>
    </w:p>
    <w:p>
      <w:pPr>
        <w:pStyle w:val="Puce3"/>
        <w:tabs>
          <w:tab w:val="clear" w:pos="720"/>
        </w:tabs>
        <w:rPr/>
      </w:pPr>
      <w:r>
        <w:rPr/>
        <w:t>6.</w:t>
        <w:tab/>
        <w:t>Στήριξη ψηφιακών πλατφορμών που συμβάλλουν στην πολυφωνία των μέσων ενημέρωσης και παρέχουν πόρους και πρωτοβουλίες για την αξιολόγηση της αξιοπιστίας και της αμεροληψίας των πληροφοριών από τα παραδοσιακά μέσα ενημέρωσης (τηλεόραση, έντυπη, ραδιοφωνική) και άλλα μέσα, με πλήρη σεβασμό της αρχής της ελευθερίας των μέσων ενημέρωσης και για την παροχή στους πολίτες πληροφοριών σχετικά με την ποιότητα των πληροφοριών (σύσταση 46 της CEP).</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ΠΡΟΤΑΣΗ: Μια ασφαλής και αξιόπιστη ψηφιακή κοινωνία — προστασία των δεδομένων</w:t>
      </w:r>
    </w:p>
    <w:p>
      <w:pPr>
        <w:pStyle w:val="P68B1DB1Normal15"/>
        <w:rPr>
          <w:b/>
          <w:b/>
        </w:rPr>
      </w:pPr>
      <w:r>
        <w:rPr/>
        <w:t>ΣΚΟΠΟΣ ΣΤΟΧΟΣ: Υποστηρίζουμε την κυριαρχία των δεδομένων των ανθρώπων, την καλύτερη ευαισθητοποίηση και την αποτελεσματικότερη εφαρμογή και επιβολή των υφιστάμενων κανόνων προστασίας δεδομένων (GDPR), προκειμένου να ενισχυθεί ο έλεγχος των ανθρώπων στα δεδομένα τους και να περιοριστεί η κατάχρηση των δεδομένων, εφαρμόζοντας τα ακόλουθα μέτρα: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90"/>
      </w:r>
      <w:r>
        <w:rPr/>
        <w:t>:</w:t>
      </w:r>
    </w:p>
    <w:p>
      <w:pPr>
        <w:pStyle w:val="Puce3"/>
        <w:tabs>
          <w:tab w:val="clear" w:pos="720"/>
        </w:tabs>
        <w:rPr/>
      </w:pPr>
      <w:r>
        <w:rPr/>
        <w:t>1.</w:t>
        <w:tab/>
        <w:t>Να εξηγηθούν καλύτερα οι κανόνες για την προστασία των δεδομένων (ΓΚΠΔ), να αυξηθεί η διαφάνεια και να βελτιωθεί η επικοινωνία με την ανάπτυξη κατευθυντήριων γραμμών για κείμενα συγκατάθεσης μετά από ενημέρωση που χρησιμοποιούν απλή, σαφή και κατανοητή γλώσσα, συμπεριλαμβανομένης μιας πιο οπτικής παρουσίασης για τη συγκατάθεση στη χρήση των δεδομένων, συνοδευόμενα από μια ενημερωτική εκστρατεία, καθώς και με τη διασφάλιση ότι οι υπεύθυνοι επεξεργασίας δεδομένων διαθέτουν τις απαραίτητες δεξιότητες και συμβουλεύουν όσους χρειάζονται βοήθεια (συστάσεις 42 και 45 του ολλανδικού εθνικού σημείου επαφής 1 και αριθ. 2).</w:t>
      </w:r>
    </w:p>
    <w:p>
      <w:pPr>
        <w:pStyle w:val="Puce3"/>
        <w:tabs>
          <w:tab w:val="clear" w:pos="720"/>
        </w:tabs>
        <w:rPr/>
      </w:pPr>
      <w:r>
        <w:rPr/>
        <w:t>2.</w:t>
        <w:tab/>
        <w:t>Διασφάλιση της επιβολής της υφιστάμενης απαγόρευσης της εξ ορισμού συγκατάθεσης για περαιτέρω χρήση ή μεταπώληση δεδομένων (σύσταση CEP αριθ. 42 1).</w:t>
      </w:r>
    </w:p>
    <w:p>
      <w:pPr>
        <w:pStyle w:val="Puce3"/>
        <w:tabs>
          <w:tab w:val="clear" w:pos="720"/>
        </w:tabs>
        <w:rPr/>
      </w:pPr>
      <w:r>
        <w:rPr/>
        <w:t>3.</w:t>
        <w:tab/>
        <w:t>Διασφάλιση ότι τα αιτήματα των χρηστών για τελική διαγραφή δεδομένων γίνονται δεκτά εντός καθορισμένου χρονικού πλαισίου (σύσταση CEP αριθ. 42).</w:t>
      </w:r>
    </w:p>
    <w:p>
      <w:pPr>
        <w:pStyle w:val="Puce3"/>
        <w:tabs>
          <w:tab w:val="clear" w:pos="720"/>
        </w:tabs>
        <w:rPr/>
      </w:pPr>
      <w:r>
        <w:rPr/>
        <w:t>4.</w:t>
        <w:tab/>
        <w:t>Παροχή στους χρήστες σαφών και συνοπτικών πληροφοριών σχετικά με τον τρόπο χρήσης των δεδομένων και από ποιον (σύσταση CEP αριθ. 42 1)</w:t>
      </w:r>
    </w:p>
    <w:p>
      <w:pPr>
        <w:pStyle w:val="Puce3"/>
        <w:tabs>
          <w:tab w:val="clear" w:pos="720"/>
        </w:tabs>
        <w:rPr/>
      </w:pPr>
      <w:r>
        <w:rPr/>
        <w:t>5.</w:t>
        <w:tab/>
        <w:t>Διασφάλιση της συμμόρφωσης των μη ευρωπαϊκών εταιρειών με τους ευρωπαϊκούς κανόνες προστασίας δεδομένων (Συστάσεις 42 και 43 της CEP 1).</w:t>
      </w:r>
    </w:p>
    <w:p>
      <w:pPr>
        <w:pStyle w:val="Puce3"/>
        <w:tabs>
          <w:tab w:val="clear" w:pos="720"/>
        </w:tabs>
        <w:rPr/>
      </w:pPr>
      <w:r>
        <w:rPr/>
        <w:t>6.</w:t>
        <w:tab/>
        <w:t>Ενθάρρυνση της καθιέρωσης ενός συστήματος πιστοποίησης σε επίπεδο ΕΕ που να βεβαιώνει τη συμμόρφωση με τον ΓΚΠΔ με προσβάσιμο, σαφή και απλό τρόπο, είναι ορατό στους δικτυακούς τόπους και τις πλατφόρμες και θα πρέπει να εκδίδεται από ανεξάρτητο πιστοποιητή σε ευρωπαϊκό επίπεδο. Αυτό δεν θα πρέπει να επιβαρύνει δυσανάλογα τις μικρές και μεσαίες επιχειρήσεις (σύσταση 44 της CEP 1 και συζήτηση στην ομάδα εργασίας).</w:t>
      </w:r>
    </w:p>
    <w:p>
      <w:pPr>
        <w:pStyle w:val="Puce3"/>
        <w:tabs>
          <w:tab w:val="clear" w:pos="720"/>
        </w:tabs>
        <w:rPr/>
      </w:pPr>
      <w:r>
        <w:rPr/>
        <w:t>7.</w:t>
        <w:tab/>
        <w:t>Εξασφάλιση αποτελεσματικής και έγκαιρης συνδρομής στους πολίτες που αντιμετωπίζουν δυσκολίες να αντιταχθούν στην επεξεργασία των δεδομένων τους ή να ανακαλέσουν τη συγκατάθεσή τους. Για τον σκοπό αυτό, είναι αναγκαίο, σε ευρωπαϊκό επίπεδο, να καθοριστεί καλύτερα η παρεμβατική συμπεριφορά και να αναπτυχθούν κατευθυντήριες αρχές και μηχανισμοί που θα επιτρέπουν στους πολίτες να αντιτίθενται στην επεξεργασία των δεδομένων τους και να επιτυγχάνουν τη διαγραφή τους, καθώς και να εντοπίζουν και να επιβάλλουν κυρώσεις στους απατεώνες (Σύσταση του CEP 43 και συζήτηση στην ομάδα εργασίας).</w:t>
      </w:r>
    </w:p>
    <w:p>
      <w:pPr>
        <w:pStyle w:val="Puce3"/>
        <w:tabs>
          <w:tab w:val="clear" w:pos="720"/>
        </w:tabs>
        <w:rPr/>
      </w:pPr>
      <w:r>
        <w:rPr/>
        <w:t>8.</w:t>
        <w:tab/>
        <w:t>Να προβλέπουν κυρώσεις, συμπεριλαμβανομένου προστίμου ανάλογου προς τον κύκλο εργασιών των εταιρειών και περιορισμών στις δραστηριότητές τους, για παράδειγμα προσωρινές ή οριστικές απαγορεύσεις της ανεπιθύμητης επεξεργασίας δεδομένων, και να συνδράμουν τον Ευρωπαίο Επόπτη Προστασίας Δεδομένων και τους εθνικούς οργανισμούς στη διασφάλιση της εφαρμογής τους (συστάσεις 42 και 43 του CEP 1 και συζήτηση στην ομάδα εργασίας).</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ΠΡΟΤΑΣΗ: Ψηφιακή καινοτομία για την ενίσχυση της κοινωνικής και βιώσιμης οικονομίας</w:t>
      </w:r>
    </w:p>
    <w:p>
      <w:pPr>
        <w:pStyle w:val="Normal"/>
        <w:rPr/>
      </w:pPr>
      <w:r>
        <w:rPr/>
        <w:t>ΣΚΟΠΟΣ ΣΤΟΧΟΣ: Προτείνουμε στην ΕΕ να προωθήσει μέτρα ψηφιοποίησης που ενισχύουν την οικονομία και την ενιαία αγορά με δίκαιο και βιώσιμο τρόπο, καθιστούν την Ευρώπη πιο ανταγωνιστική στους τομείς της τεχνολογίας και της καινοτομίας, βελτιώνουν την ψηφιακή ενιαία αγορά για επιχειρήσεις κάθε μεγέθους και θέτουν την Ευρώπη στην παγκόσμια πρωτοπορία του ψηφιακού μετασχηματισμού και της ανθρωποκεντρικής ψηφιοποίησης, εφαρμόζοντας τα ακόλουθα μέτρα: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91"/>
      </w:r>
      <w:r>
        <w:rPr/>
        <w:t>:</w:t>
      </w:r>
    </w:p>
    <w:p>
      <w:pPr>
        <w:pStyle w:val="Puce3"/>
        <w:tabs>
          <w:tab w:val="clear" w:pos="720"/>
        </w:tabs>
        <w:rPr/>
      </w:pPr>
      <w:r>
        <w:rPr/>
        <w:t>1.</w:t>
        <w:tab/>
        <w:t>Θέσπιση νομοθεσίας ή ενίσχυση της ισχύουσας νομοθεσίας για την «κινητή εργασία» (με επίκεντρο τον άνθρωπο), λαμβάνοντας υπόψη τον αντίκτυπό της στη σωματική και ψυχική υγεία των εργαζομένων, για παράδειγμα με τη διασφάλιση του δικαιώματος στην αποσύνδεση. Μια «ανθρωποκεντρική» προσέγγιση προϋποθέτει την αρχή του «ανθρώπινου ελέγχου» (σύσταση αριθ. 7 του PCE 1 και συζήτηση στην ομάδα εργασίας)</w:t>
      </w:r>
      <w:r>
        <w:rPr>
          <w:rStyle w:val="Ancredenotedefin"/>
          <w:rStyle w:val="Ancredenotedefin"/>
        </w:rPr>
        <w:endnoteReference w:id="92"/>
      </w:r>
      <w:r>
        <w:rPr/>
        <w:t>.</w:t>
      </w:r>
    </w:p>
    <w:p>
      <w:pPr>
        <w:pStyle w:val="Puce3"/>
        <w:tabs>
          <w:tab w:val="clear" w:pos="720"/>
        </w:tabs>
        <w:rPr/>
      </w:pPr>
      <w:r>
        <w:rPr/>
        <w:t>2.</w:t>
        <w:tab/>
        <w:t>Θέσπιση νομοθεσίας σε επίπεδο ΕΕ για την ενθάρρυνση των επιχειρήσεων να είναι κοινωνικά υπεύθυνες και για τη διατήρηση ποιοτικών «κινητών θέσεων εργασίας» στην Ευρώπη, αποφεύγοντας έτσι τη μετεγκατάσταση αυτών των θέσεων εργασίας σε χώρες με χαμηλότερο κόστος. Τα κίνητρα μπορεί να έχουν οικονομικό χαρακτήρα και/ή αντίκτυπο στην εταιρική εικόνα και θα πρέπει να λαμβάνουν υπόψη διεθνώς αναγνωρισμένα περιβαλλοντικά, κοινωνικά και σχετικά με τη διακυβέρνηση κριτήρια. Για τον σκοπό αυτό, η Ένωση θα πρέπει να συγκροτήσει ομάδα εργασίας αποτελούμενη από εμπειρογνώμονες από όλα τα ενδιαφερόμενα μέρη για την επανεξέταση και την ενίσχυση της εν λόγω νομοθεσίας (σύσταση της CEP 7).</w:t>
      </w:r>
    </w:p>
    <w:p>
      <w:pPr>
        <w:pStyle w:val="Puce3"/>
        <w:tabs>
          <w:tab w:val="clear" w:pos="720"/>
        </w:tabs>
        <w:rPr/>
      </w:pPr>
      <w:r>
        <w:rPr/>
        <w:t>3.</w:t>
        <w:tab/>
        <w:t>Διασφάλιση του ανθρώπινου ελέγχου των διαδικασιών λήψης αποφάσεων με χρήση της τεχνητής νοημοσύνης στον χώρο εργασίας και της διαφάνειας των χρησιμοποιούμενων αλγορίθμων· λαμβάνουν υπόψη τις επιβλαβείς επιπτώσεις της απεριόριστης ψηφιακής επιτήρησης στον χώρο εργασίας· ενημέρωση και διαβούλευση των εργαζομένων πριν από την εισαγωγή ψηφιακών τεχνολογιών που έχουν αντίκτυπο στις συνθήκες εργασίας· να διασφαλίσει ότι οι νέες μορφές απασχόλησης, π.χ. η εργασία σε πλατφόρμα, συνάδουν με τα δικαιώματα των εργαζομένων και παρέχουν κατάλληλες συνθήκες εργασίας (συζήτηση στην ομάδα εργασίας).</w:t>
      </w:r>
    </w:p>
    <w:p>
      <w:pPr>
        <w:pStyle w:val="Puce3"/>
        <w:tabs>
          <w:tab w:val="clear" w:pos="720"/>
        </w:tabs>
        <w:rPr/>
      </w:pPr>
      <w:r>
        <w:rPr/>
        <w:t>4.</w:t>
        <w:tab/>
        <w:t>Ανάληψη πρωτοβουλιών για τη στήριξη της εξ αποστάσεως εργασίας, για παράδειγμα με τη δημιουργία χώρων γραφείων με γρήγορη και αξιόπιστη πρόσβαση στο διαδίκτυο, την οργάνωση ψηφιακής κατάρτισης και την παροχή πόρων για εργονομικό εξοπλισμό για εργασία στο σπίτι (σύσταση 17 της CEP 1 και συζήτηση στην ομάδα εργασίας).</w:t>
      </w:r>
    </w:p>
    <w:p>
      <w:pPr>
        <w:pStyle w:val="Puce3"/>
        <w:tabs>
          <w:tab w:val="clear" w:pos="720"/>
        </w:tabs>
        <w:rPr/>
      </w:pPr>
      <w:r>
        <w:rPr/>
        <w:t>5.</w:t>
        <w:tab/>
        <w:t>Δημιουργία ενός διαθέσιμου στο κοινό ψηφιακού πίνακα αποτελεσμάτων, ο οποίος δημιουργεί ένα σύστημα κατάταξης που υποδεικνύει και συγκρίνει το τρέχον επίπεδο ψηφιοποίησης των εταιρειών της ΕΕ (γερμανικό εθνικό σημείο επαφής).</w:t>
      </w:r>
    </w:p>
    <w:p>
      <w:pPr>
        <w:pStyle w:val="Puce3"/>
        <w:tabs>
          <w:tab w:val="clear" w:pos="720"/>
        </w:tabs>
        <w:rPr/>
      </w:pPr>
      <w:r>
        <w:rPr/>
        <w:t>6.</w:t>
        <w:tab/>
        <w:t>Οικοδόμηση μιας ισχυρής και ανταγωνιστικής ψηφιακής οικονομίας και ισότιμη κατανομή των οφελών του ψηφιακού μετασχηματισμού σε ολόκληρη την Ευρώπη, εστιάζοντας στην τεχνολογία και την καινοτομία ως κινητήριες δυνάμεις της ανάπτυξης, ενθαρρύνοντας τη μετασχηματιστική έρευνα αιχμής, καθώς και παρέχοντας χώρο για οικοσυστήματα καινοτομίας σε όλες τις περιφέρειες, βελτιώνοντας το λειτουργικό περιβάλλον των ΜΜΕ και των νεοφυών επιχειρήσεων και τη δίκαιη πρόσβαση στη χρηματοδότηση και αίροντας τις νομικές ή άλλες επιβαρύνσεις που παρεμποδίζουν τις διασυνοριακές δραστηριότητες (ιταλική σύσταση 1.3 του ΕΣΕ, συζήτηση της ομάδας εργασίας και πολυγλωσσική ψηφιακή πλατφόρμα). Δημιουργία υποδομής δεδομένων που θα βασίζεται στις ευρωπαϊκές αξίες· εφαρμόζει τις αρχές της «ψηφιακής προτεραιότητας» και της «ενιαίας διαβίβασης πληροφοριών» και διευκολύνει την ψηφιακή και ασφαλή πρόσβαση στα δεδομένα για την καινοτομία και τις επιχειρήσεις· ενθάρρυνση της ψηφιοποίησης των δημόσιων υπηρεσιών (συζήτηση στην ομάδα εργασίας και πολυγλωσσική ψηφιακή πλατφόρμα). Να αξιοποιήσουν πλήρως τις δυνατότητες της αξιόπιστης και υπεύθυνης χρήσης της τεχνητής νοημοσύνης και να αξιοποιήσουν τις δυνατότητες της τεχνολογίας blockchain και υπηρεσιών υπολογιστικού νέφους, καθορίζοντας διασφαλίσεις και πρότυπα που διασφαλίζουν διαφάνεια και διαλειτουργικότητα, δημιουργούν εμπιστοσύνη, διευκολύνουν τη χρήση και εξαλείφουν τους μεροληπτικούς ή μεροληπτικούς αλγορίθμους (συζήτηση στην ομάδα εργασίας και στην πολυγλωσσική ψηφιακή πλατφόρμα).</w:t>
      </w:r>
    </w:p>
    <w:p>
      <w:pPr>
        <w:pStyle w:val="Puce3"/>
        <w:tabs>
          <w:tab w:val="clear" w:pos="720"/>
        </w:tabs>
        <w:rPr/>
      </w:pPr>
      <w:r>
        <w:rPr/>
        <w:t>9.</w:t>
        <w:tab/>
        <w:t>Προώθηση του ελεύθερου λογισμικού, της χρήσης του στην εκπαίδευση και την κατάρτιση και της ελεύθερης πρόσβασης σε δημόσια χρηματοδοτούμενη έρευνα και λογισμικό (συζήτηση στην ομάδα εργασίας και στην πολύγλωσση ψηφιακή πλατφόρμα).</w:t>
      </w:r>
    </w:p>
    <w:p>
      <w:pPr>
        <w:pStyle w:val="Puce3"/>
        <w:tabs>
          <w:tab w:val="clear" w:pos="720"/>
        </w:tabs>
        <w:rPr/>
      </w:pPr>
      <w:r>
        <w:rPr/>
        <w:t>10.</w:t>
        <w:tab/>
        <w:t>Καθιέρωση κοινής ευρωπαϊκής ψηφιακής ταυτότητας για τη διευκόλυνση των διασυνοριακών ψηφιακών συναλλαγών και υπηρεσιών, μέσω ενός πλαισίου ευρωπαϊκών προτύπων και κατευθυντήριων αρχών που παρέχουν τις απαραίτητες διασφαλίσεις (συζήτηση στην ομάδα εργασίας και στην πολυγλωσσική ψηφιακή πλατφόρμα).</w:t>
      </w:r>
    </w:p>
    <w:p>
      <w:pPr>
        <w:pStyle w:val="Puce3"/>
        <w:tabs>
          <w:tab w:val="clear" w:pos="720"/>
        </w:tabs>
        <w:rPr/>
      </w:pPr>
      <w:r>
        <w:rPr/>
        <w:t>11.</w:t>
        <w:tab/>
        <w:t>Να αξιολογηθεί κατά πόσον θα ήταν δυνατή η ψηφιοποίηση των πληροφοριών σχετικά με τους καταναλωτές και τα τρόφιμα μέσω μιας τυποποιημένης ευρωπαϊκής εφαρμογής που θα παρέχει πιο φιλική προς τον χρήστη πρόσβαση σε πληροφορίες και θα παρέχει πρόσθετες πληροφορίες για τα προϊόντα και την αλυσίδα παραγωγής (σύσταση CEP αριθ.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ΕΙΚΟΝΑ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ΕΙΚΟΝΑ 27"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«Ευρωπαϊκή Δημοκρατία»</w:t>
      </w:r>
    </w:p>
    <w:p>
      <w:pPr>
        <w:pStyle w:val="Titre3"/>
        <w:numPr>
          <w:ilvl w:val="2"/>
          <w:numId w:val="2"/>
        </w:numPr>
        <w:rPr/>
      </w:pPr>
      <w:bookmarkStart w:id="87" w:name="__RefHeading___Toc298348_1346298689"/>
      <w:bookmarkEnd w:id="87"/>
      <w:r>
        <w:rPr/>
        <w:t>36. ΠΡΟΤΑΣΗ: Ενημέρωση των πολιτών, της συμμετοχής και της νεολαίας</w:t>
      </w:r>
    </w:p>
    <w:p>
      <w:pPr>
        <w:pStyle w:val="P68B1DB1Normal15"/>
        <w:rPr>
          <w:b/>
          <w:b/>
        </w:rPr>
      </w:pPr>
      <w:r>
        <w:rPr/>
        <w:t>ΣΚΟΠΟΣ ΣΤΟΧΟΣ: Αύξηση της συμμετοχής των πολιτών και της συμμετοχής των νέων στη δημοκρατία σε επίπεδο ΕΕ, προκειμένου να δημιουργηθεί μια «πλήρης εμπειρία πολιτών» για τους Ευρωπαίους· διασφαλίζουν ότι λαμβάνονται υπόψη οι απόψεις τους, συμπεριλαμβανομένων των περιόδων εκτός εκλογών, και ότι η συμμετοχή τους είναι πραγματική. Ως εκ τούτου, είναι απαραίτητο να καθοριστεί ποια μορφή συμμετοχής είναι η καταλληλότερη για κάθε θέμα, για παράδειγμα: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Ανάπτυξη νέων μηχανισμών για τη συμμετοχή των πολιτών και βελτίωση της αποτελεσματικότητας των υφιστάμενων μηχανισμών, σύμφωνα με το ευρωπαϊκό κεκτημένο, με παράλληλη βελτίωση της επικοινωνίας σχετικά με όλους αυτούς τους μηχανισμούς. Στην ιδανική περίπτωση, όλες οι πληροφορίες σχετικά με τους συμμετοχικούς χώρους θα πρέπει να συνοψίζονται</w:t>
      </w:r>
      <w:r>
        <w:rPr>
          <w:rStyle w:val="Ancredenotedefin"/>
          <w:rStyle w:val="Ancredenotedefin"/>
        </w:rPr>
        <w:endnoteReference w:id="93"/>
      </w:r>
      <w:r>
        <w:rPr/>
        <w:t xml:space="preserve"> σε πλήρη επίσημη ιστοσελίδα με διάφορες λειτουργίες</w:t>
      </w:r>
      <w:r>
        <w:rPr>
          <w:rStyle w:val="Ancredenotedefin"/>
          <w:rStyle w:val="Ancredenotedefin"/>
        </w:rPr>
        <w:endnoteReference w:id="94"/>
      </w:r>
      <w:r>
        <w:rPr/>
        <w:t>. Θα πρέπει να αναπτυχθεί ένας μηχανισμός για την παρακολούθηση των πολιτικών και νομοθετικών πρωτοβουλιών που προκύπτουν από τις διαδικασίες συμμετοχικής δημοκρατίας</w:t>
      </w:r>
      <w:r>
        <w:rPr>
          <w:rStyle w:val="Ancredenotedefin"/>
          <w:rStyle w:val="Ancredenotedefin"/>
        </w:rPr>
        <w:endnoteReference w:id="95"/>
      </w:r>
      <w:r>
        <w:rPr/>
        <w:t>. Οι συμμετοχικοί μηχανισμοί θα πρέπει, όλοι τους, να απευθύνονται σε ολόκληρο τον πληθυσμό προκειμένου να προσεγγίσουν ένα ευρύ κοινό. Θα πρέπει να δοθεί προσοχή στο περιεχόμενο, τα θέματα και τις δεξιότητες των συντονιστών. Οι μηχανισμοί αυτοί θα πρέπει να βασίζονται σε ανάλυση των επιπτώσεων των εν λόγω μέτρων, ιδίως στις γυναίκες και τα ευάλωτα άτομα</w:t>
      </w:r>
      <w:r>
        <w:rPr>
          <w:rStyle w:val="Ancredenotedefin"/>
          <w:rStyle w:val="Ancredenotedefin"/>
        </w:rPr>
        <w:endnoteReference w:id="96"/>
      </w:r>
      <w:r>
        <w:rPr/>
        <w:t>.</w:t>
      </w:r>
    </w:p>
    <w:p>
      <w:pPr>
        <w:pStyle w:val="Puce3"/>
        <w:tabs>
          <w:tab w:val="clear" w:pos="720"/>
        </w:tabs>
        <w:rPr/>
      </w:pPr>
      <w:r>
        <w:rPr/>
        <w:t>2.</w:t>
        <w:tab/>
        <w:t>Με την αύξηση της συχνότητας των αλληλεπιδράσεων εντός και εκτός διαδικτύου μεταξύ των θεσμικών οργάνων της ΕΕ και των πολιτών με διάφορα μέσα, προκειμένου να διασφαλιστεί ότι μπορούν να συμμετέχουν στη διαδικασία χάραξης ευρωπαϊκής πολιτικής, να εκφράζουν τις απόψεις τους και να λαμβάνουν ανατροφοδότηση, και να καταρτίζουν χάρτη σχετικά με τη συμμετοχή των πολιτών για τους ευρωπαίους υπαλλήλους</w:t>
      </w:r>
      <w:r>
        <w:rPr>
          <w:rStyle w:val="Ancredenotedefin"/>
          <w:rStyle w:val="Ancredenotedefin"/>
        </w:rPr>
        <w:endnoteReference w:id="97"/>
      </w:r>
      <w:r>
        <w:rPr/>
        <w:t>.</w:t>
      </w:r>
    </w:p>
    <w:p>
      <w:pPr>
        <w:pStyle w:val="Puce3"/>
        <w:tabs>
          <w:tab w:val="clear" w:pos="720"/>
        </w:tabs>
        <w:rPr/>
      </w:pPr>
      <w:r>
        <w:rPr/>
        <w:t>3.</w:t>
        <w:tab/>
        <w:t>Να προτείνει μια φιλική προς τον χρήστη ψηφιακή πλατφόρμα στην οποία οι πολίτες — και ιδίως οι νέοι — θα μπορούν να ανταλλάσσουν τις ιδέες τους, να υποβάλλουν ερωτήσεις στους εκπροσώπους των ευρωπαϊκών θεσμικών οργάνων και να εκφράζουν τις απόψεις τους για σημαντικά ευρωπαϊκά ζητήματα, καθώς και για νομοθετικές προτάσεις. Θα πρέπει επίσης να προβλεφθεί η δυνατότητα διοργάνωσης επιγραμμικών ερευνών σε αυτή την πλατφόρμα</w:t>
      </w:r>
      <w:r>
        <w:rPr>
          <w:rStyle w:val="Ancredenotedefin"/>
          <w:rStyle w:val="Ancredenotedefin"/>
        </w:rPr>
        <w:endnoteReference w:id="98"/>
      </w:r>
      <w:r>
        <w:rPr/>
        <w:t>.</w:t>
      </w:r>
    </w:p>
    <w:p>
      <w:pPr>
        <w:pStyle w:val="Puce3"/>
        <w:tabs>
          <w:tab w:val="clear" w:pos="720"/>
        </w:tabs>
        <w:rPr/>
      </w:pPr>
      <w:r>
        <w:rPr/>
        <w:t>4.</w:t>
        <w:tab/>
        <w:t>Βελτίωση και εναρμόνιση των υφιστάμενων μηχανισμών σε ευρωπαϊκό, εθνικό και τοπικό επίπεδο, προκειμένου να καταστούν ασφαλέστεροι, πιο προσβάσιμοι, πιο ορατοί και χωρίς αποκλεισμούς</w:t>
      </w:r>
      <w:r>
        <w:rPr>
          <w:rStyle w:val="Ancredenotedefin"/>
          <w:rStyle w:val="Ancredenotedefin"/>
        </w:rPr>
        <w:endnoteReference w:id="99"/>
      </w:r>
      <w:r>
        <w:rPr/>
        <w:t>.</w:t>
      </w:r>
    </w:p>
    <w:p>
      <w:pPr>
        <w:pStyle w:val="Puce3"/>
        <w:tabs>
          <w:tab w:val="clear" w:pos="720"/>
        </w:tabs>
        <w:rPr/>
      </w:pPr>
      <w:r>
        <w:rPr/>
        <w:t>5.</w:t>
        <w:tab/>
        <w:t>Συμμετοχή των οργανώσεων της κοινωνίας των πολιτών, των περιφερειακών και τοπικών αρχών και των υφιστάμενων φορέων, όπως η Ευρωπαϊκή Οικονομική και Κοινωνική Επιτροπή (ΕΟΚΕ) και η Επιτροπή των Περιφερειών (ΕτΠ</w:t>
      </w:r>
      <w:r>
        <w:rPr>
          <w:rStyle w:val="Ancredenotedefin"/>
          <w:rStyle w:val="Ancredenotedefin"/>
        </w:rPr>
        <w:endnoteReference w:id="100"/>
      </w:r>
      <w:r>
        <w:rPr/>
        <w:t>), στις διαδικασίες συμμετοχής των πολιτών</w:t>
      </w:r>
      <w:r>
        <w:rPr>
          <w:rStyle w:val="Ancredenotedefin"/>
          <w:rStyle w:val="Ancredenotedefin"/>
        </w:rPr>
        <w:endnoteReference w:id="101"/>
      </w:r>
      <w:r>
        <w:rPr/>
        <w:t>.</w:t>
      </w:r>
    </w:p>
    <w:p>
      <w:pPr>
        <w:pStyle w:val="Puce3"/>
        <w:tabs>
          <w:tab w:val="clear" w:pos="720"/>
        </w:tabs>
        <w:rPr/>
      </w:pPr>
      <w:r>
        <w:rPr/>
        <w:t>6.</w:t>
        <w:tab/>
        <w:t>Με τη δημιουργία ενός συστήματος τοπικών συμβούλων της ΕΕ, προκειμένου να έρθουν τα ευρωπαϊκά θεσμικά όργανα πιο κοντά στους ευρωπαίους πολίτες</w:t>
      </w:r>
      <w:r>
        <w:rPr>
          <w:rStyle w:val="Ancredenotedefin"/>
          <w:rStyle w:val="Ancredenotedefin"/>
        </w:rPr>
        <w:endnoteReference w:id="102"/>
      </w:r>
      <w:r>
        <w:rPr/>
        <w:t>.</w:t>
      </w:r>
    </w:p>
    <w:p>
      <w:pPr>
        <w:pStyle w:val="Puce3"/>
        <w:tabs>
          <w:tab w:val="clear" w:pos="720"/>
        </w:tabs>
        <w:rPr/>
      </w:pPr>
      <w:r>
        <w:rPr/>
        <w:t>7.</w:t>
        <w:tab/>
        <w:t>Συγκέντρωση συνελεύσεων πολιτών σε τακτά χρονικά διαστήματα, σε νομικά δεσμευτική βάση του δικαίου της ΕΕ. Οι συμμετέχοντες θα σχεδιαστούν με κλήρωση σύμφωνα με τα κριτήρια αντιπροσωπευτικότητας και η συμμετοχή θα ενθαρρυνθεί έντονα. Εάν είναι απαραίτητο, οι ειδικοί παρέχουν στα μέλη της συνέλευσης πληροφορίες σχετικές με τις εργασίες τους. Εάν τα θεσμικά όργανα δεν λάβουν υπόψη τα συμπεράσματα των συνεδριάσεων αυτών, θα πρέπει να αιτιολογήσουν την απόφασή τους</w:t>
      </w:r>
      <w:r>
        <w:rPr>
          <w:rStyle w:val="Ancredenotedefin"/>
          <w:rStyle w:val="Ancredenotedefin"/>
        </w:rPr>
        <w:endnoteReference w:id="103"/>
      </w:r>
      <w:r>
        <w:rPr/>
        <w:t>. Είναι σημαντικό οι εκλεγμένοι αντιπρόσωποι να διαβουλεύονται με τους πολίτες και την κοινωνία των πολιτών πριν λάβουν πολιτικές αποφάσεις και να λαμβάνουν υπόψη τη συμβολή τους. Η Ευρωπαϊκή Ένωση βασίζεται στην αντιπροσωπευτική δημοκρατία: στις ευρωπαϊκές εκλογές, οι πολίτες στέλνουν σαφές μήνυμα στους εκπροσώπους τους και μιλούν έμμεσα για τις πολιτικές της ΕΕ</w:t>
      </w:r>
      <w:r>
        <w:rPr>
          <w:rStyle w:val="Ancredenotedefin"/>
          <w:rStyle w:val="Ancredenotedefin"/>
        </w:rPr>
        <w:endnoteReference w:id="104"/>
      </w:r>
      <w:r>
        <w:rPr/>
        <w:t>.</w:t>
      </w:r>
    </w:p>
    <w:p>
      <w:pPr>
        <w:pStyle w:val="Puce3"/>
        <w:tabs>
          <w:tab w:val="clear" w:pos="720"/>
        </w:tabs>
        <w:rPr/>
      </w:pPr>
      <w:r>
        <w:rPr/>
        <w:t>8.</w:t>
        <w:tab/>
        <w:t>Παροχή ενισχυμένης χρηματοδοτικής ή άλλης διαρθρωτικής στήριξης στην κοινωνία των πολιτών, ιδίως στη νεολαία, και στις τοπικές αρχές για τη σύσταση τοπικών συμβουλίων νεολαίας</w:t>
      </w:r>
      <w:r>
        <w:rPr>
          <w:rStyle w:val="Ancredenotedefin"/>
          <w:rStyle w:val="Ancredenotedefin"/>
        </w:rPr>
        <w:endnoteReference w:id="105"/>
      </w:r>
      <w:r>
        <w:rPr/>
        <w:t>· η συμμετοχή της κοινωνίας των πολιτών και των κοινωνικών εταίρων θα μπορούσε να αποτελέσει πλήρη πυλώνα του ευρωπαϊκού σχεδίου δράσης για τη δημοκρατία και μια συγκεκριμένη στρατηγική θα μπορούσε να αφιερωθεί στην κοινωνία των πολιτών</w:t>
      </w:r>
      <w:r>
        <w:rPr>
          <w:rStyle w:val="Ancredenotedefin"/>
          <w:rStyle w:val="Ancredenotedefin"/>
        </w:rPr>
        <w:endnoteReference w:id="106"/>
      </w:r>
      <w:r>
        <w:rPr/>
        <w:t>.</w:t>
      </w:r>
    </w:p>
    <w:p>
      <w:pPr>
        <w:pStyle w:val="Puce3"/>
        <w:tabs>
          <w:tab w:val="clear" w:pos="720"/>
        </w:tabs>
        <w:rPr/>
      </w:pPr>
      <w:r>
        <w:rPr/>
        <w:t>9.</w:t>
        <w:tab/>
        <w:t>Θέσπιση ενός «ελέγχου της νεολαίας» της νομοθεσίας, ο οποίος θα περιλαμβάνει εκτίμηση επιπτώσεων και μηχανισμό διαβούλευσης με τους εκπροσώπους των νέων, όπου η νομοθεσία είναι πιθανό να έχει αντίκτυπο στους νέους</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Με την ενίσχυση της συνεργασίας μεταξύ των νομοθετών της ΕΕ και των οργανώσεων της κοινωνίας των πολιτών, προκειμένου να αξιοποιηθούν οι δεσμοί τους μεταξύ των φορέων λήψης αποφάσεων και των πολιτών</w:t>
      </w:r>
      <w:r>
        <w:rPr>
          <w:rStyle w:val="Ancredenotedefin"/>
          <w:rStyle w:val="Ancredenotedefin"/>
        </w:rPr>
        <w:endnoteReference w:id="108"/>
      </w:r>
      <w:r>
        <w:rPr/>
        <w:t>.</w:t>
      </w:r>
    </w:p>
    <w:p>
      <w:pPr>
        <w:pStyle w:val="Puce3"/>
        <w:tabs>
          <w:tab w:val="clear" w:pos="720"/>
        </w:tabs>
        <w:rPr/>
      </w:pPr>
      <w:r>
        <w:rPr/>
        <w:t>11.</w:t>
        <w:tab/>
        <w:t>Συνοψίζοντας τα σημεία σχετικά με τη συμμετοχή των πολιτών στον Ευρωπαϊκό Χάρτη για τη Συμβολή των Πολιτών στις Ευρωπαϊκές Υποθέσεις.</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ΠΡΟΤΑΣΗ: Ενημέρωση των πολιτών, της συμμετοχής και της νεολαίας (α)</w:t>
      </w:r>
    </w:p>
    <w:p>
      <w:pPr>
        <w:pStyle w:val="P68B1DB1Normal15"/>
        <w:rPr>
          <w:b/>
          <w:b/>
        </w:rPr>
      </w:pPr>
      <w:r>
        <w:rPr/>
        <w:t>ΣΚΟΠΟΣ ΣΤΟΧΟΣ: Βελτίωση της κατανόησης και της προσβασιμότητας της Ευρωπαϊκής Ένωσης· ενίσχυση της κοινής ευρωπαϊκής ταυτότητας, ιδίως: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Εξασφάλιση ελάχιστου επιπέδου εκπαίδευσης στην Ευρωπαϊκή Ένωση, ιδίως στις δημοκρατικές της διαδικασίες, χωρίς να παραμελείται η ιστορία της ευρωπαϊκής ολοκλήρωσης και της ευρωπαϊκής ιθαγένειας. Τα άτομα όλων των ηλικιών θα πρέπει να μπορούν να επωφελούνται από αυτά τα προγράμματα, τα οποία θα πρέπει να σχεδιάζονται με ελκυστικό και κατάλληλο για την ηλικία τρόπο, όπως η ανάπτυξη ειδικών εκπαιδευτικών προγραμμάτων και υλικού για παιδιά, σχολεία</w:t>
      </w:r>
      <w:r>
        <w:rPr>
          <w:rStyle w:val="Ancredenotedefin"/>
          <w:rStyle w:val="Ancredenotedefin"/>
        </w:rPr>
        <w:endnoteReference w:id="110"/>
      </w:r>
      <w:r>
        <w:rPr/>
        <w:t xml:space="preserve"> και οργανώσεις της κοινωνίας των πολιτών που δραστηριοποιούνται στον τομέα της μη τυπικής εκπαίδευσης</w:t>
      </w:r>
      <w:r>
        <w:rPr>
          <w:rStyle w:val="Ancredenotedefin"/>
          <w:rStyle w:val="Ancredenotedefin"/>
        </w:rPr>
        <w:endnoteReference w:id="111"/>
      </w:r>
      <w:r>
        <w:rPr/>
        <w:t>.</w:t>
      </w:r>
    </w:p>
    <w:p>
      <w:pPr>
        <w:pStyle w:val="Puce3"/>
        <w:tabs>
          <w:tab w:val="clear" w:pos="720"/>
        </w:tabs>
        <w:rPr/>
      </w:pPr>
      <w:r>
        <w:rPr/>
        <w:t>2.</w:t>
        <w:tab/>
        <w:t>Διασφάλιση, χωρίς αποκλεισμούς, της εύκολης πρόσβασης όλων των πολιτών σε αξιόπιστες πληροφορίες σχετικά με την Ένωση. Τα ευρωπαϊκά θεσμικά όργανα θα πρέπει να χρησιμοποιούν πιο προσιτή γλώσσα και να αποφεύγουν τη χρήση γραφειοκρατικής ορολογίας στις επικοινωνίες τους, διατηρώντας παράλληλα την ποιότητα και το τεχνικό επίπεδο των παρεχόμενων πληροφοριών και προσαρμόζουν τις πληροφορίες στους διάφορους διαύλους επικοινωνίας και προφίλ αποδεκτών.</w:t>
      </w:r>
      <w:r>
        <w:rPr>
          <w:rStyle w:val="Ancredenotedefin"/>
          <w:rStyle w:val="Ancredenotedefin"/>
        </w:rPr>
        <w:endnoteReference w:id="112"/>
      </w:r>
      <w:r>
        <w:rPr/>
        <w:t xml:space="preserve"> Θα πρέπει να εξετάσουν, για παράδειγμα, τη δημιουργία μιας εφαρμογής για φορητές συσκευές που θα παρουσιάζει πληροφορίες σχετικά με τις πολιτικές της ΕΕ σε σαφή γλώσσα</w:t>
      </w:r>
      <w:r>
        <w:rPr>
          <w:rStyle w:val="Ancredenotedefin"/>
          <w:rStyle w:val="Ancredenotedefin"/>
        </w:rPr>
        <w:endnoteReference w:id="113"/>
      </w:r>
      <w:r>
        <w:rPr/>
        <w:t>. Θα πρέπει να καταβληθούν ιδιαίτερες προσπάθειες για την προσέγγιση των νέων στα κοινωνικά δίκτυα, αλλά και μέσω των κινημάτων των νέων και των διαφόρων «πρεσβευτών» (οργανισμών και ατόμων)</w:t>
      </w:r>
      <w:r>
        <w:rPr>
          <w:rStyle w:val="Ancredenotedefin"/>
          <w:rStyle w:val="Ancredenotedefin"/>
        </w:rPr>
        <w:endnoteReference w:id="114"/>
      </w:r>
      <w:r>
        <w:rPr/>
        <w:t xml:space="preserve"> που εξηγούν το ευρωπαϊκό σχέδιο</w:t>
      </w:r>
      <w:r>
        <w:rPr>
          <w:rStyle w:val="Ancredenotedefin"/>
          <w:rStyle w:val="Ancredenotedefin"/>
        </w:rPr>
        <w:endnoteReference w:id="115"/>
      </w:r>
      <w:r>
        <w:rPr/>
        <w:t>.</w:t>
      </w:r>
    </w:p>
    <w:p>
      <w:pPr>
        <w:pStyle w:val="Puce3"/>
        <w:tabs>
          <w:tab w:val="clear" w:pos="720"/>
        </w:tabs>
        <w:rPr/>
      </w:pPr>
      <w:r>
        <w:rPr/>
        <w:t>3.</w:t>
        <w:tab/>
        <w:t>Μεγαλύτερη χρήση της τεχνητής νοημοσύνης και των τεχνολογιών μηχανικής μετάφρασης για</w:t>
      </w:r>
      <w:r>
        <w:rPr>
          <w:rStyle w:val="Ancredenotedefin"/>
          <w:rStyle w:val="Ancredenotedefin"/>
        </w:rPr>
        <w:endnoteReference w:id="116"/>
      </w:r>
      <w:r>
        <w:rPr/>
        <w:t xml:space="preserve"> την υπέρβαση του γλωσσικού</w:t>
      </w:r>
      <w:r>
        <w:rPr>
          <w:rStyle w:val="Ancredenotedefin"/>
          <w:rStyle w:val="Ancredenotedefin"/>
        </w:rPr>
        <w:endnoteReference w:id="117"/>
      </w:r>
      <w:r>
        <w:rPr/>
        <w:t>φραγμού, διασφαλίζοντας ότι όλα τα ψηφιακά εργαλεία είναι προσβάσιμα σε άτομα με αναπηρία</w:t>
      </w:r>
      <w:r>
        <w:rPr>
          <w:rStyle w:val="Ancredenotedefin"/>
          <w:rStyle w:val="Ancredenotedefin"/>
        </w:rPr>
        <w:endnoteReference w:id="118"/>
      </w:r>
      <w:r>
        <w:rPr/>
        <w:t xml:space="preserve"> και εύχρηστα.</w:t>
      </w:r>
    </w:p>
    <w:p>
      <w:pPr>
        <w:pStyle w:val="Puce3"/>
        <w:tabs>
          <w:tab w:val="clear" w:pos="720"/>
        </w:tabs>
        <w:rPr/>
      </w:pPr>
      <w:r>
        <w:rPr/>
        <w:t>4.</w:t>
        <w:tab/>
        <w:t>Με την υπεράσπιση και την υποστήριξη της ελευθερίας, της πολυφωνίας και της ανεξαρτησίας των μέσων ενημέρωσης και με την ενθάρρυνση των μέσων ενημέρωσης, συμπεριλαμβανομένων των δημόσιων ραδιοτηλεοπτικών φορέων, των δημόσιων πρακτορείων ειδήσεων και των ευρωπαϊκών μέσων ενημέρωσης, να καλύπτουν πιο τακτικά τις ευρωπαϊκές υποθέσεις, με παράλληλο σεβασμό της ελευθερίας και της ανεξαρτησίας τους, ούτως ώστε η κάλυψη αυτή να είναι τακτική και ολοκληρωμένη σε όλα τα κράτη μέλη της Ένωσης, να εντείνει</w:t>
      </w:r>
      <w:r>
        <w:rPr>
          <w:rStyle w:val="Ancredenotedefin"/>
          <w:rStyle w:val="Ancredenotedefin"/>
        </w:rPr>
        <w:endnoteReference w:id="119"/>
      </w:r>
      <w:r>
        <w:rPr/>
        <w:t>τις προσπάθειες για την καταπολέμηση της παραπληροφόρησης και των ξένων παρεμβάσεων και να προστατεύει τους δημοσιογράφους</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Φέρνοντας την Ευρώπη πιο κοντά στους πολίτες μέσω της ενίσχυσης των</w:t>
      </w:r>
      <w:r>
        <w:rPr>
          <w:rStyle w:val="Ancredenotedefin"/>
          <w:rStyle w:val="Ancredenotedefin"/>
        </w:rPr>
        <w:endnoteReference w:id="121"/>
      </w:r>
      <w:r>
        <w:rPr/>
        <w:t xml:space="preserve"> σημείων επαφής και των εξειδικευμένων κόμβων («Σπίτια της Ευρώπης») σε τοπικό επίπεδο, οι οποίοι θα προσφέρουν πόρους, πληροφορίες και συμβουλές στους πολίτες για ευρωπαϊκά θέματα, θα ακούσουν τις ανησυχίες τους και θα συζητήσουν με ενώσεις προκειμένου να συμβάλουν στην ανάδειξη των απόψεων των πολιτών σε ευρωπαϊκό επίπεδο</w:t>
      </w:r>
      <w:r>
        <w:rPr>
          <w:rStyle w:val="Ancredenotedefin"/>
          <w:rStyle w:val="Ancredenotedefin"/>
        </w:rPr>
        <w:endnoteReference w:id="122"/>
      </w:r>
      <w:r>
        <w:rPr/>
        <w:t>.</w:t>
      </w:r>
    </w:p>
    <w:p>
      <w:pPr>
        <w:pStyle w:val="Puce3"/>
        <w:tabs>
          <w:tab w:val="clear" w:pos="720"/>
        </w:tabs>
        <w:rPr/>
      </w:pPr>
      <w:r>
        <w:rPr/>
        <w:t>6.</w:t>
        <w:tab/>
        <w:t>Με τη λήψη νέων μέτρων για την ενίσχυση μιας κοινής ταυτότητας μεταξύ των Ευρωπαίων, για παράδειγμα μέσω ενός ταμείου της ΕΕ που θα ενθαρρύνει διαδικτυακές και μη διαδικτυακές αλληλεπιδράσεις (όπως προγράμματα ανταλλαγών, πάνελ ή συνεδριάσεις) διαφορετικής διάρκειας μεταξύ των πολιτών της ΕΕ, τη διοργάνωση ευρωπαϊκών αθλητικών εκδηλώσεων, τη σύσταση κοινών ομάδων ή τη δημιουργία πρόσθετων διακοπών</w:t>
      </w:r>
      <w:r>
        <w:rPr>
          <w:rStyle w:val="Ancredenotedefin"/>
          <w:rStyle w:val="Ancredenotedefin"/>
        </w:rPr>
        <w:endnoteReference w:id="123"/>
      </w:r>
      <w:r>
        <w:rPr/>
        <w:t xml:space="preserve"> για όλους τους ευρωπαίους πολίτες της 9ης Μαΐου (Ημέρα της Ευρώπης)</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ΠΡΟΤΑΣΗ: ΔΗΜΟΚΡΑΤΙΑ και ΕΚΛΟΓΕΣ</w:t>
      </w:r>
    </w:p>
    <w:p>
      <w:pPr>
        <w:pStyle w:val="Normal"/>
        <w:rPr/>
      </w:pPr>
      <w:r>
        <w:rPr/>
        <w:t>ΣΚΟΠΟΣ ΣΤΟΧΟΣ: Ενίσχυση της ευρωπαϊκής δημοκρατίας μέσω της ενίσχυσης των θεμελίων της, της ενθάρρυνσης των πολιτών να συμμετέχουν στις ευρωπαϊκές εκλογές, της προώθησης διακρατικών συζητήσεων για ευρωπαϊκά θέματα και της εξασφάλισης ισχυρού συνδέσμου μεταξύ των πολιτών και των εκλεγμένων εκπροσώπων τους, ιδίως: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Διασφάλιση της διαφύλαξης των ευρωπαϊκών αξιών που κατοχυρώνονται στις Συνθήκες, συμπεριλαμβανομένου του κράτους δικαίου και ενός ισχυρού κοινωνικού μοντέλου</w:t>
      </w:r>
      <w:r>
        <w:rPr>
          <w:rStyle w:val="Ancredenotedefin"/>
          <w:rStyle w:val="Ancredenotedefin"/>
        </w:rPr>
        <w:endnoteReference w:id="125"/>
      </w:r>
      <w:r>
        <w:rPr/>
        <w:t>, που αποτελούν τον πυρήνα της ευρωπαϊκής δημοκρατίας. Στις σχέσεις της με τον υπόλοιπο κόσμο, η Ένωση θα πρέπει να δώσει προτεραιότητα στις κοινές δημοκρατικές αξίες στις παραμεθόριες χώρες. Μόνο μετά την επίτευξη αυτού του στόχου μπορεί να γίνει πρεσβευτής του δημοκρατικού μας μοντέλου σε χώρες που έχουν την ικανότητα και τη βούληση να το πράξουν, μέσω της διπλωματίας και του διαλόγου</w:t>
      </w:r>
      <w:r>
        <w:rPr>
          <w:rStyle w:val="Ancredenotedefin"/>
          <w:rStyle w:val="Ancredenotedefin"/>
        </w:rPr>
        <w:endnoteReference w:id="126"/>
      </w:r>
      <w:r>
        <w:rPr/>
        <w:t>.</w:t>
      </w:r>
    </w:p>
    <w:p>
      <w:pPr>
        <w:pStyle w:val="Puce3"/>
        <w:tabs>
          <w:tab w:val="clear" w:pos="720"/>
        </w:tabs>
        <w:rPr/>
      </w:pPr>
      <w:r>
        <w:rPr/>
        <w:t>2.</w:t>
        <w:tab/>
        <w:t>Εισάγοντας τη δυνατότητα διεξαγωγής δημοψηφίσματος σε ολόκληρη την Ένωση, με πρωτοβουλία του Ευρωπαϊκού Κοινοβουλίου, κατ’ εξαίρεση, εάν ένα θέμα αποδειχθεί ιδιαίτερα σημαντικό για όλους τους ευρωπαίους πολίτες</w:t>
      </w:r>
      <w:r>
        <w:rPr>
          <w:rStyle w:val="Ancredenotedefin"/>
          <w:rStyle w:val="Ancredenotedefin"/>
        </w:rPr>
        <w:endnoteReference w:id="127"/>
      </w:r>
      <w:r>
        <w:rPr/>
        <w:t>.</w:t>
      </w:r>
    </w:p>
    <w:p>
      <w:pPr>
        <w:pStyle w:val="Puce3"/>
        <w:tabs>
          <w:tab w:val="clear" w:pos="720"/>
        </w:tabs>
        <w:rPr/>
      </w:pPr>
      <w:r>
        <w:rPr/>
        <w:t>3.</w:t>
        <w:tab/>
        <w:t>Με την τροποποίηση του εκλογικού νόμου της Ένωσης προκειμένου να εναρμονιστούν οι ρυθμίσεις για τις ευρωπαϊκές εκλογές (π.χ. ηλικία ενηλικίωσης, ημερομηνία εκλογής, απαιτήσεις που ισχύουν για τις εκλογικές περιφέρειες, τους υποψηφίους, τα πολιτικά κόμματα και τη χρηματοδότησή τους), καθώς και με τη μετάβαση σε πανευρωπαϊκούς ή υπερεθνικούς καταλόγους,</w:t>
      </w:r>
      <w:r>
        <w:rPr>
          <w:rStyle w:val="Ancredenotedebasdepage"/>
          <w:rStyle w:val="Ancredenotedebasdepage"/>
        </w:rPr>
        <w:footnoteReference w:id="11"/>
      </w:r>
      <w:r>
        <w:rPr/>
        <w:t xml:space="preserve"> συμπεριλαμβανομένων υποψηφίων από διαφορετικά κράτη μέλη, αφού ληφθούν υπόψη οι</w:t>
      </w:r>
      <w:r>
        <w:rPr>
          <w:rStyle w:val="Ancredenotedefin"/>
          <w:rStyle w:val="Ancredenotedefin"/>
        </w:rPr>
        <w:endnoteReference w:id="128"/>
      </w:r>
      <w:r>
        <w:rPr/>
        <w:t xml:space="preserve"> απόψεις των πολιτών των κρατών μελών για το θέμα αυτό</w:t>
      </w:r>
      <w:r>
        <w:rPr>
          <w:rStyle w:val="Ancredenotedefin"/>
          <w:rStyle w:val="Ancredenotedefin"/>
        </w:rPr>
        <w:endnoteReference w:id="129"/>
      </w:r>
      <w:r>
        <w:rPr/>
        <w:t>.</w:t>
      </w:r>
    </w:p>
    <w:p>
      <w:pPr>
        <w:pStyle w:val="Alineanegatifpuce"/>
        <w:numPr>
          <w:ilvl w:val="0"/>
          <w:numId w:val="3"/>
        </w:numPr>
        <w:rPr/>
      </w:pPr>
      <w:r>
        <w:rPr/>
        <w:t xml:space="preserve"> </w:t>
      </w:r>
      <w:r>
        <w:rPr/>
        <w:t>Ορισμένοι βουλευτές του Ευρωπαϊκού Κοινοβουλίου θα πρέπει να εκλέγονται από πανευρωπαϊκούς καταλόγους, ενώ άλλοι θα επιλέγονται σε επίπεδο κρατών μελών</w:t>
      </w:r>
      <w:r>
        <w:rPr>
          <w:rStyle w:val="Ancredenotedefin"/>
          <w:rStyle w:val="Ancredenotedefin"/>
        </w:rPr>
        <w:endnoteReference w:id="130"/>
      </w:r>
      <w:r>
        <w:rPr/>
        <w:t>.</w:t>
      </w:r>
    </w:p>
    <w:p>
      <w:pPr>
        <w:pStyle w:val="Alineanegatifpuce"/>
        <w:numPr>
          <w:ilvl w:val="0"/>
          <w:numId w:val="3"/>
        </w:numPr>
        <w:rPr/>
      </w:pPr>
      <w:r>
        <w:rPr/>
        <w:t xml:space="preserve"> </w:t>
      </w:r>
      <w:r>
        <w:rPr/>
        <w:t>Στόχος της μεταρρύθμισης θα πρέπει επίσης να είναι η διευκόλυνση των ψηφιακών ρυθμίσεων ψηφοφορίας</w:t>
      </w:r>
      <w:r>
        <w:rPr>
          <w:rStyle w:val="Ancredenotedefin"/>
          <w:rStyle w:val="Ancredenotedefin"/>
        </w:rPr>
        <w:endnoteReference w:id="131"/>
      </w:r>
      <w:r>
        <w:rPr/>
        <w:t xml:space="preserve"> και η διασφάλιση του πραγματικού δικαιώματος ψήφου των ατόμων με αναπηρία</w:t>
      </w:r>
      <w:r>
        <w:rPr>
          <w:rStyle w:val="Ancredenotedefin"/>
          <w:rStyle w:val="Ancredenotedefin"/>
        </w:rPr>
        <w:endnoteReference w:id="132"/>
      </w:r>
      <w:r>
        <w:rPr/>
        <w:t>.</w:t>
      </w:r>
    </w:p>
    <w:p>
      <w:pPr>
        <w:pStyle w:val="Puce3"/>
        <w:tabs>
          <w:tab w:val="clear" w:pos="720"/>
        </w:tabs>
        <w:rPr/>
      </w:pPr>
      <w:r>
        <w:rPr/>
        <w:t>4.</w:t>
        <w:tab/>
        <w:t>Ενίσχυση των δεσμών μεταξύ των πολιτών και των εκλεγμένων αντιπροσώπων τους, λαμβανομένων υπόψη των εθνικών ιδιαιτεροτήτων: οι πολίτες θέλουν να αισθάνονται ότι οι βουλευτές και οι βουλευτές των εθνικών κοινοβουλίων βρίσκονται κοντά τους και να ανταποκρίνονται στις ανησυχίες τους με συγκεκριμένα μέτρα</w:t>
      </w:r>
      <w:r>
        <w:rPr>
          <w:rStyle w:val="Ancredenotedefin"/>
          <w:rStyle w:val="Ancredenotedefin"/>
        </w:rPr>
        <w:endnoteReference w:id="133"/>
      </w:r>
      <w:r>
        <w:rPr/>
        <w:t>. Πρόκειται για ένα παγκόσμιο πρόβλημα και οι άνθρωποι όλων των ηλικιών πρέπει να εμπλακούν</w:t>
      </w:r>
      <w:r>
        <w:rPr>
          <w:rStyle w:val="Ancredenotedefin"/>
          <w:rStyle w:val="Ancredenotedefin"/>
        </w:rPr>
        <w:endnoteReference w:id="134"/>
      </w:r>
      <w:r>
        <w:rPr/>
        <w:t>.</w:t>
      </w:r>
    </w:p>
    <w:p>
      <w:pPr>
        <w:pStyle w:val="Alineanegatifpuce"/>
        <w:numPr>
          <w:ilvl w:val="0"/>
          <w:numId w:val="3"/>
        </w:numPr>
        <w:rPr/>
      </w:pPr>
      <w:r>
        <w:rPr/>
        <w:t xml:space="preserve"> </w:t>
      </w:r>
      <w:r>
        <w:rPr/>
        <w:t>Οι ευρωπαίοι πολίτες θα πρέπει να έχουν μεγαλύτερη βαρύτητα στην εκλογή του Προέδρου της Επιτροπής. Ο στόχος αυτός θα μπορούσε να επιτευχθεί με την άμεση εκλογή του Προέδρου της Επιτροπής</w:t>
      </w:r>
      <w:r>
        <w:rPr>
          <w:rStyle w:val="Ancredenotedefin"/>
          <w:rStyle w:val="Ancredenotedefin"/>
        </w:rPr>
        <w:endnoteReference w:id="135"/>
      </w:r>
      <w:r>
        <w:rPr/>
        <w:t xml:space="preserve"> ή με το σύστημα των κορυφαίων υποψηφίων</w:t>
      </w:r>
      <w:r>
        <w:rPr>
          <w:rStyle w:val="Ancredenotedebasdepage"/>
          <w:rStyle w:val="Ancredenotedebasdepage"/>
        </w:rPr>
        <w:footnoteReference w:id="12"/>
      </w:r>
      <w:r>
        <w:rPr/>
        <w:t>.</w:t>
      </w:r>
    </w:p>
    <w:p>
      <w:pPr>
        <w:pStyle w:val="Alineanegatifpuce"/>
        <w:numPr>
          <w:ilvl w:val="0"/>
          <w:numId w:val="3"/>
        </w:numPr>
        <w:rPr/>
      </w:pPr>
      <w:r>
        <w:rPr/>
        <w:t xml:space="preserve"> </w:t>
      </w:r>
      <w:r>
        <w:rPr/>
        <w:t>Το Ευρωπαϊκό Κοινοβούλιο θα πρέπει να έχει το δικαίωμα νομοθετικής πρωτοβουλίας προκειμένου να προτείνει</w:t>
      </w:r>
      <w:r>
        <w:rPr>
          <w:rStyle w:val="Ancredenotedefin"/>
          <w:rStyle w:val="Ancredenotedefin"/>
        </w:rPr>
        <w:endnoteReference w:id="136"/>
      </w:r>
      <w:r>
        <w:rPr/>
        <w:t xml:space="preserve"> θέματα προς συζήτηση και στη συνέχεια να εγκρίνει τα αναγκαία κείμενα για την παρακολούθηση των συστάσεων που προκύπτουν από τις συζητήσεις</w:t>
      </w:r>
      <w:r>
        <w:rPr>
          <w:rStyle w:val="Ancredenotedefin"/>
          <w:rStyle w:val="Ancredenotedefin"/>
        </w:rPr>
        <w:endnoteReference w:id="137"/>
      </w:r>
      <w:r>
        <w:rPr/>
        <w:t>.</w:t>
      </w:r>
    </w:p>
    <w:p>
      <w:pPr>
        <w:pStyle w:val="Alineanegatifpuce"/>
        <w:numPr>
          <w:ilvl w:val="0"/>
          <w:numId w:val="3"/>
        </w:numPr>
        <w:rPr/>
      </w:pPr>
      <w:r>
        <w:rPr/>
        <w:t xml:space="preserve"> </w:t>
      </w:r>
      <w:r>
        <w:rPr/>
        <w:t>Το Ευρωπαϊκό Κοινοβούλιο θα πρέπει να αποφασίζει για τον προϋπολογισμό της ΕΕ, όπως πράττουν τα κοινοβούλια σε εθνικό επίπεδο</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Τα πολιτικά κόμματα, οι οργανώσεις της κοινωνίας των πολιτών και οι συνδικαλιστικές οργανώσεις θα πρέπει να είναι πιο δυναμικά και προσβάσιμα, έτσι ώστε οι πολίτες να συμμετέχουν και να επενδύουν περισσότερο στην ευρωπαϊκή δημοκρατία</w:t>
      </w:r>
      <w:r>
        <w:rPr>
          <w:rStyle w:val="Ancredenotedefin"/>
          <w:rStyle w:val="Ancredenotedefin"/>
        </w:rPr>
        <w:endnoteReference w:id="139"/>
      </w:r>
      <w:r>
        <w:rPr/>
        <w:t>. Αυτό θα προωθήσει επίσης τη συμπερίληψη ευρωπαϊκών θεμάτων στις δημόσιες συζητήσεις που διοργανώνονται από πολιτικά κόμματα, οργανώσεις της κοινωνίας των πολιτών και κοινωνικούς εταίρους, είτε εν όψει των ευρωπαϊκών εκλογών είτε ενόψει των εθνικών, περιφερειακών ή τοπικών εκλογών</w:t>
      </w:r>
      <w:r>
        <w:rPr>
          <w:rStyle w:val="Ancredenotedefin"/>
          <w:rStyle w:val="Ancredenotedefin"/>
        </w:rPr>
        <w:endnoteReference w:id="140"/>
      </w:r>
      <w:r>
        <w:rPr/>
        <w:t>.</w:t>
      </w:r>
    </w:p>
    <w:p>
      <w:pPr>
        <w:pStyle w:val="Puce3"/>
        <w:tabs>
          <w:tab w:val="clear" w:pos="720"/>
        </w:tabs>
        <w:rPr/>
      </w:pPr>
      <w:r>
        <w:rPr/>
        <w:t>5.</w:t>
        <w:tab/>
        <w:t>Η δημοκρατία ενσωματώνεται στους θεσμούς και την κοινωνία γενικότερα, συμπεριλαμβανομένου του χώρου εργασίας, χάρη στους κοινωνικούς εταίρους</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ΠΡΟΤΑΣΗ: Η διαδικασία λήψης αποφάσεων της Ένωσης</w:t>
      </w:r>
    </w:p>
    <w:p>
      <w:pPr>
        <w:pStyle w:val="P68B1DB1Normal15"/>
        <w:rPr>
          <w:b/>
          <w:b/>
        </w:rPr>
      </w:pPr>
      <w:r>
        <w:rPr/>
        <w:t>ΣΚΟΠΟΣ ΣΤΟΧΟΣ: Να βελτιώσει τη διαδικασία λήψης αποφάσεων της Ένωσης προκειμένου να διασφαλίσει την ικανότητά της να ενεργεί, λαμβάνοντας παράλληλα υπόψη τα συμφέροντα κάθε κράτους μέλους και διασφαλίζοντας μια διαφανή και κατανοητή διαδικασία για τους πολίτες, ιδίως: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Αναθεώρηση των κανόνων για τη λήψη αποφάσεων και την ψηφοφορία στα ευρωπαϊκά θεσμικά όργανα. Το ζήτημα της ομόφωνης ψηφοφορίας χρήζει ιδιαίτερης προσοχής, καθώς καθιστά κάθε συμφωνία πολύ δύσκολη. Θα πρέπει να διασφαλιστεί η δίκαιη στάθμιση των ψήφων ώστε να προστατεύονται τα συμφέροντα των μικρών χωρών</w:t>
      </w:r>
      <w:r>
        <w:rPr>
          <w:rStyle w:val="Ancredenotedefin"/>
          <w:rStyle w:val="Ancredenotedefin"/>
        </w:rPr>
        <w:endnoteReference w:id="142"/>
      </w:r>
      <w:r>
        <w:rPr/>
        <w:t>.</w:t>
      </w:r>
    </w:p>
    <w:p>
      <w:pPr>
        <w:pStyle w:val="Alineanegatifpuce"/>
        <w:numPr>
          <w:ilvl w:val="0"/>
          <w:numId w:val="3"/>
        </w:numPr>
        <w:rPr/>
      </w:pPr>
      <w:r>
        <w:rPr/>
        <w:t xml:space="preserve"> </w:t>
      </w:r>
      <w:r>
        <w:rPr/>
        <w:t>Όλες οι αποφάσεις που λαμβάνονται σήμερα ομόφωνα θα πρέπει, στο μέλλον, να εγκρίνονται με ειδική πλειοψηφία. Οι μόνες εξαιρέσεις θα πρέπει να είναι η ένταξη νέων κρατών μελών στην Ευρωπαϊκή Ένωση και η τροποποίηση των θεμελιωδών αρχών της Ένωσης που κατοχυρώνονται στο άρθρο 2 της Συνθήκης για την Ευρωπαϊκή Ένωση και στον Χάρτη των Θεμελιωδών Δικαιωμάτων της Ευρωπαϊκής Ένωσης</w:t>
      </w:r>
      <w:r>
        <w:rPr>
          <w:rStyle w:val="Ancredenotedefin"/>
          <w:rStyle w:val="Ancredenotedefin"/>
        </w:rPr>
        <w:endnoteReference w:id="143"/>
      </w:r>
      <w:r>
        <w:rPr/>
        <w:t>.</w:t>
      </w:r>
    </w:p>
    <w:p>
      <w:pPr>
        <w:pStyle w:val="Puce3"/>
        <w:tabs>
          <w:tab w:val="clear" w:pos="720"/>
        </w:tabs>
        <w:rPr/>
      </w:pPr>
      <w:r>
        <w:rPr/>
        <w:t>2.</w:t>
        <w:tab/>
        <w:t>Διασφάλιση της διαφάνειας στη διαδικασία λήψης αποφάσεων, επιτρέποντας στους ανεξάρτητους παρατηρητές των πολιτών να παρακολουθούν εκ του σύνεγγυς τη διαδικασία αυτή, εφαρμόζοντας ένα ευρύτερο δικαίωμα πρόσβασης στα έγγραφα</w:t>
      </w:r>
      <w:r>
        <w:rPr>
          <w:rStyle w:val="Ancredenotedefin"/>
          <w:rStyle w:val="Ancredenotedefin"/>
        </w:rPr>
        <w:endnoteReference w:id="144"/>
      </w:r>
      <w:r>
        <w:rPr/>
        <w:t xml:space="preserve"> και δημιουργώντας στενότερους δεσμούς και ενισχυμένο διάλογο μεταξύ των πολιτών και των ευρωπαϊκών θεσμικών οργάνων σε αυτή τη βάση</w:t>
      </w:r>
      <w:r>
        <w:rPr>
          <w:rStyle w:val="Ancredenotedefin"/>
          <w:rStyle w:val="Ancredenotedefin"/>
        </w:rPr>
        <w:endnoteReference w:id="145"/>
      </w:r>
      <w:r>
        <w:rPr/>
        <w:t>.</w:t>
      </w:r>
    </w:p>
    <w:p>
      <w:pPr>
        <w:pStyle w:val="Alineanegatifpuce"/>
        <w:numPr>
          <w:ilvl w:val="0"/>
          <w:numId w:val="3"/>
        </w:numPr>
        <w:rPr/>
      </w:pPr>
      <w:r>
        <w:rPr/>
        <w:t xml:space="preserve"> </w:t>
      </w:r>
      <w:r>
        <w:rPr/>
        <w:t>Η Ένωση πρέπει να βελτιώσει τη διαφάνεια της διαδικασίας λήψης αποφάσεων και των θεσμικών οργάνων της. Για παράδειγμα, οι συνεδριάσεις του Συμβουλίου και του Ευρωπαϊκού Κοινοβουλίου, συμπεριλαμβανομένων των ψηφοφοριών, θα πρέπει να διαδίδονται ηλεκτρονικά με τον ίδιο τρόπο. Αυτό θα επιτρέψει στους ενδιαφερόμενους πολίτες να παρακολουθούν τη χάραξη πολιτικής της ΕΕ και θα υποχρεώνει τους υπεύθυνους χάραξης πολιτικής να υποβάλλουν εκθέσεις σχετικά με τις ενέργειές τους</w:t>
      </w:r>
      <w:r>
        <w:rPr>
          <w:rStyle w:val="Ancredenotedefin"/>
          <w:rStyle w:val="Ancredenotedefin"/>
        </w:rPr>
        <w:endnoteReference w:id="146"/>
      </w:r>
      <w:r>
        <w:rPr/>
        <w:t>. Θα πρέπει επίσης να ενισχυθεί το δικαίωμα εξέτασης των πραγμάτων από το Ευρωπαϊκό Κοινοβούλιο.</w:t>
      </w:r>
      <w:r>
        <w:rPr>
          <w:rStyle w:val="Ancredenotedefin"/>
          <w:rStyle w:val="Ancredenotedefin"/>
        </w:rPr>
        <w:endnoteReference w:id="147"/>
      </w:r>
      <w:r>
        <w:rPr/>
        <w:t xml:space="preserve"> Τροπολογία αριθ. 44A της Ομάδας Εργασίας.</w:t>
      </w:r>
    </w:p>
    <w:p>
      <w:pPr>
        <w:pStyle w:val="Alineanegatifpuce"/>
        <w:numPr>
          <w:ilvl w:val="0"/>
          <w:numId w:val="3"/>
        </w:numPr>
        <w:rPr/>
      </w:pPr>
      <w:r>
        <w:rPr/>
        <w:t xml:space="preserve"> </w:t>
      </w:r>
      <w:r>
        <w:rPr/>
        <w:t>Η διαδικασία λήψης αποφάσεων της Ένωσης θα πρέπει να αναπτυχθεί περαιτέρω ώστε να συμμετέχουν περισσότεροι εθνικοί, περιφερειακοί και τοπικοί εκπρόσωποι, κοινωνικοί εταίροι και οργανώσεις της κοινωνίας των πολιτών</w:t>
      </w:r>
      <w:r>
        <w:rPr>
          <w:rStyle w:val="Ancredenotedefin"/>
          <w:rStyle w:val="Ancredenotedefin"/>
        </w:rPr>
        <w:endnoteReference w:id="148"/>
      </w:r>
      <w:r>
        <w:rPr/>
        <w:t>. Η διακοινοβουλευτική συνεργασία και ο διάλογος θα πρέπει να ενισχυθούν. Το Ευρωπαϊκό Κοινοβούλιο θα πρέπει επίσης να εξασφαλίσει μεγαλύτερη συμμετοχή των εθνικών κοινοβουλίων στην ευρωπαϊκή νομοθετική διαδικασία, για παράδειγμα καλώντας τα σε ακροάσεις</w:t>
      </w:r>
      <w:r>
        <w:rPr>
          <w:rStyle w:val="Ancredenotedefin"/>
          <w:rStyle w:val="Ancredenotedefin"/>
        </w:rPr>
        <w:endnoteReference w:id="149"/>
      </w:r>
      <w:r>
        <w:rPr/>
        <w:t>. Επιπλέον, θα ήταν χρήσιμο να επιτευχθεί μεγαλύτερη συμμετοχή των υποεθνικών αρχών και της ΕτΠ, προκειμένου να ληφθεί καλύτερα υπόψη η εμπειρία τους από την εφαρμογή της ευρωπαϊκής νομοθεσίας</w:t>
      </w:r>
      <w:r>
        <w:rPr>
          <w:rStyle w:val="Ancredenotedefin"/>
          <w:rStyle w:val="Ancredenotedefin"/>
        </w:rPr>
        <w:endnoteReference w:id="150"/>
      </w:r>
      <w:r>
        <w:rPr/>
        <w:t>.</w:t>
      </w:r>
    </w:p>
    <w:p>
      <w:pPr>
        <w:pStyle w:val="Puce3"/>
        <w:tabs>
          <w:tab w:val="clear" w:pos="720"/>
        </w:tabs>
        <w:rPr/>
      </w:pPr>
      <w:r>
        <w:rPr/>
        <w:t>3.</w:t>
        <w:tab/>
        <w:t>Εξετάζοντας την αλλαγή των ονομάτων των ευρωπαϊκών θεσμικών οργάνων προκειμένου να αποσαφηνιστεί ο ρόλος και ο ρόλος καθενός στη διαδικασία λήψης αποφάσεων της Ένωσης στα μάτια των πολιτών</w:t>
      </w:r>
      <w:r>
        <w:rPr>
          <w:rStyle w:val="Ancredenotedefin"/>
          <w:rStyle w:val="Ancredenotedefin"/>
        </w:rPr>
        <w:endnoteReference w:id="151"/>
      </w:r>
      <w:r>
        <w:rPr/>
        <w:t>.</w:t>
      </w:r>
    </w:p>
    <w:p>
      <w:pPr>
        <w:pStyle w:val="Alineanegatifpuce"/>
        <w:numPr>
          <w:ilvl w:val="0"/>
          <w:numId w:val="3"/>
        </w:numPr>
        <w:rPr/>
      </w:pPr>
      <w:r>
        <w:rPr/>
        <w:t xml:space="preserve"> </w:t>
      </w:r>
      <w:r>
        <w:rPr/>
        <w:t>Η διαδικασία λήψης αποφάσεων της ΕΕ θα πρέπει να βασίζεται σε σαφέστερη και πιο κατανοητή δομή, η οποία να μοιάζει με τα εθνικά συστήματα</w:t>
      </w:r>
      <w:r>
        <w:rPr>
          <w:rStyle w:val="Ancredenotedefin"/>
          <w:rStyle w:val="Ancredenotedefin"/>
        </w:rPr>
        <w:endnoteReference w:id="152"/>
      </w:r>
      <w:r>
        <w:rPr/>
        <w:t xml:space="preserve"> και να αναφέρει ρητά την κατανομή αρμοδιοτήτων μεταξύ των ευρωπαϊκών θεσμικών οργάνων και των κρατών μελών</w:t>
      </w:r>
      <w:r>
        <w:rPr>
          <w:rStyle w:val="Ancredenotedefin"/>
          <w:rStyle w:val="Ancredenotedefin"/>
        </w:rPr>
        <w:endnoteReference w:id="153"/>
      </w:r>
      <w:r>
        <w:rPr/>
        <w:t>.</w:t>
      </w:r>
    </w:p>
    <w:p>
      <w:pPr>
        <w:pStyle w:val="Alineanegatifpuce"/>
        <w:numPr>
          <w:ilvl w:val="0"/>
          <w:numId w:val="3"/>
        </w:numPr>
        <w:rPr/>
      </w:pPr>
      <w:r>
        <w:rPr/>
        <w:t xml:space="preserve"> </w:t>
      </w:r>
      <w:r>
        <w:rPr/>
        <w:t>Για παράδειγμα, το Συμβούλιο της Ευρωπαϊκής Ένωσης θα μπορούσε να μετονομαστεί σε «Σύνδεσμος της Ένωσης» και η Ευρωπαϊκή Επιτροπή «Εκτελεστική Επιτροπή της Ένωσης»</w:t>
      </w:r>
      <w:r>
        <w:rPr>
          <w:rStyle w:val="Ancredenotedefin"/>
          <w:rStyle w:val="Ancredenotedefin"/>
        </w:rPr>
        <w:endnoteReference w:id="154"/>
      </w:r>
      <w:r>
        <w:rPr/>
        <w:t>.</w:t>
      </w:r>
    </w:p>
    <w:p>
      <w:pPr>
        <w:pStyle w:val="Puce3"/>
        <w:tabs>
          <w:tab w:val="clear" w:pos="720"/>
        </w:tabs>
        <w:rPr/>
      </w:pPr>
      <w:r>
        <w:rPr/>
        <w:t>4.</w:t>
        <w:tab/>
        <w:t>Ενίσχυση της ικανότητας της Ένωσης να επιτυγχάνει αποτελέσματα σε βασικούς τομείς</w:t>
      </w:r>
      <w:r>
        <w:rPr>
          <w:rStyle w:val="Ancredenotedefin"/>
          <w:rStyle w:val="Ancredenotedefin"/>
        </w:rPr>
        <w:endnoteReference w:id="155"/>
      </w:r>
      <w:r>
        <w:rPr/>
        <w:t>.</w:t>
      </w:r>
    </w:p>
    <w:p>
      <w:pPr>
        <w:pStyle w:val="Puce3"/>
        <w:tabs>
          <w:tab w:val="clear" w:pos="720"/>
        </w:tabs>
        <w:rPr/>
      </w:pPr>
      <w:r>
        <w:rPr/>
        <w:t>5.</w:t>
        <w:tab/>
        <w:t>Εξασφάλιση μηχανισμών κοινωνικού διαλόγου και διαβούλευσης με τους πολίτες σε όλα τα στάδια της διαδικασίας λήψης αποφάσεων της Ένωσης, από την εκτίμηση επιπτώσεων έως τον σχεδιασμό και την εφαρμογή των μέτρων</w:t>
      </w:r>
      <w:r>
        <w:rPr>
          <w:rStyle w:val="Ancredenotedefin"/>
          <w:rStyle w:val="Ancredenotedefin"/>
        </w:rPr>
        <w:endnoteReference w:id="156"/>
      </w:r>
      <w:r>
        <w:rPr/>
        <w:t>.</w:t>
      </w:r>
    </w:p>
    <w:p>
      <w:pPr>
        <w:pStyle w:val="Puce3"/>
        <w:tabs>
          <w:tab w:val="clear" w:pos="720"/>
        </w:tabs>
        <w:rPr/>
      </w:pPr>
      <w:r>
        <w:rPr/>
        <w:t>6.</w:t>
        <w:tab/>
        <w:t>Μεταρρύθμιση της λειτουργίας της Ευρωπαϊκής Ένωσης, μεταξύ άλλων με στενότερη συμμετοχή των κοινωνικών εταίρων και των οργανώσεων της κοινωνίας των πολιτών. Οι υφιστάμενες δομές πρέπει να ενισχυθούν ώστε η διαδικασία λήψης αποφάσεων να αντικατοπτρίζει καλύτερα τις ανάγκες και τις προσδοκίες των ευρωπαίων πολιτών, οι οποίοι διαδραματίζουν κεντρικό ρόλο στην ευρωπαϊκή δημοκρατία. Στο πλαίσιο αυτό, η ΕΟΚΕ πρέπει να αποκτήσει τα μέσα για να διαδραματίσει σημαντικότερο θεσμικό ρόλο, τον ρόλο του εγγυητή και της διευκόλυνσης των δραστηριοτήτων συμμετοχικής δημοκρατίας, όπως ο διαρθρωμένος διάλογος με τις οργανώσεις της κοινωνίας των πολιτών και τις ομάδες πολιτών. Μια δυναμική κοινωνία των πολιτών είναι απαραίτητη για τη δημοκρατική ζωή της Ένωσης</w:t>
      </w:r>
      <w:r>
        <w:rPr>
          <w:rStyle w:val="Ancredenotedefin"/>
          <w:rStyle w:val="Ancredenotedefin"/>
        </w:rPr>
        <w:endnoteReference w:id="157"/>
      </w:r>
      <w:r>
        <w:rPr/>
        <w:t>.</w:t>
      </w:r>
    </w:p>
    <w:p>
      <w:pPr>
        <w:pStyle w:val="Puce3"/>
        <w:tabs>
          <w:tab w:val="clear" w:pos="720"/>
        </w:tabs>
        <w:rPr/>
      </w:pPr>
      <w:r>
        <w:rPr/>
        <w:t>7.</w:t>
        <w:tab/>
        <w:t>Με την επανέναρξη της συζήτησης για το Σύνταγμα, κατά περίπτωση, προκειμένου να ορίσουμε με σαφήνεια τις αξίες μας. Ένα σύνταγμα θα μπορούσε να φέρει μεγαλύτερη ακρίβεια, να κινητοποιήσει τους πολίτες και να συμφωνήσει σχετικά με τους κανόνες της διαδικασίας λήψης αποφάσεων</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ΠΡΟΤΑΣΗ: Επικουρικότητα</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Η ενεργός επικουρικότητα και η πολυεπίπεδη διακυβέρνηση αποτελούν βασικές αρχές προκειμένου η Ευρωπαϊκή Ένωση να λειτουργεί με δημοκρατικό και υπεύθυνο τρόπο</w:t>
      </w:r>
      <w:r>
        <w:rPr>
          <w:rStyle w:val="Ancredenotedefin"/>
          <w:rStyle w:val="Ancredenotedefin"/>
        </w:rPr>
        <w:endnoteReference w:id="159"/>
      </w:r>
      <w:r>
        <w:rPr/>
        <w:t>·</w:t>
      </w:r>
    </w:p>
    <w:p>
      <w:pPr>
        <w:pStyle w:val="Puce3"/>
        <w:tabs>
          <w:tab w:val="clear" w:pos="720"/>
        </w:tabs>
        <w:rPr/>
      </w:pPr>
      <w:r>
        <w:rPr/>
        <w:t>2.</w:t>
        <w:tab/>
        <w:t>Η ΕΕ πρέπει να αναθεωρήσει τον μηχανισμό με τον οποίο τα εθνικά κοινοβούλια εξετάζουν κατά πόσον οι ευρωπαϊκές νομοθετικές προτάσεις παραβιάζουν τις εθνικές αρμοδιότητες· τα εθνικά κοινοβούλια θα πρέπει να είναι σε θέση να προτείνουν νομοθετικές πρωτοβουλίες στα ευρωπαϊκά θεσμικά όργανα. Οι μηχανισμοί αυτοί θα πρέπει να επεκταθούν σε όλα τα περιφερειακά κοινοβούλια με νομοθετικές εξουσίες</w:t>
      </w:r>
      <w:r>
        <w:rPr>
          <w:rStyle w:val="Ancredenotedefin"/>
          <w:rStyle w:val="Ancredenotedefin"/>
        </w:rPr>
        <w:endnoteReference w:id="160"/>
      </w:r>
      <w:r>
        <w:rPr/>
        <w:t>.</w:t>
      </w:r>
    </w:p>
    <w:p>
      <w:pPr>
        <w:pStyle w:val="Puce3"/>
        <w:tabs>
          <w:tab w:val="clear" w:pos="720"/>
        </w:tabs>
        <w:rPr/>
      </w:pPr>
      <w:r>
        <w:rPr/>
        <w:t>3.</w:t>
        <w:tab/>
        <w:t>Η ΕτΠ θα πρέπει να μεταρρυθμιστεί ώστε να δημιουργηθούν επαρκείς δίαυλοι διαλόγου με τις περιφέρειες, τους δήμους και τους δήμους. Θα πρέπει να διαδραματίζει σημαντικότερο ρόλο</w:t>
      </w:r>
      <w:r>
        <w:rPr>
          <w:rStyle w:val="Ancredenotedefin"/>
          <w:rStyle w:val="Ancredenotedefin"/>
        </w:rPr>
        <w:endnoteReference w:id="161"/>
      </w:r>
      <w:r>
        <w:rPr/>
        <w:t xml:space="preserve"> στη θεσμική αρχιτεκτονική κατά την εξέταση θεμάτων με εδαφικές συνέπειες</w:t>
      </w:r>
      <w:r>
        <w:rPr>
          <w:rStyle w:val="Ancredenotedefin"/>
          <w:rStyle w:val="Ancredenotedefin"/>
        </w:rPr>
        <w:endnoteReference w:id="162"/>
      </w:r>
      <w:r>
        <w:rPr/>
        <w:t>.</w:t>
      </w:r>
    </w:p>
    <w:p>
      <w:pPr>
        <w:pStyle w:val="Normal"/>
        <w:rPr/>
      </w:pPr>
      <w:r>
        <w:rPr/>
      </w:r>
    </w:p>
    <w:p>
      <w:pPr>
        <w:pStyle w:val="Puce3"/>
        <w:tabs>
          <w:tab w:val="clear" w:pos="720"/>
        </w:tabs>
        <w:rPr/>
      </w:pPr>
      <w:r>
        <w:rPr/>
        <w:t>4.</w:t>
        <w:tab/>
        <w:t>Η συστηματική χρήση ενός κοινού ορισμού της επικουρικότητας, που εγκρίθηκε από όλα τα ευρωπαϊκά θεσμικά όργανα, θα μπορούσε να καθορίσει σαφέστερα σε ποιο επίπεδο (ευρωπαϊκό, εθνικό ή περιφερειακό) θα πρέπει να λαμβάνονται αποφάσεις</w:t>
      </w:r>
      <w:r>
        <w:rPr>
          <w:rStyle w:val="Ancredenotedefin"/>
          <w:rStyle w:val="Ancredenotedefin"/>
        </w:rPr>
        <w:endnoteReference w:id="163"/>
      </w:r>
      <w:r>
        <w:rPr/>
        <w:t>.</w:t>
      </w:r>
    </w:p>
    <w:p>
      <w:pPr>
        <w:pStyle w:val="Puce3"/>
        <w:tabs>
          <w:tab w:val="clear" w:pos="720"/>
        </w:tabs>
        <w:rPr/>
      </w:pPr>
      <w:r>
        <w:rPr/>
        <w:t>5.</w:t>
        <w:tab/>
        <w:t>Οι κοινωνικοί εταίροι και οι οργανώσεις της κοινωνίας των πολιτών, οι οποίες διαδραματίζουν κεντρικό ρόλο στην ευρωπαϊκή δημοκρατία, πρέπει να συμμετέχουν καλύτερα στη διαδικασία λήψης αποφάσεων. Μια δυναμική κοινωνία είναι απαραίτητη για τη δημοκρατική ζωή της Ένωσης.</w:t>
      </w:r>
      <w:r>
        <w:rPr>
          <w:rStyle w:val="Ancredenotedefin"/>
          <w:rStyle w:val="Ancredenotedefin"/>
        </w:rPr>
        <w:endnoteReference w:id="164"/>
      </w:r>
    </w:p>
    <w:p>
      <w:pPr>
        <w:pStyle w:val="Puce3"/>
        <w:tabs>
          <w:tab w:val="clear" w:pos="720"/>
        </w:tabs>
        <w:rPr/>
      </w:pPr>
      <w:r>
        <w:rPr/>
        <w:t>6.</w:t>
        <w:tab/>
        <w:t>Καλούμε τα θεσμικά όργανα της ΕΕ να εφαρμόσουν τα συμπεράσματα αυτής της ομάδας εργασίας και να τα καταστήσουν αποτελεσματικά. Αυτό θα μπορούσε να επιτευχθεί μέσω των υφιστάμενων διατάξεων της Συνθήκης της Λισαβόνας και, εάν είναι αναγκαίο, ζητώντας τη δρομολόγηση μιας ευρωπαϊκής σύμβασης</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ΕΙΚΟΝΑ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ΕΙΚΟΝΑ 28" descr=""/>
                    <pic:cNvPicPr>
                      <a:picLocks noChangeAspect="1" noChangeArrowheads="1"/>
                    </pic:cNvPicPr>
                  </pic:nvPicPr>
                  <pic:blipFill>
                    <a:blip r:embed="rId82"/>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«Μετανάστες»</w:t>
      </w:r>
    </w:p>
    <w:p>
      <w:pPr>
        <w:pStyle w:val="Titre3"/>
        <w:numPr>
          <w:ilvl w:val="2"/>
          <w:numId w:val="2"/>
        </w:numPr>
        <w:rPr/>
      </w:pPr>
      <w:bookmarkStart w:id="93" w:name="__RefHeading___Toc298360_1346298689"/>
      <w:bookmarkEnd w:id="93"/>
      <w:r>
        <w:rPr/>
        <w:t>41. ΠΡΟΤΑΣΗ: Νόμιμη μετανάστευση</w:t>
      </w:r>
    </w:p>
    <w:p>
      <w:pPr>
        <w:pStyle w:val="P68B1DB1Normal15"/>
        <w:rPr>
          <w:b/>
          <w:b/>
        </w:rPr>
      </w:pPr>
      <w:r>
        <w:rPr/>
        <w:t>ΣΚΟΠΟΣ ΣΤΟΧΟΣ: Ενίσχυση του ρόλου της ΕΕ στη νόμιμη μετανάστευση</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166"/>
      </w:r>
      <w:r>
        <w:rPr/>
        <w:t>:</w:t>
      </w:r>
    </w:p>
    <w:p>
      <w:pPr>
        <w:pStyle w:val="Puce3"/>
        <w:tabs>
          <w:tab w:val="clear" w:pos="720"/>
        </w:tabs>
        <w:rPr/>
      </w:pPr>
      <w:r>
        <w:rPr/>
        <w:t>1.</w:t>
        <w:tab/>
        <w:t>Έναρξη επικοινωνιακής εκστρατείας σε ευρωπαϊκό επίπεδο για να διασφαλιστεί ότι το EURES (το ευρωπαϊκό δίκτυο υπηρεσιών απασχόλησης), η πύλη της ΕΕ για τη μετανάστευση και το ευρωπαϊκό εργαλείο κατάρτισης προφίλ δεξιοτήτων για υπηκόους τρίτων χωρών είναι περισσότερο γνωστά στους ευρωπαίους πολίτες και χρησιμοποιούνται συχνότερα από τις επιχειρήσεις της ΕΕ κατά την πρόσληψη (σύσταση 6).</w:t>
      </w:r>
    </w:p>
    <w:p>
      <w:pPr>
        <w:pStyle w:val="Puce3"/>
        <w:tabs>
          <w:tab w:val="clear" w:pos="720"/>
        </w:tabs>
        <w:rPr/>
      </w:pPr>
      <w:r>
        <w:rPr/>
        <w:t>2.</w:t>
        <w:tab/>
        <w:t>Δημιουργία ευρωπαϊκής οντότητας για την πρόσβαση των μεταναστών στην αγορά εργασίας της ΕΕ ή, ελλείψει αυτής, διεύρυνση των αρμοδιοτήτων του Ευρωπαϊκού Δικτύου Υπηρεσιών Απασχόλησης (EURES), π.χ. βελτίωση των σχεδίων σύμπραξης προσέλκυσης ταλέντων (σύσταση αριθ. 7 και συζήτηση στην ομάδα εργασίας), με δυνατότητα κάλυψης της προσφοράς και της ζήτησης δεξιοτήτων στο διαδίκτυο στη χώρα αναχώρησης βάσει κριτηρίων αξιολόγησης (σύσταση αριθ. 9 και συζήτηση στην ομάδα εργασίας). Η Ένωση θα πρέπει να ενθαρρύνει τα κράτη μέλη να απλουστεύσουν τη διαδικασία υποδοχής και ένταξης των νόμιμων μεταναστών και την πρόσβασή τους στην αγορά εργασίας της Ένωσης, βελτιώνοντας τη διαλειτουργικότητα μεταξύ των διαφόρων σχετικών διοικήσεων (συζήτηση στην ομάδα εργασίας).</w:t>
      </w:r>
    </w:p>
    <w:p>
      <w:pPr>
        <w:pStyle w:val="Puce3"/>
        <w:tabs>
          <w:tab w:val="clear" w:pos="720"/>
        </w:tabs>
        <w:rPr/>
      </w:pPr>
      <w:r>
        <w:rPr/>
        <w:t>3.</w:t>
        <w:tab/>
        <w:t>Να βελτιώσει τη λειτουργία και την εφαρμογή της οδηγίας για την μπλε κάρτα προκειμένου να προσελκύσει τις δεξιότητες που χρειάζεται η οικονομία της ΕΕ (σύσταση αριθ. 7 και συζήτηση στην ομάδα εργασίας), λαμβάνοντας δεόντως υπόψη τον κίνδυνο διαρροής εγκεφάλων (σύμφωνα με το μέτρο 1 της πρότασης 42).</w:t>
      </w:r>
    </w:p>
    <w:p>
      <w:pPr>
        <w:pStyle w:val="Puce3"/>
        <w:tabs>
          <w:tab w:val="clear" w:pos="720"/>
        </w:tabs>
        <w:rPr/>
      </w:pPr>
      <w:r>
        <w:rPr/>
        <w:t>4.</w:t>
        <w:tab/>
        <w:t>Προώθηση της ανοδικής σύγκλισης των συνθηκών εργασίας με αρμονικό τρόπο σε ολόκληρη την Ένωση, προκειμένου να αντιμετωπιστούν οι ανισότητες στις συνθήκες εργασίας, να διασφαλιστεί μια αποτελεσματική πολιτική της ΕΕ για τη μετανάστευση εργατικού δυναμικού και να προασπιστούν τα δικαιώματα των εργαζομένων. Στο πλαίσιο αυτό, ενίσχυση του ρόλου των συνδικαλιστικών οργανώσεων σε εθνικό και διακρατικό επίπεδο (σύσταση αριθ. 28 και συζήτηση στην ομάδα εργασίας), σε συνεργασία με τις οργανώσεις των εργοδοτών (συζήτηση στην ολομέλεια).</w:t>
      </w:r>
    </w:p>
    <w:p>
      <w:pPr>
        <w:pStyle w:val="Puce3"/>
        <w:tabs>
          <w:tab w:val="clear" w:pos="720"/>
        </w:tabs>
        <w:rPr/>
      </w:pPr>
      <w:r>
        <w:rPr/>
        <w:t>5.</w:t>
        <w:tab/>
        <w:t>Να εντείνουν τις προσπάθειες για την ενημέρωση και την εκπαίδευση των πολιτών των κρατών μελών σε θέματα μετανάστευσης και ένταξης (σύσταση 30, σύσταση 9 της ειδικής ομάδας LT και συζήτηση της ομάδας εργασίας).</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ΠΡΟΤΑΣΗ: Παράτυπη μετανάστευση</w:t>
      </w:r>
    </w:p>
    <w:p>
      <w:pPr>
        <w:pStyle w:val="P68B1DB1Normal15"/>
        <w:rPr>
          <w:b/>
          <w:b/>
        </w:rPr>
      </w:pPr>
      <w:r>
        <w:rPr/>
        <w:t>ΣΚΟΠΟΣ ΣΤΟΧΟΣ: Ενίσχυση του ρόλου της Ένωσης στην καταπολέμηση κάθε μορφής παράτυπης μετανάστευσης και ενίσχυση της προστασίας των εξωτερικών συνόρων της Ευρωπαϊκής Ένωσης, με παράλληλο σεβασμό των ανθρωπίνων δικαιωμάτων</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167"/>
      </w:r>
      <w:r>
        <w:rPr/>
        <w:t>:</w:t>
      </w:r>
    </w:p>
    <w:p>
      <w:pPr>
        <w:pStyle w:val="Puce3"/>
        <w:tabs>
          <w:tab w:val="clear" w:pos="720"/>
        </w:tabs>
        <w:rPr/>
      </w:pPr>
      <w:r>
        <w:rPr/>
        <w:t>1.</w:t>
        <w:tab/>
        <w:t>Να συμμετέχουν ενεργά, για παράδειγμα μέσω συμφωνιών εταιρικής σχέσης, στην οικονομική και κοινωνική ανάπτυξη χωρών εκτός της Ευρωπαϊκής Ένωσης και από τις οποίες υπάρχει μεγάλη εισροή μεταναστών, προκειμένου να αντιμετωπιστούν τα βαθύτερα αίτια της μετανάστευσης, συμπεριλαμβανομένης της κλιματικής αλλαγής. Οι δράσεις αυτές θα πρέπει να είναι διαφανείς και να παράγουν απτά αποτελέσματα με μετρήσιμα αποτελέσματα, τα οποία θα πρέπει να κοινοποιούνται σαφώς στους πολίτες της ΕΕ (σύσταση 27, σύσταση 3 των ΚΧ και συζήτηση στην ομάδα εργασίας).</w:t>
      </w:r>
    </w:p>
    <w:p>
      <w:pPr>
        <w:pStyle w:val="Puce3"/>
        <w:tabs>
          <w:tab w:val="clear" w:pos="720"/>
        </w:tabs>
        <w:rPr/>
      </w:pPr>
      <w:r>
        <w:rPr/>
        <w:t>2.</w:t>
        <w:tab/>
        <w:t>Διασφάλιση της προστασίας όλων των εξωτερικών συνόρων με τη βελτίωση της διαφάνειας και της λογοδοσίας του Frontex και την ενίσχυση του ρόλου του (σύσταση αριθ. 8 και συζήτηση στην ομάδα εργασίας) και με την προσαρμογή της νομοθεσίας της ΕΕ για την καλύτερη αντιμετώπιση των σημερινών προκλήσεων της παράτυπης μετανάστευσης, όπως η εμπορία ανθρώπων, η εμπορία ανθρώπων, η σεξουαλική εκμετάλλευση, οι υβριδικές επιθέσεις που διαπράττονται από κράτη που εκμεταλλεύονται μετανάστες και η παραβίαση των ανθρωπίνων δικαιωμάτων (σύσταση LT 10 και συζήτηση στην ομάδα εργασίας).</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ΠΡΟΤΑΣΗ: Παράτυπη μετανάστευση (α)</w:t>
      </w:r>
    </w:p>
    <w:p>
      <w:pPr>
        <w:pStyle w:val="P68B1DB1Normal15"/>
        <w:rPr>
          <w:b/>
          <w:b/>
        </w:rPr>
      </w:pPr>
      <w:r>
        <w:rPr/>
        <w:t>ΣΚΟΠΟΣ ΣΤΟΧΟΣ: Ενιαία εφαρμογή κοινών κανόνων σε όλα τα κράτη μέλη όσον αφορά την πρώτη υποδοχή των μεταναστών</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168"/>
      </w:r>
      <w:r>
        <w:rPr/>
        <w:t>:</w:t>
      </w:r>
    </w:p>
    <w:p>
      <w:pPr>
        <w:pStyle w:val="Puce3"/>
        <w:tabs>
          <w:tab w:val="clear" w:pos="720"/>
        </w:tabs>
        <w:rPr/>
      </w:pPr>
      <w:r>
        <w:rPr/>
        <w:t>1.</w:t>
        <w:tab/>
        <w:t>Ανάπτυξη μέτρων σε επίπεδο ΕΕ για τη διασφάλιση της ασφάλειας και της υγείας όλων των μεταναστών, ιδίως των εγκύων, των παιδιών, των ασυνόδευτων ανηλίκων και όλων των ευάλωτων ατόμων (συστάσεις 10 και 38 και συζήτηση στην ομάδα εργασίας).</w:t>
      </w:r>
    </w:p>
    <w:p>
      <w:pPr>
        <w:pStyle w:val="Normal"/>
        <w:rPr/>
      </w:pPr>
      <w:r>
        <w:rPr/>
      </w:r>
    </w:p>
    <w:p>
      <w:pPr>
        <w:pStyle w:val="Puce3"/>
        <w:tabs>
          <w:tab w:val="clear" w:pos="720"/>
        </w:tabs>
        <w:rPr/>
      </w:pPr>
      <w:r>
        <w:rPr/>
        <w:t>2.</w:t>
        <w:tab/>
        <w:t>Αύξηση της χρηματοδοτικής, υλικοτεχνικής και επιχειρησιακής στήριξης της ΕΕ, μεταξύ άλλων προς τις τοπικές αρχές, τους περιφερειακούς φορείς λήψης αποφάσεων και τις οργανώσεις της κοινωνίας των πολιτών, για τη διαχείριση της πρώτης υποδοχής, με αποτέλεσμα ενδεχομένως την ένταξη των προσφύγων ή των νόμιμων μεταναστών στην ΕΕ και τον επαναπατρισμό των παράτυπων μεταναστών (σύσταση 35 και συζήτηση στην ομάδα εργασίας).</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ΠΡΟΤΑΣΗ: Άσυλο, ένταξη</w:t>
      </w:r>
    </w:p>
    <w:p>
      <w:pPr>
        <w:pStyle w:val="P68B1DB1Normal15"/>
        <w:rPr>
          <w:b/>
          <w:b/>
        </w:rPr>
      </w:pPr>
      <w:r>
        <w:rPr/>
        <w:t>ΣΚΟΠΟΣ ΣΤΟΧΟΣ: Ενίσχυση του ρόλου της Ένωσης και μεταρρύθμιση του ευρωπαϊκού συστήματος ασύλου βάσει των αρχών της αλληλεγγύης και της δίκαιης κατανομής ευθυνών</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169"/>
      </w:r>
      <w:r>
        <w:rPr/>
        <w:t>:</w:t>
      </w:r>
    </w:p>
    <w:p>
      <w:pPr>
        <w:pStyle w:val="Puce3"/>
        <w:tabs>
          <w:tab w:val="clear" w:pos="720"/>
        </w:tabs>
        <w:rPr/>
      </w:pPr>
      <w:r>
        <w:rPr/>
        <w:t>1.</w:t>
        <w:tab/>
        <w:t>Θέσπιση κοινών κανόνων της Ένωσης σχετικά με τις διαδικασίες εξέτασης των αιτήσεων διεθνούς προστασίας στα κράτη μέλη, οι οποίοι θα εφαρμόζονται ομοιόμορφα σε όλους τους αιτούντες άσυλο. Οι διαδικασίες αυτές πρέπει να σέβονται την ανθρώπινη αξιοπρέπεια και το διεθνές δίκαιο (σύσταση 29, συστάσεις ΤΠ 3.8 και 4.4, σ. 15 και συζήτηση στην ομάδα εργασίας). Δεδομένου ότι η υποδοχή των αιτούντων άσυλο περιλαμβάνει διάφορους φορείς σε εθνικό επίπεδο, η Ένωση θα πρέπει να ενθαρρύνει τα κράτη μέλη να απλουστεύσουν και να επιταχύνουν αυτή τη διαδικασία βελτιώνοντας τη διαλειτουργικότητα μεταξύ των διαφόρων σχετικών διοικήσεων και να δημιουργήσουν ένα ενιαίο γραφείο (παράθυρο ή ενιαίο σημείο εισόδου) για τους αιτούντες άσυλο προκειμένου να εξορθολογιστούν οι εθνικές διοικητικές διαδικασίες (σύσταση 37 και συζήτηση στην ομάδα εργασίας).</w:t>
      </w:r>
    </w:p>
    <w:p>
      <w:pPr>
        <w:pStyle w:val="Puce3"/>
        <w:tabs>
          <w:tab w:val="clear" w:pos="720"/>
        </w:tabs>
        <w:rPr/>
      </w:pPr>
      <w:r>
        <w:rPr/>
        <w:t>2.</w:t>
        <w:tab/>
        <w:t>Να επανεξετάσει το σύστημα του Δουβλίνου προκειμένου να διασφαλιστεί η αλληλεγγύη και ο δίκαιος επιμερισμός των ευθυνών, συμπεριλαμβανομένης της κατανομής των μεταναστών μεταξύ των κρατών μελών· θα μπορούσαν επίσης να προβλεφθούν και άλλες μορφές στήριξης (συστάσεις 33, 36, 37, 40· σύσταση lt αριθ. 2· συστάσεις IT 3.8 (σ. 15) και NL 2, συζήτηση στην ομάδα εργασίας και συζήτηση στην ολομέλεια).</w:t>
      </w:r>
    </w:p>
    <w:p>
      <w:pPr>
        <w:pStyle w:val="Puce3"/>
        <w:tabs>
          <w:tab w:val="clear" w:pos="720"/>
        </w:tabs>
        <w:rPr/>
      </w:pPr>
      <w:r>
        <w:rPr/>
        <w:t>3.</w:t>
        <w:tab/>
        <w:t>Να ενισχυθούν οι ελάχιστες απαιτήσεις υποδοχής για τους αιτούντες άσυλο που ορίζονται στην οδηγία 2013/33/ΕΕ μέσω αυστηρότερων νομοθετικών μέτρων για τη βελτίωση των εγκαταστάσεων υποδοχής και της στέγασης (σύσταση 31 της CEP, σύσταση ΤΠ 5.6, σ. 11 και συζήτηση στην ομάδα εργασίας).</w:t>
      </w:r>
    </w:p>
    <w:p>
      <w:pPr>
        <w:pStyle w:val="Puce3"/>
        <w:tabs>
          <w:tab w:val="clear" w:pos="720"/>
        </w:tabs>
        <w:rPr/>
      </w:pPr>
      <w:r>
        <w:rPr/>
        <w:t>4.</w:t>
        <w:tab/>
        <w:t>Ιδιαίτερη προσοχή θα πρέπει να δοθεί στις εγκύους, τα παιδιά, και ιδίως στους ασυνόδευτους ανηλίκους (σύσταση αριθ. 38 και συζήτηση στην ομάδα εργασίας).</w:t>
      </w:r>
    </w:p>
    <w:p>
      <w:pPr>
        <w:pStyle w:val="Puce3"/>
        <w:tabs>
          <w:tab w:val="clear" w:pos="720"/>
        </w:tabs>
        <w:rPr/>
      </w:pPr>
      <w:r>
        <w:rPr/>
        <w:t>5.</w:t>
        <w:tab/>
        <w:t>Ενίσχυση και αύξηση των οικονομικών και ανθρώπινων πόρων και των ικανοτήτων διαχείρισης του Οργανισμού της Ευρωπαϊκής Ένωσης για το Άσυλο για τον συντονισμό και τη διαχείριση της μετεγκατάστασης των αιτούντων άσυλο εντός των κρατών μελών της ΕΕ με σκοπό την επίτευξη δίκαιης κατανομής (συστάσεις 36 και 37, σύσταση 3 της ΛΙ και συζήτηση στην ομάδα εργασίας).</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ΠΡΟΤΑΣΗ: Άσυλο, ένταξη (bis)</w:t>
      </w:r>
    </w:p>
    <w:p>
      <w:pPr>
        <w:pStyle w:val="P68B1DB1Normal15"/>
        <w:rPr>
          <w:b/>
          <w:b/>
        </w:rPr>
      </w:pPr>
      <w:r>
        <w:rPr/>
        <w:t>ΣΚΟΠΟΣ ΣΤΟΧΟΣ: Βελτίωση των πολιτικών ένταξης σε όλα τα κράτη μέλη</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rPr>
        <w:endnoteReference w:id="170"/>
      </w:r>
      <w:r>
        <w:rPr/>
        <w:t>:</w:t>
      </w:r>
    </w:p>
    <w:p>
      <w:pPr>
        <w:pStyle w:val="Puce3"/>
        <w:tabs>
          <w:tab w:val="clear" w:pos="720"/>
        </w:tabs>
        <w:rPr/>
      </w:pPr>
      <w:r>
        <w:rPr/>
        <w:t>1.</w:t>
        <w:tab/>
        <w:t>Η Ένωση εξασφαλίζει επίσης, με τη συμμετοχή των τοπικών και περιφερειακών αρχών και τη συμβολή των οργανώσεων της κοινωνίας των πολιτών, ότι όλοι οι αιτούντες άσυλο και οι πρόσφυγες συμμετέχουν σε μαθήματα και δραστηριότητες για τη γλώσσα και την ένταξη, καθώς και επαγγελματική κατάρτιση κατά την εξέταση της αίτησής τους για διαμονή (σύσταση αριθ. 32, σύσταση FR αριθ. 13, συζήτηση στην ομάδα εργασίας και συζήτηση στην ολομέλεια).</w:t>
      </w:r>
    </w:p>
    <w:p>
      <w:pPr>
        <w:pStyle w:val="Puce3"/>
        <w:tabs>
          <w:tab w:val="clear" w:pos="720"/>
        </w:tabs>
        <w:rPr/>
      </w:pPr>
      <w:r>
        <w:rPr/>
        <w:t>2.</w:t>
        <w:tab/>
        <w:t>Οι αιτούντες άσυλο με τα κατάλληλα προσόντα θα πρέπει να έχουν πρόσβαση στην αγορά εργασίας, ει δυνατόν με σκοπό την ενίσχυση της αυτονομίας τους, σε ολόκληρη την Ένωση (σύσταση αριθ. 7 και συζήτηση στην ομάδα εργασίας).</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ΕΙΚΟΝΑ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ΕΙΚΟΝΑ29" descr=""/>
                    <pic:cNvPicPr>
                      <a:picLocks noChangeAspect="1" noChangeArrowheads="1"/>
                    </pic:cNvPicPr>
                  </pic:nvPicPr>
                  <pic:blipFill>
                    <a:blip r:embed="rId83"/>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Εκπαίδευση, πολιτισμός, νεολαία και αθλητισμός</w:t>
      </w:r>
    </w:p>
    <w:p>
      <w:pPr>
        <w:pStyle w:val="Titre3"/>
        <w:numPr>
          <w:ilvl w:val="2"/>
          <w:numId w:val="2"/>
        </w:numPr>
        <w:rPr/>
      </w:pPr>
      <w:bookmarkStart w:id="99" w:name="__RefHeading___Toc298372_1346298689"/>
      <w:bookmarkEnd w:id="99"/>
      <w:r>
        <w:rPr/>
        <w:t>46. ΠΡΟΤΑΣΗ: ΕΚΠΑΙΔΕΥΣΗ</w:t>
      </w:r>
    </w:p>
    <w:p>
      <w:pPr>
        <w:pStyle w:val="P68B1DB1Normal15"/>
        <w:rPr>
          <w:b/>
          <w:b/>
        </w:rPr>
      </w:pPr>
      <w:r>
        <w:rPr/>
        <w:t>ΣΚΟΠΟΣ ΣΤΟΧΟΣ: Η ΕΕ και τα κράτη μέλη της θα πρέπει να καταβάλουν προσπάθειες για τη δημιουργία, έως το 2025, ενός ευρωπαϊκού χώρου εκπαίδευσης χωρίς αποκλεισμούς, στον οποίο όλοι οι πολίτες θα έχουν ισότιμη πρόσβαση σε ποιοτική διά βίου μάθηση και εκπαίδευση, συμπεριλαμβανομένων των ατόμων που ζουν σε αγροτικές και απομακρυσμένες περιοχές. Για τον σκοπό αυτό, η Ευρωπαϊκή Ένωση και τα κράτη μέλη της θα πρέπει ιδίως: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Μετρα:</w:t>
      </w:r>
    </w:p>
    <w:p>
      <w:pPr>
        <w:pStyle w:val="Puce3"/>
        <w:tabs>
          <w:tab w:val="clear" w:pos="720"/>
        </w:tabs>
        <w:rPr/>
      </w:pPr>
      <w:r>
        <w:rPr/>
        <w:t>1.</w:t>
        <w:tab/>
        <w:t>Συντονισμός του επιπέδου όλων των διαφορετικών εκπαιδευτικών προγραμμάτων στην Ευρωπαϊκή Ένωση με την αποδοχή εθνικού, περιφερειακού και τοπικού περιεχομένου και τη δημιουργία στενότερων δεσμών μεταξύ των εκπαιδευτικών συστημάτων, ιδίως μέσω της ισοδυναμίας των διπλωμάτων</w:t>
      </w:r>
      <w:r>
        <w:rPr>
          <w:rStyle w:val="Ancredenotedefin"/>
          <w:rStyle w:val="Ancredenotedefin"/>
        </w:rPr>
        <w:endnoteReference w:id="171"/>
      </w:r>
      <w:r>
        <w:rPr/>
        <w:t>. Ένα πιστοποιημένο ελάχιστο πρότυπο για τη διδασκαλία σε βασικά μαθήματα θα πρέπει να εγκριθεί ήδη από το δημοτικό σχολείο</w:t>
      </w:r>
      <w:r>
        <w:rPr>
          <w:rStyle w:val="Ancredenotedefin"/>
          <w:rStyle w:val="Ancredenotedefin"/>
        </w:rPr>
        <w:endnoteReference w:id="172"/>
      </w:r>
      <w:r>
        <w:rPr/>
        <w:t>171. Θα πρέπει να καθιερωθούν συντρέχουσες αρμοδιότητες στον τομέα της εκπαίδευσης, τουλάχιστον όσον αφορά την αγωγή του πολίτη, και η άσκηση της αρμοδιότητας αυτής από την Ένωση δεν μπορεί να εμποδίσει τα κράτη μέλη να ασκούν τις αρμοδιότητές τους. Τα διπλώματα και η επαγγελματική κατάρτιση θα πρέπει να επικυρώνονται και να αναγνωρίζονται αμοιβαία σε όλα τα κράτη μέλη της Ένωσης</w:t>
      </w:r>
      <w:r>
        <w:rPr>
          <w:rStyle w:val="Ancredenotedefin"/>
          <w:rStyle w:val="Ancredenotedefin"/>
        </w:rPr>
        <w:endnoteReference w:id="173"/>
      </w:r>
      <w:r>
        <w:rPr/>
        <w:t>. Η Ευρωπαϊκή Ένωση θα πρέπει επίσης να αξιοποιήσει την αναγνώριση της μη τυπικής</w:t>
      </w:r>
      <w:r>
        <w:rPr>
          <w:rStyle w:val="Ancredenotedefin"/>
          <w:rStyle w:val="Ancredenotedefin"/>
        </w:rPr>
        <w:endnoteReference w:id="174"/>
      </w:r>
      <w:r>
        <w:rPr/>
        <w:t xml:space="preserve"> και άτυπης μάθησης και των οργανώσεων νεολαίας που την προσφέρουν, καθώς και τις περιόδους μάθησης στο εξωτερικό.</w:t>
      </w:r>
    </w:p>
    <w:p>
      <w:pPr>
        <w:pStyle w:val="Puce3"/>
        <w:tabs>
          <w:tab w:val="clear" w:pos="720"/>
        </w:tabs>
        <w:rPr/>
      </w:pPr>
      <w:r>
        <w:rPr/>
        <w:t>2.</w:t>
        <w:tab/>
        <w:t>Ανάπτυξη μιας μακρόπνοης διά βίου μάθησης και εκπαίδευσης στην Ευρώπη — σύμφωνα με το δικαίωμα στην κατάρτιση στον χώρο εργασίας για όλους — με έμφαση στις ακόλουθες πτυχές:</w:t>
        <w:br/>
        <w:t>Αγωγή του πολίτη σχετικά με τις δημοκρατικές διαδικασίες και τις αξίες της ΕΕ και την ιστορία της Ευρώπης</w:t>
      </w:r>
      <w:r>
        <w:rPr>
          <w:rStyle w:val="Ancredenotedefin"/>
          <w:rStyle w:val="Ancredenotedefin"/>
        </w:rPr>
        <w:endnoteReference w:id="175"/>
      </w:r>
      <w:r>
        <w:rPr/>
        <w:t>. Θα πρέπει να καταστεί μια κοινή ενότητα που θα διδάσκεται σε όλα τα κράτη μέλη. Θα πρέπει επίσης να βελτιωθεί η γνώση της οικονομίας προκειμένου να καταστεί δυνατή η καλύτερη κατανόηση της διαδικασίας της ευρωπαϊκής ολοκλήρωσης</w:t>
      </w:r>
      <w:r>
        <w:rPr>
          <w:rStyle w:val="Ancredenotedefin"/>
          <w:rStyle w:val="Ancredenotedefin"/>
        </w:rPr>
        <w:endnoteReference w:id="176"/>
      </w:r>
      <w:r>
        <w:rPr/>
        <w:t>.</w:t>
        <w:br/>
        <w:t>− Ψηφιακές δεξιότητες</w:t>
      </w:r>
      <w:r>
        <w:rPr>
          <w:rStyle w:val="Ancredenotedefin"/>
          <w:rStyle w:val="Ancredenotedefin"/>
        </w:rPr>
        <w:endnoteReference w:id="177"/>
      </w:r>
      <w:r>
        <w:rPr/>
        <w:t>.</w:t>
        <w:br/>
        <w:t>ΤΟ STIAM</w:t>
      </w:r>
      <w:r>
        <w:rPr>
          <w:rStyle w:val="Ancredenotedefin"/>
          <w:rStyle w:val="Ancredenotedefin"/>
        </w:rPr>
        <w:endnoteReference w:id="178"/>
      </w:r>
      <w:r>
        <w:rPr/>
        <w:br/>
        <w:t>− Επιχειρηματικότητα και έρευνα.</w:t>
        <w:br/>
        <w:t>Ανάπτυξη κριτικής σκέψης. Ο γραμματισμός στα μέσα επικοινωνίας θα πρέπει να βελτιωθεί προκειμένου να διασφαλιστεί η ασφάλεια στο διαδίκτυο και να δοθεί η δυνατότητα στους πολίτες σε όλα τα κράτη μέλη να αξιολογούν ανεξάρτητα κατά πόσον οι πληροφορίες είναι αξιόπιστες ή όχι και να εντοπίζουν ψευδείς πληροφορίες, αξιοποιώντας παράλληλα τις ευκαιρίες που προσφέρει το διαδίκτυο. Η εκπαίδευση αυτή θα πρέπει να περιλαμβάνει την οργάνωση ειδικών μαθημάτων σε επίπεδο βασικής εκπαίδευσης και θα πρέπει να προσφέρεται, σε άλλους δημόσιους χώρους, σε πολίτες όλων των ηλικιών, υπό την αιγίδα ειδικευμένου φορέα σε επίπεδο Ένωσης, αξιοποιώντας τις ορθές πρακτικές που υπάρχουν σε όλα τα κράτη μέλη. Η ΕΕ θα πρέπει να διασφαλίσει ότι τα κονδύλια που διατίθενται ειδικά για τις δραστηριότητες αυτές χρησιμοποιούνται για τον επιδιωκόμενο σκοπό</w:t>
      </w:r>
      <w:r>
        <w:rPr>
          <w:rStyle w:val="Ancredenotedefin"/>
          <w:rStyle w:val="Ancredenotedefin"/>
        </w:rPr>
        <w:endnoteReference w:id="179"/>
      </w:r>
      <w:r>
        <w:rPr/>
        <w:t>.</w:t>
        <w:br/>
        <w:t>ενσωμάτωση των μη τεχνικών δεξιοτήτων σε όλα τα μαθήματα στα σχολικά προγράμματα σπουδών. Μη τεχνική επάρκεια σημαίνει: η αμοιβαία ακρόαση, ο διάλογος, η ανθεκτικότητα, η κατανόηση, ο σεβασμός και η εκτίμηση των άλλων, η κριτική σκέψη, η αυτοδιδασκαλία και η παραμονή στην περιέργεια και τα αποτελέσματα</w:t>
      </w:r>
      <w:r>
        <w:rPr>
          <w:rStyle w:val="Ancredenotedefin"/>
          <w:rStyle w:val="Ancredenotedefin"/>
        </w:rPr>
        <w:endnoteReference w:id="180"/>
      </w:r>
      <w:r>
        <w:rPr/>
        <w:t>· — Δίνοντας σε όλους την ευκαιρία να μάθουν περισσότερα για την περιβαλλοντική βιωσιμότητα και τους δεσμούς της με την υγεία. Η βιοποικιλότητα πρέπει να αποτελεί υποχρεωτικό θέμα στο σχολείο. Θα πρέπει να ξεκινήσει από το σχολείο με ειδικά θέματα που αφορούν όλα τα οικολογικά ζητήματα και να περιλαμβάνει εκδρομές για την παρουσίαση σχετικών πραγματικών παραδειγμάτων, όλα με τη βοήθεια ενός προγράμματος χρηματοδότησης</w:t>
      </w:r>
      <w:r>
        <w:rPr>
          <w:rStyle w:val="Ancredenotedefin"/>
          <w:rStyle w:val="Ancredenotedefin"/>
        </w:rPr>
        <w:endnoteReference w:id="181"/>
      </w:r>
      <w:r>
        <w:rPr/>
        <w:t xml:space="preserve">. </w:t>
        <w:br/>
        <w:t>Καταπολέμηση του εκφοβισμού στα σχολεία και του ρατσισμού.</w:t>
      </w:r>
    </w:p>
    <w:p>
      <w:pPr>
        <w:pStyle w:val="Puce3"/>
        <w:tabs>
          <w:tab w:val="clear" w:pos="720"/>
        </w:tabs>
        <w:rPr/>
      </w:pPr>
      <w:r>
        <w:rPr/>
        <w:t>3.</w:t>
        <w:tab/>
        <w:t>Στήριξη της κατάρτισης</w:t>
      </w:r>
      <w:r>
        <w:rPr>
          <w:rStyle w:val="Ancredenotedefin"/>
          <w:rStyle w:val="Ancredenotedefin"/>
        </w:rPr>
        <w:endnoteReference w:id="182"/>
      </w:r>
      <w:r>
        <w:rPr/>
        <w:t>των εκπαιδευτικών, προκειμένου να αντληθούν διδάγματα από τις βέλτιστες πρακτικές και να χρησιμοποιηθούν επικαιροποιημένες καινοτόμες και δημιουργικές διδακτικές τεχνικές που αντικατοπτρίζουν την εξέλιξη των παιδαγωγικών μεθόδων, συμπεριλαμβανομένων πρακτικών δραστηριοτήτων, με βάση επίσης τα διδάγματα που πρέπει να αντληθούν από την πανδημία COVID-19 και άλλα είδη κρίσεων, καθώς και την προώθηση ευκαιριών κινητικότητας</w:t>
      </w:r>
      <w:r>
        <w:rPr>
          <w:rStyle w:val="Ancredenotedefin"/>
          <w:rStyle w:val="Ancredenotedefin"/>
        </w:rPr>
        <w:endnoteReference w:id="183"/>
      </w:r>
      <w:r>
        <w:rPr/>
        <w:t>.</w:t>
      </w:r>
    </w:p>
    <w:p>
      <w:pPr>
        <w:pStyle w:val="Puce3"/>
        <w:tabs>
          <w:tab w:val="clear" w:pos="720"/>
        </w:tabs>
        <w:rPr/>
      </w:pPr>
      <w:r>
        <w:rPr/>
        <w:t>4.</w:t>
        <w:tab/>
        <w:t>Προκειμένου να καλυφθούν οι εκπαιδευτικές ανάγκες όλων των παιδιών και των οικογενειών, να δοθεί προτεραιότητα στην πρόσβαση σε εξοπλισμό και την αποδοτική ευρυζωνική συνδεσιμότητα</w:t>
      </w:r>
      <w:r>
        <w:rPr>
          <w:rStyle w:val="Ancredenotedefin"/>
          <w:rStyle w:val="Ancredenotedefin"/>
        </w:rPr>
        <w:endnoteReference w:id="184"/>
      </w:r>
      <w:r>
        <w:rPr/>
        <w:t>.</w:t>
      </w:r>
    </w:p>
    <w:p>
      <w:pPr>
        <w:pStyle w:val="Puce3"/>
        <w:tabs>
          <w:tab w:val="clear" w:pos="720"/>
        </w:tabs>
        <w:rPr/>
      </w:pPr>
      <w:r>
        <w:rPr/>
        <w:t>5.</w:t>
        <w:tab/>
        <w:t>Να δημιουργήσει μια πλατφόρμα πληροφόρησης για την ανταλλαγή γνώσεων και εμπειριών σε επίπεδο Ένωσης, ανταλλάσσοντας πληροφορίες σχετικά με διακρατικά μαθήματα εκπαίδευσης και κατάρτισης στην Ένωση, παρουσιάζοντας παραδείγματα βέλτιστων πρακτικών και παρέχοντας στους πολίτες την ευκαιρία να παρουσιάσουν νέες ιδέες για διασυνοριακές ανταλλαγές. Θα πρέπει να παρέχει εκπαιδευτικό υλικό σχετικά με την κλιματική αλλαγή, τα περιβαλλοντικά ζητήματα και την ψηφιοποίηση και να παρέχει πληροφορίες σχετικά με τα υφιστάμενα εξειδικευμένα φόρουμ σχετικά με τα κύρια θέματα</w:t>
      </w:r>
      <w:r>
        <w:rPr>
          <w:rStyle w:val="Ancredenotedefin"/>
          <w:rStyle w:val="Ancredenotedefin"/>
        </w:rPr>
        <w:endnoteReference w:id="185"/>
      </w:r>
      <w:r>
        <w:rPr/>
        <w:t>. — Αυτό θα μπορούσε να συνοδεύεται από ένα πρόγραμμα χρηματοδότησης για τη στήριξη της χρήσης και της αξιοποίησης των πληροφοριών της πλατφόρμας.</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ΠΡΟΤΑΣΗ: Ερωτήσεις σχετικά με την ευρωπαϊκή νεολαία</w:t>
      </w:r>
    </w:p>
    <w:p>
      <w:pPr>
        <w:pStyle w:val="P68B1DB1Normal15"/>
        <w:rPr>
          <w:b/>
          <w:b/>
        </w:rPr>
      </w:pPr>
      <w:r>
        <w:rPr/>
        <w:t>ΣΚΟΠΟΣ ΣΤΟΧΟΣ: Η ΕΕ και τα κράτη μέλη της θα πρέπει να επικεντρωθούν στις ειδικές ανάγκες των νέων σε όλες τις σχετικές πολιτικές, συμπεριλαμβανομένης της περιφερειακής πολιτικής της ΕΕ, προκειμένου να τους παρασχεθούν οι καλύτερες δυνατές συνθήκες για σπουδές και εργασία και για την έναρξη μιας ανεξάρτητης ζωής, με παράλληλη συμμετοχή τους στη δημοκρατική ζωή και τις διαδικασίες λήψης αποφάσεων, μεταξύ άλλων και σε ευρωπαϊκό επίπεδο. Οι οργανώσεις νεολαίας έχουν να διαδραματίσουν σημαντικό ρόλο. Για την επίτευξη αυτού του στόχου, προτείνουμε τα εξής: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Μετρα:</w:t>
      </w:r>
    </w:p>
    <w:p>
      <w:pPr>
        <w:pStyle w:val="Puce3"/>
        <w:tabs>
          <w:tab w:val="clear" w:pos="720"/>
        </w:tabs>
        <w:rPr/>
      </w:pPr>
      <w:r>
        <w:rPr/>
        <w:t>1.</w:t>
        <w:tab/>
        <w:t>Να παράσχει στους νέους περισσότερες ευκαιρίες συμμετοχής και εκπροσώπησης σε δημοκρατικές διαδικασίες και διαδικασίες λήψης αποφάσεων σε όλα τα επίπεδα και να στηρίξει τα υφιστάμενα προγράμματα στον τομέα αυτό, μεταξύ άλλων με τη διοργάνωση ομάδων πολιτών με παιδιά (π.χ. ηλικίας 10-16 ετών) στα σχολεία. Οι ευρωπαίοι εκπρόσωποι θα μπορούσαν να συναντήσουν μαθητές στα σχολεία τους προκειμένου να ενισχύσουν την εγγύτητα και την κατανόηση της Ευρώπης από μικρή ηλικία από τους πολίτες</w:t>
      </w:r>
      <w:r>
        <w:rPr>
          <w:rStyle w:val="Ancredenotedefin"/>
          <w:rStyle w:val="Ancredenotedefin"/>
        </w:rPr>
        <w:endnoteReference w:id="186"/>
      </w:r>
      <w:r>
        <w:rPr/>
        <w:t>. Για να αναλυθούν όλες οι πολιτικές αποφάσεις της ΕΕ με βάση το πρίσμα της νεολαίας, θα πρέπει να αναπτυχθεί μια «δοκιμή για τη νεολαία» σε ευρωπαϊκό επίπεδο, ώστε να διασφαλιστεί ότι κάθε νέα πολιτική και νομοθετική πρόταση θα υπόκειται σε εκτίμηση επιπτώσεων με επίκεντρο τη νεολαία, συμπεριλαμβανομένης της διαβούλευσης με τους νέους.</w:t>
      </w:r>
    </w:p>
    <w:p>
      <w:pPr>
        <w:pStyle w:val="Puce3"/>
        <w:tabs>
          <w:tab w:val="clear" w:pos="720"/>
        </w:tabs>
        <w:rPr/>
      </w:pPr>
      <w:r>
        <w:rPr/>
        <w:t>2.</w:t>
        <w:tab/>
        <w:t>Η χορήγηση του δικαιώματος ψήφου από την ηλικία των 16 ετών στις εκλογές για το Ευρωπαϊκό Κοινοβούλιο, σε συνδυασμό με την ενίσχυση της αγωγής του πολίτη και της ΕΕ, θα πρέπει να συζητηθεί και να εξεταστεί. Τα εθνικά πολιτικά κόμματα θα πρέπει επίσης να διασφαλίζουν ότι οι νεότεροι υποψήφιοι εγγράφονται στους καταλόγους τους για τις εκλογές για το Ευρωπαϊκό Κοινοβούλιο</w:t>
      </w:r>
      <w:r>
        <w:rPr>
          <w:rStyle w:val="Ancredenotedefin"/>
          <w:rStyle w:val="Ancredenotedefin"/>
        </w:rPr>
        <w:endnoteReference w:id="187"/>
      </w:r>
      <w:r>
        <w:rPr/>
        <w:t>.</w:t>
      </w:r>
    </w:p>
    <w:p>
      <w:pPr>
        <w:pStyle w:val="Puce3"/>
        <w:tabs>
          <w:tab w:val="clear" w:pos="720"/>
        </w:tabs>
        <w:rPr/>
      </w:pPr>
      <w:r>
        <w:rPr/>
        <w:t>3.</w:t>
        <w:tab/>
        <w:t>Καλύτερη προετοιμασία των νέων ώστε να εισέλθουν στο εργατικό δυναμικό, παροχή σε μαθητές λυκείου (από 12 ετών) τη δυνατότητα συμμετοχής σε επισκέψεις παρακολούθησης ποιότητας σε κερδοσκοπικούς και μη κερδοσκοπικούς οργανισμούς, σε στενή συνεργασία μεταξύ σχολείων, τοπικών αρχών και σχετικών οργανισμών και επιχειρήσεων</w:t>
      </w:r>
      <w:r>
        <w:rPr>
          <w:rStyle w:val="Ancredenotedefin"/>
          <w:rStyle w:val="Ancredenotedefin"/>
        </w:rPr>
        <w:endnoteReference w:id="188"/>
      </w:r>
      <w:r>
        <w:rPr/>
        <w:t>. Οι επισκέψεις αυτές θα πρέπει να θεωρηθούν ως μέρος μιας ευρύτερης διαδικασίας επαγγελματικού προσανατολισμού στην επίσημη εκπαίδευση, προκειμένου να δοθεί η δυνατότητα στους νέους να έχουν μια πρώτη επαφή με τον κόσμο της εργασίας, ώστε να είναι σε θέση να καθοδηγήσουν τις επαγγελματικές τους επιλογές και/ή να εξετάσουν το ενδεχόμενο να γίνουν επιχειρηματίες.</w:t>
      </w:r>
    </w:p>
    <w:p>
      <w:pPr>
        <w:pStyle w:val="Puce3"/>
        <w:tabs>
          <w:tab w:val="clear" w:pos="720"/>
        </w:tabs>
        <w:rPr/>
      </w:pPr>
      <w:r>
        <w:rPr/>
        <w:t>4.</w:t>
        <w:tab/>
        <w:t>Μεγαλύτερη χρηματοδότηση της ΕΕ στο πλαίσιο του NextGenerationEU θα πρέπει επίσης να αφιερωθεί στην υλοποίηση των ενισχυμένων ευρωπαϊκών εγγυήσεων για τη νεολαία, συμπεριλαμβανομένης της μεγαλύτερης δέσμευσης, της αυξημένης ευαισθητοποίησης, της βελτίωσης της ποιότητας της προσφοράς, της χρηματοδότησης και της δράσης από όλα τα κράτη μέλη και τα σχετικά επίπεδα αρχών. Δεδομένου ότι οι οργανώσεις νεολαίας είναι σε θέση να εντοπίζουν καλύτερα τις ανάγκες των νέων, οι εθνικές κυβερνήσεις θα πρέπει να συνεργαστούν με τις οργανώσεις νεολαίας μέσω στενού διαλόγου για τη διασφάλιση της αποτελεσματικότερης εφαρμογής των Εγγυήσεων για τη Νεολαία.</w:t>
      </w:r>
    </w:p>
    <w:p>
      <w:pPr>
        <w:pStyle w:val="Puce3"/>
        <w:tabs>
          <w:tab w:val="clear" w:pos="720"/>
        </w:tabs>
        <w:rPr/>
      </w:pPr>
      <w:r>
        <w:rPr/>
        <w:t>5.</w:t>
        <w:tab/>
        <w:t>Να διασφαλίσει ότι οι περίοδοι πρακτικής άσκησης και οι θέσεις εργασίας των νέων συμμορφώνονται με τα πρότυπα ποιότητας, ιδίως όσον αφορά τις αποδοχές, τερματίζοντας τους κατώτατους μισθούς για τους νέους και κάθε άλλη διάταξη που εισάγει διακρίσεις στην εργατική νομοθεσία για τους νέους, και απαγορεύοντας, μέσω νομικού μέσου, τις μη αμειβόμενες περιόδους πρακτικής άσκησης στην αγορά εργασίας και εκτός της επίσημης εκπαίδευσης</w:t>
      </w:r>
      <w:r>
        <w:rPr>
          <w:rStyle w:val="Ancredenotedefin"/>
          <w:rStyle w:val="Ancredenotedefin"/>
        </w:rPr>
        <w:endnoteReference w:id="189"/>
      </w:r>
      <w:r>
        <w:rPr/>
        <w:t>.</w:t>
      </w:r>
    </w:p>
    <w:p>
      <w:pPr>
        <w:pStyle w:val="Puce3"/>
        <w:tabs>
          <w:tab w:val="clear" w:pos="720"/>
        </w:tabs>
        <w:rPr/>
      </w:pPr>
      <w:r>
        <w:rPr/>
        <w:t>6.</w:t>
        <w:tab/>
        <w:t>Εξασφάλιση ενός εύλογου βιοτικού επιπέδου για τους νέους, συμπεριλαμβανομένης της πρόσβασης στην κοινωνική προστασία και τη στέγαση. Οι νέοι θα πρέπει να έχουν πρόσβαση σε επίπεδο κοινωνικής προστασίας ισοδύναμο με αυτό άλλων ηλικιακών ομάδων. Θα πρέπει επίσης να διευκολυνθεί η πρόσβαση των νέων σε οικονομικά προσιτή στέγαση, μεταξύ άλλων μέσω χρηματοδότησης από την ΕΕ</w:t>
      </w:r>
      <w:r>
        <w:rPr>
          <w:rStyle w:val="Ancredenotedefin"/>
          <w:rStyle w:val="Ancredenotedefin"/>
        </w:rPr>
        <w:endnoteReference w:id="190"/>
      </w:r>
      <w:r>
        <w:rPr/>
        <w:t>.</w:t>
      </w:r>
    </w:p>
    <w:p>
      <w:pPr>
        <w:pStyle w:val="Puce3"/>
        <w:tabs>
          <w:tab w:val="clear" w:pos="720"/>
        </w:tabs>
        <w:rPr/>
      </w:pPr>
      <w:r>
        <w:rPr/>
        <w:t>7.</w:t>
        <w:tab/>
        <w:t>Απαιτούνται ειδικά μέτρα για την πρόληψη της διαρροής εγκεφάλων από ορισμένες περιφέρειες και χώρες εντός της Ένωσης λόγω ανεπαρκών ευκαιριών για τους νέους, καθιστώντας παράλληλα την Ευρώπη πιο ελκυστική για την πρόληψη της φυγής ευρωπαϊκών ταλέντων και εργατικού δυναμικού σε τρίτες χώρες, προκειμένου να αποφευχθεί η υπονόμευση της εδαφικής συνοχής, ιδίως όσον αφορά τις περιφέρειες που πλήττονται από σημαντική απώλεια νέων ταλέντων, μεταξύ άλλων μέσω της χρηματοδότησης της ΕΕ</w:t>
      </w:r>
      <w:r>
        <w:rPr>
          <w:rStyle w:val="Ancredenotedefin"/>
          <w:rStyle w:val="Ancredenotedefin"/>
        </w:rPr>
        <w:endnoteReference w:id="191"/>
      </w:r>
      <w:r>
        <w:rPr/>
        <w:t>.</w:t>
      </w:r>
    </w:p>
    <w:p>
      <w:pPr>
        <w:pStyle w:val="Puce3"/>
        <w:tabs>
          <w:tab w:val="clear" w:pos="720"/>
        </w:tabs>
        <w:rPr/>
      </w:pPr>
      <w:r>
        <w:rPr/>
        <w:t>8.</w:t>
        <w:tab/>
        <w:t>Σε περίπτωση σοβαρής κρίσης (π.χ. κρίση στον τομέα της υγείας, πόλεμος), καλά σχεδιασμένα σχέδια με λεπτομερή σενάρια θα πρέπει να είναι έτοιμα να αναπτυχθούν με ευελιξία, προκειμένου να ελαχιστοποιηθούν οι επιπτώσεις στην εκπαίδευση, την επαγγελματική κατάρτιση, τη μετάβαση στην αγορά εργασίας και την ψυχική ευημερία των νέων</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ΠΡΟΤΑΣΗ: Πολιτισμός και ανταλλαγές</w:t>
      </w:r>
    </w:p>
    <w:p>
      <w:pPr>
        <w:pStyle w:val="P68B1DB1Normal15"/>
        <w:rPr>
          <w:b/>
          <w:b/>
        </w:rPr>
      </w:pPr>
      <w:r>
        <w:rPr/>
        <w:t>ΣΚΟΠΟΣ ΣΤΟΧΟΣ: Προκειμένου να καλλιεργηθεί μια νοοτροπία ανταλλαγής και να προωθηθεί η ευρωπαϊκή ταυτότητα και πολυμορφία σε διάφορους τομείς, τα κράτη μέλη θα πρέπει, με τη βοήθεια της Ευρωπαϊκής Ένωσης: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Μέτρα</w:t>
      </w:r>
      <w:r>
        <w:rPr>
          <w:rStyle w:val="Ancredenotedefin"/>
          <w:rStyle w:val="Ancredenotedefin"/>
          <w:b/>
        </w:rPr>
        <w:endnoteReference w:id="193"/>
      </w:r>
      <w:r>
        <w:rPr/>
        <w:t>:</w:t>
      </w:r>
    </w:p>
    <w:p>
      <w:pPr>
        <w:pStyle w:val="Puce3"/>
        <w:tabs>
          <w:tab w:val="clear" w:pos="720"/>
        </w:tabs>
        <w:rPr/>
      </w:pPr>
      <w:r>
        <w:rPr/>
        <w:t>1.</w:t>
        <w:tab/>
        <w:t xml:space="preserve">Προώθηση των ευρωπαϊκών ανταλλαγών σε διάφορους τομείς, τόσο σε φυσικό όσο και σε ψηφιακό επίπεδο, συμπεριλαμβανομένων των εκπαιδευτικών ανταλλαγών, της αδελφοποίησης, των ταξιδιών και της επαγγελματικής κινητικότητας (ιδίως για τους εκπαιδευτικούς και τους τοπικούς εκλεγμένους υπαλλήλους). </w:t>
      </w:r>
      <w:r>
        <w:rPr>
          <w:rStyle w:val="Ancredenotedefin"/>
          <w:rStyle w:val="Ancredenotedefin"/>
        </w:rPr>
        <w:endnoteReference w:id="194"/>
      </w:r>
      <w:r>
        <w:rPr/>
        <w:t>Για τον σκοπό αυτό, η Ένωση θα πρέπει ιδίως να ενισχύσει τα υφιστάμενα προγράμματα ανταλλαγών και κινητικότητας σε επίπεδο Ένωσης, όπως το Ευρωπαϊκό Σώμα Αλληλεγγύης, το Erasmus+ και το DiscoverEU, να εξασφαλίσει ευρύτερη και διαφοροποιημένη συμμετοχή στα εν λόγω προγράμματα και να εξετάσει το ενδεχόμενο προσθήκης νέων στοιχείων, όπως ένας πρόσθετος στόχος της υπηρεσίας πολιτών που ενθαρρύνεται από τον εθελοντισμό (για το Ευρωπαϊκό Σώμα Αλληλεγγύης) και τους «τίτλους πολιτιστικής πρόσβασης» (για το DiscoverEU). Οι τοπικές και περιφερειακές αρχές, υπό την αιγίδα της Επιτροπής των Περιφερειών, πρέπει να διαδραματίσουν ηγετικό ρόλο σε αυτόν τον τομέα.</w:t>
      </w:r>
    </w:p>
    <w:p>
      <w:pPr>
        <w:pStyle w:val="Puce3"/>
        <w:tabs>
          <w:tab w:val="clear" w:pos="720"/>
        </w:tabs>
        <w:rPr/>
      </w:pPr>
      <w:r>
        <w:rPr/>
        <w:t>2.</w:t>
        <w:tab/>
        <w:t>Προώθηση της πολυγλωσσίας ως πύλης για άλλους πολιτισμούς από νεαρή ηλικία. Οι περιφερειακές και μειονοτικές γλώσσες χρειάζονται πρόσθετη προστασία, λαμβάνοντας υπόψη τη σύμβαση του Συμβουλίου της Ευρώπης για τις μειονοτικές γλώσσες και τη σύμβαση-πλαίσιο για την προστασία των εθνικών μειονοτήτων. Η ΕΕ θα πρέπει να εξετάσει το ενδεχόμενο δημιουργίας ενός θεσμικού οργάνου για την προώθηση της γλωσσικής πολυμορφίας σε ευρωπαϊκό επίπεδο. Τα παιδιά θα πρέπει να υποχρεούνται από το δημοτικό σχολείο να αποκτούν δεξιότητες σε μια ενεργή γλώσσα της ΕΕ διαφορετική από τη δική τους στο υψηλότερο δυνατό επίπεδο. Προκειμένου να διευκολυνθεί η ικανότητα των ευρωπαίων πολιτών να επικοινωνούν με ευρύτερες ομάδες άλλων Ευρωπαίων και ως παράγοντας ευρωπαϊκής συνοχής, τα κράτη μέλη θα πρέπει να ενθαρρύνουν την εκμάθηση της γλώσσας των κρατών μελών της ΕΕ που συνορεύουν άμεσα με παραμεθόριες περιοχές και την απόκτηση πιστοποιημένου επιπέδου αγγλικής γλώσσας</w:t>
      </w:r>
      <w:r>
        <w:rPr>
          <w:rStyle w:val="Ancredenotedefin"/>
          <w:rStyle w:val="Ancredenotedefin"/>
        </w:rPr>
        <w:endnoteReference w:id="195"/>
      </w:r>
      <w:r>
        <w:rPr/>
        <w:t>.</w:t>
      </w:r>
    </w:p>
    <w:p>
      <w:pPr>
        <w:pStyle w:val="Puce3"/>
        <w:tabs>
          <w:tab w:val="clear" w:pos="720"/>
        </w:tabs>
        <w:rPr/>
      </w:pPr>
      <w:r>
        <w:rPr/>
        <w:t>3.</w:t>
        <w:tab/>
        <w:t>Δημιουργία ευκαιριών για την ανταλλαγή των ευρωπαϊκών πολιτισμών, την προσέγγιση των λαών και την προώθηση μιας κοινής ευρωπαϊκής ταυτότητας, για παράδειγμα μέσω εκδηλώσεων και συναντήσεων στις οποίες συμμετέχουν όλες οι ομάδες-στόχοι και πραγματοποιούνται σε διαφορετικές τοποθεσίες. Παραδείγματα περιλαμβάνουν τη διοργάνωση των Παγκόσμιων Ημερών Τέχνης</w:t>
      </w:r>
      <w:r>
        <w:rPr>
          <w:rStyle w:val="Ancredenotedefin"/>
          <w:rStyle w:val="Ancredenotedefin"/>
        </w:rPr>
        <w:endnoteReference w:id="196"/>
      </w:r>
      <w:r>
        <w:rPr/>
        <w:t>, μια ευρωπαϊκή έκθεση με παιδαγωγικές εκδηλώσεις ή τη μετατροπή της Ημέρας της Ευρώπης (9 Μαΐου) σε επίσημη ευρωπαϊκή ημέρα διακοπών για όλους τους πολίτες της ΕΕ</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Προστασία της ευρωπαϊκής πολιτιστικής κληρονομιάς και του ευρωπαϊκού πολιτισμού</w:t>
      </w:r>
      <w:r>
        <w:rPr>
          <w:rStyle w:val="Ancredenotedefin"/>
          <w:rStyle w:val="Ancredenotedefin"/>
        </w:rPr>
        <w:endnoteReference w:id="198"/>
      </w:r>
      <w:r>
        <w:rPr/>
        <w:t>, ιδίως με την αναγνώριση τοπικών και περιφερειακών ιδιαιτεροτήτων σε πολιτιστικά και παραγωγικά θέματα,</w:t>
      </w:r>
      <w:r>
        <w:rPr>
          <w:rStyle w:val="Ancredenotedefin"/>
          <w:rStyle w:val="Ancredenotedefin"/>
        </w:rPr>
        <w:endnoteReference w:id="199"/>
      </w:r>
      <w:r>
        <w:rPr/>
        <w:t>με νέες πρωτοβουλίες για τη διατήρηση και τον εορτασμό της, μέσω της κινητικότητας για την ενθάρρυνση της ανταλλαγής πολιτιστικής κληρονομιάς και με την προώθηση υφιστάμενων μέτρων όπως η Δημιουργική Ευρώπη, το Νέο Ευρωπαϊκό Μπάουχαους, τα προγράμματα αδελφοποίησης πόλεων και πολιτιστικών πρωτευουσών της Ευρώπης, σύμφωνα με τους Στόχους Βιώσιμης Ανάπτυξης.</w:t>
      </w:r>
    </w:p>
    <w:p>
      <w:pPr>
        <w:pStyle w:val="Puce3"/>
        <w:tabs>
          <w:tab w:val="clear" w:pos="720"/>
        </w:tabs>
        <w:rPr/>
      </w:pPr>
      <w:r>
        <w:rPr/>
        <w:t>5.</w:t>
        <w:tab/>
        <w:t>Να λάβει μέτρα για να διασφαλίσει ότι οι επαγγελματίες του πολιτιστικού τομέα προστατεύονται επαρκώς σε επίπεδο ΕΕ, ιδίως σε περίπτωση μελλοντικής κρίσης, μέσω της θέσπισης νομικού καθεστώτος σε ευρωπαϊκό επίπεδο.</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ΠΡΟΤΑΣΗ: Αθλητισμός</w:t>
      </w:r>
    </w:p>
    <w:p>
      <w:pPr>
        <w:pStyle w:val="P68B1DB1Normal15"/>
        <w:rPr>
          <w:b/>
          <w:b/>
        </w:rPr>
      </w:pPr>
      <w:r>
        <w:rPr/>
        <w:t>ΣΚΟΠΟΣ ΣΤΟΧΟΣ: Ο αθλητισμός είναι απαραίτητος για τις κοινωνίες μας — προκειμένου να υπερασπιστούμε τις αξίες μας, να ακολουθήσουμε έναν υγιεινό τρόπο ζωής και την ηλικία με καλή υγεία, να προωθήσουμε μια κουλτούρα ανταλλαγής και να γιορτάσουμε την πολυμορφία της ευρωπαϊκής κληρονομιάς. Για τον λόγο αυτό, τα κράτη μέλη θα πρέπει να επιδιώκουν, με τη βοήθεια της Ευρωπαϊκής Ένωσης, τα εξής: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Μετρα:</w:t>
      </w:r>
    </w:p>
    <w:p>
      <w:pPr>
        <w:pStyle w:val="Puce3"/>
        <w:tabs>
          <w:tab w:val="clear" w:pos="720"/>
        </w:tabs>
        <w:rPr/>
      </w:pPr>
      <w:r>
        <w:rPr/>
        <w:t>1.</w:t>
        <w:tab/>
        <w:t>Τονίζουν τις αξίες, ιδίως την ισότητα των φύλων, την ισότητα και την ένταξη, οι οποίες μπορούν να αντικατοπτρίζονται συγκεκριμένα στην άσκηση του αθλητισμού καθ’ όλη τη διάρκεια του εκπαιδευτικού ταξιδιού.</w:t>
      </w:r>
    </w:p>
    <w:p>
      <w:pPr>
        <w:pStyle w:val="Puce3"/>
        <w:tabs>
          <w:tab w:val="clear" w:pos="720"/>
        </w:tabs>
        <w:rPr/>
      </w:pPr>
      <w:r>
        <w:rPr/>
        <w:t>2.</w:t>
        <w:tab/>
        <w:t>Ευαισθητοποίηση σχετικά με τα οφέλη του αθλητισμού και της σωματικής άσκησης για την υγεία</w:t>
      </w:r>
      <w:r>
        <w:rPr>
          <w:rStyle w:val="Ancredenotedefin"/>
          <w:rStyle w:val="Ancredenotedefin"/>
        </w:rPr>
        <w:endnoteReference w:id="200"/>
      </w:r>
      <w:r>
        <w:rPr/>
        <w:t>.</w:t>
      </w:r>
    </w:p>
    <w:p>
      <w:pPr>
        <w:pStyle w:val="Puce3"/>
        <w:tabs>
          <w:tab w:val="clear" w:pos="720"/>
        </w:tabs>
        <w:rPr/>
      </w:pPr>
      <w:r>
        <w:rPr/>
        <w:t>3.</w:t>
        <w:tab/>
        <w:t>Ενσωμάτωση των αθλητικών δραστηριοτήτων σε προγράμματα ανταλλαγών και κινητικότητας σε επίπεδο ΕΕ</w:t>
      </w:r>
      <w:r>
        <w:rPr>
          <w:rStyle w:val="Ancredenotedefin"/>
          <w:rStyle w:val="Ancredenotedefin"/>
        </w:rPr>
        <w:endnoteReference w:id="201"/>
      </w:r>
      <w:r>
        <w:rPr/>
        <w:t>200.</w:t>
      </w:r>
    </w:p>
    <w:p>
      <w:pPr>
        <w:pStyle w:val="Puce3"/>
        <w:tabs>
          <w:tab w:val="clear" w:pos="720"/>
        </w:tabs>
        <w:rPr/>
      </w:pPr>
      <w:r>
        <w:rPr/>
        <w:t>4.</w:t>
        <w:tab/>
        <w:t>Βελτίωση της προσοχής που δίνεται όχι μόνο στον επαγγελματικό και εμπορικό αθλητισμό, αλλά και στα τοπικά και παραδοσιακά αθλήματα, τα οποία αποτελούν μάρτυρες της ευρωπαϊκής πολιτιστικής πολυμορφίας, προκειμένου να προωθηθεί η πολιτιστική κληρονομιά και να υποστηριχθούν οι πρωταθλητές του αθλητισμού σε μη επαγγελματικό περιβάλλον.</w:t>
      </w:r>
    </w:p>
    <w:p>
      <w:pPr>
        <w:pStyle w:val="Normal"/>
        <w:rPr/>
      </w:pPr>
      <w:r>
        <w:rPr/>
      </w:r>
    </w:p>
    <w:p>
      <w:pPr>
        <w:pStyle w:val="Puce3"/>
        <w:tabs>
          <w:tab w:val="clear" w:pos="720"/>
        </w:tabs>
        <w:rPr/>
      </w:pPr>
      <w:r>
        <w:rPr/>
        <w:t>5.</w:t>
        <w:tab/>
        <w:t>Ταυτόχρονα, ενθαρρύνει την προώθηση της ευρωπαϊκής ταυτότητας με τη διοργάνωση περισσότερων διαευρωπαϊκών αθλητικών εκδηλώσεων, τη σύσταση</w:t>
      </w:r>
      <w:r>
        <w:rPr/>
        <w:commentReference w:id="0"/>
      </w:r>
      <w:r>
        <w:rPr/>
        <w:t>αθλητικών ομάδων της ΕΕ ή την εμφάνιση ευρωπαϊκών σημαιών ή συμβόλων σε ευρωπαϊκές αθλητικές εκδηλώσεις.</w:t>
      </w:r>
    </w:p>
    <w:p>
      <w:pPr>
        <w:pStyle w:val="Puce3"/>
        <w:tabs>
          <w:tab w:val="clear" w:pos="720"/>
        </w:tabs>
        <w:rPr/>
      </w:pPr>
      <w:r>
        <w:rPr/>
        <w:t>6.</w:t>
        <w:tab/>
        <w:t>Να επενδύσουν περισσότερο στην επικοινωνία, όπως η Ευρωπαϊκή Εβδομάδα Αθλητισμού, έτσι ώστε οι πολίτες σε ολόκληρη την ΕΕ να μπορούν να επωφεληθούν από τις κορυφαίες ευκαιρίες από κοινού.</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Τελικές παρατηρήσεις της Εκτελεστικής Επιτροπής</w:t>
      </w:r>
    </w:p>
    <w:p>
      <w:pPr>
        <w:pStyle w:val="Normal"/>
        <w:rPr/>
      </w:pPr>
      <w:r>
        <w:rPr/>
      </w:r>
      <w:r>
        <w:br w:type="page"/>
      </w:r>
    </w:p>
    <w:p>
      <w:pPr>
        <w:pStyle w:val="Corpsdetexte"/>
        <w:rPr/>
      </w:pPr>
      <w:r>
        <w:rPr/>
        <w:t>Πρωταρχικός στόχος της Διάσκεψης για το Μέλλον της Ευρώπης ήταν να διασφαλίσει ότι η Ευρωπαϊκή Ένωση είναι έτοιμη να αντιμετωπίσει τις τρέχουσες και μελλοντικές προκλήσεις δίνοντας στους πολίτες την ευκαιρία να εκφράσουν τις ανησυχίες και τις προσδοκίες τους και, σε συνεργασία με εκπροσώπους των τριών θεσμικών οργάνων, των εθνικών κοινοβουλίων και άλλων ενδιαφερόμενων μερών, να παράσχουν καθοδήγηση για το μέλλον. Για την επίτευξη αυτού του στόχου, η διάσκεψη έπρεπε να είναι μια άσκηση με επίκεντρο τον πολίτη, βασισμένη σε μια προσέγγιση από τη βάση προς την κορυφή, ικανή να δημιουργήσει ένα νέο χώρο για να συζητηθούν οι προτεραιότητες της Ευρώπης και να καταρτιστεί επισκόπηση των προσδοκιών των πολιτών από την Ευρωπαϊκή Ένωση.</w:t>
      </w:r>
    </w:p>
    <w:p>
      <w:pPr>
        <w:pStyle w:val="Corpsdetexte"/>
        <w:rPr/>
      </w:pPr>
      <w:r>
        <w:rPr/>
        <w:t>Το συνέδριο ήταν πράγματι σε θέση να διαδραματίσει αυτό το ρόλο. Ευρωπαίοι πολίτες από όλα τα κοινωνικά στρώματα και από όλες τις γωνιές της Ένωσης συμμετείχαν στη διάσκεψη και διατύπωσαν συστάσεις από τις ομάδες πολιτών και προτάσεις για το μέλλον της Ευρώπης, σε συνεργασία με την επακόλουθη ολομέλεια, συμπεριλαμβανομένων μελών του Ευρωπαϊκού Κοινοβουλίου, του Συμβουλίου και της Ευρωπαϊκής Επιτροπής, καθώς και εκπροσώπων όλων των εθνικών κοινοβουλίων, της Επιτροπής των Περιφερειών, των περιφερειακών και τοπικών εκλεγμένων εκπροσώπων, της Ευρωπαϊκής Οικονομικής και Κοινωνικής Επιτροπής, των κοινωνικών εταίρων και της κοινωνίας των πολιτών, καθώς και άλλων βασικών παραγόντων. Τα εργαλεία και η μεθοδολογία που αναπτύχθηκαν για τη διαδικασία αυτή αποτελούν ένα μοναδικό σύνολο πόρων που θα μπορούσαν να χρησιμεύσουν ως βάση για μελλοντικές ασκήσεις σχετικά με τη συμμετοχή των πολιτών και τη διαβουλευτική δημοκρατία σε επίπεδο ΕΕ.</w:t>
      </w:r>
    </w:p>
    <w:p>
      <w:pPr>
        <w:pStyle w:val="Corpsdetexte"/>
        <w:rPr/>
      </w:pPr>
      <w:r>
        <w:rPr/>
        <w:t>Χάρη σε πλήθος εκδηλώσεων και συζητήσεων σε ολόκληρη την ΕΕ, στη διαδραστική πολύγλωσση ψηφιακή πλατφόρμα, στις ευρωπαϊκές και εθνικές ομάδες πολιτών και στην Ολομέλεια της Διάσκεψης, η Διάσκεψη παρουσίασε τώρα μια τελική έκθεση, η οποία περιλαμβάνει επισκόπηση του έργου που επιτελέσθηκε με βιώσιμο τρόπο φέτος, καθώς και των προτάσεων της Ολομέλειας για το μέλλον της Ευρώπης. Από τις προτάσεις αυτές προκύπτει σαφώς ότι η ΕΕ πρέπει να δράσει για να επιτύχει την πράσινη και την ψηφιακή μετάβαση, να ενισχύσει την ανθεκτικότητα της Ευρώπης και το κοινωνικό της συμβόλαιο, αντιμετωπίζοντας παράλληλα τις ανισότητες και διασφαλίζοντας ότι η Ευρωπαϊκή Ένωση είναι μια δίκαιη, βιώσιμη, καινοτόμος και ανταγωνιστική οικονομία που δεν αφήνει κανέναν στο περιθώριο.</w:t>
      </w:r>
    </w:p>
    <w:p>
      <w:pPr>
        <w:pStyle w:val="Corpsdetexte"/>
        <w:rPr/>
      </w:pPr>
      <w:r>
        <w:rPr/>
        <w:t>Η εξέλιξη της γεωπολιτικής κατάστασης κατά τη διάρκεια της διάσκεψης, και ιδίως ο επιθετικός πόλεμος της Ρωσίας κατά της Ουκρανίας, έδειξε επίσης ότι η ΕΕ πρέπει να γίνει πιο δυναμική, διαδραματίζοντας ηγετικό ρόλο στην παγκόσμια σκηνή για την προώθηση των αξιών και των κανόνων της σε έναν ολοένα και πιο συγκλονισμένο κόσμο.</w:t>
      </w:r>
    </w:p>
    <w:p>
      <w:pPr>
        <w:pStyle w:val="Corpsdetexte"/>
        <w:rPr/>
      </w:pPr>
      <w:r>
        <w:rPr/>
        <w:t>Η διάσκεψη παρείχε σαφή καθοδήγηση σε αυτούς τους τομείς και τα τρία θεσμικά όργανα της ΕΕ πρέπει τώρα να εξετάσουν τον τρόπο αντιμετώπισης των ανησυχιών, των προσδοκιών και των ιδεών που εκφράζονται. Το επόμενο βήμα σε αυτή τη διαδικασία είναι η ανάπτυξη συγκεκριμένων δράσεων της ΕΕ με βάση τα αποτελέσματα της διάσκεψης, όπως ορίζεται στην παρούσα τελική έκθεση. Ως εκ τούτου, τα θεσμικά όργανα της ΕΕ θα εξετάσουν τώρα την παρούσα έκθεση και την επακολούθησή της, στο πλαίσιο των αρμοδιοτήτων τους και σύμφωνα με τις Συνθήκες. Το φθινόπωρο του 2022 θα πραγματοποιηθεί εκδήλωση παρακολούθησης για την ενημέρωση των πολιτών σχετικά με τον τρόπο με τον οποίο τα θεσμικά όργανα θα ανταποκριθούν στη δέσμευσή τους να διασφαλίσουν ότι θα ακουστούν και θα κρατήσουν στα χέρια τους το μέλλον της Ευρώπης.</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ΕΙΚΟΝΑ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ΕΙΚΟΝΑ 30" descr=""/>
                    <pic:cNvPicPr>
                      <a:picLocks noChangeAspect="1" noChangeArrowheads="1"/>
                    </pic:cNvPicPr>
                  </pic:nvPicPr>
                  <pic:blipFill>
                    <a:blip r:embed="rId84"/>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Παράρτημα I — Συστάσεις των τεσσάρων ομάδων ευρωπαίων πολιτών</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ΕΙΚΟΝΑ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ΕΙΚΟΝΑ 31" descr=""/>
                    <pic:cNvPicPr>
                      <a:picLocks noChangeAspect="1" noChangeArrowheads="1"/>
                    </pic:cNvPicPr>
                  </pic:nvPicPr>
                  <pic:blipFill>
                    <a:blip r:embed="rId85"/>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Πλαίσιο 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ΣΥΝΕΔΡΙΑΣΗ </w:t>
                            </w:r>
                          </w:p>
                          <w:p>
                            <w:pPr>
                              <w:pStyle w:val="P68B1DB1Normal16"/>
                              <w:rPr>
                                <w:color w:val="FFFFFF"/>
                                <w:sz w:val="72"/>
                              </w:rPr>
                            </w:pPr>
                            <w:r>
                              <w:rPr/>
                              <w:t xml:space="preserve">το μέλλον της Ευρώπης </w:t>
                            </w:r>
                          </w:p>
                          <w:p>
                            <w:pPr>
                              <w:pStyle w:val="P68B1DB1Normal17"/>
                              <w:rPr>
                                <w:color w:val="FFFFFF"/>
                              </w:rPr>
                            </w:pPr>
                            <w:r>
                              <w:rPr/>
                              <w:t xml:space="preserve"> </w:t>
                            </w:r>
                            <w:r>
                              <w:rPr/>
                              <w:t>Ομάδα Ευρωπαίων</w:t>
                            </w:r>
                            <w:r>
                              <w:rPr>
                                <w:sz w:val="32"/>
                              </w:rPr>
                              <w:t xml:space="preserve">Πολιτών 1: Μια ισχυρότερη οικονομία, κοινωνική δικαιοσύνη και απασχόληση/εκπαίδευση, πολιτισμός, νεολαία και αθλητισμός/ψηφιακός μετασχηματισμός </w:t>
                            </w:r>
                          </w:p>
                          <w:p>
                            <w:pPr>
                              <w:pStyle w:val="P68B1DB1Normal17"/>
                              <w:rPr>
                                <w:color w:val="FFFFFF"/>
                              </w:rPr>
                            </w:pPr>
                            <w:r>
                              <w:rPr/>
                              <w:t xml:space="preserve"> </w:t>
                            </w:r>
                          </w:p>
                          <w:p>
                            <w:pPr>
                              <w:pStyle w:val="P68B1DB1Normal17"/>
                              <w:rPr>
                                <w:color w:val="FFFFFF"/>
                              </w:rPr>
                            </w:pPr>
                            <w:r>
                              <w:rPr/>
                              <w:t>ΣΥΣΤΑΣΕΙΣ</w:t>
                            </w:r>
                          </w:p>
                          <w:p>
                            <w:pPr>
                              <w:pStyle w:val="P68B1DB1Normal17"/>
                              <w:rPr>
                                <w:color w:val="FFFFFF"/>
                              </w:rPr>
                            </w:pPr>
                            <w:r>
                              <w:rPr/>
                              <w:t xml:space="preserve"> </w:t>
                            </w:r>
                            <w:r>
                              <w:rPr/>
                              <w:t>Φωτογραφίες © Ευρωπαϊκή Ένωση,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Πλαίσιο 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t xml:space="preserve">ΣΥΝΕΔΡΙΑΣΗ </w:t>
                      </w:r>
                    </w:p>
                    <w:p>
                      <w:pPr>
                        <w:pStyle w:val="P68B1DB1Normal16"/>
                        <w:rPr>
                          <w:color w:val="FFFFFF"/>
                          <w:sz w:val="72"/>
                        </w:rPr>
                      </w:pPr>
                      <w:r>
                        <w:rPr/>
                        <w:t xml:space="preserve">το μέλλον της Ευρώπης </w:t>
                      </w:r>
                    </w:p>
                    <w:p>
                      <w:pPr>
                        <w:pStyle w:val="P68B1DB1Normal17"/>
                        <w:rPr>
                          <w:color w:val="FFFFFF"/>
                        </w:rPr>
                      </w:pPr>
                      <w:r>
                        <w:rPr/>
                        <w:t xml:space="preserve"> </w:t>
                      </w:r>
                      <w:r>
                        <w:rPr/>
                        <w:t>Ομάδα Ευρωπαίων</w:t>
                      </w:r>
                      <w:r>
                        <w:rPr>
                          <w:sz w:val="32"/>
                        </w:rPr>
                        <w:t xml:space="preserve">Πολιτών 1: Μια ισχυρότερη οικονομία, κοινωνική δικαιοσύνη και απασχόληση/εκπαίδευση, πολιτισμός, νεολαία και αθλητισμός/ψηφιακός μετασχηματισμός </w:t>
                      </w:r>
                    </w:p>
                    <w:p>
                      <w:pPr>
                        <w:pStyle w:val="P68B1DB1Normal17"/>
                        <w:rPr>
                          <w:color w:val="FFFFFF"/>
                        </w:rPr>
                      </w:pPr>
                      <w:r>
                        <w:rPr/>
                        <w:t xml:space="preserve"> </w:t>
                      </w:r>
                    </w:p>
                    <w:p>
                      <w:pPr>
                        <w:pStyle w:val="P68B1DB1Normal17"/>
                        <w:rPr>
                          <w:color w:val="FFFFFF"/>
                        </w:rPr>
                      </w:pPr>
                      <w:r>
                        <w:rPr/>
                        <w:t>ΣΥΣΤΑΣΕΙΣ</w:t>
                      </w:r>
                    </w:p>
                    <w:p>
                      <w:pPr>
                        <w:pStyle w:val="P68B1DB1Normal17"/>
                        <w:rPr>
                          <w:color w:val="FFFFFF"/>
                        </w:rPr>
                      </w:pPr>
                      <w:r>
                        <w:rPr/>
                        <w:t xml:space="preserve"> </w:t>
                      </w:r>
                      <w:r>
                        <w:rPr/>
                        <w:t>Φωτογραφίες © Ευρωπαϊκή Ένωση,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Ομάδα Ευρωπαίων Πολιτών 1: Μια ισχυρότερη οικονομία, κοινωνική δικαιοσύνη και απασχόληση/εκπαίδευση, πολιτισμός, νεολαία και αθλητισμός/ψηφιακός μετασχηματισμός </w:t>
      </w:r>
    </w:p>
    <w:p>
      <w:pPr>
        <w:pStyle w:val="P68B1DB1Normal18"/>
        <w:widowControl w:val="false"/>
        <w:spacing w:lineRule="exact" w:line="468"/>
        <w:ind w:left="425" w:right="0" w:hanging="0"/>
        <w:jc w:val="left"/>
        <w:rPr/>
      </w:pPr>
      <w:r>
        <w:rPr>
          <w:b/>
          <w:color w:val="1C4587"/>
        </w:rPr>
        <w:t>ΣΥΣΤΆΣΕΙΣ ΠΟΥ ΕΓΚΡΊΘΗΚΑΝ ΑΠΌ ΤΗΝ ΕΠΙΤΡΟΠΉ (ΠΡΟΣ ΠΑΡΟΥΣΊΑΣΗ ΣΤΗΝ ΟΛΟΜΈΛΕΙΑ)</w:t>
      </w:r>
      <w:r>
        <w:rPr>
          <w:color w:val="000000"/>
        </w:rPr>
        <w:t xml:space="preserve"> </w:t>
      </w:r>
    </w:p>
    <w:p>
      <w:pPr>
        <w:pStyle w:val="Titre3"/>
        <w:numPr>
          <w:ilvl w:val="2"/>
          <w:numId w:val="2"/>
        </w:numPr>
        <w:rPr/>
      </w:pPr>
      <w:bookmarkStart w:id="106" w:name="__RefHeading___Toc297145_1346298689"/>
      <w:bookmarkEnd w:id="106"/>
      <w:r>
        <w:rPr/>
        <w:t xml:space="preserve">Άξονας 1: Εργασία στην Ευρώπη </w:t>
      </w:r>
    </w:p>
    <w:p>
      <w:pPr>
        <w:pStyle w:val="Titre4"/>
        <w:numPr>
          <w:ilvl w:val="3"/>
          <w:numId w:val="2"/>
        </w:numPr>
        <w:rPr/>
      </w:pPr>
      <w:bookmarkStart w:id="107" w:name="__RefHeading___Toc297147_1346298689"/>
      <w:bookmarkEnd w:id="107"/>
      <w:r>
        <w:rPr/>
        <w:t xml:space="preserve">Υποάξονας 1.1 Αγορά εργασίας </w:t>
      </w:r>
    </w:p>
    <w:p>
      <w:pPr>
        <w:pStyle w:val="P68B1DB1Normal15"/>
        <w:rPr>
          <w:b/>
          <w:b/>
        </w:rPr>
      </w:pPr>
      <w:r>
        <w:rPr/>
        <w:t xml:space="preserve">1. Συνιστούμε την καθιέρωση κατώτατου μισθού για τη διασφάλιση παρόμοιας ποιότητας ζωής σε όλα τα κράτη μέλη. Γνωρίζουμε τις συνεχιζόμενες προσπάθειες στο πλαίσιο της οδηγίας της ΕΕ COM(2020) 682 για την εναρμόνιση του τρόπου ζωής. Ο κατώτατος μισθός πρέπει να εγγυάται ένα ελάχιστο καθαρό εισόδημα για την επίτευξη ενός ουσιώδους στόχου: όλοι όσοι έχουν ανάγκη θα πρέπει να έχουν υψηλότερο εισόδημα. Ο κατώτατος μισθός θα πρέπει να λαμβάνει υπόψη τις ακόλουθες πτυχές: </w:t>
      </w:r>
    </w:p>
    <w:p>
      <w:pPr>
        <w:pStyle w:val="P68B1DB1Normal15"/>
        <w:rPr>
          <w:b/>
          <w:b/>
        </w:rPr>
      </w:pPr>
      <w:r>
        <w:rPr/>
        <w:t xml:space="preserve">● </w:t>
      </w:r>
      <w:r>
        <w:rPr/>
        <w:t xml:space="preserve">η ΕΕ θα πρέπει να διασφαλίσει την αποτελεσματική εφαρμογή της, δεδομένου ότι, επί του παρόντος, δεν εφαρμόζουν σωστά όλα τα κράτη μέλη την προστασία των εργαζομένων· </w:t>
      </w:r>
    </w:p>
    <w:p>
      <w:pPr>
        <w:pStyle w:val="P68B1DB1Normal15"/>
        <w:rPr>
          <w:b/>
          <w:b/>
        </w:rPr>
      </w:pPr>
      <w:r>
        <w:rPr/>
        <w:t xml:space="preserve">● </w:t>
      </w:r>
      <w:r>
        <w:rPr/>
        <w:t xml:space="preserve">θα πρέπει να δοθεί ιδιαίτερη προσοχή στην παρακολούθηση της βελτίωσης του βιοτικού επιπέδου· </w:t>
      </w:r>
    </w:p>
    <w:p>
      <w:pPr>
        <w:pStyle w:val="Normal"/>
        <w:rPr/>
      </w:pPr>
      <w:r>
        <w:rPr>
          <w:b/>
        </w:rPr>
        <w:t xml:space="preserve">● </w:t>
      </w:r>
      <w:r>
        <w:rPr>
          <w:b/>
        </w:rPr>
        <w:t>ο κατώτατος μισθός πρέπει να λαμβάνει υπόψη την αγοραστική δύναμη σε διάφορες χώρες. Μια διαδικασία περιοδικής αναθεώρησης είναι απαραίτητη για την προσαρμογή της στις μεταβολές του κόστους ζωής (π.χ. για να ληφθεί υπόψη ο πληθωρισμός).</w:t>
      </w:r>
      <w:r>
        <w:rPr/>
        <w:t xml:space="preserve"> </w:t>
      </w:r>
    </w:p>
    <w:p>
      <w:pPr>
        <w:pStyle w:val="Normal"/>
        <w:rPr/>
      </w:pPr>
      <w:r>
        <w:rPr/>
        <w:t xml:space="preserve"> </w:t>
      </w:r>
    </w:p>
    <w:p>
      <w:pPr>
        <w:pStyle w:val="Normal"/>
        <w:rPr/>
      </w:pPr>
      <w:r>
        <w:rPr/>
        <w:t xml:space="preserve">Κάνουμε αυτή τη σύσταση διότι ο κατώτατος μισθός ενισχύει την κοινωνική δικαιοσύνη στην αγορά εργασίας και βελτιώνει τις συγκεκριμένες συνθήκες διαβίωσης των εργαζομένων σε όλα τα κράτη μέλη, κάτι που είναι ιδιαίτερα σημαντικό στο πλαίσιο ενός ταχέως μεταβαλλόμενου εργασιακού περιβάλλοντος, για παράδειγμα λόγω της ψηφιοποίησης. </w:t>
      </w:r>
    </w:p>
    <w:p>
      <w:pPr>
        <w:pStyle w:val="Normal"/>
        <w:rPr/>
      </w:pPr>
      <w:r>
        <w:rPr/>
        <w:t xml:space="preserve"> </w:t>
      </w:r>
    </w:p>
    <w:p>
      <w:pPr>
        <w:pStyle w:val="P68B1DB1Normal15"/>
        <w:rPr>
          <w:b/>
          <w:b/>
        </w:rPr>
      </w:pPr>
      <w:r>
        <w:rPr/>
        <w:t xml:space="preserve">2. Υπάρχει ήδη νομοθετική πράξη της ΕΕ (οδηγία 2003/88/ΕΚ της ΕΕ σχετικά με τον χρόνο εργασίας), αλλά δεν αρκεί να εξασφαλιστεί υγιής ισορροπία μεταξύ επαγγελματικής και προσωπικής ζωής. Ως πρώτο βήμα, συνιστούμε την αναθεώρηση του υφιστάμενου πλαισίου για να διασφαλιστεί η προσαρμογή του στις τρέχουσες συνθήκες. Δεύτερον, η ΕΕ θα πρέπει να θεσπίσει έναν αυστηρότερο μηχανισμό παρακολούθησης για να διασφαλίσει την εφαρμογή του σε όλα τα κράτη μέλη. Ιδιαίτερη προσοχή θα πρέπει να δοθεί στους διάφορους τομείς με διαφορετικά επίπεδα άγχους και επιβάρυνσης, τόσο ψυχολογικά όσο και σωματικά. Ωστόσο, την ίδια στιγμή, άλλοι τομείς εξαρτώνται από μεγαλύτερη ευελιξία εκ μέρους των εργαζομένων τους ώστε να προσαρμοστούν στις ειδικές ανάγκες των επιχειρήσεων. </w:t>
      </w:r>
    </w:p>
    <w:p>
      <w:pPr>
        <w:pStyle w:val="Normal"/>
        <w:rPr/>
      </w:pPr>
      <w:r>
        <w:rPr/>
        <w:t xml:space="preserve">Κάνουμε αυτή τη σύσταση λόγω της σημασίας μιας καλύτερης ισορροπίας μεταξύ επαγγελματικής και προσωπικής ζωής. Η καλύτερη ισορροπία μεταξύ επαγγελματικής και προσωπικής ζωής ενισχύει την κοινωνική συνοχή και συμβάλλει στη δημιουργία ισότιμων όρων ανταγωνισμού μεταξύ των εργαζομένων. Επιπλέον, έχει θετικό αντίκτυπο στην ατομική ευημερία των εργαζομένων. </w:t>
      </w:r>
    </w:p>
    <w:p>
      <w:pPr>
        <w:pStyle w:val="Normal"/>
        <w:rPr/>
      </w:pPr>
      <w:r>
        <w:rPr/>
        <w:t xml:space="preserve"> </w:t>
      </w:r>
    </w:p>
    <w:p>
      <w:pPr>
        <w:pStyle w:val="Titre4"/>
        <w:numPr>
          <w:ilvl w:val="3"/>
          <w:numId w:val="2"/>
        </w:numPr>
        <w:rPr/>
      </w:pPr>
      <w:bookmarkStart w:id="108" w:name="__RefHeading___Toc297151_1346298689"/>
      <w:bookmarkEnd w:id="108"/>
      <w:r>
        <w:rPr/>
        <w:t xml:space="preserve">Υποάξονας 1.2 Νεολαία και απασχόληση </w:t>
      </w:r>
    </w:p>
    <w:p>
      <w:pPr>
        <w:pStyle w:val="Normal"/>
        <w:rPr/>
      </w:pPr>
      <w:r>
        <w:rPr/>
        <w:t xml:space="preserve"> </w:t>
      </w:r>
    </w:p>
    <w:p>
      <w:pPr>
        <w:pStyle w:val="P68B1DB1Normal15"/>
        <w:rPr>
          <w:b/>
          <w:b/>
        </w:rPr>
      </w:pPr>
      <w:r>
        <w:rPr/>
        <w:t xml:space="preserve">3. Συνιστούμε την εναρμόνιση του επιπέδου όλων των διαφορετικών εκπαιδευτικών προγραμμάτων στην ΕΕ, με αποδοχή εθνικού περιεχομένου. Ως εκ τούτου, συνιστούμε όλα τα επαγγελματικά διπλώματα να επικυρώνονται και να αναγνωρίζονται αμοιβαία σε όλα τα κράτη μέλη της ΕΕ. </w:t>
      </w:r>
    </w:p>
    <w:p>
      <w:pPr>
        <w:pStyle w:val="Normal"/>
        <w:rPr/>
      </w:pPr>
      <w:r>
        <w:rPr/>
        <w:t xml:space="preserve"> </w:t>
      </w:r>
    </w:p>
    <w:p>
      <w:pPr>
        <w:pStyle w:val="Normal"/>
        <w:rPr/>
      </w:pPr>
      <w:r>
        <w:rPr/>
        <w:t xml:space="preserve">Κάνουμε αυτή τη σύσταση επειδή θέλουμε να διευκολύνουμε την κινητικότητα του ευρωπαϊκού εργατικού δυναμικού και να μειώσουμε τον διοικητικό φόρτο. </w:t>
      </w:r>
    </w:p>
    <w:p>
      <w:pPr>
        <w:pStyle w:val="Normal"/>
        <w:rPr/>
      </w:pPr>
      <w:r>
        <w:rPr/>
      </w:r>
    </w:p>
    <w:p>
      <w:pPr>
        <w:pStyle w:val="P68B1DB1Normal15"/>
        <w:rPr>
          <w:b/>
          <w:b/>
        </w:rPr>
      </w:pPr>
      <w:r>
        <w:rPr/>
        <w:t xml:space="preserve">4. Σας συνιστούμε να δώσετε στους μαθητές δευτεροβάθμιας εκπαίδευσης (από την ηλικία των 12 ετών) μια επισκόπηση της μελλοντικής αγοράς εργασίας τους, δίνοντάς τους την ευκαιρία να συμμετάσχουν σε διάφορες επισκέψεις ποιοτικής παρατήρησης σε κερδοσκοπικούς και μη κερδοσκοπικούς οργανισμούς. Προτείνουμε να ενθαρρύνουμε τις εταιρείες να καλωσορίζουν τους μαθητές για πρακτική άσκηση παρατήρησης με τη χορήγηση υποτροφιών. Σε απομακρυσμένες περιοχές με λιγότερες ευκαιρίες, τα τοπικά σχολεία, οι δημόσιες αρχές, οι οργανώσεις και οι επιχειρήσεις πρέπει να συνεργαστούν στενά για να εξασφαλίσουν ότι οι εν λόγω επισκέψεις παρατήρησης είναι επίσης διαθέσιμες. </w:t>
      </w:r>
    </w:p>
    <w:p>
      <w:pPr>
        <w:pStyle w:val="Normal"/>
        <w:rPr/>
      </w:pPr>
      <w:r>
        <w:rPr/>
        <w:t xml:space="preserve"> </w:t>
      </w:r>
    </w:p>
    <w:p>
      <w:pPr>
        <w:pStyle w:val="Normal"/>
        <w:rPr/>
      </w:pPr>
      <w:r>
        <w:rPr/>
        <w:t xml:space="preserve">Κάνουμε αυτή τη σύσταση επειδή θέλουμε οι νέοι να αποκτήσουν μια ιδέα για τις διάφορες ευκαιρίες που προσφέρει η αγορά εργασίας, ώστε να μπορούν να επιλέγουν καλύτερα τις σπουδές τους και το μελλοντικό τους έργο και να κατανοούν τη σημασία της επιλογής της σωστής εκπαίδευσης. Θα τους διδάξει επίσης ένα αίσθημα ευθύνης και σεβασμού για την αγορά εργασίας και θα τους βοηθήσει να ενταχθούν στην αγορά εργασίας, παρέχοντας οφέλη για όλους. </w:t>
      </w:r>
    </w:p>
    <w:p>
      <w:pPr>
        <w:pStyle w:val="Normal"/>
        <w:rPr/>
      </w:pPr>
      <w:r>
        <w:rPr/>
        <w:t xml:space="preserve"> </w:t>
      </w:r>
    </w:p>
    <w:p>
      <w:pPr>
        <w:pStyle w:val="P68B1DB1Normal15"/>
        <w:rPr>
          <w:b/>
          <w:b/>
        </w:rPr>
      </w:pPr>
      <w:r>
        <w:rPr/>
        <w:t xml:space="preserve">5. Συνιστούμε την ενσωμάτωση της πρακτικής των μη τεχνικών δεξιοτήτων σε όλα τα μαθήματα σχολικών προγραμμάτων. Με τον όρο μη τεχνικές δεξιότητες, εννοούμε: αμοιβαία ακρόαση, διάλογος, ανθεκτικότητα, κατανόηση, σεβασμός και εκτίμηση των άλλων, κριτική σκέψη, αυτοδιδασκαλία, και παραμένοντας περίεργοι και προσανατολισμένοι στα αποτελέσματα. Οι εκπαιδευτικοί θα πρέπει να εκπαιδεύονται στη μετάδοση αυτών των δεξιοτήτων σε στενή συνεργασία με κοινωνικούς λειτουργούς ή/και ψυχολόγους. Άλλες προτάσεις για την εφαρμογή: η οργάνωση προγραμμάτων ανταλλαγής μαθητών μεταξύ σχολείων, η συμμετοχή σε διασχολικές αθλητικές και πολιτιστικές εκδηλώσεις κ.λπ. </w:t>
      </w:r>
    </w:p>
    <w:p>
      <w:pPr>
        <w:pStyle w:val="Normal"/>
        <w:rPr/>
      </w:pPr>
      <w:r>
        <w:rPr/>
        <w:t xml:space="preserve"> </w:t>
      </w:r>
    </w:p>
    <w:p>
      <w:pPr>
        <w:pStyle w:val="Normal"/>
        <w:rPr/>
      </w:pPr>
      <w:r>
        <w:rPr/>
        <w:t xml:space="preserve">Κάνουμε αυτή τη σύσταση επειδή οι μη τεχνικές δεξιότητες είναι απαραίτητες βασικές δεξιότητες που χάνονται στην ψηφιακή εποχή και που οι νέοι μας θα χρειαστούν απολύτως στη μελλοντική τους ζωή. Αυτός είναι ο λόγος για τον οποίο επιμένουμε στην ενσωμάτωση αυτών των δεξιοτήτων στα σχολικά προγράμματα για να βοηθήσουμε τους νέους να είναι ανθεκτικοί και να αποφεύγουν ή να ξεπεράσουν ψυχικά προβλήματα που μπορεί να αντιμετωπίσουν στη μελλοντική τους ζωή. Οι κοινωνικές δεξιότητες ενισχύουν τις σχέσεις μεταξύ ανθρώπων και επομένως βοηθούν τους ανθρώπους να βρουν τη θέση τους στην κοινωνία. </w:t>
      </w:r>
    </w:p>
    <w:p>
      <w:pPr>
        <w:pStyle w:val="Normal"/>
        <w:rPr/>
      </w:pPr>
      <w:r>
        <w:rPr/>
        <w:t xml:space="preserve"> </w:t>
      </w:r>
    </w:p>
    <w:p>
      <w:pPr>
        <w:pStyle w:val="P68B1DB1Normal15"/>
        <w:rPr>
          <w:b/>
          <w:b/>
        </w:rPr>
      </w:pPr>
      <w:r>
        <w:rPr/>
        <w:t xml:space="preserve">6. Συνιστούμε, σε περίπτωση σοβαρής κρίσης (υγειονομική κρίση, πόλεμος κ.λπ.), να είναι έτοιμα να αναπτυχθούν ευέλικτα σχέδια με λεπτομερή σενάρια, προκειμένου να ελαχιστοποιηθούν οι επιπτώσεις στην εκπαίδευση, την επαγγελματική κατάρτιση και την ψυχική ευεξία των νέων μας κ.λπ. αύξηση του κόστους εκπαίδευσης ή κατάρτισης, υποχρεωτική επέκταση των σπουδών, αδυναμία ολοκλήρωσης πρακτικής άσκησης, αύξηση των προβλημάτων ψυχικής υγείας. Τα σχέδια αυτά πρέπει να εφαρμοστούν κατά τρόπο ώστε να ελαχιστοποιούνται οι επιπτώσεις στους νέους και η μετάβασή τους στην αγορά εργασίας. </w:t>
      </w:r>
    </w:p>
    <w:p>
      <w:pPr>
        <w:pStyle w:val="Normal"/>
        <w:rPr/>
      </w:pPr>
      <w:r>
        <w:rPr/>
        <w:t xml:space="preserve"> </w:t>
      </w:r>
    </w:p>
    <w:p>
      <w:pPr>
        <w:pStyle w:val="Normal"/>
        <w:rPr/>
      </w:pPr>
      <w:r>
        <w:rPr/>
        <w:t xml:space="preserve">Κάνουμε αυτή τη σύσταση επειδή οι νέοι είναι πολύ ευάλωτοι σε περιόδους κρίσης. </w:t>
      </w:r>
    </w:p>
    <w:p>
      <w:pPr>
        <w:pStyle w:val="Normal"/>
        <w:rPr/>
      </w:pPr>
      <w:r>
        <w:rPr/>
        <w:t xml:space="preserve"> </w:t>
      </w:r>
    </w:p>
    <w:p>
      <w:pPr>
        <w:pStyle w:val="Titre4"/>
        <w:numPr>
          <w:ilvl w:val="3"/>
          <w:numId w:val="2"/>
        </w:numPr>
        <w:rPr/>
      </w:pPr>
      <w:bookmarkStart w:id="109" w:name="__RefHeading___Toc297153_1346298689"/>
      <w:bookmarkEnd w:id="109"/>
      <w:r>
        <w:rPr/>
        <w:t xml:space="preserve">Υποάξονας 1.3 Ψηφιακός μετασχηματισμός στην εργασία </w:t>
      </w:r>
    </w:p>
    <w:p>
      <w:pPr>
        <w:pStyle w:val="Normal"/>
        <w:rPr/>
      </w:pPr>
      <w:r>
        <w:rPr/>
        <w:t xml:space="preserve"> </w:t>
      </w:r>
    </w:p>
    <w:p>
      <w:pPr>
        <w:pStyle w:val="P68B1DB1Normal15"/>
        <w:rPr>
          <w:b/>
          <w:b/>
        </w:rPr>
      </w:pPr>
      <w:r>
        <w:rPr/>
        <w:t xml:space="preserve">7. Συνιστούμε στην ΕΕ να θεσπίσει ή να ενισχύσει την ισχύουσα νομοθεσία για την έξυπνη εργασία, δηλαδή επιγραμμική και εξ αποστάσεως εργασία, π.χ. κατ’ οίκον ή από άλλο συνδεδεμένο διαδικτυακό τόπο. Συνιστούμε επίσης στην ΕΕ να νομοθετήσει για να ενθαρρύνει τις εταιρείες να είναι κοινωνικά υπεύθυνες και να διατηρούν ποιοτικές θέσεις εργασίας σε κινητές συσκευές στην ΕΕ. Τα κίνητρα μπορούν να έχουν οικονομικό χαρακτήρα και/ή να επηρεάζουν την εταιρική εικόνα και θα πρέπει να λαμβάνουν υπόψη διεθνώς αναγνωρισμένα περιβαλλοντικά, κοινωνικά και σχετικά με τη διακυβέρνηση κριτήρια. Για τον σκοπό αυτό, η ΕΕ θα πρέπει να συγκροτήσει ομάδα εργασίας αποτελούμενη από εμπειρογνώμονες από όλα τα ενδιαφερόμενα μέρη, προκειμένου να επανεξετάσει και να ενισχύσει τη νομοθεσία αυτή. </w:t>
      </w:r>
    </w:p>
    <w:p>
      <w:pPr>
        <w:pStyle w:val="Normal"/>
        <w:rPr/>
      </w:pPr>
      <w:r>
        <w:rPr/>
        <w:t xml:space="preserve"> </w:t>
      </w:r>
    </w:p>
    <w:p>
      <w:pPr>
        <w:pStyle w:val="Normal"/>
        <w:rPr/>
      </w:pPr>
      <w:r>
        <w:rPr/>
        <w:t xml:space="preserve">Κάνουμε αυτή τη σύσταση, διότι πρέπει να προωθήσουμε ποιοτικές κινητές θέσεις εργασίας και να αποφύγουμε τη μετεγκατάστασή τους σε τρίτες χώρες με χαμηλότερο κόστος. Η πανδημία COVID-19 και οι παγκόσμιες οικονομικές τάσεις επιτείνουν τον επείγοντα χαρακτήρα της προστασίας των θέσεων εργασίας στην ΕΕ και της ρύθμισης της κινητής εργασίας. </w:t>
      </w:r>
    </w:p>
    <w:p>
      <w:pPr>
        <w:pStyle w:val="Normal"/>
        <w:rPr/>
      </w:pPr>
      <w:r>
        <w:rPr/>
        <w:t xml:space="preserve"> </w:t>
      </w:r>
    </w:p>
    <w:p>
      <w:pPr>
        <w:pStyle w:val="P68B1DB1Normal15"/>
        <w:rPr>
          <w:b/>
          <w:b/>
        </w:rPr>
      </w:pPr>
      <w:r>
        <w:rPr/>
        <w:t xml:space="preserve">8. Συνιστούμε στην ΕΕ να εγγυηθεί το δικαίωμα στην ψηφιακή κατάρτιση για όλους τους πολίτες της ΕΕ. Ειδικότερα, οι ψηφιακές δεξιότητες των νέων θα μπορούσαν να ενισχυθούν με την εισαγωγή πιστοποιητικού της ΕΕ στα σχολεία, το οποίο θα τους προετοιμάσει για τη μελλοντική αγορά εργασίας. Συνιστούμε επίσης ειδική κατάρτιση σε επίπεδο ΕΕ για την επανειδίκευση και την αναβάθμιση των δεξιοτήτων των εργαζομένων, ώστε να παραμείνουν ανταγωνιστικοί στην αγορά εργασίας. Τέλος, συνιστούμε στην ΕΕ να αυξήσει την ευαισθητοποίηση σχετικά με τις υφιστάμενες ψηφιακές πλατφόρμες που συνδέουν τους πολίτες με τους εργοδότες και τους βοηθούν να βρουν θέσεις εργασίας στην ΕΕ, π.χ. το EURES. </w:t>
      </w:r>
    </w:p>
    <w:p>
      <w:pPr>
        <w:pStyle w:val="Normal"/>
        <w:rPr/>
      </w:pPr>
      <w:r>
        <w:rPr/>
        <w:t xml:space="preserve"> </w:t>
      </w:r>
    </w:p>
    <w:p>
      <w:pPr>
        <w:pStyle w:val="Normal"/>
        <w:rPr/>
      </w:pPr>
      <w:r>
        <w:rPr/>
        <w:t xml:space="preserve">Κάνουμε αυτή τη σύσταση, διότι οι πιστοποιημένες ψηφιακές δεξιότητες είναι απαραίτητες για την πρόσβαση στην αγορά εργασίας και για την επανεκπαίδευση και τη διατήρηση της ανταγωνιστικότητας των εργαζομένων. </w:t>
      </w:r>
    </w:p>
    <w:p>
      <w:pPr>
        <w:pStyle w:val="Normal"/>
        <w:rPr/>
      </w:pPr>
      <w:r>
        <w:rPr/>
        <w:t xml:space="preserve"> </w:t>
      </w:r>
    </w:p>
    <w:p>
      <w:pPr>
        <w:pStyle w:val="Titre3"/>
        <w:numPr>
          <w:ilvl w:val="2"/>
          <w:numId w:val="2"/>
        </w:numPr>
        <w:rPr/>
      </w:pPr>
      <w:bookmarkStart w:id="110" w:name="__RefHeading___Toc297155_1346298689"/>
      <w:bookmarkEnd w:id="110"/>
      <w:r>
        <w:rPr/>
        <w:t xml:space="preserve">Άξονας 2 Μια οικονομία προσανατολισμένη στο μέλλον </w:t>
      </w:r>
    </w:p>
    <w:p>
      <w:pPr>
        <w:pStyle w:val="Normal"/>
        <w:rPr/>
      </w:pPr>
      <w:r>
        <w:rPr/>
        <w:t xml:space="preserve"> </w:t>
      </w:r>
    </w:p>
    <w:p>
      <w:pPr>
        <w:pStyle w:val="Titre4"/>
        <w:numPr>
          <w:ilvl w:val="3"/>
          <w:numId w:val="2"/>
        </w:numPr>
        <w:rPr/>
      </w:pPr>
      <w:bookmarkStart w:id="111" w:name="__RefHeading___Toc297157_1346298689"/>
      <w:bookmarkEnd w:id="111"/>
      <w:r>
        <w:rPr/>
        <w:t xml:space="preserve">Υποάξονας 2.1 Καινοτομία και ευρωπαϊκή ανταγωνιστικότητα </w:t>
      </w:r>
    </w:p>
    <w:p>
      <w:pPr>
        <w:pStyle w:val="Normal"/>
        <w:rPr/>
      </w:pPr>
      <w:r>
        <w:rPr/>
        <w:t xml:space="preserve"> </w:t>
      </w:r>
    </w:p>
    <w:p>
      <w:pPr>
        <w:pStyle w:val="P68B1DB1Normal15"/>
        <w:rPr>
          <w:b/>
          <w:b/>
        </w:rPr>
      </w:pPr>
      <w:r>
        <w:rPr/>
        <w:t xml:space="preserve">9. Συνιστούμε στην ΕΕ να δημιουργήσει ευκαιρίες για επενδύσεις στην έρευνα και την καινοτομία για διάφορους φορείς (πανεπιστήμια, επιχειρήσεις, ερευνητικά ιδρύματα κ.λπ.) με σκοπό την ανάπτυξη: </w:t>
      </w:r>
    </w:p>
    <w:p>
      <w:pPr>
        <w:pStyle w:val="P68B1DB1Normal15"/>
        <w:rPr>
          <w:b/>
          <w:b/>
        </w:rPr>
      </w:pPr>
      <w:r>
        <w:rPr/>
        <w:t xml:space="preserve">● </w:t>
      </w:r>
      <w:r>
        <w:rPr/>
        <w:t xml:space="preserve">νέα, πιο βιώσιμα και βιοποικιλοποιημένα υλικά για την αντικατάσταση εκείνων που χρησιμοποιούνται επί του παρόντος, </w:t>
      </w:r>
    </w:p>
    <w:p>
      <w:pPr>
        <w:pStyle w:val="P68B1DB1Normal15"/>
        <w:rPr>
          <w:b/>
          <w:b/>
        </w:rPr>
      </w:pPr>
      <w:r>
        <w:rPr/>
        <w:t xml:space="preserve">● </w:t>
      </w:r>
      <w:r>
        <w:rPr/>
        <w:t xml:space="preserve">καινοτόμες χρήσεις των υφιστάμενων υλικών (με βάση, μεταξύ άλλων, την ανακύκλωση και τις τεχνικές αιχμής με το χαμηλότερο περιβαλλοντικό αποτύπωμα). </w:t>
      </w:r>
    </w:p>
    <w:p>
      <w:pPr>
        <w:pStyle w:val="Normal"/>
        <w:rPr/>
      </w:pPr>
      <w:r>
        <w:rPr>
          <w:b/>
        </w:rPr>
        <w:t>Συνιστούμε να αποτελέσει μόνιμη και μακροπρόθεσμη δέσμευση της ΕΕ (τουλάχιστον έως το 2050).</w:t>
      </w:r>
      <w:r>
        <w:rPr/>
        <w:t xml:space="preserve"> </w:t>
      </w:r>
    </w:p>
    <w:p>
      <w:pPr>
        <w:pStyle w:val="Normal"/>
        <w:rPr/>
      </w:pPr>
      <w:r>
        <w:rPr/>
        <w:t xml:space="preserve"> </w:t>
      </w:r>
    </w:p>
    <w:p>
      <w:pPr>
        <w:pStyle w:val="Normal"/>
        <w:rPr/>
      </w:pPr>
      <w:r>
        <w:rPr/>
        <w:t xml:space="preserve">Κάνουμε αυτή τη σύσταση επειδή ζούμε σε έναν πλανήτη με περιορισμένους πόρους. Για να έχουμε ένα μέλλον, πρέπει να προστατεύσουμε το κλίμα και να αναζητήσουμε εναλλακτικές λύσεις που σέβονται τον πλανήτη. Θέλουμε επίσης η ΕΕ να καταστεί ηγετικός παράγοντας σε αυτόν τον τομέα, με ισχυρό ανταγωνιστικό πλεονέκτημα στη διεθνή σκηνή. Η σύσταση αποσκοπεί στην παραγωγή καινοτόμων αποτελεσμάτων που μπορούν να εφαρμοστούν σε μεγάλη κλίμακα και μπορούν να εφαρμοστούν σε διάφορους τομείς και χώρες. Θα έχει επίσης θετικό αντίκτυπο στην οικονομία και την αγορά εργασίας μέσω της δημιουργίας νέων ευκαιριών απασχόλησης στον τομέα της βιώσιμης καινοτομίας. Θα μπορούσε να συμβάλει στην καταπολέμηση των κοινωνικών αδικιών στο βαθμό που τα σημερινά μέσα παραγωγής, που βασίζονται στην εκμετάλλευση, θα αντικατασταθούν από άλλα, πιο ηθικά. </w:t>
      </w:r>
    </w:p>
    <w:p>
      <w:pPr>
        <w:pStyle w:val="Normal"/>
        <w:rPr/>
      </w:pPr>
      <w:r>
        <w:rPr/>
        <w:t xml:space="preserve"> </w:t>
      </w:r>
    </w:p>
    <w:p>
      <w:pPr>
        <w:pStyle w:val="P68B1DB1Normal15"/>
        <w:rPr>
          <w:b/>
          <w:b/>
        </w:rPr>
      </w:pPr>
      <w:r>
        <w:rPr/>
        <w:t xml:space="preserve">10. Συνιστούμε στην ΕΕ να δεσμεύεται συνεχώς μακροπρόθεσμα να αυξήσει σημαντικά το μερίδιό της σε ενέργεια που παράγεται με βιώσιμο τρόπο, χρησιμοποιώντας ένα ευρύ φάσμα ανανεώσιμων πηγών με το χαμηλότερο περιβαλλοντικό αποτύπωμα (με βάση μια ολοκληρωμένη ανάλυση του κύκλου ζωής). Επιπλέον, η ΕΕ θα πρέπει να επενδύσει στη βελτίωση και τη διατήρηση της ποιότητας των υποδομών και του δικτύου ηλεκτρικής ενέργειας. Συνιστούμε επίσης να αναγνωριστεί η πρόσβαση στην ενέργεια και η οικονομική προσιτότητα ως θεμελιώδες δικαίωμα των πολιτών. </w:t>
      </w:r>
    </w:p>
    <w:p>
      <w:pPr>
        <w:pStyle w:val="P68B1DB1Normal15"/>
        <w:rPr>
          <w:b/>
          <w:b/>
        </w:rPr>
      </w:pPr>
      <w:r>
        <w:rPr/>
        <w:t xml:space="preserve"> </w:t>
      </w:r>
    </w:p>
    <w:p>
      <w:pPr>
        <w:pStyle w:val="Normal"/>
        <w:rPr/>
      </w:pPr>
      <w:r>
        <w:rPr/>
        <w:t xml:space="preserve">Κάνουμε αυτή τη σύσταση για τους ακόλουθους λόγους: </w:t>
      </w:r>
    </w:p>
    <w:p>
      <w:pPr>
        <w:pStyle w:val="Normal"/>
        <w:rPr/>
      </w:pPr>
      <w:r>
        <w:rPr/>
        <w:t xml:space="preserve">● </w:t>
      </w:r>
      <w:r>
        <w:rPr/>
        <w:t xml:space="preserve">η διαφοροποίηση των πηγών ενέργειας (συμπεριλαμβανομένης της ηλιακής, της αιολικής ενέργειας, του υδρογόνου, του θαλάσσιου νερού ή οποιασδήποτε άλλης μελλοντικής βιώσιμης μεθόδου) θα καταστήσει την ΕΕ πιο ανεξάρτητη από άποψη ενέργειας· </w:t>
      </w:r>
    </w:p>
    <w:p>
      <w:pPr>
        <w:pStyle w:val="Normal"/>
        <w:rPr/>
      </w:pPr>
      <w:r>
        <w:rPr/>
        <w:t xml:space="preserve">● </w:t>
      </w:r>
      <w:r>
        <w:rPr/>
        <w:t xml:space="preserve">θα μειώσει το κόστος ηλεκτρικής ενέργειας για τους πολίτες της ΕΕ· </w:t>
      </w:r>
    </w:p>
    <w:p>
      <w:pPr>
        <w:pStyle w:val="Normal"/>
        <w:rPr/>
      </w:pPr>
      <w:r>
        <w:rPr/>
        <w:t xml:space="preserve">● </w:t>
      </w:r>
      <w:r>
        <w:rPr/>
        <w:t xml:space="preserve">θα δημιουργήσει θέσεις εργασίας και θα αναδιαρθρώσει την αγορά ενέργειας (ιδίως σε περιφέρειες που έχουν μέχρι στιγμής βασιστεί στα ορυκτά καύσιμα)· </w:t>
      </w:r>
    </w:p>
    <w:p>
      <w:pPr>
        <w:pStyle w:val="Normal"/>
        <w:rPr/>
      </w:pPr>
      <w:r>
        <w:rPr/>
        <w:t xml:space="preserve">● </w:t>
      </w:r>
      <w:r>
        <w:rPr/>
        <w:t xml:space="preserve">θα μπορούσε να ενθαρρύνει την επιστημονική ανάπτυξη καινοτόμων τεχνικών ενεργειακού εφοδιασμού· </w:t>
      </w:r>
    </w:p>
    <w:p>
      <w:pPr>
        <w:pStyle w:val="Normal"/>
        <w:rPr/>
      </w:pPr>
      <w:r>
        <w:rPr/>
        <w:t xml:space="preserve">● </w:t>
      </w:r>
      <w:r>
        <w:rPr/>
        <w:t xml:space="preserve">η ποιότητα της ηλεκτρικής υποδομής και του δικτύου είναι εξίσου σημαντική με τις πηγές ενέργειας, καθώς επιτρέπει την ομαλή, αποδοτική και οικονομικά προσιτή διανομή και μεταφορά ενέργειας. </w:t>
      </w:r>
    </w:p>
    <w:p>
      <w:pPr>
        <w:pStyle w:val="Normal"/>
        <w:rPr/>
      </w:pPr>
      <w:r>
        <w:rPr/>
        <w:t xml:space="preserve"> </w:t>
      </w:r>
    </w:p>
    <w:p>
      <w:pPr>
        <w:pStyle w:val="P68B1DB1Normal15"/>
        <w:rPr>
          <w:b/>
          <w:b/>
        </w:rPr>
      </w:pPr>
      <w:r>
        <w:rPr/>
        <w:t xml:space="preserve">11. Συνιστούμε στην ΕΕ να προωθήσει ενεργά πιο οικολογικές διαδικασίες παραγωγής επιχορηγώντας ή ανταμείβοντας με άλλο τρόπο εταιρείες που επενδύουν στη μείωση του περιβαλλοντικού κόστους της παραγωγής τους. Ζητούμε επίσης να καταβληθούν προσπάθειες για την ανάπτυξη μεταβιομηχανικών χώρων και τη δημιουργία προστατευόμενων χώρων πρασίνου γύρω από τις υπάρχουσες περιοχές. Οι εταιρείες θα πρέπει να υποχρεούνται να χρηματοδοτούν αυτές τις προσπάθειες, τουλάχιστον εν μέρει, με δικά τους χρήματα. </w:t>
      </w:r>
    </w:p>
    <w:p>
      <w:pPr>
        <w:pStyle w:val="Normal"/>
        <w:rPr/>
      </w:pPr>
      <w:r>
        <w:rPr/>
        <w:t xml:space="preserve"> </w:t>
      </w:r>
    </w:p>
    <w:p>
      <w:pPr>
        <w:pStyle w:val="Normal"/>
        <w:rPr/>
      </w:pPr>
      <w:r>
        <w:rPr/>
        <w:t xml:space="preserve">Κάνουμε αυτή τη σύσταση επειδή οι διαδικασίες παραγωγής αποτελούν σημαντικό μέρος της αλυσίδας εφοδιασμού. Το να γίνουν πιο φιλικά προς το περιβάλλον θα μπορούσε να μειώσει σημαντικά τον αντίκτυπό μας στο κλίμα. Πιστεύουμε ότι οι εταιρείες και οι βιομηχανίες θα πρέπει να λογοδοτήσουν για τον τρόπο με τον οποίο παράγουν τα προϊόντα τους (συμπεριλαμβανομένων μέτρων για την αναζωογόνηση και την προστασία του περιβάλλοντος). Ο οικολογικός προσανατολισμός των παραγωγικών διαδικασιών προετοιμάζει επίσης τις επιχειρήσεις για το μέλλον και ενισχύει την ανθεκτικότητά τους (η οποία προστατεύει τις θέσεις εργασίας). </w:t>
      </w:r>
    </w:p>
    <w:p>
      <w:pPr>
        <w:pStyle w:val="Normal"/>
        <w:rPr/>
      </w:pPr>
      <w:r>
        <w:rPr/>
      </w:r>
    </w:p>
    <w:p>
      <w:pPr>
        <w:pStyle w:val="Titre4"/>
        <w:numPr>
          <w:ilvl w:val="3"/>
          <w:numId w:val="2"/>
        </w:numPr>
        <w:rPr/>
      </w:pPr>
      <w:bookmarkStart w:id="112" w:name="__RefHeading___Toc297159_1346298689"/>
      <w:bookmarkEnd w:id="112"/>
      <w:r>
        <w:rPr/>
        <w:t xml:space="preserve">Υποάξονας 2.2 Βιώσιμη οικονομία/Υποάξονας 2.3 Φορολογία </w:t>
      </w:r>
    </w:p>
    <w:p>
      <w:pPr>
        <w:pStyle w:val="Normal"/>
        <w:rPr/>
      </w:pPr>
      <w:r>
        <w:rPr/>
        <w:t xml:space="preserve"> </w:t>
      </w:r>
    </w:p>
    <w:p>
      <w:pPr>
        <w:pStyle w:val="P68B1DB1Normal15"/>
        <w:rPr>
          <w:b/>
          <w:b/>
        </w:rPr>
      </w:pPr>
      <w:r>
        <w:rPr/>
        <w:t xml:space="preserve">12. Συνιστούμε την εγκατάλειψη των πλαστικών συσκευασιών και τη γενίκευση των επαναχρησιμοποιήσιμων συσκευασιών. Θα πρέπει να δοθούν κίνητρα στους καταναλωτές και τις επιχειρήσεις, ώστε να μην είναι ακριβότερο για τον καταναλωτή να αγοράζει χύδην προϊόντα («χύμα» στα αγγλικά ή «sfuso» στα ιταλικά) από τα συσκευασμένα προϊόντα. Οι εταιρείες που συμβάλλουν σε αυτή τη μετάβαση θα πρέπει να επωφελούνται από φορολογικά πλεονεκτήματα και άλλες θα πρέπει να πληρώνουν περισσότερους φόρους. Τα προϊόντα που δεν μπορούν να επαναχρησιμοποιηθούν θα πρέπει να είναι ανακυκλώσιμα και/ή βιοαποικοδομήσιμα. Είναι αναγκαίο να συσταθεί δημόσιος ή εποπτικός φορέας αρμόδιος για την παρακολούθηση, τον καθορισμό των κανόνων και τη διάδοσή τους σε όλους. Συνιστάται η εκπαίδευση και η επικοινωνία — μεταξύ άλλων μέσω των μέσων κοινωνικής δικτύωσης — σχετικά με αυτές τις δράσεις, με την προσέγγιση τόσο των επιχειρήσεων όσο και των καταναλωτών για να αλλάξουν τη μακροπρόθεσμη συμπεριφορά τους. Οι εταιρείες (π.χ. κατασκευαστικές εταιρείες) θα πρέπει να ενθαρρυνθούν και να βοηθηθούν στην εξεύρεση των καλύτερων λύσεων για τα απόβλητά τους. </w:t>
      </w:r>
    </w:p>
    <w:p>
      <w:pPr>
        <w:pStyle w:val="Normal"/>
        <w:rPr/>
      </w:pPr>
      <w:r>
        <w:rPr/>
        <w:t xml:space="preserve"> </w:t>
      </w:r>
    </w:p>
    <w:p>
      <w:pPr>
        <w:pStyle w:val="Normal"/>
        <w:rPr/>
      </w:pPr>
      <w:r>
        <w:rPr/>
        <w:t xml:space="preserve">Κάνουμε αυτή τη σύσταση, γιατί όλοι πρέπει να είμαστε υπεύθυνοι για τις ενέργειές μας. Γι’ αυτό πρέπει να επανεξετάσουμε όλες τις διαδικασίες παραγωγής. Η ανακύκλωση απαιτεί πολλούς πόρους (νερό, ενέργεια) και ως εκ τούτου δεν μπορεί να είναι η μόνη λύση, γι’ αυτό και προσφέρουμε να πουλάμε τα προϊόντα χύδην. Ανακύκλωση θα πρέπει να χρησιμοποιείται μόνο για εύκολα ανακυκλώσιμα υλικά, και έχουμε μάθει από το φινλανδικό παράδειγμα ότι είναι δυνατή η ανακύκλωση σε μεγάλη κλίμακα. </w:t>
      </w:r>
    </w:p>
    <w:p>
      <w:pPr>
        <w:pStyle w:val="Normal"/>
        <w:rPr/>
      </w:pPr>
      <w:r>
        <w:rPr/>
      </w:r>
    </w:p>
    <w:p>
      <w:pPr>
        <w:pStyle w:val="P68B1DB1Normal15"/>
        <w:rPr>
          <w:b/>
          <w:b/>
        </w:rPr>
      </w:pPr>
      <w:r>
        <w:rPr/>
        <w:t xml:space="preserve">13. Συνιστούμε τη θέσπιση των ίδιων φορολογικών κανόνων σε ολόκληρη την Ευρώπη και την εναρμόνιση της φορολογικής πολιτικής σε ολόκληρη την ΕΕ. Η εναρμόνιση σε αυτόν τον τομέα θα πρέπει να αφήνει περιθώρια στα επιμέρους κράτη μέλη να θεσπίζουν τους δικούς τους κανόνες, αποφεύγοντας παράλληλα τη φοροδιαφυγή. Θα θέσει τέλος στις επιζήμιες φορολογικές πρακτικές και στον φορολογικό ανταγωνισμό. Οι φόροι θα πρέπει να επιβάλλονται στις εμπορικές συναλλαγές στις οποίες πραγματοποιούνται: όταν μια εταιρεία πουλάει σε μια χώρα, θα πρέπει να πληρώνει φόρους σε αυτή τη χώρα. Οι νέοι αυτοί κανόνες θα έχουν ως στόχο να αποτρέψουν τη μετεγκατάσταση και να διασφαλίσουν ότι η παραγωγή και οι συναλλαγές πραγματοποιούνται μεταξύ των ευρωπαϊκών χωρών. </w:t>
      </w:r>
    </w:p>
    <w:p>
      <w:pPr>
        <w:pStyle w:val="Normal"/>
        <w:rPr/>
      </w:pPr>
      <w:r>
        <w:rPr/>
        <w:t xml:space="preserve"> </w:t>
      </w:r>
    </w:p>
    <w:p>
      <w:pPr>
        <w:pStyle w:val="Normal"/>
        <w:rPr/>
      </w:pPr>
      <w:r>
        <w:rPr/>
        <w:t xml:space="preserve">Κάνουμε αυτή τη σύσταση για την προστασία και την ανάπτυξη της απασχόλησης και της οικονομικής δραστηριότητας στην Ευρώπη κατά τρόπο δίκαιο για όλα τα κράτη μέλη. Με αυτόν τον τρόπο, η Ευρώπη θα έχει μια κοινή αντίληψη για το φορολογικό σύστημα και η παράλογη μονοπωλιακή κατάσταση των πολύ μεγάλων εταιρειών που δεν πληρώνουν αρκετούς φόρους σε σύγκριση με τις μικρότερες εταιρείες θα τερματιστεί. Επιπλέον, οι χρηματοδοτικοί πόροι θα ανακατευθυνθούν στον τόπο διεξαγωγής εμπορικών δραστηριοτήτων. </w:t>
      </w:r>
    </w:p>
    <w:p>
      <w:pPr>
        <w:pStyle w:val="Normal"/>
        <w:rPr/>
      </w:pPr>
      <w:r>
        <w:rPr/>
        <w:t xml:space="preserve"> </w:t>
      </w:r>
    </w:p>
    <w:p>
      <w:pPr>
        <w:pStyle w:val="P68B1DB1Normal15"/>
        <w:rPr>
          <w:b/>
          <w:b/>
        </w:rPr>
      </w:pPr>
      <w:r>
        <w:rPr/>
        <w:t xml:space="preserve">14. Σας συνιστούμε να αφαιρέσετε το προγραμματισμένο σύστημα απαξίωσης από όλες τις ηλεκτρονικές συσκευές. Η αλλαγή θα πρέπει να πραγματοποιηθεί τόσο μεμονωμένα όσο και εμπορικά, ώστε να διασφαλιστεί ότι οι συσκευές μπορούν να επισκευαστούν και να αναβαθμιστούν μακροπρόθεσμα και μπορούν να διατηρηθούν για μεγάλο χρονικό διάστημα. Συνιστούμε την προώθηση ανακαινισμένων συσκευών. Οι κανονισμοί θα πρέπει να απαιτούν από τις εταιρείες να εγγυώνται το δικαίωμα επισκευής, συμπεριλαμβανομένων των αναβαθμίσεων λογισμικού και των επικαιροποιήσεων, καθώς και να ανακυκλώνουν όλες τις συσκευές μακροπρόθεσμα. Συνιστάται επίσης κάθε εταιρεία να χρησιμοποιεί τυποποιημένους συνδετήρες. </w:t>
      </w:r>
    </w:p>
    <w:p>
      <w:pPr>
        <w:pStyle w:val="P68B1DB1Normal15"/>
        <w:rPr>
          <w:b/>
          <w:b/>
        </w:rPr>
      </w:pPr>
      <w:r>
        <w:rPr/>
        <w:t xml:space="preserve"> </w:t>
      </w:r>
    </w:p>
    <w:p>
      <w:pPr>
        <w:pStyle w:val="Normal"/>
        <w:rPr/>
      </w:pPr>
      <w:r>
        <w:rPr/>
        <w:t xml:space="preserve">Κάνουμε αυτή τη σύσταση επειδή, στον σύγχρονο κόσμο, τα προϊόντα τείνουν να διαρκούν δύο χρόνια και η επιθυμία μας είναι να έχουν μια πολύ μεγαλύτερη διάρκεια ζωής, περίπου 10 χρόνια. Η πρόταση αυτή θα έχει θετικό αντίκτυπο στην κλιματική αλλαγή και την οικολογία. Θα μειώσει επίσης το κόστος για τους καταναλωτές, καθώς και τον καταναλωτισμό. </w:t>
      </w:r>
    </w:p>
    <w:p>
      <w:pPr>
        <w:pStyle w:val="Normal"/>
        <w:rPr/>
      </w:pPr>
      <w:r>
        <w:rPr/>
      </w:r>
    </w:p>
    <w:p>
      <w:pPr>
        <w:pStyle w:val="P68B1DB1Normal15"/>
        <w:rPr>
          <w:b/>
          <w:b/>
        </w:rPr>
      </w:pPr>
      <w:r>
        <w:rPr/>
        <w:t xml:space="preserve">15. Σας συνιστούμε να βοηθήσετε όλους να μάθουν περισσότερα για το περιβάλλον μας και τους δεσμούς του με την ατομική υγεία μέσω της εκπαίδευσης. Οι εκπαιδευτικές διαδρομές θα βοηθήσουν τον καθένα να καθορίσει τις δικές του προσωπικές στρατηγικές για να ενσωματώσει αυτά τα θέματα στην καθημερινή του ζωή. Αυτή η εκπαίδευση θα πρέπει να ξεκινήσει στο σχολείο με συγκεκριμένα θέματα που αφορούν όλα τα οικολογικά ζητήματα και θα πρέπει να συνεχίσουμε να εκπαιδεύουμε τους εαυτούς μας καθ’ όλη τη διάρκεια της ζωής μας (για παράδειγμα στην εργασία). Θα συμβάλει στη μείωση των αποβλήτων και στην προστασία του περιβάλλοντος και της ανθρώπινης υγείας και θα προωθήσει την τοπική κατανάλωση υγιεινών και μη επεξεργασμένων προϊόντων από τοπικούς παραγωγούς. Όσοι δεν κάνουν τίποτα για να μειώσουν τα απόβλητα τους θα πρέπει να λάβουν δωρεάν κατάρτιση σε αυτόν τον τομέα. Προκειμένου να προσαρμοστεί ο τρόπος ζωής, οι τιμές πρέπει να είναι δίκαιες τόσο για τον παραγωγό όσο και για τον καταναλωτή. Ως εκ τούτου, προτείνουμε στους μικρούς, φιλικούς προς το περιβάλλον τοπικούς παραγωγούς να επωφελούνται από φορολογικές απαλλαγές. </w:t>
      </w:r>
    </w:p>
    <w:p>
      <w:pPr>
        <w:pStyle w:val="Normal"/>
        <w:rPr/>
      </w:pPr>
      <w:r>
        <w:rPr/>
        <w:t xml:space="preserve"> </w:t>
      </w:r>
    </w:p>
    <w:p>
      <w:pPr>
        <w:pStyle w:val="Normal"/>
        <w:rPr/>
      </w:pPr>
      <w:r>
        <w:rPr/>
        <w:t xml:space="preserve">Κάνουμε αυτή τη σύσταση επειδή πιστεύουμε ότι πολλοί άνθρωποι δεν ανησυχούν ακόμα για αυτά τα θέματα. Αυτός είναι ο λόγος για τον οποίο πρέπει να τεθεί σε εφαρμογή η εκπαίδευση για όλους. Επιπλέον, τα τοπικά και υγιεινά προϊόντα τείνουν να είναι απρόσιτα για πολλούς ανθρώπους. Πρέπει να διασφαλίσουμε ότι τα τοπικά προϊόντα είναι ευρύτερα προσβάσιμα σε όλους. </w:t>
      </w:r>
    </w:p>
    <w:p>
      <w:pPr>
        <w:pStyle w:val="Normal"/>
        <w:rPr/>
      </w:pPr>
      <w:r>
        <w:rPr/>
      </w:r>
    </w:p>
    <w:p>
      <w:pPr>
        <w:pStyle w:val="Titre4"/>
        <w:numPr>
          <w:ilvl w:val="3"/>
          <w:numId w:val="2"/>
        </w:numPr>
        <w:rPr/>
      </w:pPr>
      <w:bookmarkStart w:id="113" w:name="__RefHeading___Toc297161_1346298689"/>
      <w:bookmarkEnd w:id="113"/>
      <w:r>
        <w:rPr/>
        <w:t xml:space="preserve">Υποάξονας 2.4 Γεωργία/Υποάξονας 2.5 Ψηφιακή υποδομή </w:t>
      </w:r>
    </w:p>
    <w:p>
      <w:pPr>
        <w:pStyle w:val="Normal"/>
        <w:rPr/>
      </w:pPr>
      <w:r>
        <w:rPr/>
        <w:t xml:space="preserve"> </w:t>
      </w:r>
    </w:p>
    <w:p>
      <w:pPr>
        <w:pStyle w:val="P68B1DB1Normal15"/>
        <w:rPr>
          <w:b/>
          <w:b/>
        </w:rPr>
      </w:pPr>
      <w:r>
        <w:rPr/>
        <w:t xml:space="preserve">16. Συνιστούμε την εφαρμογή ενός κοινού ευρωπαϊκού συστήματος επισήμανσης των καταναλωτών και των τροφίμων, το οποίο θα είναι εύκολα κατανοητό (π.χ. αλλεργιογόνα, χώρα προέλευσης κ.λπ.)· συνιστούμε τη διαφάνεια των εν εξελίξει διαδικασιών αδειοδότησης και την ψηφιοποίηση των πληροφοριών για τα προϊόντα μέσω μιας τυποποιημένης ευρωπαϊκής εφαρμογής που θα παρέχει πιο φιλική προς τον χρήστη πρόσβαση σε πληροφορίες και θα παρέχει πρόσθετες πληροφορίες για τα προϊόντα και την αλυσίδα παραγωγής. Διαπιστώνουμε επίσης την ανάγκη για έναν πραγματικά ανεξάρτητο φορέα που θα ρυθμίζει τα πρότυπα τροφίμων σε ολόκληρη την ΕΕ και θα διαθέτει νομοθετικές εξουσίες για την επιβολή κυρώσεων. </w:t>
      </w:r>
    </w:p>
    <w:p>
      <w:pPr>
        <w:pStyle w:val="Normal"/>
        <w:rPr/>
      </w:pPr>
      <w:r>
        <w:rPr/>
        <w:t xml:space="preserve"> </w:t>
      </w:r>
    </w:p>
    <w:p>
      <w:pPr>
        <w:pStyle w:val="Normal"/>
        <w:rPr/>
      </w:pPr>
      <w:r>
        <w:rPr/>
        <w:t xml:space="preserve">Κάνουμε αυτές τις συστάσεις, διότι όλοι οι πολίτες της ΕΕ θα πρέπει να μπορούν να βασίζονται στην ίδια ποιότητα τροφίμων. Η ακεραιότητα των τροφίμων είναι απαραίτητη για τη διασφάλιση της ασφάλειας των πολιτών. Οι συστάσεις αυτές διατυπώθηκαν για τη βελτίωση, με εναρμονισμένο τρόπο, της παρακολούθησης των διαδικασιών έγκρισης και της διαφάνειας της παραγωγής τροφίμων. </w:t>
      </w:r>
    </w:p>
    <w:p>
      <w:pPr>
        <w:pStyle w:val="Normal"/>
        <w:rPr/>
      </w:pPr>
      <w:r>
        <w:rPr/>
      </w:r>
    </w:p>
    <w:p>
      <w:pPr>
        <w:pStyle w:val="P68B1DB1Normal15"/>
        <w:rPr>
          <w:b/>
          <w:b/>
        </w:rPr>
      </w:pPr>
      <w:r>
        <w:rPr/>
        <w:t xml:space="preserve">17. Συνιστούμε οι υποδομές να ανήκουν στο κράτος για να αποφευχθεί η εμφάνιση μονοπωλίων στον τομέα των τηλεπικοινωνιών και των υπηρεσιών διαδικτύου. Η πρόσβαση στο διαδίκτυο θα πρέπει να είναι δικαίωμα· η ένταξη της σύνδεσης στο διαδίκτυο σε «λευκές περιοχές/νεκρές ζώνες» (περιοχές χωρίς πρόσβαση στο διαδίκτυο) θα πρέπει να αποτελεί προτεραιότητα. Όσον αφορά την πρόσβαση στο διαδίκτυο και τον εξοπλισμό πληροφορικής, τα παιδιά και οι οικογένειες αποτελούν προτεραιότητα, ιδίως όσον αφορά την εκπαίδευση και ιδίως σε περιόδους πανδημίας. Απαιτείται πρωτοβουλία για την υποστήριξη της εξ αποστάσεως εργασίας, για παράδειγμα με τη δημιουργία χώρων γραφείων με πρόσβαση σε γρήγορη και αξιόπιστη σύνδεση στο διαδίκτυο ή με την οργάνωση ψηφιακής κατάρτισης. </w:t>
      </w:r>
    </w:p>
    <w:p>
      <w:pPr>
        <w:pStyle w:val="Normal"/>
        <w:rPr/>
      </w:pPr>
      <w:r>
        <w:rPr/>
        <w:t xml:space="preserve"> </w:t>
      </w:r>
    </w:p>
    <w:p>
      <w:pPr>
        <w:pStyle w:val="Normal"/>
        <w:rPr/>
      </w:pPr>
      <w:r>
        <w:rPr/>
        <w:t xml:space="preserve">Κάνουμε αυτή τη σύσταση, διότι πρέπει να διασφαλίσουμε ότι ο ψηφιακός μετασχηματισμός θα γίνει δίκαια. Η πρόσβαση στο διαδίκτυο είναι θεμελιώδης για τη δημοκρατία και αποτελεί δικαίωμα όλων των ευρωπαίων πολιτών. </w:t>
      </w:r>
    </w:p>
    <w:p>
      <w:pPr>
        <w:pStyle w:val="Normal"/>
        <w:rPr/>
      </w:pPr>
      <w:r>
        <w:rPr/>
      </w:r>
    </w:p>
    <w:p>
      <w:pPr>
        <w:pStyle w:val="Normal"/>
        <w:rPr/>
      </w:pPr>
      <w:r>
        <w:rPr>
          <w:b/>
        </w:rPr>
        <w:t>18. Συνιστούμε τον σεβασμό των τοπικών εντόμων και την προστασία τους από τα χωροκατακτητικά είδη. Προτείνουμε επίσης να προωθήσουμε και να υπερασπιστούμε την υποχρέωση παροχής χώρων πρασίνου σε νέα έργα αστικοποίησης. Ζητούμε η βιοποικιλότητα να καταστεί υποχρεωτικό θέμα στα σχολεία και να αποτελέσει αντικείμενο σχολικών δραστηριοτήτων, π.χ. πρακτικών δραστηριοτήτων. Είναι σημαντικό να αυξηθεί η ευαισθητοποίηση του κοινού σχετικά με τη βιοποικιλότητα μέσω εκστρατειών στα μέσα ενημέρωσης και «ανταγωνισμών» που προωθούνται σε ολόκληρη την ΕΕ (διαγωνισμοί σε επίπεδο τοπικής κοινότητας). Συνιστούμε τον καθορισμό δεσμευτικών εθνικών στόχων σε όλα τα κράτη μέλη της ΕΕ για την αναδάσωση από αυτόχθονα δέντρα και την επαναφορά της τοπικής χλωρίδας</w:t>
      </w:r>
      <w:r>
        <w:rPr/>
        <w:t xml:space="preserve">. </w:t>
      </w:r>
    </w:p>
    <w:p>
      <w:pPr>
        <w:pStyle w:val="Normal"/>
        <w:rPr/>
      </w:pPr>
      <w:r>
        <w:rPr/>
        <w:t xml:space="preserve"> </w:t>
      </w:r>
    </w:p>
    <w:p>
      <w:pPr>
        <w:pStyle w:val="Normal"/>
        <w:rPr/>
      </w:pPr>
      <w:r>
        <w:rPr/>
        <w:t xml:space="preserve">Κάνουμε αυτή τη σύσταση, διότι η βιοποικιλότητα είναι απαραίτητη για το περιβάλλον, την ποιότητα ζωής και την καταπολέμηση της κλιματικής αλλαγής.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Άξονας 3 Μια δίκαιη κοινωνία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Υποάξονας 3.1 Κοινωνική ασφάλιση </w:t>
      </w:r>
    </w:p>
    <w:p>
      <w:pPr>
        <w:pStyle w:val="Normal"/>
        <w:rPr/>
      </w:pPr>
      <w:r>
        <w:rPr/>
        <w:t xml:space="preserve"> </w:t>
      </w:r>
    </w:p>
    <w:p>
      <w:pPr>
        <w:pStyle w:val="P68B1DB1Normal15"/>
        <w:rPr>
          <w:b/>
          <w:b/>
        </w:rPr>
      </w:pPr>
      <w:r>
        <w:rPr/>
        <w:t xml:space="preserve">19. Συνιστούμε την προώθηση ίσων δικαιωμάτων και κοινωνικών πολιτικών, συμπεριλαμβανομένων των πολιτικών για την υγεία, εναρμονισμένων σε ολόκληρη την ΕΕ, λαμβάνοντας υπόψη τους θεσπισμένους κανονισμούς και τις ελάχιστες απαιτήσεις σε ολόκληρη τη χώρα. </w:t>
      </w:r>
    </w:p>
    <w:p>
      <w:pPr>
        <w:pStyle w:val="Normal"/>
        <w:rPr/>
      </w:pPr>
      <w:r>
        <w:rPr/>
        <w:t xml:space="preserve"> </w:t>
      </w:r>
    </w:p>
    <w:p>
      <w:pPr>
        <w:pStyle w:val="Normal"/>
        <w:rPr/>
      </w:pPr>
      <w:r>
        <w:rPr/>
        <w:t xml:space="preserve">Κάνουμε αυτή τη σύσταση διότι υπάρχουν μεγάλες διαφορές μεταξύ των κρατών μελών όσον αφορά τις κοινωνικές πολιτικές, οι οποίες πρέπει να μειωθούν προκειμένου να διασφαλιστεί μια αξιοπρεπής ζωή για όλους τους πολίτες και να παρασχεθεί η απαραίτητη φροντίδα και υποστήριξη στα ευάλωτα άτομα για διάφορους λόγους (υγεία, ηλικία, γενετήσιος προσανατολισμός κ.λπ.). </w:t>
      </w:r>
    </w:p>
    <w:p>
      <w:pPr>
        <w:pStyle w:val="Normal"/>
        <w:rPr/>
      </w:pPr>
      <w:r>
        <w:rPr/>
      </w:r>
    </w:p>
    <w:p>
      <w:pPr>
        <w:pStyle w:val="P68B1DB1Normal15"/>
        <w:rPr>
          <w:b/>
          <w:b/>
        </w:rPr>
      </w:pPr>
      <w:r>
        <w:rPr/>
        <w:t xml:space="preserve">20. Συνιστούμε την προώθηση της κοινωνικής έρευνας και της έρευνας στον τομέα της υγείας στην ΕΕ, σύμφωνα με τις γραμμές προτεραιότητας που θεωρούνται δημόσιου συμφέροντος και εγκρίνονται από τα κράτη μέλη και προβλέπουν κατάλληλη χρηματοδότηση. Πρέπει να ενισχύσουμε τη συνεργασία μεταξύ τομέων εμπειρογνωμοσύνης, χωρών, κέντρων σπουδών (πανεπιστήμια κ.λπ.). </w:t>
      </w:r>
    </w:p>
    <w:p>
      <w:pPr>
        <w:pStyle w:val="Normal"/>
        <w:rPr/>
      </w:pPr>
      <w:r>
        <w:rPr/>
        <w:t xml:space="preserve"> </w:t>
      </w:r>
    </w:p>
    <w:p>
      <w:pPr>
        <w:pStyle w:val="Normal"/>
        <w:rPr/>
      </w:pPr>
      <w:r>
        <w:rPr/>
        <w:t xml:space="preserve">Κάνουμε αυτή τη σύσταση επειδή υπάρχουν πολλοί τομείς στους οποίους πρέπει να προχωρήσουμε και να εμβαθύνουμε τις γνώσεις μας. Η εμπειρία από την πανδημία παρέχει ένα παράδειγμα του τρόπου με τον οποίο η έρευνα είναι απαραίτητη για τη βελτίωση της ζωής, ότι η συνεργασία μεταξύ του δημόσιου και του ιδιωτικού τομέα και μεταξύ των κυβερνήσεων είναι απαραίτητη και ότι απαιτείται χρηματοδοτική στήριξη. </w:t>
      </w:r>
    </w:p>
    <w:p>
      <w:pPr>
        <w:pStyle w:val="Normal"/>
        <w:rPr/>
      </w:pPr>
      <w:r>
        <w:rPr/>
      </w:r>
    </w:p>
    <w:p>
      <w:pPr>
        <w:pStyle w:val="P68B1DB1Normal15"/>
        <w:rPr>
          <w:b/>
          <w:b/>
        </w:rPr>
      </w:pPr>
      <w:r>
        <w:rPr/>
        <w:t xml:space="preserve">21. Συνιστούμε στην ΕΕ να έχει αυξημένη αρμοδιότητα στον τομέα των κοινωνικών πολιτικών για την εναρμόνιση των ελάχιστων κανόνων και των συνταξιοδοτικών παροχών σε ολόκληρη την ΕΕ και τη θέσπιση νέων, βάσει ενδελεχούς διάγνωσης. Η ελάχιστη σύνταξη πρέπει να είναι πάνω από το όριο της φτώχειας της χώρας. Η ηλικία συνταξιοδότησης θα πρέπει να ποικίλλει ανάλογα με τις επαγγελματικές κατηγορίες και να είναι χαμηλότερη για ψυχικά και σωματικά απαιτητικά επαγγέλματα. Ταυτόχρονα, θα πρέπει να διασφαλίζεται το δικαίωμα στην εργασία για τους ηλικιωμένους που επιθυμούν να συνεχίσουν να εργάζονται σε εθελοντική βάση. </w:t>
      </w:r>
    </w:p>
    <w:p>
      <w:pPr>
        <w:pStyle w:val="Normal"/>
        <w:rPr/>
      </w:pPr>
      <w:r>
        <w:rPr/>
        <w:t xml:space="preserve"> </w:t>
      </w:r>
    </w:p>
    <w:p>
      <w:pPr>
        <w:pStyle w:val="Normal"/>
        <w:rPr/>
      </w:pPr>
      <w:r>
        <w:rPr/>
        <w:t xml:space="preserve">Κάνουμε αυτή τη σύσταση επειδή το προσδόκιμο ζωής αυξάνεται και το ποσοστό γεννήσεων μειώνεται. Ο ευρωπαϊκός πληθυσμός γερνάει, γι’ αυτό πρέπει να λάβουμε περαιτέρω μέτρα για να αποφύγουμε τον κίνδυνο περιθωριοποίησης των ηλικιωμένων και να τους εξασφαλίσουμε μια αξιοπρεπή ζωή. </w:t>
      </w:r>
    </w:p>
    <w:p>
      <w:pPr>
        <w:pStyle w:val="Normal"/>
        <w:rPr/>
      </w:pPr>
      <w:r>
        <w:rPr/>
        <w:t xml:space="preserve"> </w:t>
      </w:r>
    </w:p>
    <w:p>
      <w:pPr>
        <w:pStyle w:val="Normal"/>
        <w:rPr/>
      </w:pPr>
      <w:r>
        <w:rPr>
          <w:b/>
        </w:rPr>
        <w:t>22. Συνιστούμε τη θέσπιση σειράς μέτρων για την ενθάρρυνση της αύξησης του ποσοστού γεννήσεων και την εξασφάλιση κατάλληλων λύσεων για τη φροντίδα των παιδιών. Τα μέτρα αυτά θα πρέπει να καλύπτουν, μεταξύ άλλων, οικονομικά προσιτές και προσβάσιμες υπηρεσίες παιδικής φροντίδας (κατά την εργασία, τη νύχτα, μειωμένο ΦΠΑ στις εγκαταστάσεις των παιδιών), τη στέγαση, τη σταθερότητα της απασχόλησης, τη στήριξη της μητρότητας, την ειδική στήριξη και την προστασία της εργασίας για τους νέους και τους γονείς, καθώς και τη στήριξη των μητέρων και των πατέρων με τη μορφή πρόσβασης στη γνώση κατά την επιστροφή στην εργασία.</w:t>
      </w:r>
      <w:r>
        <w:rPr/>
        <w:t xml:space="preserve"> </w:t>
      </w:r>
    </w:p>
    <w:p>
      <w:pPr>
        <w:pStyle w:val="Normal"/>
        <w:rPr/>
      </w:pPr>
      <w:r>
        <w:rPr/>
        <w:t xml:space="preserve"> </w:t>
      </w:r>
    </w:p>
    <w:p>
      <w:pPr>
        <w:pStyle w:val="Normal"/>
        <w:rPr/>
      </w:pPr>
      <w:r>
        <w:rPr/>
        <w:t xml:space="preserve">Κάνουμε αυτή τη σύσταση, διότι η ΕΕ διακρίνεται από τα χαμηλά ποσοστά γεννήσεων, τα οποία συμβάλλουν επίσης στη γήρανση του πληθυσμού της Ευρώπης και απαιτούν άμεση δράση. Στόχος της προτεινόμενης δέσμης μέτρων είναι να διασφαλιστεί ότι οι νέες οικογένειες έχουν την απαραίτητη σταθερότητα για τη φροντίδα των παιδιών. </w:t>
      </w:r>
    </w:p>
    <w:p>
      <w:pPr>
        <w:pStyle w:val="Normal"/>
        <w:rPr/>
      </w:pPr>
      <w:r>
        <w:rPr/>
      </w:r>
    </w:p>
    <w:p>
      <w:pPr>
        <w:pStyle w:val="P68B1DB1Normal15"/>
        <w:rPr>
          <w:b/>
          <w:b/>
        </w:rPr>
      </w:pPr>
      <w:r>
        <w:rPr/>
        <w:t xml:space="preserve">23. Συνιστούμε την εξασφάλιση κοινωνικής βοήθειας και υγειονομικής περίθαλψης για τους ηλικιωμένους στο σπίτι και σε οίκους φροντίδας. Υπάρχει επίσης ανάγκη να βελτιωθεί η υποστήριξη των ατόμων που φροντίζουν τους ηλικιωμένους (κοντά). </w:t>
      </w:r>
    </w:p>
    <w:p>
      <w:pPr>
        <w:pStyle w:val="Normal"/>
        <w:rPr/>
      </w:pPr>
      <w:r>
        <w:rPr/>
        <w:t xml:space="preserve"> </w:t>
      </w:r>
    </w:p>
    <w:p>
      <w:pPr>
        <w:pStyle w:val="Normal"/>
        <w:rPr/>
      </w:pPr>
      <w:r>
        <w:rPr/>
        <w:t xml:space="preserve">Κάνουμε αυτή τη σύσταση επειδή το προσδόκιμο ζωής αυξάνεται και το ποσοστό γεννήσεων μειώνεται. ο ευρωπαϊκός πληθυσμός γερνάει, γι’ αυτό πρέπει να λάβουμε περαιτέρω μέτρα για να αποφύγουμε τον κίνδυνο περιθωριοποίησης των ηλικιωμένων και να τους εξασφαλίσουμε μια αξιοπρεπή ζωή. </w:t>
      </w:r>
    </w:p>
    <w:p>
      <w:pPr>
        <w:pStyle w:val="Normal"/>
        <w:rPr/>
      </w:pPr>
      <w:r>
        <w:rPr/>
        <w:t xml:space="preserve"> </w:t>
      </w:r>
    </w:p>
    <w:p>
      <w:pPr>
        <w:pStyle w:val="P68B1DB1Normal15"/>
        <w:rPr>
          <w:b/>
          <w:b/>
        </w:rPr>
      </w:pPr>
      <w:r>
        <w:rPr/>
        <w:t xml:space="preserve">24. Συνιστούμε στην ΕΕ να στηρίξει την παρηγορητική φροντίδα και τον υποβοηθούμενο θάνατο [ευθανασία] σύμφωνα με ένα συγκεκριμένο σύνολο κανόνων και κανονισμών. </w:t>
      </w:r>
    </w:p>
    <w:p>
      <w:pPr>
        <w:pStyle w:val="Normal"/>
        <w:rPr/>
      </w:pPr>
      <w:r>
        <w:rPr/>
        <w:t xml:space="preserve"> </w:t>
      </w:r>
    </w:p>
    <w:p>
      <w:pPr>
        <w:pStyle w:val="Normal"/>
        <w:rPr/>
      </w:pPr>
      <w:r>
        <w:rPr/>
        <w:t xml:space="preserve">Κάνουμε αυτή τη σύσταση επειδή θα μείωνε τον πόνο των ασθενών και των οικογενειών και θα εξασφάλιζε ένα αξιοπρεπές τέλος ζωής. </w:t>
      </w:r>
    </w:p>
    <w:p>
      <w:pPr>
        <w:pStyle w:val="Normal"/>
        <w:rPr/>
      </w:pPr>
      <w:r>
        <w:rPr/>
        <w:t xml:space="preserve"> </w:t>
      </w:r>
    </w:p>
    <w:p>
      <w:pPr>
        <w:pStyle w:val="Titre4"/>
        <w:numPr>
          <w:ilvl w:val="3"/>
          <w:numId w:val="2"/>
        </w:numPr>
        <w:rPr/>
      </w:pPr>
      <w:bookmarkStart w:id="117" w:name="__RefHeading___Toc297169_1346298689"/>
      <w:bookmarkEnd w:id="117"/>
      <w:r>
        <w:rPr/>
        <w:t xml:space="preserve">Υποάξονας 3.2 Ισότητα δικαιωμάτων </w:t>
      </w:r>
    </w:p>
    <w:p>
      <w:pPr>
        <w:pStyle w:val="Normal"/>
        <w:rPr/>
      </w:pPr>
      <w:r>
        <w:rPr/>
        <w:t xml:space="preserve"> </w:t>
      </w:r>
    </w:p>
    <w:p>
      <w:pPr>
        <w:pStyle w:val="P68B1DB1Normal15"/>
        <w:rPr>
          <w:b/>
          <w:b/>
        </w:rPr>
      </w:pPr>
      <w:r>
        <w:rPr/>
        <w:t xml:space="preserve">25. Συνιστούμε η ΕΕ να στηρίξει τη στοχευμένη πρόσβαση των πολιτών σε αξιοπρεπή κοινωνική στέγαση, ανάλογα με τις ειδικές ανάγκες τους. Η χρηματοδοτική προσπάθεια θα πρέπει να κατανεμηθεί μεταξύ ιδιωτών χορηγών, ιδιοκτητών κατοικιών, δικαιούχων στέγασης, κυβερνήσεων των κρατών μελών σε κεντρικό και τοπικό επίπεδο και της Ευρωπαϊκής Ένωσης. Στόχος θα πρέπει να είναι η διευκόλυνση της κατασκευής/επισκευής υφιστάμενου αποθέματος κοινωνικών κατοικιών, μεταξύ άλλων μέσω συνεταιριστικών ενώσεων, μίσθωσης και αγοράς. Η ενίσχυση θα πρέπει να χορηγείται βάσει σαφών κριτηρίων (π.χ. μέγιστη έκταση/άτομο προς επιδότηση, εισόδημα των δικαιούχων κ.λπ.). </w:t>
      </w:r>
    </w:p>
    <w:p>
      <w:pPr>
        <w:pStyle w:val="Normal"/>
        <w:rPr/>
      </w:pPr>
      <w:r>
        <w:rPr/>
        <w:t xml:space="preserve"> </w:t>
      </w:r>
    </w:p>
    <w:p>
      <w:pPr>
        <w:pStyle w:val="Normal"/>
        <w:rPr/>
      </w:pPr>
      <w:r>
        <w:rPr/>
        <w:t xml:space="preserve">Κάνουμε αυτή τη σύσταση, διότι η βελτίωση της πρόσβασης στη στέγαση θα διασφαλίσει ότι οι πολίτες της ΕΕ απολαμβάνουν απτά ίσα δικαιώματα και θα συμβάλει στη μείωση των κοινωνικών εντάσεων. Η ΕΕ καλείται κυρίως να επιβλέπει τον μηχανισμό στήριξης· οι εθνικές και τοπικές αρχές πρέπει να καταβάλουν μεγαλύτερες προσπάθειες για την αντιμετώπιση των προβλημάτων στέγασης. </w:t>
      </w:r>
    </w:p>
    <w:p>
      <w:pPr>
        <w:pStyle w:val="Normal"/>
        <w:rPr/>
      </w:pPr>
      <w:r>
        <w:rPr/>
      </w:r>
    </w:p>
    <w:p>
      <w:pPr>
        <w:pStyle w:val="P68B1DB1Normal15"/>
        <w:rPr>
          <w:b/>
          <w:b/>
        </w:rPr>
      </w:pPr>
      <w:r>
        <w:rPr/>
        <w:t xml:space="preserve">26. Συνιστούμε στην ΕΕ να βελτιώσει τη ρύθμιση και την ομοιόμορφη εφαρμογή των μέτρων στήριξης για τις οικογένειες με παιδιά σε όλα τα κράτη μέλη. Τα μέτρα αυτά περιλαμβάνουν ιδίως: αύξηση της διάρκειας της γονικής άδειας, του ποσού του επιδόματος τοκετού και του επιδόματος φροντίδας τέκνου. </w:t>
      </w:r>
    </w:p>
    <w:p>
      <w:pPr>
        <w:pStyle w:val="Normal"/>
        <w:rPr/>
      </w:pPr>
      <w:r>
        <w:rPr/>
        <w:t xml:space="preserve"> </w:t>
      </w:r>
    </w:p>
    <w:p>
      <w:pPr>
        <w:pStyle w:val="Normal"/>
        <w:rPr/>
      </w:pPr>
      <w:r>
        <w:rPr/>
        <w:t xml:space="preserve">Κάνουμε αυτή τη σύσταση διότι πιστεύουμε ότι τα μέτρα αυτά θα μετριάσουν το δημογραφικό πρόβλημα που αντιμετωπίζει η ΕΕ. Θα βελτιώσει επίσης την ισότητα των φύλων μεταξύ των γονέων. </w:t>
      </w:r>
    </w:p>
    <w:p>
      <w:pPr>
        <w:pStyle w:val="Normal"/>
        <w:rPr/>
      </w:pPr>
      <w:r>
        <w:rPr/>
      </w:r>
    </w:p>
    <w:p>
      <w:pPr>
        <w:pStyle w:val="P68B1DB1Normal15"/>
        <w:rPr>
          <w:b/>
          <w:b/>
        </w:rPr>
      </w:pPr>
      <w:r>
        <w:rPr/>
        <w:t xml:space="preserve">27. Συνιστούμε στην ΕΕ να λάβει μέτρα για να διασφαλίσει ότι όλες οι οικογένειες απολαμβάνουν τα ίδια οικογενειακά δικαιώματα σε όλα τα κράτη μέλη. Τα δικαιώματα αυτά περιλαμβάνουν το δικαίωμα γάμου και υιοθεσίας. </w:t>
      </w:r>
    </w:p>
    <w:p>
      <w:pPr>
        <w:pStyle w:val="Normal"/>
        <w:rPr/>
      </w:pPr>
      <w:r>
        <w:rPr/>
        <w:t xml:space="preserve"> </w:t>
      </w:r>
    </w:p>
    <w:p>
      <w:pPr>
        <w:pStyle w:val="Normal"/>
        <w:rPr/>
      </w:pPr>
      <w:r>
        <w:rPr/>
        <w:t xml:space="preserve">Κάνουμε αυτή τη σύσταση επειδή πιστεύουμε ότι όλοι οι πολίτες της ΕΕ θα πρέπει να απολαμβάνουν ίσα δικαιώματα, συμπεριλαμβανομένων των οικογενειακών δικαιωμάτων. Η οικογένεια είναι η βασική μορφή της κοινωνικής οργάνωσης. Μια ευτυχισμένη οικογένεια συμβάλλει σε μια υγιή κοινωνία. Στόχος της σύστασης είναι να διασφαλιστεί ότι όλοι οι πολίτες απολαμβάνουν τα οικογενειακά δικαιώματα, ανεξάρτητα από το φύλο, την ενηλικίωση, την εθνοτική καταγωγή ή τη σωματική υγεία.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Υποάξονας 3.3 Ισότητα/Υποάξονας 3.4 Πρόσβαση στον αθλητισμό </w:t>
      </w:r>
      <w:commentRangeEnd w:id="1"/>
      <w:r>
        <w:commentReference w:id="1"/>
      </w:r>
      <w:r>
        <w:rPr/>
      </w:r>
    </w:p>
    <w:p>
      <w:pPr>
        <w:pStyle w:val="Normal"/>
        <w:rPr/>
      </w:pPr>
      <w:r>
        <w:rPr/>
        <w:t xml:space="preserve"> </w:t>
      </w:r>
    </w:p>
    <w:p>
      <w:pPr>
        <w:pStyle w:val="P68B1DB1Normal15"/>
        <w:rPr>
          <w:b/>
          <w:b/>
        </w:rPr>
      </w:pPr>
      <w:r>
        <w:rPr/>
        <w:t xml:space="preserve">28. Συνιστούμε να προωθηθεί σθεναρά η στρατηγική της ΕΕ για την ισότητα των φύλων 2020-2025 και να δοθεί υψηλή προτεραιότητα ως επείγον ζήτημα που αντιμετωπίζεται αποτελεσματικά από τα κράτη μέλη. Η ΕΕ θα πρέπει α) να καθορίζει δείκτες (στάσεις, μισθολογικές διαφορές, απασχόληση, ηγεσία κ.λπ.), να παρακολουθεί τη στρατηγική σε ετήσια βάση και να είναι διαφανής όσον αφορά τα επιτευχθέντα αποτελέσματα· και β) δημιουργία διαμεσολαβητή για τη λήψη άμεσης ανατροφοδότησης από τους πολίτες. </w:t>
      </w:r>
    </w:p>
    <w:p>
      <w:pPr>
        <w:pStyle w:val="Normal"/>
        <w:rPr/>
      </w:pPr>
      <w:r>
        <w:rPr/>
        <w:t xml:space="preserve"> </w:t>
      </w:r>
    </w:p>
    <w:p>
      <w:pPr>
        <w:pStyle w:val="Normal"/>
        <w:rPr/>
      </w:pPr>
      <w:r>
        <w:rPr/>
        <w:t xml:space="preserve">Κάνουμε αυτή τη σύσταση επειδή πιστεύουμε ότι η κατάσταση των φύλων στην ΕΕ απέχει πολύ από το να είναι ικανοποιητική. Θα πρέπει να υπάρχει αρμονία όσον αφορά την ισότητα των φύλων και τα πολιτικά δικαιώματα σε ευρωπαϊκό επίπεδο, ώστε να επιτευχθούν οι στόχοι της ισότητας των φύλων και των πολιτικών δικαιωμάτων σε όλες τις χώρες, και όχι μόνο σε εκείνες όπου ο συμβιβασμός είναι ισχυρότερος. Δεσμευόμαστε για την παρουσία και τη συμβολή των γυναικών σε θέσεις εξουσίας και σε όλους τους τύπους επαγγελμάτων, προκειμένου να έχουμε μια ποικιλόμορφη και ικανοποιητική Ευρωπαϊκή Ένωση. Οι γυναίκες βρίσκονται σε μειονεκτική θέση σε πολλές περιπτώσεις (ακόμη και όταν έχουν καλό επίπεδο εκπαίδευσης/πιστοποιημένη τριτοβάθμια εκπαίδευση ή άλλα προνόμια), οπότε μια τέτοια στρατηγική είναι απολύτως απαραίτητη. </w:t>
      </w:r>
    </w:p>
    <w:p>
      <w:pPr>
        <w:pStyle w:val="Normal"/>
        <w:rPr/>
      </w:pPr>
      <w:r>
        <w:rPr/>
      </w:r>
    </w:p>
    <w:p>
      <w:pPr>
        <w:pStyle w:val="P68B1DB1Normal15"/>
        <w:rPr>
          <w:b/>
          <w:b/>
        </w:rPr>
      </w:pPr>
      <w:r>
        <w:rPr/>
        <w:t xml:space="preserve">29. Συνιστούμε στην ΕΕ να προωθήσει και να αυξήσει την ευαισθητοποίηση του κοινού σχετικά με τον αθλητισμό και τη σωματική άσκηση σε όλα τα κράτη μέλη, λόγω των οφελών τους για την υγεία. Ο αθλητισμός και η σωματική άσκηση θα πρέπει να περιλαμβάνονται στις κοινωνικές πολιτικές, στις πολιτικές ψυχικής και σωματικής υγείας, στις πολιτικές εκπαίδευσης και εργασίας (δηλαδή στην προώθηση της συνταγογράφησης του αθλητισμού ή/και της σωματικής άσκησης από τους γιατρούς και, όπου γίνεται, στη διασφάλιση της πρόσβασης σε αθλητικές εγκαταστάσεις· 1 ώρα εργασίας/εβδομάδα για σωματική δραστηριότητα κ.λπ.). </w:t>
      </w:r>
    </w:p>
    <w:p>
      <w:pPr>
        <w:pStyle w:val="Normal"/>
        <w:rPr/>
      </w:pPr>
      <w:r>
        <w:rPr/>
        <w:t xml:space="preserve"> </w:t>
      </w:r>
    </w:p>
    <w:p>
      <w:pPr>
        <w:pStyle w:val="Normal"/>
        <w:rPr/>
      </w:pPr>
      <w:r>
        <w:rPr/>
        <w:t xml:space="preserve">Κάνουμε αυτή τη σύσταση, διότι πρόκειται για μακροπρόθεσμη επένδυση. Η επένδυση στον αθλητισμό και τη σωματική άσκηση μειώνει το κόστος και τις επιβαρύνσεις για τις υπηρεσίες υγείας. Για παράδειγμα, ο αθλητισμός και η σωματική άσκηση ως παρέμβαση στην υγεία θα μείωναν τη διάρκεια των θεραπειών και θα τις έκαναν πιο αποτελεσματικές. Η στρατηγική αυτή εφαρμόζεται ήδη με επιτυχία σε ορισμένες χώρες, όπως η Γερμανία. Ο αθλητισμός είναι ένας τρόπος οικοδόμησης αξιών όπως η δέσμευση, η προσπάθεια, η αυτοεκτίμηση, ο σεβασμός ή η συντροφικότητα. Ο καθιστικός τρόπος ζωής είναι πιο συνηθισμένος από ό, τι για τις προηγούμενες γενιές λόγω, μεταξύ άλλων, περισσότερων θέσεων εργασίας γραφείου ή/και αλλαγών στις συνήθειες αναψυχής. </w:t>
      </w:r>
    </w:p>
    <w:p>
      <w:pPr>
        <w:pStyle w:val="Normal"/>
        <w:rPr/>
      </w:pPr>
      <w:r>
        <w:rPr/>
      </w:r>
    </w:p>
    <w:p>
      <w:pPr>
        <w:pStyle w:val="P68B1DB1Normal15"/>
        <w:rPr>
          <w:b/>
          <w:b/>
        </w:rPr>
      </w:pPr>
      <w:r>
        <w:rPr/>
        <w:t xml:space="preserve">30. Συνιστούμε στην ΕΕ να υποχρεώσει κάθε κράτος μέλος να έχει έναν κατώτατο μισθό που καθορίζεται ανάλογα με το κόστος ζωής στην επικράτειά του και θεωρείται δίκαιος μισθός που επιτρέπει ελάχιστες συνθήκες διαβίωσης, πάνω από το όριο της φτώχειας. Κάθε κράτος μέλος πρέπει να την παρακολουθεί. </w:t>
      </w:r>
    </w:p>
    <w:p>
      <w:pPr>
        <w:pStyle w:val="Normal"/>
        <w:rPr/>
      </w:pPr>
      <w:r>
        <w:rPr/>
        <w:t xml:space="preserve"> </w:t>
      </w:r>
    </w:p>
    <w:p>
      <w:pPr>
        <w:pStyle w:val="Normal"/>
        <w:rPr/>
      </w:pPr>
      <w:r>
        <w:rPr/>
        <w:t xml:space="preserve">Κάνουμε αυτή τη σύσταση, διότι είναι άδικο να μην μπορούμε να φτάσουμε στο τέλος του μήνα που εργαζόμαστε. Οι δίκαιοι μισθοί θα πρέπει να συμβάλλουν στην ποιότητα ζωής σε κοινωνικό επίπεδο. Οι άδικοι μισθοί έχουν υψηλό κόστος για τα κράτη (ασφάλεια, φοροδιαφυγή, υψηλότερο κοινωνικό κόστος κ.λπ.). </w:t>
      </w:r>
    </w:p>
    <w:p>
      <w:pPr>
        <w:pStyle w:val="Normal"/>
        <w:rPr/>
      </w:pPr>
      <w:r>
        <w:rPr/>
      </w:r>
    </w:p>
    <w:p>
      <w:pPr>
        <w:pStyle w:val="P68B1DB1Normal15"/>
        <w:rPr>
          <w:b/>
          <w:b/>
        </w:rPr>
      </w:pPr>
      <w:r>
        <w:rPr/>
        <w:t xml:space="preserve">31. Συνιστούμε τη φορολογική εναρμόνιση στα κράτη μέλη σε επίπεδο ΕΕ (για την αποφυγή των φορολογικών παραδείσων στην ΕΕ και την καταπολέμηση της μετεγκατάστασης εντός της Ευρώπης), καθώς και ένα φορολογικό κίνητρο για την αποθάρρυνση της μετεγκατάστασης θέσεων εργασίας εκτός Ευρώπης. </w:t>
      </w:r>
    </w:p>
    <w:p>
      <w:pPr>
        <w:pStyle w:val="Normal"/>
        <w:rPr/>
      </w:pPr>
      <w:r>
        <w:rPr/>
        <w:t xml:space="preserve"> </w:t>
      </w:r>
    </w:p>
    <w:p>
      <w:pPr>
        <w:pStyle w:val="Normal"/>
        <w:rPr/>
      </w:pPr>
      <w:r>
        <w:rPr/>
        <w:t xml:space="preserve">Κάνουμε αυτή τη σύσταση επειδή ανησυχούμε για τον αντίκτυπο της μετεγκατάστασης θέσεων εργασίας εκτός Ευρώπης και πιστεύουμε ότι θα εμπόδιζε τον φορολογικό ανταγωνισμό μεταξύ των κρατών μελών της ΕΕ. </w:t>
      </w:r>
    </w:p>
    <w:p>
      <w:pPr>
        <w:pStyle w:val="Normal"/>
        <w:rPr/>
      </w:pPr>
      <w:r>
        <w:rPr/>
      </w:r>
    </w:p>
    <w:p>
      <w:pPr>
        <w:pStyle w:val="Titre3"/>
        <w:numPr>
          <w:ilvl w:val="2"/>
          <w:numId w:val="2"/>
        </w:numPr>
        <w:rPr/>
      </w:pPr>
      <w:bookmarkStart w:id="119" w:name="__RefHeading___Toc297173_1346298689"/>
      <w:bookmarkEnd w:id="119"/>
      <w:r>
        <w:rPr/>
        <w:t xml:space="preserve">Άξονας 4 Μάθηση στην Ευρώπη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Υποάξονας 4.1 Ευρωπαϊκή ταυτότητα/Υποάξονας 4.2 Ψηφιακή εκπαίδευση </w:t>
      </w:r>
      <w:commentRangeEnd w:id="2"/>
      <w:r>
        <w:commentReference w:id="2"/>
      </w:r>
      <w:r>
        <w:rPr/>
      </w:r>
    </w:p>
    <w:p>
      <w:pPr>
        <w:pStyle w:val="Normal"/>
        <w:rPr/>
      </w:pPr>
      <w:r>
        <w:rPr/>
        <w:t xml:space="preserve"> </w:t>
      </w:r>
    </w:p>
    <w:p>
      <w:pPr>
        <w:pStyle w:val="P68B1DB1Normal15"/>
        <w:rPr>
          <w:b/>
          <w:b/>
        </w:rPr>
      </w:pPr>
      <w:r>
        <w:rPr/>
        <w:t xml:space="preserve">32. Συνιστούμε την προώθηση της πολυγλωσσίας από μικρή ηλικία, για παράδειγμα από το νηπιαγωγείο. Ξεκινώντας από το δημοτικό σχολείο, θα πρέπει να είναι υποχρεωτικό για τα παιδιά να φτάσουν στο επίπεδο C1 σε μια ενεργή γλώσσα της ΕΕ διαφορετική από τη δική τους. </w:t>
      </w:r>
    </w:p>
    <w:p>
      <w:pPr>
        <w:pStyle w:val="Normal"/>
        <w:rPr/>
      </w:pPr>
      <w:r>
        <w:rPr/>
        <w:t xml:space="preserve"> </w:t>
      </w:r>
    </w:p>
    <w:p>
      <w:pPr>
        <w:pStyle w:val="Normal"/>
        <w:rPr/>
      </w:pPr>
      <w:r>
        <w:rPr/>
        <w:t xml:space="preserve">Κάνουμε αυτή τη σύσταση, διότι η πολυγλωσσία είναι ένα εργαλείο που συνδέει τους πολίτες και αποτελεί γέφυρα με άλλους πολιτισμούς, καθιστώντας τις άλλες χώρες και τους πολιτισμούς τους πιο προσβάσιμες. Ενισχύει την ευρωπαϊκή ταυτότητα και τις διαπολιτισμικές ανταλλαγές. Είναι σημαντικό να γνωρίσουμε άλλους πολιτισμούς στο πλαίσιο της Ευρωπαϊκής Ένωσης. Ως εκ τούτου, η δυνατότητα επικοινωνίας σε καλό επίπεδο σε δύο γλώσσες θα συμβάλει στη δημιουργία μιας κοινής ευρωπαϊκής ταυτότητας και στην κατανόηση άλλων ευρωπαϊκών πολιτισμών. Η ΕΕ πρέπει να συνεργαστεί στενά με τα εκπαιδευτικά ιδρύματα για την επίτευξη καλών αποτελεσμάτων στον τομέα της εκπαίδευσης. Είναι επίσης αναγκαίο να θεσπιστεί ένα ειδικό πρόγραμμα (π.χ. ψηφιακές πλατφόρμες, διευρυμένα προγράμματα Erasmus+ κ.λπ.) για την αποκλειστική προώθηση της πολυγλωσσίας. Τα σημερινά Ευρωπαϊκά Σχολεία μπορούν να χρησιμεύσουν ως πρότυπο εν προκειμένω. Η ΕΕ θα πρέπει να δημιουργήσει και να προωθήσει ενεργά περισσότερα τέτοια σχολεία. </w:t>
      </w:r>
    </w:p>
    <w:p>
      <w:pPr>
        <w:pStyle w:val="Normal"/>
        <w:rPr/>
      </w:pPr>
      <w:r>
        <w:rPr/>
      </w:r>
    </w:p>
    <w:p>
      <w:pPr>
        <w:pStyle w:val="P68B1DB1Normal15"/>
        <w:rPr>
          <w:b/>
          <w:b/>
        </w:rPr>
      </w:pPr>
      <w:r>
        <w:rPr/>
        <w:t xml:space="preserve">33. Συνιστούμε στην ΕΕ να ευαισθητοποιήσει τους νέους σχετικά με τους κινδύνους του διαδικτύου και της ψηφιοποίησης, δημιουργώντας ένα υποχρεωτικό μάθημα στην πρωτοβάθμια εκπαίδευση. Η ΕΕ θα πρέπει να αναπτύξει εργαλεία και να δημιουργήσει κοινούς χώρους κατάρτισης για να μπορούν οι νέοι να μαθαίνουν από κοινού. </w:t>
      </w:r>
    </w:p>
    <w:p>
      <w:pPr>
        <w:pStyle w:val="Normal"/>
        <w:rPr/>
      </w:pPr>
      <w:r>
        <w:rPr/>
        <w:t xml:space="preserve"> </w:t>
      </w:r>
    </w:p>
    <w:p>
      <w:pPr>
        <w:pStyle w:val="Normal"/>
        <w:rPr/>
      </w:pPr>
      <w:r>
        <w:rPr/>
        <w:t xml:space="preserve">Κάνουμε αυτή τη σύσταση επειδή οι τρέχουσες πρωτοβουλίες ή προγράμματα στον τομέα αυτό δεν επαρκούν. Επιπλέον, πολλοί πολίτες της ΕΕ δεν γνωρίζουν τις υφιστάμενες πρωτοβουλίες της ΕΕ σε αυτούς τους τομείς. Τα παιδιά δεν γνωρίζουν επαρκώς τους κινδύνους του διαδικτύου, γι’ αυτό θα πρέπει να κάνουμε πολύ περισσότερα για να ευαισθητοποιήσουμε τη νεότερη γενιά. </w:t>
      </w:r>
    </w:p>
    <w:p>
      <w:pPr>
        <w:pStyle w:val="Normal"/>
        <w:rPr/>
      </w:pPr>
      <w:r>
        <w:rPr/>
        <w:t xml:space="preserve"> </w:t>
      </w:r>
    </w:p>
    <w:p>
      <w:pPr>
        <w:pStyle w:val="P68B1DB1Normal15"/>
        <w:rPr>
          <w:b/>
          <w:b/>
        </w:rPr>
      </w:pPr>
      <w:r>
        <w:rPr/>
        <w:t xml:space="preserve">34. Σας συνιστούμε να εργαστεί η ΕΕ για να καταστήσει την τεχνολογία πιο προσιτή στους ηλικιωμένους, ενθαρρύνοντας προγράμματα και πρωτοβουλίες, για παράδειγμα με τη μορφή μαθημάτων προσαρμοσμένων στις ανάγκες τους. Η ΕΕ θα πρέπει να εγγυηθεί το δικαίωμα χρήσης της ψηφιακής τεχνολογίας για όσους την επιθυμούν και να προτείνει εναλλακτικές λύσεις για όσους δεν τη θέλουν. </w:t>
      </w:r>
    </w:p>
    <w:p>
      <w:pPr>
        <w:pStyle w:val="Normal"/>
        <w:rPr/>
      </w:pPr>
      <w:r>
        <w:rPr/>
        <w:t xml:space="preserve"> </w:t>
      </w:r>
    </w:p>
    <w:p>
      <w:pPr>
        <w:pStyle w:val="Normal"/>
        <w:rPr/>
      </w:pPr>
      <w:r>
        <w:rPr/>
        <w:t xml:space="preserve">Κάνουμε αυτή τη σύσταση, διότι η ΕΕ θα πρέπει να διασφαλίσει ότι οι ηλικιωμένοι μπορούν να συμμετέχουν στον ψηφιακό κόσμο και ότι κανείς δεν υφίσταται διακρίσεις. Θα πρέπει να τεθούν σε εφαρμογή απλουστευμένα εργαλεία για γενιές λιγότερο πεπειραμένες στη χρήση ορισμένων τεχνολογιών, προκειμένου να ενσωματωθούν στον σημερινό κόσμο. Συνιστούμε την καλύτερη προώθηση των υφιστάμενων πρωτοβουλιών ώστε οι πολίτες να τις γνωρίζουν. Οι ηλικιωμένοι δεν θα πρέπει να υφίστανται διακρίσεις στην ΕΕ όσον αφορά τη χρήση εργαλείων ΤΠ. (Ως περιστατικό, αυτό σημαίνει ότι οι πολίτες θα πρέπει να μπορούν να ζουν τη ζωή τους χωρίς να χρειάζεται να περάσουν από ένα δίκτυο διαδικτύου). Η ΕΕ θα πρέπει να οργανώσει και να θέσει στη διάθεση των ηλικιωμένων μόνιμη δωρεάν βοήθεια για τη διευκόλυνση της πρόσβασης σε ψηφιακά εργαλεία. </w:t>
      </w:r>
    </w:p>
    <w:p>
      <w:pPr>
        <w:pStyle w:val="Normal"/>
        <w:rPr/>
      </w:pPr>
      <w:r>
        <w:rPr/>
      </w:r>
    </w:p>
    <w:p>
      <w:pPr>
        <w:pStyle w:val="Titre4"/>
        <w:numPr>
          <w:ilvl w:val="3"/>
          <w:numId w:val="2"/>
        </w:numPr>
        <w:rPr/>
      </w:pPr>
      <w:bookmarkStart w:id="121" w:name="__RefHeading___Toc297177_1346298689"/>
      <w:bookmarkEnd w:id="121"/>
      <w:r>
        <w:rPr/>
        <w:t xml:space="preserve">Υποάξονας 4.3 Πολιτιστική ανταλλαγή/Υποάξονας 4.4 Περιβαλλοντική εκπαίδευση </w:t>
      </w:r>
    </w:p>
    <w:p>
      <w:pPr>
        <w:pStyle w:val="Normal"/>
        <w:rPr/>
      </w:pPr>
      <w:r>
        <w:rPr/>
        <w:t xml:space="preserve"> </w:t>
      </w:r>
    </w:p>
    <w:p>
      <w:pPr>
        <w:pStyle w:val="P68B1DB1Normal15"/>
        <w:rPr>
          <w:b/>
          <w:b/>
        </w:rPr>
      </w:pPr>
      <w:r>
        <w:rPr/>
        <w:t xml:space="preserve">35. Συνιστούμε στην ΕΕ να δημιουργήσει μια πλατφόρμα όπου θα διατίθεται εκπαιδευτικό υλικό για την κλιματική αλλαγή, τη βιωσιμότητα και τα περιβαλλοντικά ζητήματα για εκπαιδευτικούς σκοπούς. Οι πληροφορίες αυτές θα πρέπει να βασίζονται σε γεγονότα, να επαληθεύονται από εμπειρογνώμονες και να προσαρμόζονται σε κάθε κράτος μέλος. Η πλατφόρμα: </w:t>
      </w:r>
    </w:p>
    <w:p>
      <w:pPr>
        <w:pStyle w:val="P68B1DB1Normal15"/>
        <w:rPr>
          <w:b/>
          <w:b/>
        </w:rPr>
      </w:pPr>
      <w:r>
        <w:rPr/>
        <w:t xml:space="preserve">● </w:t>
      </w:r>
      <w:r>
        <w:rPr/>
        <w:t xml:space="preserve">θα πρέπει να περιλαμβάνει μαθήματα για διάφορες ομάδες-στόχους, π.χ. για άτομα που ζουν σε αστικές ή αγροτικές περιοχές, για όλες τις ηλικιακές ομάδες και για προηγούμενα επίπεδα γνώσης· </w:t>
      </w:r>
    </w:p>
    <w:p>
      <w:pPr>
        <w:pStyle w:val="P68B1DB1Normal15"/>
        <w:rPr>
          <w:b/>
          <w:b/>
        </w:rPr>
      </w:pPr>
      <w:r>
        <w:rPr/>
        <w:t xml:space="preserve">● </w:t>
      </w:r>
      <w:r>
        <w:rPr/>
        <w:t xml:space="preserve">πρέπει να τίθενται στη διάθεση όλων των κρατών μελών και να είναι εύκολα προσβάσιμες· </w:t>
      </w:r>
    </w:p>
    <w:p>
      <w:pPr>
        <w:pStyle w:val="P68B1DB1Normal15"/>
        <w:rPr>
          <w:b/>
          <w:b/>
        </w:rPr>
      </w:pPr>
      <w:r>
        <w:rPr/>
        <w:t xml:space="preserve">● </w:t>
      </w:r>
      <w:r>
        <w:rPr/>
        <w:t xml:space="preserve">θα πρέπει να περιλαμβάνει, κατά την εφαρμογή του, σχέδιο προώθησης στο οποίο θα πρέπει να συμμετέχουν οι ενδιαφερόμενες επιχειρήσεις· </w:t>
      </w:r>
    </w:p>
    <w:p>
      <w:pPr>
        <w:pStyle w:val="P68B1DB1Normal15"/>
        <w:rPr>
          <w:b/>
          <w:b/>
        </w:rPr>
      </w:pPr>
      <w:r>
        <w:rPr/>
        <w:t xml:space="preserve">● </w:t>
      </w:r>
      <w:r>
        <w:rPr/>
        <w:t xml:space="preserve">θα μπορούσε να διατίθεται ταυτόχρονα με ένα πρόγραμμα χρηματοδότησης για τη στήριξη της χρήσης και της εφαρμογής των πληροφοριών που είναι διαθέσιμες στην πλατφόρμα. Η χρηματοδότηση αυτή θα πρέπει επίσης να στηρίζει επιτόπιες επισκέψεις για την παρουσίαση συγκεκριμένων παραδειγμάτων. </w:t>
      </w:r>
    </w:p>
    <w:p>
      <w:pPr>
        <w:pStyle w:val="Normal"/>
        <w:rPr/>
      </w:pPr>
      <w:r>
        <w:rPr/>
        <w:t xml:space="preserve"> </w:t>
      </w:r>
    </w:p>
    <w:p>
      <w:pPr>
        <w:pStyle w:val="Normal"/>
        <w:rPr/>
      </w:pPr>
      <w:r>
        <w:rPr/>
        <w:t xml:space="preserve">Κάνουμε αυτή τη σύσταση επειδή οι άνθρωποι όλων των ηλικιών χρειάζονται πρόσβαση σε τεκμηριωμένες πληροφορίες σχετικά με τον τρόπο αντιμετώπισης της κλιματικής αλλαγής, της βιωσιμότητας και των περιβαλλοντικών ζητημάτων. Σημαντικές έννοιες, όπως το οικολογικό αποτύπωμα, πρέπει να γίνουν κατανοητές από όλους, ιδιαίτερα από τους νέους, γιατί αυτό που μαθαίνουμε παιδιά μας συνοδεύει καθ’ όλη τη διάρκεια της ζωής μας. Τα θέματα αυτά είναι πολύπλοκα και η παραπληροφόρηση είναι ευρέως διαδεδομένη. Χρειαζόμαστε μια αξιόπιστη πηγή και η ΕΕ έχει την αξιοπιστία και τους πόρους για να αναλάβει αυτόν τον ρόλο. Αυτό είναι επίσης σημαντικό διότι τα επίπεδα γνώσεων και πρόσβασης σε αξιόπιστες πληροφορίες διαφέρουν από το ένα κράτος μέλος στο άλλο. </w:t>
      </w:r>
    </w:p>
    <w:p>
      <w:pPr>
        <w:pStyle w:val="Normal"/>
        <w:rPr/>
      </w:pPr>
      <w:r>
        <w:rPr/>
      </w:r>
    </w:p>
    <w:p>
      <w:pPr>
        <w:pStyle w:val="P68B1DB1Normal15"/>
        <w:rPr>
          <w:b/>
          <w:b/>
        </w:rPr>
      </w:pPr>
      <w:r>
        <w:rPr/>
        <w:t xml:space="preserve">36. Συνιστούμε στην ΕΕ να δώσει προτεραιότητα στη διασφάλιση ότι τα προγράμματα ανταλλαγών είναι προσβάσιμα σε όλους (ηλικιακές ομάδες, κράτη μέλη, επίπεδα εκπαίδευσης και χρηματοοικονομική ικανότητα) και να καταστήσει δυνατή την πρακτική άσκηση ή τις ανταλλαγές μεταξύ τομέων, χωρών, εκπαιδευτικών ιδρυμάτων, πόλεων και επιχειρήσεων. Η ΕΕ θα πρέπει να είναι υπεύθυνη για τη δρομολόγηση, τη διαμεσολάβηση και τη χρηματοδότηση πολιτιστικών και κοινωνικών ανταλλαγών σε ολόκληρη την ΕΕ, τόσο φυσικών όσο και ψηφιακών. Η ΕΕ πρέπει να προωθήσει ενεργά αυτές τις πρωτοβουλίες και να στοχεύσει άτομα που δεν γνωρίζουν ακόμη τα προγράμματα πολιτιστικών και κοινωνικών ανταλλαγών. Η Διάσκεψη για το Μέλλον της Ευρώπης, για την οποία επιλέχθηκαν τυχαία οι πολίτες, αποτελεί το τέλειο παράδειγμα ευρωπαϊκής ανταλλαγής. Θέλουμε περισσότερες πρωτοβουλίες αυτού του είδους, αλλά θέλουμε επίσης πρωτοβουλίες μικρότερης κλίμακας, καθώς και ανταλλαγές στους τομείς του αθλητισμού, της μουσικής, της (κοινωνικής) πρακτικής άσκησης κ.λπ. </w:t>
      </w:r>
    </w:p>
    <w:p>
      <w:pPr>
        <w:pStyle w:val="P68B1DB1Normal15"/>
        <w:rPr>
          <w:b/>
          <w:b/>
        </w:rPr>
      </w:pPr>
      <w:r>
        <w:rPr/>
        <w:t xml:space="preserve"> </w:t>
      </w:r>
    </w:p>
    <w:p>
      <w:pPr>
        <w:pStyle w:val="Normal"/>
        <w:rPr/>
      </w:pPr>
      <w:r>
        <w:rPr/>
        <w:t xml:space="preserve">Κάνουμε αυτή τη σύσταση επειδή είναι σημαντικό να δημιουργήσουμε μια αίσθηση του ανήκειν και της συνοχής και να προωθήσουμε την ανεκτικότητα για τη θαυμάσια ποικιλομορφία και τις προοπτικές μας, καθώς και την ανάπτυξη των ατομικών δεξιοτήτων. Αυτή η διαδικασία θα αναπτύξει φιλίες, αμοιβαία κατανόηση και κριτική σκέψη. Θα θέλαμε να προωθήσουμε τη συμμετοχή όλων των μελών των κοινοτήτων μας, ακόμη και εκείνων που δεν έχουν συμμετάσχει σε τέτοιες πρωτοβουλίες μέχρι σήμερα. </w:t>
      </w:r>
    </w:p>
    <w:p>
      <w:pPr>
        <w:pStyle w:val="Normal"/>
        <w:rPr/>
      </w:pPr>
      <w:r>
        <w:rPr/>
      </w:r>
    </w:p>
    <w:p>
      <w:pPr>
        <w:pStyle w:val="Titre4"/>
        <w:numPr>
          <w:ilvl w:val="3"/>
          <w:numId w:val="2"/>
        </w:numPr>
        <w:rPr/>
      </w:pPr>
      <w:bookmarkStart w:id="122" w:name="__RefHeading___Toc297179_1346298689"/>
      <w:bookmarkEnd w:id="122"/>
      <w:r>
        <w:rPr/>
        <w:t xml:space="preserve">Υποάξονας 4.5 Ποιότητα, χρηματοδότηση και πρόσβαση στην εκπαίδευση/Υπάξονας 4.6 Εναρμόνιση της εκπαίδευσης </w:t>
      </w:r>
    </w:p>
    <w:p>
      <w:pPr>
        <w:pStyle w:val="Normal"/>
        <w:rPr/>
      </w:pPr>
      <w:r>
        <w:rPr/>
        <w:t xml:space="preserve"> </w:t>
      </w:r>
    </w:p>
    <w:p>
      <w:pPr>
        <w:pStyle w:val="P68B1DB1Normal15"/>
        <w:rPr>
          <w:b/>
          <w:b/>
        </w:rPr>
      </w:pPr>
      <w:r>
        <w:rPr/>
        <w:t xml:space="preserve">37. Συνιστούμε σε όλα τα κράτη μέλη να ορίσουν και να υιοθετήσουν ένα ελάχιστο πρότυπο πιστοποιημένης εκπαίδευσης σε βασικά μαθήματα από την πρωτοβάθμια εκπαίδευση και μετά. Στόχος είναι να διασφαλιστεί ότι όλοι οι πολίτες έχουν ισότιμη πρόσβαση σε ποιοτική εκπαίδευση που εγγυάται την ισότητα και την ισότητα. </w:t>
      </w:r>
    </w:p>
    <w:p>
      <w:pPr>
        <w:pStyle w:val="Normal"/>
        <w:rPr/>
      </w:pPr>
      <w:r>
        <w:rPr/>
      </w:r>
    </w:p>
    <w:p>
      <w:pPr>
        <w:pStyle w:val="Normal"/>
        <w:rPr/>
      </w:pPr>
      <w:r>
        <w:rPr/>
        <w:t xml:space="preserve">Κάνουμε αυτή τη σύσταση για τους ακόλουθους λόγους: </w:t>
      </w:r>
    </w:p>
    <w:p>
      <w:pPr>
        <w:pStyle w:val="Normal"/>
        <w:rPr/>
      </w:pPr>
      <w:r>
        <w:rPr/>
        <w:t xml:space="preserve">● </w:t>
      </w:r>
      <w:r>
        <w:rPr/>
        <w:t xml:space="preserve">η ύπαρξη ενός ελάχιστου προτύπου θα ενισχύσει την εμπιστοσύνη των γονέων, των εκπαιδευτικών και των μαθητών στα εκπαιδευτικά τους συστήματα, αφήνοντας παράλληλα περιθώρια για πρωτοβουλίες και πολυμορφία. </w:t>
      </w:r>
    </w:p>
    <w:p>
      <w:pPr>
        <w:pStyle w:val="Normal"/>
        <w:rPr/>
      </w:pPr>
      <w:r>
        <w:rPr/>
        <w:t xml:space="preserve">Εάν εφαρμοστεί, η σύστασή μας θα ενισχύσει και θα ενισχύσει την κοινή ευρωπαϊκή ταυτότητα, ενισχύοντας τη συνοχή, την ενότητα και την αίσθηση του ανήκειν. </w:t>
      </w:r>
    </w:p>
    <w:p>
      <w:pPr>
        <w:pStyle w:val="Normal"/>
        <w:rPr/>
      </w:pPr>
      <w:r>
        <w:rPr/>
        <w:t xml:space="preserve">● </w:t>
      </w:r>
      <w:r>
        <w:rPr/>
        <w:t xml:space="preserve">Η εφαρμογή της παρούσας σύστασης θα ενισχύσει τη συνεργασία και τις ανταλλαγές μεταξύ σχολείων σε ολόκληρη την ΕΕ, γεγονός που θα βελτιώσει τις σχέσεις μεταξύ διδακτικού προσωπικού και μαθητών και θα διευκολύνει σημαντικά τα προγράμματα ανταλλαγών. </w:t>
      </w:r>
    </w:p>
    <w:p>
      <w:pPr>
        <w:pStyle w:val="Normal"/>
        <w:rPr/>
      </w:pPr>
      <w:r>
        <w:rPr/>
      </w:r>
    </w:p>
    <w:p>
      <w:pPr>
        <w:pStyle w:val="P68B1DB1Normal15"/>
        <w:rPr>
          <w:b/>
          <w:b/>
        </w:rPr>
      </w:pPr>
      <w:r>
        <w:rPr/>
        <w:t xml:space="preserve">38. Συνιστάται η διδασκαλία της αγγλικής γλώσσας, σύμφωνα με ένα πιστοποιήσιμο πρότυπο, ως κύριο μάθημα στα δημοτικά σχολεία σε όλα τα κράτη μέλη της ΕΕ, προκειμένου να διευκολυνθεί και να ενισχυθεί η ικανότητα των ευρωπαίων πολιτών να επικοινωνούν αποτελεσματικά. </w:t>
      </w:r>
    </w:p>
    <w:p>
      <w:pPr>
        <w:pStyle w:val="Normal"/>
        <w:rPr/>
      </w:pPr>
      <w:r>
        <w:rPr/>
        <w:t xml:space="preserve"> </w:t>
      </w:r>
    </w:p>
    <w:p>
      <w:pPr>
        <w:pStyle w:val="Normal"/>
        <w:rPr/>
      </w:pPr>
      <w:r>
        <w:rPr/>
        <w:t xml:space="preserve">Κάνουμε αυτή τη σύσταση για τους ακόλουθους λόγους: </w:t>
      </w:r>
    </w:p>
    <w:p>
      <w:pPr>
        <w:pStyle w:val="Normal"/>
        <w:rPr/>
      </w:pPr>
      <w:r>
        <w:rPr/>
        <w:t xml:space="preserve">● </w:t>
      </w:r>
      <w:r>
        <w:rPr/>
        <w:t xml:space="preserve">αυτό θα επιτρέψει μεγαλύτερη ενότητα και ισότητα μέσω της ενίσχυσης της ικανότητας των πολιτών να επικοινωνούν μεταξύ τους και να στηρίζουν μια ισχυρότερη κοινή ευρωπαϊκή ταυτότητα· </w:t>
      </w:r>
    </w:p>
    <w:p>
      <w:pPr>
        <w:pStyle w:val="Normal"/>
        <w:rPr/>
      </w:pPr>
      <w:r>
        <w:rPr/>
        <w:t xml:space="preserve">● </w:t>
      </w:r>
      <w:r>
        <w:rPr/>
        <w:t xml:space="preserve">αυτό θα διευρύνει την αγορά εργασίας και θα την καταστήσει πιο ευέλικτη και προσβάσιμη, παρέχοντας στους πολίτες την εμπιστοσύνη να εργάζονται και να επικοινωνούν σε όλα τα άλλα κράτη μέλη που προσφέρουν πιο προσωπικές και επαγγελματικές προοπτικές. </w:t>
      </w:r>
    </w:p>
    <w:p>
      <w:pPr>
        <w:pStyle w:val="Normal"/>
        <w:rPr/>
      </w:pPr>
      <w:r>
        <w:rPr/>
        <w:t xml:space="preserve">● </w:t>
      </w:r>
      <w:r>
        <w:rPr/>
        <w:t xml:space="preserve">μια τέτοια προσέγγιση θα επέτρεπε τη διάδοση μιας κοινής ευρωπαϊκής γλώσσας σε πολύ σύντομο χρονικό διάστημα· </w:t>
      </w:r>
    </w:p>
    <w:p>
      <w:pPr>
        <w:pStyle w:val="Normal"/>
        <w:rPr/>
      </w:pPr>
      <w:r>
        <w:rPr/>
        <w:t xml:space="preserve">● </w:t>
      </w:r>
      <w:r>
        <w:rPr/>
        <w:t xml:space="preserve">η χρήση μιας κοινής γλώσσας επιταχύνει την ανταλλαγή πληροφοριών, η οποία θα ωφελήσει τη συνεργασία, την κοινή αντιμετώπιση κρίσεων, την ανθρωπιστική βοήθεια και την προσέγγιση μεταξύ Ευρώπης και Ευρωπαίων. </w:t>
      </w:r>
    </w:p>
    <w:p>
      <w:pPr>
        <w:pStyle w:val="Normal"/>
        <w:rPr/>
      </w:pPr>
      <w:r>
        <w:rPr/>
      </w:r>
    </w:p>
    <w:p>
      <w:pPr>
        <w:pStyle w:val="Titre3"/>
        <w:numPr>
          <w:ilvl w:val="2"/>
          <w:numId w:val="2"/>
        </w:numPr>
        <w:rPr/>
      </w:pPr>
      <w:bookmarkStart w:id="123" w:name="__RefHeading___Toc297181_1346298689"/>
      <w:bookmarkEnd w:id="123"/>
      <w:r>
        <w:rPr/>
        <w:t xml:space="preserve">Άξονας 5 Ένας ηθικός και ασφαλής ψηφιακός μετασχηματισμός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Υποάξονας 5.1 Εκδημοκρατισμός ψηφιακού μετασχηματισμού/υποάξονας 5.2 Κυβερνοασφάλεια </w:t>
      </w:r>
      <w:commentRangeEnd w:id="3"/>
      <w:r>
        <w:commentReference w:id="3"/>
      </w:r>
      <w:r>
        <w:rPr/>
      </w:r>
    </w:p>
    <w:p>
      <w:pPr>
        <w:pStyle w:val="Normal"/>
        <w:rPr/>
      </w:pPr>
      <w:r>
        <w:rPr/>
        <w:t xml:space="preserve"> </w:t>
      </w:r>
    </w:p>
    <w:p>
      <w:pPr>
        <w:pStyle w:val="P68B1DB1Normal15"/>
        <w:rPr>
          <w:b/>
          <w:b/>
        </w:rPr>
      </w:pPr>
      <w:r>
        <w:rPr/>
        <w:t xml:space="preserve">39. Συνιστούμε στην ΕΕ να διαθέτει περισσότερες εξουσίες για την καταπολέμηση του παράνομου περιεχομένου και του εγκλήματος στον κυβερνοχώρο. Συνιστούμε την ενίσχυση της ικανότητας της Ευρωπόλ/Ευρωπαϊκού Κέντρου για τα Εγκλήματα στον Κυβερνοχώρο, μεταξύ άλλων: </w:t>
      </w:r>
    </w:p>
    <w:p>
      <w:pPr>
        <w:pStyle w:val="P68B1DB1Normal15"/>
        <w:rPr>
          <w:b/>
          <w:b/>
        </w:rPr>
      </w:pPr>
      <w:r>
        <w:rPr/>
        <w:t xml:space="preserve">● </w:t>
      </w:r>
      <w:r>
        <w:rPr/>
        <w:t xml:space="preserve">αύξηση των οικονομικών πόρων και της στελέχωσης </w:t>
      </w:r>
    </w:p>
    <w:p>
      <w:pPr>
        <w:pStyle w:val="P68B1DB1Normal15"/>
        <w:rPr>
          <w:b/>
          <w:b/>
        </w:rPr>
      </w:pPr>
      <w:r>
        <w:rPr/>
        <w:t xml:space="preserve">● </w:t>
      </w:r>
      <w:r>
        <w:rPr/>
        <w:t xml:space="preserve">διασφάλιση παρόμοιων κυρώσεων σε κάθε χώρα ● εξασφάλιση έγκαιρου και αποτελεσματικού ελέγχου της νομιμότητας </w:t>
      </w:r>
    </w:p>
    <w:p>
      <w:pPr>
        <w:pStyle w:val="Normal"/>
        <w:rPr/>
      </w:pPr>
      <w:r>
        <w:rPr/>
        <w:t xml:space="preserve"> </w:t>
      </w:r>
    </w:p>
    <w:p>
      <w:pPr>
        <w:pStyle w:val="Normal"/>
        <w:rPr/>
      </w:pPr>
      <w:r>
        <w:rPr/>
        <w:t xml:space="preserve">Κάνουμε αυτή τη σύσταση για να διασφαλίσουμε την ελευθερία στο διαδίκτυο, διασφαλίζοντας παράλληλα την τιμωρία των διακρίσεων, της κακοποίησης και της παρενόχλησης. Υποστηρίζουμε την ιδέα ενός ευρωπαϊκού δημόσιου οργανισμού, διότι δεν θέλουμε να αφήσουμε τη ρύθμιση των διαδικτυακών πλατφορμών μόνο στις ιδιωτικές εταιρείες. Οι διαδικτυακές πλατφόρμες πρέπει να αναλάβουν την ευθύνη για το διανεμημένο περιεχόμενο, αλλά θέλουμε να διασφαλίσουμε ότι δεν υπερισχύουν τα συμφέροντά τους. Η ρύθμιση του περιεχομένου και η δίωξη των δραστών πρέπει να είναι έγκαιρες και αποτελεσματικές, έτσι ώστε να έχουν επίσης αποτρεπτικό αποτέλεσμα σε κακόβουλα άτομα. </w:t>
      </w:r>
    </w:p>
    <w:p>
      <w:pPr>
        <w:pStyle w:val="Normal"/>
        <w:rPr/>
      </w:pPr>
      <w:r>
        <w:rPr/>
      </w:r>
    </w:p>
    <w:p>
      <w:pPr>
        <w:pStyle w:val="P68B1DB1Normal15"/>
        <w:rPr>
          <w:b/>
          <w:b/>
        </w:rPr>
      </w:pPr>
      <w:r>
        <w:rPr/>
        <w:t xml:space="preserve">40. Συνιστούμε στην ΕΕ να επενδύσει σε καινοτόμες και υψηλής ποιότητας ψηφιακές υποδομές (όπως το 5G που αναπτύσσεται στην Ευρώπη) για να διασφαλίσει την αυτονομία της Ευρώπης και να αποτρέψει την εξάρτηση από τρίτες χώρες ή ιδιωτικές εταιρείες. Η ΕΕ θα πρέπει επίσης να δώσει ιδιαίτερη προσοχή στις επενδύσεις στις υστερούσες περιοχές της. </w:t>
      </w:r>
    </w:p>
    <w:p>
      <w:pPr>
        <w:pStyle w:val="Normal"/>
        <w:rPr/>
      </w:pPr>
      <w:r>
        <w:rPr/>
        <w:t xml:space="preserve"> </w:t>
      </w:r>
    </w:p>
    <w:p>
      <w:pPr>
        <w:pStyle w:val="Normal"/>
        <w:rPr/>
      </w:pPr>
      <w:r>
        <w:rPr/>
        <w:t xml:space="preserve">Κάνουμε αυτή τη σύσταση επειδή οι ψηφιακές υποδομές διαδραματίζουν καίριο ρόλο στην ευρωπαϊκή οικονομία, καθώς και στην καθημερινή ζωή των Ευρωπαίων, την οποία διευκολύνουν. Ως εκ τούτου, η Ευρώπη χρειάζεται ψηφιακές υποδομές υψηλής ποιότητας. Εάν εξαρτάται από τρίτους, η Ευρώπη μπορεί να είναι ευάλωτη σε αρνητικές επιρροές από ιδιωτικές εταιρείες ή ξένες χώρες. Ως εκ τούτου, η Ευρώπη θα πρέπει να επενδύσει σε ψηφιακές υποδομές προκειμένου να βελτιώσει την αυτονομία της. Είναι επίσης σημαντικό να διασφαλιστεί η ψηφιακή ένταξη διασφαλίζοντας ότι οι λιγότερο ψηφιακά ανεπτυγμένες περιφέρειες επωφελούνται από τις επενδύσεις. </w:t>
      </w:r>
    </w:p>
    <w:p>
      <w:pPr>
        <w:pStyle w:val="Normal"/>
        <w:rPr/>
      </w:pPr>
      <w:r>
        <w:rPr/>
      </w:r>
    </w:p>
    <w:p>
      <w:pPr>
        <w:pStyle w:val="P68B1DB1Normal15"/>
        <w:rPr>
          <w:b/>
          <w:b/>
        </w:rPr>
      </w:pPr>
      <w:r>
        <w:rPr/>
        <w:t xml:space="preserve">41. Συνιστούμε στην ΕΕ να προωθήσει την εκπαίδευση σχετικά με τις ψευδείς ειδήσεις, την παραπληροφόρηση και την ασφάλεια στο διαδίκτυο στα ευρωπαϊκά σχολεία. Θα πρέπει να βασιστεί σε παραδείγματα ορθών πρακτικών από ολόκληρη την ΕΕ. Η ΕΕ θα πρέπει να συστήσει μια οργάνωση ειδικά υπεύθυνη για την προώθηση του έργου αυτού και την παροχή συστάσεων στα εκπαιδευτικά συστήματα. Θα πρέπει επίσης να προωθεί τη μη τυπική εκπαίδευση καθώς και καινοτόμες και δημιουργικές τεχνικές διδασκαλίας (π.χ. συμμετοχικά παιχνίδια). </w:t>
      </w:r>
    </w:p>
    <w:p>
      <w:pPr>
        <w:pStyle w:val="Normal"/>
        <w:rPr/>
      </w:pPr>
      <w:r>
        <w:rPr/>
      </w:r>
    </w:p>
    <w:p>
      <w:pPr>
        <w:pStyle w:val="Normal"/>
        <w:rPr/>
      </w:pPr>
      <w:r>
        <w:rPr/>
        <w:t xml:space="preserve">Κάνουμε αυτή τη σύσταση επειδή η εισαγωγή μαθημάτων σχετικά με την διαδικτυακή ασφάλεια και την κουλτούρα ψηφιακής ασφάλειας (καταπολέμηση διαδικτυακών απατών, ψευδών ειδήσεων κ.λπ.) στο σχολείο είναι σημαντική προκειμένου να δοθούν σε όλους τα εργαλεία για την προστασία τους από διαδικτυακές απειλές. Είναι σημαντικό να στοχεύσουμε τους νέους, οι οποίοι είναι ιδιαίτερα εκτεθειμένοι σε τέτοιες απειλές. Τα σχολεία μπορούν επίσης να επικοινωνούν με τους γονείς για την προώθηση ορθών πρακτικών. Τα μαθήματα αυτά μπορούν να βασίζονται σε παραδείγματα ορθών πρακτικών στην Ευρώπη (π.χ. Φινλανδία), με παράλληλη προσαρμογή στις ανάγκες κάθε χώρας. </w:t>
      </w:r>
    </w:p>
    <w:p>
      <w:pPr>
        <w:pStyle w:val="Normal"/>
        <w:rPr/>
      </w:pPr>
      <w:r>
        <w:rPr/>
        <w:t xml:space="preserve"> </w:t>
      </w:r>
    </w:p>
    <w:p>
      <w:pPr>
        <w:pStyle w:val="Titre4"/>
        <w:numPr>
          <w:ilvl w:val="3"/>
          <w:numId w:val="2"/>
        </w:numPr>
        <w:rPr/>
      </w:pPr>
      <w:bookmarkStart w:id="125" w:name="__RefHeading___Toc297185_1346298689"/>
      <w:bookmarkEnd w:id="125"/>
      <w:r>
        <w:rPr/>
        <w:t xml:space="preserve">Υποάξονας 5.3 Προστασία δεδομένων </w:t>
      </w:r>
    </w:p>
    <w:p>
      <w:pPr>
        <w:pStyle w:val="Normal"/>
        <w:rPr/>
      </w:pPr>
      <w:r>
        <w:rPr/>
        <w:t xml:space="preserve"> </w:t>
      </w:r>
    </w:p>
    <w:p>
      <w:pPr>
        <w:pStyle w:val="P68B1DB1Normal15"/>
        <w:rPr>
          <w:b/>
          <w:b/>
        </w:rPr>
      </w:pPr>
      <w:r>
        <w:rPr/>
        <w:t xml:space="preserve">42. Συνιστούμε τον περαιτέρω περιορισμό της κατάχρησης δεδομένων από «γίγαντες δεδομένων» αυξάνοντας τη συμμόρφωση με τον ΓΚΠΔ (Γενικός Κανονισμός για την Προστασία Δεδομένων), δημιουργώντας πιο τυποποιημένους μηχανισμούς σε ολόκληρη την ΕΕ και διασφαλίζοντας ότι ακόμη και οι μη ευρωπαϊκές εταιρείες που δραστηριοποιούνται στην ΕΕ συμμορφώνονται με αυτόν τον κανονισμό. Η βελτίωση αυτή θα πρέπει να παρέχει σαφή και συνοπτική επεξήγηση των όρων χρήσης των δεδομένων προκειμένου να αποφεύγεται η ασάφεια και η παροχή πρόσθετων πληροφοριών σχετικά με τον τρόπο χρήσης των δεδομένων και από ποιον, και να αποφεύγεται η συγκατάθεση για την περαιτέρω χρήση και τη μεταπώληση των δεδομένων ως προκαθορισμένη επιλογή. Θα πρέπει να διασφαλίζει ότι τα δεδομένα διαγράφονται οριστικά όταν ζητηθεί από έναν πολίτη. Θα πρέπει επίσης να ενισχύσει τη συνέπεια της παρακολούθησης της συμμόρφωσης με τους κανόνες όσον αφορά την κατάρτιση προφίλ ατόμων βάσει των επιγραμμικών δραστηριοτήτων τους. Προτείνουμε δύο είδη κυρώσεων: πρόστιμο ανάλογο προς τον κύκλο εργασιών και τους περιορισμούς των δραστηριοτήτων της εταιρείας. </w:t>
      </w:r>
    </w:p>
    <w:p>
      <w:pPr>
        <w:pStyle w:val="Normal"/>
        <w:rPr/>
      </w:pPr>
      <w:r>
        <w:rPr/>
        <w:t xml:space="preserve"> </w:t>
      </w:r>
    </w:p>
    <w:p>
      <w:pPr>
        <w:pStyle w:val="Normal"/>
        <w:rPr/>
      </w:pPr>
      <w:r>
        <w:rPr/>
        <w:t xml:space="preserve">Κάνουμε αυτή τη σύσταση, διότι η διαφάνεια είναι επί του παρόντος πολύ περιορισμένη ως προς το είδος των δεδομένων που συλλέγονται, τον τρόπο επεξεργασίας τους και την ταυτότητα εκείνων στους οποίους πωλούνται. Πρέπει να περιορίσουμε περαιτέρω τις καταχρήσεις εξουσίας από τους γίγαντες δεδομένων και να διασφαλίσουμε ότι οι πολίτες συναινούν στην επεξεργασία των δεδομένων τους εν γνώσει τους. </w:t>
      </w:r>
    </w:p>
    <w:p>
      <w:pPr>
        <w:pStyle w:val="Normal"/>
        <w:rPr/>
      </w:pPr>
      <w:r>
        <w:rPr/>
        <w:t xml:space="preserve"> </w:t>
      </w:r>
    </w:p>
    <w:p>
      <w:pPr>
        <w:pStyle w:val="P68B1DB1Normal15"/>
        <w:rPr>
          <w:b/>
          <w:b/>
        </w:rPr>
      </w:pPr>
      <w:r>
        <w:rPr/>
        <w:t xml:space="preserve">43. Συνιστούμε τη δημιουργία ενός ανεξάρτητου πανευρωπαϊκού οργανισμού που θα καθορίζει σαφώς την παρεμβατική συμπεριφορά (π.χ. ανεπιθύμητη αλληλογραφία) και θα αναπτύσσει κατευθυντήριες γραμμές σχετικά με τον τρόπο με τον οποίο οι πολίτες μπορούν να αντιταχθούν στην επεξεργασία των δεδομένων τους και να επιτύχουν τη διαγραφή τους, ιδίως από τρίτους. Ο οργανισμός αυτός πρέπει να έχει την εντολή να εντοπίζει και να τιμωρεί τους απατεώνες και τους οργανισμούς που δεν συμμορφώνονται με τους κανόνες. Θα πρέπει να επικεντρωθεί στη διασφάλιση της συμμόρφωσης με τους κανόνες της ΕΕ από οντότητες που είναι εγκατεστημένες εκτός της ΕΕ αλλά δραστηριοποιούνται εκεί. Θα χρηματοδοτηθεί από τα θεσμικά όργανα της ΕΕ και θα αποτελείται από ένα κοινό συμβούλιο ανεξάρτητων φορέων (δηλαδή εμπειρογνωμόνων από τον ακαδημαϊκό χώρο και οντοτήτων που εκπροσωπούν επαγγελματίες). Θα πρέπει να έχει ένα περιστρεφόμενο πραισίδιο. Προτείνουμε δύο είδη κυρώσεων: πρόστιμο ανάλογο προς τον κύκλο εργασιών των επιχειρήσεων και τους περιορισμούς της δραστηριότητας των επιχειρήσεων. </w:t>
      </w:r>
    </w:p>
    <w:p>
      <w:pPr>
        <w:pStyle w:val="Normal"/>
        <w:rPr/>
      </w:pPr>
      <w:r>
        <w:rPr/>
      </w:r>
    </w:p>
    <w:p>
      <w:pPr>
        <w:pStyle w:val="Normal"/>
        <w:rPr/>
      </w:pPr>
      <w:r>
        <w:rPr/>
        <w:t xml:space="preserve">Κάνουμε αυτή τη σύσταση επειδή δεν υπάρχει κεντρικός οργανισμός με ισχυρή εντολή που να μπορεί να βοηθήσει τους πολίτες, ιδίως όταν έχουν πρόβλημα και χρειάζονται βοήθεια, συμβουλές ή υποστήριξη. Δεν υπάρχουν σαφείς και δεσμευτικοί κανόνες που πρέπει να ακολουθούν οι εταιρείες. Όσον αφορά τις κυρώσεις, δεν εφαρμόζονται ή έχουν αμελητέο αντίκτυπο στις εταιρείες. </w:t>
      </w:r>
    </w:p>
    <w:p>
      <w:pPr>
        <w:pStyle w:val="Normal"/>
        <w:rPr/>
      </w:pPr>
      <w:r>
        <w:rPr/>
        <w:t xml:space="preserve"> </w:t>
      </w:r>
    </w:p>
    <w:p>
      <w:pPr>
        <w:pStyle w:val="P68B1DB1Normal15"/>
        <w:rPr>
          <w:b/>
          <w:b/>
        </w:rPr>
      </w:pPr>
      <w:r>
        <w:rPr/>
        <w:t xml:space="preserve">44. Συνιστούμε τη δημιουργία ενός συστήματος πιστοποίησης της ΕΕ που θα αποδεικνύει τη συμμόρφωση με τον ΓΚΠΔ (Γενικός Κανονισμός για την Προστασία Δεδομένων) με διαφανή τρόπο και θα διασφαλίζει ότι οι πληροφορίες σχετικά με την προστασία των δεδομένων παρουσιάζονται με προσιτό, σαφή και απλό τρόπο. Το πιστοποιητικό αυτό θα είναι υποχρεωτικό και ορατό σε ιστότοπους και πλατφόρμες. Θα πρέπει να εκδίδεται από ανεξάρτητο πιστοποιητή σε ευρωπαϊκό επίπεδο, υφιστάμενο ή δημιουργημένο για τον σκοπό αυτό, ο οποίος δεν θα συνδέεται με τις εθνικές κυβερνήσεις ή τον ιδιωτικό τομέα. </w:t>
      </w:r>
    </w:p>
    <w:p>
      <w:pPr>
        <w:pStyle w:val="Normal"/>
        <w:rPr/>
      </w:pPr>
      <w:r>
        <w:rPr/>
        <w:t xml:space="preserve"> </w:t>
      </w:r>
    </w:p>
    <w:p>
      <w:pPr>
        <w:pStyle w:val="Normal"/>
        <w:rPr/>
      </w:pPr>
      <w:r>
        <w:rPr/>
        <w:t xml:space="preserve">Κάνουμε αυτή τη σύσταση επειδή επί του παρόντος υπάρχει ελάχιστη ή καθόλου διαφάνεια σχετικά με τον τρόπο με τον οποίο προστατεύονται τα δεδομένα από κάθε εταιρεία και οι χρήστες/πελάτες δεν μπορούν να κάνουν συνειδητές επιλογές. </w:t>
      </w:r>
    </w:p>
    <w:p>
      <w:pPr>
        <w:pStyle w:val="Normal"/>
        <w:rPr/>
      </w:pPr>
      <w:r>
        <w:rPr/>
      </w:r>
    </w:p>
    <w:p>
      <w:pPr>
        <w:pStyle w:val="P68B1DB1Normal15"/>
        <w:rPr>
          <w:b/>
          <w:b/>
        </w:rPr>
      </w:pPr>
      <w:r>
        <w:rPr/>
        <w:t xml:space="preserve">45. Σας συνιστούμε να εξηγήσετε καλύτερα τον ΓΚΠΔ (Γενικός Κανονισμός για την Προστασία Δεδομένων) και να βελτιώσετε την επικοινωνία σχετικά με αυτό, δημιουργώντας ένα τυποποιημένο κείμενο σχετικά με τη συμμόρφωση που χρησιμοποιεί απλή και σαφή γλώσσα, κατανοητή από όλους. Το κείμενο αυτό θα πρέπει να παρουσιάζει ένα βασικό μήνυμα και/ή θεμελιώδεις αρχές. Η διαδικασία συγκατάθεσης θα πρέπει να είναι πιο οπτική (π.χ. αίτηση για ρητή έγκριση της τηλεφωνικής πρόσβασης μέσω αίτησης). Θα πρέπει να συνοδεύεται από ενημερωτική εκστρατεία (συμπεριλαμβανομένης της τηλεόρασης) και, συστηματικά, υποχρεωτικά μαθήματα (τουλάχιστον για όσους εργάζονται με δεδομένα) και συμβουλές σχετικά με την πρόθεση όσων χρειάζονται βοήθεια. </w:t>
      </w:r>
    </w:p>
    <w:p>
      <w:pPr>
        <w:pStyle w:val="Normal"/>
        <w:rPr/>
      </w:pPr>
      <w:r>
        <w:rPr/>
        <w:t xml:space="preserve"> </w:t>
      </w:r>
    </w:p>
    <w:p>
      <w:pPr>
        <w:pStyle w:val="Normal"/>
        <w:rPr/>
      </w:pPr>
      <w:r>
        <w:rPr/>
        <w:t xml:space="preserve">Κάνουμε αυτή τη σύσταση επειδή, επί του παρόντος, η διατύπωση του ΓΚΠΔ είναι υπερβολικά ασαφής και υπερβολικά τεχνική και ο όγκος των πληροφοριών είναι συντριπτικός και δεν είναι προσβάσιμος σε όλους. Η επικοινωνία δεν είναι επίσης παρόμοια μεταξύ των χωρών και συχνά αποκλείει διαφορετικές ομάδες, κυρίως ηλικιωμένους και άτομα που γεννήθηκαν πριν από την ψηφιακή εποχή. </w:t>
      </w:r>
    </w:p>
    <w:p>
      <w:pPr>
        <w:pStyle w:val="Normal"/>
        <w:rPr/>
      </w:pPr>
      <w:r>
        <w:rPr/>
      </w:r>
    </w:p>
    <w:p>
      <w:pPr>
        <w:pStyle w:val="Titre4"/>
        <w:numPr>
          <w:ilvl w:val="3"/>
          <w:numId w:val="2"/>
        </w:numPr>
        <w:rPr/>
      </w:pPr>
      <w:bookmarkStart w:id="126" w:name="__RefHeading___Toc297187_1346298689"/>
      <w:bookmarkEnd w:id="126"/>
      <w:r>
        <w:rPr/>
        <w:t xml:space="preserve">Υποάξονας 5.4 Ψηφιακός μετασχηματισμός και υγεία </w:t>
      </w:r>
    </w:p>
    <w:p>
      <w:pPr>
        <w:pStyle w:val="Normal"/>
        <w:rPr/>
      </w:pPr>
      <w:r>
        <w:rPr/>
        <w:t xml:space="preserve"> </w:t>
      </w:r>
    </w:p>
    <w:p>
      <w:pPr>
        <w:pStyle w:val="P68B1DB1Normal15"/>
        <w:rPr>
          <w:b/>
          <w:b/>
        </w:rPr>
      </w:pPr>
      <w:r>
        <w:rPr/>
        <w:t xml:space="preserve">46. Συνιστούμε στην ΕΕ να αντιμετωπίσει το πρόβλημα των «ψευδών πληροφοριών» με δύο τρόπους: </w:t>
      </w:r>
    </w:p>
    <w:p>
      <w:pPr>
        <w:pStyle w:val="P68B1DB1Normal15"/>
        <w:rPr>
          <w:b/>
          <w:b/>
        </w:rPr>
      </w:pPr>
      <w:r>
        <w:rPr/>
        <w:t xml:space="preserve">● </w:t>
      </w:r>
      <w:r>
        <w:rPr/>
        <w:t xml:space="preserve">νομοθεσία που επιτρέπει στις εταιρείες μέσων κοινωνικής δικτύωσης να εφαρμόζουν αλγορίθμους μηχανικής μάθησης που μπορούν να αναδείξουν την αξιοπιστία των πληροφοριών στα μέσα κοινωνικής δικτύωσης και στα νέα μέσα, παρέχοντας στον χρήστη επαληθευμένες πηγές πληροφοριών. Συνιστούμε οι αλγόριθμοι να ελέγχονται από εμπειρογνώμονες προκειμένου να διασφαλίζεται η ορθή λειτουργία τους· </w:t>
      </w:r>
    </w:p>
    <w:p>
      <w:pPr>
        <w:pStyle w:val="P68B1DB1Normal15"/>
        <w:rPr>
          <w:b/>
          <w:b/>
        </w:rPr>
      </w:pPr>
      <w:r>
        <w:rPr/>
        <w:t xml:space="preserve">● </w:t>
      </w:r>
      <w:r>
        <w:rPr/>
        <w:t xml:space="preserve">δημιουργία ψηφιακής πλατφόρμας για την απόδοση μιας βαθμολογίας σε πληροφορίες από τα παραδοσιακά μέσα ενημέρωσης (π.χ. τηλεόραση, εκτύπωση, ραδιόφωνο) ανεξάρτητα από πολιτικά και οικονομικά συμφέροντα, και η οποία ενημερώνει τους πολίτες για την ποιότητα των πληροφοριών χωρίς να εφαρμόζει οποιαδήποτε μορφή λογοκρισίας. Η πλατφόρμα αυτή θα πρέπει να υπόκειται σε δημόσιο έλεγχο και να τηρεί τα υψηλότερα πρότυπα διαφάνειας, και η ΕΕ θα πρέπει να διασφαλίζει ότι τα κονδύλια που διατίθενται σε αυτήν χρησιμοποιούνται για τον επιδιωκόμενο σκοπό. </w:t>
      </w:r>
    </w:p>
    <w:p>
      <w:pPr>
        <w:pStyle w:val="Normal"/>
        <w:rPr/>
      </w:pPr>
      <w:r>
        <w:rPr/>
        <w:t xml:space="preserve"> </w:t>
      </w:r>
    </w:p>
    <w:p>
      <w:pPr>
        <w:pStyle w:val="Normal"/>
        <w:rPr/>
      </w:pPr>
      <w:r>
        <w:rPr/>
        <w:t xml:space="preserve">Κάνουμε αυτή τη σύσταση επειδή ανησυχούν διάφορα είδη μέσων ενημέρωσης και πιστεύουμε ότι οι κυρώσεις ή η αφαίρεση περιεχομένου θα μπορούσαν να οδηγήσουν σε λογοκρισία και να υπονομεύσουν την ελευθερία της έκφρασης και την ελευθερία του Τύπου. Συνιστούμε οι ειδικοί να ελέγχουν και να ελέγχουν την ορθή λειτουργία του αλγορίθμου για να διασφαλίσουν ότι λειτουργεί σωστά. Τέλος, συνιστούμε η πλατφόρμα να είναι απολιτική και ανεξάρτητη για τη διασφάλιση της διαφάνειας και της ελευθερίας της έκφρασης. Επιπλέον, δεδομένου ότι είναι αδύνατο να απαλλαγούμε εντελώς από ψευδείς πληροφορίες, η διάθεση αυτών των εργαλείων στους πολίτες θα συμβάλει στη μείωση των επιπτώσεών τους στην Ευρώπη. </w:t>
      </w:r>
    </w:p>
    <w:p>
      <w:pPr>
        <w:pStyle w:val="Normal"/>
        <w:rPr/>
      </w:pPr>
      <w:r>
        <w:rPr/>
        <w:t xml:space="preserve"> </w:t>
      </w:r>
    </w:p>
    <w:p>
      <w:pPr>
        <w:pStyle w:val="P68B1DB1Normal15"/>
        <w:rPr>
          <w:b/>
          <w:b/>
        </w:rPr>
      </w:pPr>
      <w:r>
        <w:rPr/>
        <w:t xml:space="preserve">47. Συνιστούμε στην ΕΕ να εφαρμόσει διάφορες δράσεις για να διασφαλίσει την υγιή χρήση του διαδικτύου: </w:t>
      </w:r>
    </w:p>
    <w:p>
      <w:pPr>
        <w:pStyle w:val="P68B1DB1Normal15"/>
        <w:rPr>
          <w:b/>
          <w:b/>
        </w:rPr>
      </w:pPr>
      <w:r>
        <w:rPr/>
        <w:t xml:space="preserve">● </w:t>
      </w:r>
      <w:r>
        <w:rPr/>
        <w:t xml:space="preserve">Πρώτα απ’ όλα, η ΕΕ πρέπει να αντιμετωπίσει την έλλειψη υποδομών και εξοπλισμού που εμποδίζει τους πολίτες να έχουν πρόσβαση στο διαδίκτυο· </w:t>
      </w:r>
    </w:p>
    <w:p>
      <w:pPr>
        <w:pStyle w:val="P68B1DB1Normal15"/>
        <w:rPr>
          <w:b/>
          <w:b/>
        </w:rPr>
      </w:pPr>
      <w:r>
        <w:rPr/>
        <w:t xml:space="preserve">● </w:t>
      </w:r>
      <w:r>
        <w:rPr/>
        <w:t xml:space="preserve">Στη συνέχεια, συνιστούμε στην ΕΕ να ενθαρρύνει τα κράτη μέλη να αναπτύξουν κατάρτιση στο Διαδίκτυο και τους κινδύνους του για όλες τις ηλικιακές ομάδες. Αυτό θα μπορούσε να επιτευχθεί με την εισαγωγή μαθημάτων στα σχολεία για παιδιά και νέους και με τη δημιουργία διαφορετικών προγραμμάτων σπουδών και προγραμμάτων σπουδών για την προσέγγιση των ενηλίκων και των ηλικιωμένων πολιτών. Το περιεχόμενο των μαθημάτων αυτών θα πρέπει να καθορίζεται σε ευρωπαϊκό επίπεδο από μια ομάδα ανεξάρτητων εμπειρογνωμόνων. </w:t>
      </w:r>
    </w:p>
    <w:p>
      <w:pPr>
        <w:pStyle w:val="P68B1DB1Normal15"/>
        <w:rPr>
          <w:b/>
          <w:b/>
        </w:rPr>
      </w:pPr>
      <w:r>
        <w:rPr/>
        <w:t xml:space="preserve">● </w:t>
      </w:r>
      <w:r>
        <w:rPr/>
        <w:t xml:space="preserve">Τέλος, καλούμε την ΕΕ να λάβει όλα τα αναγκαία μέτρα για να διασφαλίσει ότι η ψηφιοποίηση της κοινωνίας δεν αποκλείει τους ηλικιωμένους και να διασφαλίσει ότι οι βασικές υπηρεσίες είναι επίσης προσβάσιμες αυτοπροσώπως. </w:t>
      </w:r>
    </w:p>
    <w:p>
      <w:pPr>
        <w:pStyle w:val="Normal"/>
        <w:rPr/>
      </w:pPr>
      <w:r>
        <w:rPr/>
      </w:r>
    </w:p>
    <w:p>
      <w:pPr>
        <w:pStyle w:val="P68B1DB1Normal15"/>
        <w:rPr>
          <w:b/>
          <w:b/>
        </w:rPr>
      </w:pPr>
      <w:r>
        <w:rPr/>
        <w:t xml:space="preserve">● </w:t>
      </w:r>
      <w:r>
        <w:rPr/>
        <w:t xml:space="preserve">Η ΕΕ θα πρέπει να διασφαλίσει ότι τα κονδύλια που διατίθενται ειδικά για τις δραστηριότητες αυτές χρησιμοποιούνται για τον επιδιωκόμενο σκοπό. </w:t>
      </w:r>
    </w:p>
    <w:p>
      <w:pPr>
        <w:pStyle w:val="Normal"/>
        <w:rPr/>
      </w:pPr>
      <w:r>
        <w:rPr/>
        <w:t xml:space="preserve"> </w:t>
      </w:r>
    </w:p>
    <w:p>
      <w:pPr>
        <w:pStyle w:val="Normal"/>
        <w:rPr/>
      </w:pPr>
      <w:r>
        <w:rPr/>
        <w:t xml:space="preserve">Κάνουμε αυτή τη σύσταση, λόγω της έλλειψης υποδομών και εξοπλισμού (π.χ. συσκευών) σε ορισμένα μέρη της Ευρώπης και της ανάγκης να διασφαλιστεί η σύνδεση πριν από την εκπαίδευση των πολιτών, καθώς γνωρίζουμε ότι η πρόσβαση στο διαδίκτυο είναι περιορισμένη σε ορισμένες περιοχές και για ορισμένα προφίλ. Συνιστούμε να οργανωθούν μαθήματα που θα βοηθήσουν τα παιδιά να αποκτήσουν ψηφιακές δεξιότητες, να παράσχουν πρόσθετα προγράμματα που θα βοηθήσουν τους ηλικιωμένους να ψηφιοποιήσουν και να λάβουν τα αναγκαία μέτρα για να διασφαλίσουν ότι ο ψηφιακός μετασχηματισμός δεν υπονομεύει τα δικαιώματα των ηλικιωμένων. </w:t>
      </w:r>
    </w:p>
    <w:p>
      <w:pPr>
        <w:pStyle w:val="Normal"/>
        <w:rPr/>
      </w:pPr>
      <w:r>
        <w:rPr/>
      </w:r>
    </w:p>
    <w:p>
      <w:pPr>
        <w:pStyle w:val="P68B1DB1Normal15"/>
        <w:rPr>
          <w:b/>
          <w:b/>
        </w:rPr>
      </w:pPr>
      <w:r>
        <w:rPr/>
        <w:t xml:space="preserve">48. Συνιστούμε στην ΕΕ να προωθήσει την εκπαίδευση των πολιτών σε κάθε κράτος μέλος προκειμένου να ενισχύσει την κριτική σκέψη, τον σκεπτικισμό και τον έλεγχο των γεγονότων και να τους διδάξει να αξιολογούν ανεξάρτητα αν οι πληροφορίες είναι αξιόπιστες ή όχι. Η εκπαίδευση αυτή θα πρέπει να περιλαμβάνει την οργάνωση ειδικών μαθημάτων σε επίπεδο βασικής εκπαίδευσης και να προσφέρεται, σε άλλους δημόσιους χώρους, σε πολίτες όλων των ηλικιών που επιθυμούν να επωφεληθούν από αυτήν. Η ΕΕ θα πρέπει να διασφαλίσει ότι τα κονδύλια που διατίθενται ειδικά για τις δραστηριότητες αυτές χρησιμοποιούνται για τον επιδιωκόμενο σκοπό. </w:t>
      </w:r>
    </w:p>
    <w:p>
      <w:pPr>
        <w:pStyle w:val="Normal"/>
        <w:rPr/>
      </w:pPr>
      <w:r>
        <w:rPr/>
        <w:t xml:space="preserve"> </w:t>
      </w:r>
    </w:p>
    <w:p>
      <w:pPr>
        <w:pStyle w:val="Normal"/>
        <w:rPr/>
      </w:pPr>
      <w:r>
        <w:rPr/>
        <w:t xml:space="preserve">Κάνουμε αυτή τη σύσταση επειδή πιστεύουμε ότι είναι αδύνατο να απαλλαγούμε εντελώς από ψευδείς πληροφορίες. Η κατάρτιση αυτή θα βοηθήσει τους πολίτες να τις αναγνωρίσουν για τον εαυτό τους. Ως εκ τούτου, θα μειωθούν οι επιπτώσεις των ψευδών πληροφοριών στην κοινωνία και στους ίδιους τους πολίτες. Θα προσφέρει επίσης στους πολίτες μεγαλύτερες ευκαιρίες για δράση, αντί να βασίζεται σε θεσμικά όργανα για την απόκτηση αξιόπιστων πληροφοριών. </w:t>
      </w:r>
    </w:p>
    <w:p>
      <w:pPr>
        <w:pStyle w:val="Normal"/>
        <w:rPr/>
      </w:pPr>
      <w:r>
        <w:rPr/>
        <w:t xml:space="preserve"> </w:t>
      </w:r>
    </w:p>
    <w:p>
      <w:pPr>
        <w:pStyle w:val="Titre3"/>
        <w:numPr>
          <w:ilvl w:val="2"/>
          <w:numId w:val="2"/>
        </w:numPr>
        <w:rPr/>
      </w:pPr>
      <w:bookmarkStart w:id="127" w:name="__RefHeading___Toc297189_1346298689"/>
      <w:bookmarkEnd w:id="127"/>
      <w:r>
        <w:rPr/>
        <w:t xml:space="preserve">Παράρτημα: ΆΛΛΕΣ ΣΥΣΤΆΣΕΙΣ ΠΟΥ ΕΞΕΤΆΣΤΗΚΑΝ ΑΠΌ ΤΗΝ ΕΠΙΤΡΟΠΉ ΚΑΙ ΟΙ ΟΠΟΊΕΣ ΔΕΝ ΕΓΚΡΊΘΗΚΑΝ </w:t>
      </w:r>
    </w:p>
    <w:p>
      <w:pPr>
        <w:pStyle w:val="Normal"/>
        <w:rPr/>
      </w:pPr>
      <w:r>
        <w:rPr/>
        <w:t xml:space="preserve"> </w:t>
      </w:r>
    </w:p>
    <w:p>
      <w:pPr>
        <w:pStyle w:val="Titre4"/>
        <w:numPr>
          <w:ilvl w:val="3"/>
          <w:numId w:val="2"/>
        </w:numPr>
        <w:rPr/>
      </w:pPr>
      <w:bookmarkStart w:id="128" w:name="__RefHeading___Toc297191_1346298689"/>
      <w:bookmarkEnd w:id="128"/>
      <w:r>
        <w:rPr/>
        <w:t xml:space="preserve">Άξονας 3 Μια δίκαιη κοινωνία </w:t>
      </w:r>
    </w:p>
    <w:p>
      <w:pPr>
        <w:pStyle w:val="Normal"/>
        <w:rPr/>
      </w:pPr>
      <w:r>
        <w:rPr/>
        <w:t xml:space="preserve"> </w:t>
      </w:r>
    </w:p>
    <w:p>
      <w:pPr>
        <w:pStyle w:val="Normal"/>
        <w:rPr/>
      </w:pPr>
      <w:r>
        <w:rPr/>
        <w:t xml:space="preserve">Υποάξονας 3.2 Ισότητα δικαιωμάτων </w:t>
      </w:r>
    </w:p>
    <w:p>
      <w:pPr>
        <w:pStyle w:val="Normal"/>
        <w:rPr/>
      </w:pPr>
      <w:r>
        <w:rPr/>
        <w:t xml:space="preserve"> </w:t>
      </w:r>
    </w:p>
    <w:p>
      <w:pPr>
        <w:pStyle w:val="P68B1DB1Normal15"/>
        <w:rPr>
          <w:b/>
          <w:b/>
        </w:rPr>
      </w:pPr>
      <w:r>
        <w:rPr/>
        <w:t xml:space="preserve">Συνιστούμε στην ΕΕ να δημιουργήσει έναν μηχανισμό για την παρακολούθηση και τον σεβασμό των δικαιωμάτων των μειονοτήτων (π.χ. πύλη ή γραφείο όπου οι πολίτες θα μπορούν να υποβάλλουν καταγγελίες). </w:t>
      </w:r>
    </w:p>
    <w:p>
      <w:pPr>
        <w:pStyle w:val="Normal"/>
        <w:rPr/>
      </w:pPr>
      <w:r>
        <w:rPr/>
        <w:t xml:space="preserve"> </w:t>
      </w:r>
    </w:p>
    <w:p>
      <w:pPr>
        <w:pStyle w:val="Normal"/>
        <w:rPr/>
      </w:pPr>
      <w:r>
        <w:rPr/>
        <w:t xml:space="preserve">Κάνουμε αυτή τη σύσταση επειδή πιστεύουμε ότι κάθε άτομο μπορεί να εκφράσει τη γνώμη του και έχει το δικαίωμα να αναζητήσει και να λάβει βοήθεια. Ένα τέτοιο αξίωμα είναι απαραίτητο για τη μείωση των εντάσεων μεταξύ των μειονοτήτων και της πλειοψηφίας. </w:t>
      </w:r>
    </w:p>
    <w:p>
      <w:pPr>
        <w:pStyle w:val="Normal"/>
        <w:rPr/>
      </w:pPr>
      <w:r>
        <w:rPr/>
      </w:r>
    </w:p>
    <w:p>
      <w:pPr>
        <w:pStyle w:val="Normal"/>
        <w:rPr/>
      </w:pPr>
      <w:r>
        <w:rPr/>
        <w:t xml:space="preserve">Υποάξονας 3.3 Ισότητα/Υποάξονας 3.4 Πρόσβαση στον αθλητισμό </w:t>
      </w:r>
    </w:p>
    <w:p>
      <w:pPr>
        <w:pStyle w:val="Normal"/>
        <w:rPr/>
      </w:pPr>
      <w:r>
        <w:rPr/>
        <w:t xml:space="preserve"> </w:t>
      </w:r>
    </w:p>
    <w:p>
      <w:pPr>
        <w:pStyle w:val="P68B1DB1Normal15"/>
        <w:rPr>
          <w:b/>
          <w:b/>
        </w:rPr>
      </w:pPr>
      <w:r>
        <w:rPr/>
        <w:t xml:space="preserve">Συνιστούμε στην ΕΕ να αυξήσει την ευαισθητοποίηση σχετικά με τη σωματική δραστηριότητα μέσω της «μοντελοποίησης ρόλων», με τη συμμετοχή δημόσιων προσωπικοτήτων (οι εκδηλώσεις που διοργανώνονται από το Κοινοβούλιο θα πρέπει να περιλαμβάνουν κάποια μορφή σωματικής δραστηριότητας ή μετακίνησης, για λίγα δευτερόλεπτα, όπως τέντωμα, περπάτημα ή άλμα). </w:t>
      </w:r>
    </w:p>
    <w:p>
      <w:pPr>
        <w:pStyle w:val="Normal"/>
        <w:rPr/>
      </w:pPr>
      <w:r>
        <w:rPr/>
        <w:t xml:space="preserve"> </w:t>
      </w:r>
    </w:p>
    <w:p>
      <w:pPr>
        <w:pStyle w:val="Normal"/>
        <w:rPr/>
      </w:pPr>
      <w:r>
        <w:rPr/>
        <w:t xml:space="preserve">Κάνουμε αυτή τη σύσταση, διότι η κινητοποίηση δημόσιων προσωπικοτήτων για σωματική δραστηριότητα θα αυξήσει την ευαισθητοποίηση του κοινού. </w:t>
      </w:r>
    </w:p>
    <w:p>
      <w:pPr>
        <w:pStyle w:val="Normal"/>
        <w:rPr/>
      </w:pPr>
      <w:r>
        <w:rPr/>
      </w:r>
    </w:p>
    <w:p>
      <w:pPr>
        <w:pStyle w:val="Titre4"/>
        <w:numPr>
          <w:ilvl w:val="3"/>
          <w:numId w:val="2"/>
        </w:numPr>
        <w:rPr/>
      </w:pPr>
      <w:bookmarkStart w:id="129" w:name="__RefHeading___Toc297193_1346298689"/>
      <w:bookmarkEnd w:id="129"/>
      <w:r>
        <w:rPr/>
        <w:t xml:space="preserve">Άξονας 5 Ένας ηθικός και ασφαλής ψηφιακός μετασχηματισμός </w:t>
      </w:r>
    </w:p>
    <w:p>
      <w:pPr>
        <w:pStyle w:val="Normal"/>
        <w:rPr/>
      </w:pPr>
      <w:r>
        <w:rPr/>
        <w:t xml:space="preserve"> </w:t>
      </w:r>
    </w:p>
    <w:p>
      <w:pPr>
        <w:pStyle w:val="Normal"/>
        <w:rPr/>
      </w:pPr>
      <w:r>
        <w:rPr/>
        <w:t xml:space="preserve">Υποάξονας 5.3 Προστασία δεδομένων </w:t>
      </w:r>
    </w:p>
    <w:p>
      <w:pPr>
        <w:pStyle w:val="Normal"/>
        <w:rPr/>
      </w:pPr>
      <w:r>
        <w:rPr/>
        <w:t xml:space="preserve"> </w:t>
      </w:r>
    </w:p>
    <w:p>
      <w:pPr>
        <w:pStyle w:val="P68B1DB1Normal15"/>
        <w:rPr>
          <w:b/>
          <w:b/>
        </w:rPr>
      </w:pPr>
      <w:r>
        <w:rPr/>
        <w:t xml:space="preserve">Συνιστούμε τη δημιουργία ενός web ID που θα αποθηκεύει προσωπικά και ευαίσθητα δεδομένα, αλλά θα τα θέτει στη διάθεση των αρχών και της αστυνομίας. Οι επιγραμμικές πλατφόρμες και οι πωλητές θα χρησιμοποιούν τον επιγραμμικό κωδικό που συνδέεται με το εν λόγω αναγνωριστικό ιστού και τα δεδομένα που είναι απαραίτητα για μια δεδομένη δραστηριότητα. Η προεπιλεγμένη ρύθμιση για την κοινοχρησία δεδομένων με χρήση αυτού του αναγνωριστικού δεν θα πρέπει να είναι σύμφωνη. Τα δεδομένα θα πρέπει να κοινοποιούνται μόνο στα άμεσα ενδιαφερόμενα μέρη και όχι σε τρίτους. Εάν τα δεδομένα κοινοποιούνται σε τρίτους, ένας πολίτης θα πρέπει να είναι σε θέση να αντιταχθεί εύκολα σε αυτά Τα δεδομένα θα πρέπει να είναι διαθέσιμα μόνο για περιορισμένο χρονικό διάστημα ή για συγκεκριμένη συναλλαγή. Η άδεια χρήσης των δεδομένων θα πρέπει να είναι χρονικά περιορισμένη ή να ορίζει σαφώς τι μπορούν να κάνουν οι εταιρείες με αυτά τα δεδομένα. </w:t>
      </w:r>
    </w:p>
    <w:p>
      <w:pPr>
        <w:pStyle w:val="Normal"/>
        <w:rPr/>
      </w:pPr>
      <w:r>
        <w:rPr/>
        <w:t xml:space="preserve"> </w:t>
      </w:r>
    </w:p>
    <w:p>
      <w:pPr>
        <w:pStyle w:val="Normal"/>
        <w:rPr/>
      </w:pPr>
      <w:r>
        <w:rPr/>
        <w:t xml:space="preserve">Κάνουμε αυτή τη σύσταση επειδή, επί του παρόντος, οι εταιρείες μπορούν να συλλέγουν όλα τα δεδομένα, συμπεριλαμβανομένων των προσωπικών δεδομένων και των ευαίσθητων δεδομένων, και να τα χρησιμοποιούν για πολλούς σκοπούς χωρίς να αποκαλύπτουν ακριβώς πώς και γιατί. Έτσι, οι φορείς εκμετάλλευσης λαμβάνουν περισσότερες πληροφορίες από ό, τι χρειάζονται για να μας παρέχουν υπηρεσίες και στη συνέχεια μπορούν να μεταπωλήσουν ή να επαναχρησιμοποιήσουν άλλα δεδομένα χωρίς τη συγκατάθεσή μας. Ταυτόχρονα, αυτό θα διασφαλίσει τη λογοδοσία των χρηστών του διαδικτύου, διατηρώντας παράλληλα τη σχετική ανωνυμία τους. </w:t>
      </w:r>
      <w:r>
        <w:br w:type="page"/>
      </w:r>
    </w:p>
    <w:p>
      <w:pPr>
        <w:pStyle w:val="Titre2"/>
        <w:numPr>
          <w:ilvl w:val="1"/>
          <w:numId w:val="2"/>
        </w:numPr>
        <w:rPr/>
      </w:pPr>
      <w:bookmarkStart w:id="130" w:name="__RefHeading___Toc297195_1346298689"/>
      <w:bookmarkEnd w:id="130"/>
      <w:r>
        <w:rPr/>
        <w:t xml:space="preserve">Ομάδα Ευρωπαίων Πολιτών 2: «Ευρωπαϊκή Δημοκρατία· αξίες και δικαιώματα, κράτος δικαίου, ασφάλεια </w:t>
      </w:r>
    </w:p>
    <w:p>
      <w:pPr>
        <w:pStyle w:val="Normal"/>
        <w:rPr/>
      </w:pPr>
      <w:r>
        <w:rPr/>
      </w:r>
    </w:p>
    <w:p>
      <w:pPr>
        <w:pStyle w:val="Normal"/>
        <w:rPr/>
      </w:pPr>
      <w:r>
        <w:rPr/>
        <w:t xml:space="preserve">ΣΥΣΤΆΣΕΙΣ ΠΟΥ ΕΓΚΡΊΘΗΚΑΝ ΑΠΌ ΤΗΝ ΕΠΙΤΡΟΠΉ (ΠΡΟΣ ΥΠΟΒΟΛΉ ΣΤΗΝ ΟΛΟΜΈΛΕΙΑ) </w:t>
      </w:r>
    </w:p>
    <w:p>
      <w:pPr>
        <w:pStyle w:val="Normal"/>
        <w:rPr/>
      </w:pPr>
      <w:r>
        <w:rPr/>
        <w:t xml:space="preserve"> </w:t>
      </w:r>
    </w:p>
    <w:p>
      <w:pPr>
        <w:pStyle w:val="Titre3"/>
        <w:numPr>
          <w:ilvl w:val="2"/>
          <w:numId w:val="2"/>
        </w:numPr>
        <w:rPr/>
      </w:pPr>
      <w:bookmarkStart w:id="131" w:name="__RefHeading___Toc297197_1346298689"/>
      <w:bookmarkEnd w:id="131"/>
      <w:r>
        <w:rPr/>
        <w:t xml:space="preserve">Άξονας 1: Διασφάλιση των δικαιωμάτων και της απαγόρευσης των διακρίσεων </w:t>
      </w:r>
    </w:p>
    <w:p>
      <w:pPr>
        <w:pStyle w:val="Normal"/>
        <w:rPr/>
      </w:pPr>
      <w:r>
        <w:rPr/>
        <w:t xml:space="preserve"> </w:t>
      </w:r>
    </w:p>
    <w:p>
      <w:pPr>
        <w:pStyle w:val="Titre4"/>
        <w:numPr>
          <w:ilvl w:val="3"/>
          <w:numId w:val="2"/>
        </w:numPr>
        <w:rPr/>
      </w:pPr>
      <w:bookmarkStart w:id="132" w:name="__RefHeading___Toc297199_1346298689"/>
      <w:bookmarkEnd w:id="132"/>
      <w:r>
        <w:rPr/>
        <w:t xml:space="preserve">Υποάξονας 1.1 Μη διάκριση/Υπάξονας 1.2 Ισότητα των φύλων </w:t>
      </w:r>
    </w:p>
    <w:p>
      <w:pPr>
        <w:pStyle w:val="Normal"/>
        <w:rPr/>
      </w:pPr>
      <w:r>
        <w:rPr/>
        <w:t xml:space="preserve"> </w:t>
      </w:r>
    </w:p>
    <w:p>
      <w:pPr>
        <w:pStyle w:val="P68B1DB1Normal15"/>
        <w:rPr>
          <w:b/>
          <w:b/>
        </w:rPr>
      </w:pPr>
      <w:r>
        <w:rPr/>
        <w:t xml:space="preserve">1. «Συνιστούμε στην ΕΕ να συμπεριλάβει κριτήρια για την καταπολέμηση των διακρίσεων στην αγορά εργασίας (ποσοστώσεις για νέους, ηλικιωμένους, γυναίκες, μειονότητες). Εάν οι επιχειρήσεις πληρούν τα κριτήρια αυτά, λαμβάνουν επιδοτήσεις ή φορολογικές ελαφρύνσεις.» </w:t>
      </w:r>
    </w:p>
    <w:p>
      <w:pPr>
        <w:pStyle w:val="P68B1DB1Normal15"/>
        <w:rPr>
          <w:b/>
          <w:b/>
        </w:rPr>
      </w:pPr>
      <w:r>
        <w:rPr/>
        <w:t xml:space="preserve">Συνιστούμε την ευαισθητοποίηση των εργαζομένων για τα ακόλουθα θέματα: </w:t>
      </w:r>
    </w:p>
    <w:p>
      <w:pPr>
        <w:pStyle w:val="P68B1DB1Normal15"/>
        <w:rPr>
          <w:b/>
          <w:b/>
        </w:rPr>
      </w:pPr>
      <w:r>
        <w:rPr/>
        <w:t xml:space="preserve">● </w:t>
      </w:r>
      <w:r>
        <w:rPr/>
        <w:t xml:space="preserve">υπερεθνικοί και εθνικοί φορείς (π.χ. συνδικαλιστικές οργανώσεις)· </w:t>
      </w:r>
    </w:p>
    <w:p>
      <w:pPr>
        <w:pStyle w:val="P68B1DB1Normal15"/>
        <w:rPr>
          <w:b/>
          <w:b/>
        </w:rPr>
      </w:pPr>
      <w:r>
        <w:rPr/>
        <w:t xml:space="preserve">● </w:t>
      </w:r>
      <w:r>
        <w:rPr/>
        <w:t xml:space="preserve">μηχανισμούς που διασφαλίζουν ότι οι εταιρείες συμμορφώνονται με τους ισχύοντες κανόνες για την απαγόρευση των διακρίσεων στον χώρο εργασίας· </w:t>
      </w:r>
    </w:p>
    <w:p>
      <w:pPr>
        <w:pStyle w:val="P68B1DB1Normal15"/>
        <w:rPr>
          <w:b/>
          <w:b/>
        </w:rPr>
      </w:pPr>
      <w:r>
        <w:rPr/>
        <w:t xml:space="preserve">● </w:t>
      </w:r>
      <w:r>
        <w:rPr/>
        <w:t xml:space="preserve">προγράμματα επαγγελματικών προσόντων για κοινωνικές ομάδες που αντιμετωπίζουν διακρίσεις στην αγορά εργασίας (νέοι, ηλικιωμένοι, γυναίκες, μειονότητες). </w:t>
      </w:r>
    </w:p>
    <w:p>
      <w:pPr>
        <w:pStyle w:val="Normal"/>
        <w:rPr/>
      </w:pPr>
      <w:r>
        <w:rPr/>
        <w:t xml:space="preserve"> </w:t>
      </w:r>
    </w:p>
    <w:p>
      <w:pPr>
        <w:pStyle w:val="P68B1DB1Normal15"/>
        <w:rPr>
          <w:b/>
          <w:b/>
        </w:rPr>
      </w:pPr>
      <w:r>
        <w:rPr/>
        <w:t xml:space="preserve">Συνιστούμε την έγκριση της νομοθεσίας της ΕΕ σε δύο στάδια. Πρώτον, θα πρέπει να προβλεφθούν επιδοτήσεις για την πρόσληψη εργαζομένων από ορισμένες κατηγορίες που ενδέχεται να υποστούν διακρίσεις. Δεύτερον, η νομοθετική πράξη θα πρέπει να απαιτεί από τους εργοδότες να απασχολούν αυτές τις ομάδες για ένα ελάχιστο χρονικό διάστημα. </w:t>
      </w:r>
    </w:p>
    <w:p>
      <w:pPr>
        <w:pStyle w:val="Normal"/>
        <w:rPr/>
      </w:pPr>
      <w:r>
        <w:rPr/>
        <w:t xml:space="preserve"> </w:t>
      </w:r>
    </w:p>
    <w:p>
      <w:pPr>
        <w:pStyle w:val="Normal"/>
        <w:rPr/>
      </w:pPr>
      <w:r>
        <w:rPr/>
        <w:t xml:space="preserve">Πράγματι, η ΕΕ είναι υπεύθυνη για τη διατήρηση της ισορροπίας μεταξύ των συμφερόντων της ελεύθερης αγοράς και της προστασίας των ευάλωτων ομάδων που πρέπει να προστατεύονται νομικά. Οι ετερογενείς ομάδες είναι επιθυμητές για τις εταιρείες, καθώς προσφέρουν ποικίλα προσόντα. Οι επιδοτήσεις αποτελούν πρόσθετο κίνητρο για τις επιχειρήσεις. </w:t>
      </w:r>
    </w:p>
    <w:p>
      <w:pPr>
        <w:pStyle w:val="Normal"/>
        <w:rPr/>
      </w:pPr>
      <w:r>
        <w:rPr/>
        <w:t xml:space="preserve"> </w:t>
      </w:r>
    </w:p>
    <w:p>
      <w:pPr>
        <w:pStyle w:val="P68B1DB1Normal15"/>
        <w:rPr>
          <w:b/>
          <w:b/>
        </w:rPr>
      </w:pPr>
      <w:r>
        <w:rPr/>
        <w:t xml:space="preserve">2. «Συνιστούμε στην ΕΕ να δημιουργήσει ένα πρόγραμμα κινήτρων που θα διευκολύνει τη δημιουργία οικονομικά προσιτών παιδικών σταθμών και παιδικών χαρών σε μεγάλες και μικρές επιχειρήσεις. Οι κοινές εγκαταστάσεις αποτελούν επίσης βιώσιμη λύση για τις μικρές επιχειρήσεις ώστε να επωφεληθούν από την επιδότηση. </w:t>
      </w:r>
    </w:p>
    <w:p>
      <w:pPr>
        <w:pStyle w:val="P68B1DB1Normal15"/>
        <w:rPr>
          <w:b/>
          <w:b/>
        </w:rPr>
      </w:pPr>
      <w:r>
        <w:rPr/>
        <w:t xml:space="preserve">Συνιστούμε στην ΕΕ να υποχρεώσει τις εταιρείες να δημιουργήσουν νηπιαγωγεία ανάλογα με τον αριθμό των εργαζομένων. </w:t>
      </w:r>
    </w:p>
    <w:p>
      <w:pPr>
        <w:pStyle w:val="Normal"/>
        <w:rPr/>
      </w:pPr>
      <w:r>
        <w:rPr/>
        <w:t xml:space="preserve"> </w:t>
      </w:r>
    </w:p>
    <w:p>
      <w:pPr>
        <w:pStyle w:val="Normal"/>
        <w:rPr/>
      </w:pPr>
      <w:r>
        <w:rPr/>
        <w:t xml:space="preserve">Το συνιστούμε αυτό διότι ο συνδυασμός της οικογενειακής και της επαγγελματικής ζωής βελτιώνει τις εργασιακές επιδόσεις, μειώνει την ανεργία και τοποθετεί τους γονείς, ιδίως τις γυναίκες, σε θέση που τους επιτρέπει να συνεχίσουν τη σταδιοδρομία τους. Εστιάζοντας στην κοινωνική διάσταση, η προτεινόμενη λύση διασφαλίζει την ασφάλεια των παιδιών και μειώνει τις ανησυχίες των γονέων. </w:t>
      </w:r>
    </w:p>
    <w:p>
      <w:pPr>
        <w:pStyle w:val="Normal"/>
        <w:rPr/>
      </w:pPr>
      <w:r>
        <w:rPr/>
      </w:r>
    </w:p>
    <w:p>
      <w:pPr>
        <w:pStyle w:val="Titre4"/>
        <w:numPr>
          <w:ilvl w:val="3"/>
          <w:numId w:val="2"/>
        </w:numPr>
        <w:rPr/>
      </w:pPr>
      <w:bookmarkStart w:id="133" w:name="__RefHeading___Toc297201_1346298689"/>
      <w:bookmarkEnd w:id="133"/>
      <w:r>
        <w:rPr/>
        <w:t xml:space="preserve">Υποάξονας 1.3: Προστασία των ανθρωπίνων δικαιωμάτων και των δικαιωμάτων της φύσης και των ζώων </w:t>
      </w:r>
    </w:p>
    <w:p>
      <w:pPr>
        <w:pStyle w:val="Normal"/>
        <w:rPr/>
      </w:pPr>
      <w:r>
        <w:rPr/>
        <w:t xml:space="preserve"> </w:t>
      </w:r>
    </w:p>
    <w:p>
      <w:pPr>
        <w:pStyle w:val="P68B1DB1Normal15"/>
        <w:rPr>
          <w:b/>
          <w:b/>
        </w:rPr>
      </w:pPr>
      <w:r>
        <w:rPr/>
        <w:t xml:space="preserve">3. «Συνιστάται η διατήρηση της καλής μεταχείρισης και της βιωσιμότητας των ζώων με την τροποποίηση της οδηγίας 98/58/ΕΚ σχετικά με την προστασία των ζώων στις εκμεταλλεύσεις. Πρέπει να καθοριστούν λεπτομερέστερα ελάχιστα κριτήρια. Πρέπει να είναι ακριβείς, μετρήσιμες και χρονικά περιορισμένες. Τα ελάχιστα κριτήρια πρέπει να καθοριστούν κατά τρόπο ώστε να οδηγούν σε υψηλότερα πρότυπα καλής μεταχείρισης των ζώων και ταυτόχρονα να επιτρέπουν τη μετάβαση σε μια βιώσιμη κλιματική και περιβαλλοντική και οικολογική γεωργία. </w:t>
      </w:r>
    </w:p>
    <w:p>
      <w:pPr>
        <w:pStyle w:val="Normal"/>
        <w:rPr/>
      </w:pPr>
      <w:r>
        <w:rPr/>
        <w:t xml:space="preserve"> </w:t>
      </w:r>
    </w:p>
    <w:p>
      <w:pPr>
        <w:pStyle w:val="Normal"/>
        <w:rPr/>
      </w:pPr>
      <w:r>
        <w:rPr/>
        <w:t xml:space="preserve">Ως πολίτες, πιστεύουμε ότι είναι σημαντικό να υπάρχουν αυστηρότερα ελάχιστα πρότυπα που πρέπει να εναρμονιστούν στην ΕΕ για την κτηνοτροφία. Γνωρίζουμε ότι η μετάβαση θα μπορούσε να δημιουργήσει προβλήματα σε ορισμένους γεωργικούς τομείς που λαμβάνουν επιδοτήσεις, καθώς και σε εκείνους που βρίσκονται σε μετάβαση προς την οικολογική και βιώσιμη γεωργία. Ωστόσο, πιστεύουμε ότι είναι πολύ σημαντικό να διασφαλίσουμε ότι θα πραγματοποιηθεί αυτή η μετάβαση. </w:t>
      </w:r>
    </w:p>
    <w:p>
      <w:pPr>
        <w:pStyle w:val="Normal"/>
        <w:rPr/>
      </w:pPr>
      <w:r>
        <w:rPr/>
        <w:t xml:space="preserve"> </w:t>
      </w:r>
    </w:p>
    <w:p>
      <w:pPr>
        <w:pStyle w:val="P68B1DB1Normal15"/>
        <w:rPr>
          <w:b/>
          <w:b/>
        </w:rPr>
      </w:pPr>
      <w:r>
        <w:rPr/>
        <w:t xml:space="preserve">4. Συνιστούμε την προώθηση μιας πιο φιλικής προς το περιβάλλον και το κλίμα γεωργίας στην Ευρώπη και σε ολόκληρο τον κόσμο, για παράδειγμα, με τη φορολόγηση όλων των αρνητικών εκπομπών, των φυτοφαρμάκων και της ακραίας χρήσης των υδάτων, ανάλογα με τις επιπτώσεις τους στο περιβάλλον. Οι τελωνειακοί δασμοί για όλα τα γεωργικά προϊόντα που εισάγονται στην Ένωση πρέπει να εξαλείψουν τα ανταγωνιστικά πλεονεκτήματα τρίτων χωρών που δεν πληρούν τα ίδια πρότυπα με την Ένωση. Για την προώθηση της φιλικής προς τα ζώα γεωργίας, συνιστούμε τη φορολόγηση των εκπομπών που προκαλούνται από τη μεταφορά ζώων σε μεγάλες αποστάσεις. </w:t>
      </w:r>
    </w:p>
    <w:p>
      <w:pPr>
        <w:pStyle w:val="Normal"/>
        <w:rPr/>
      </w:pPr>
      <w:r>
        <w:rPr/>
        <w:t xml:space="preserve"> </w:t>
      </w:r>
    </w:p>
    <w:p>
      <w:pPr>
        <w:pStyle w:val="Normal"/>
        <w:rPr/>
      </w:pPr>
      <w:r>
        <w:rPr/>
        <w:t xml:space="preserve">Με τη δημιουργία ενός τέτοιου συστήματος, πιστεύουμε ότι είναι δυνατόν να υποστηριχθεί η μετάβαση σε μια φιλική προς το κλίμα και φιλική προς το περιβάλλον γεωργία. </w:t>
      </w:r>
    </w:p>
    <w:p>
      <w:pPr>
        <w:pStyle w:val="Normal"/>
        <w:rPr/>
      </w:pPr>
      <w:r>
        <w:rPr/>
        <w:t xml:space="preserve"> </w:t>
      </w:r>
    </w:p>
    <w:p>
      <w:pPr>
        <w:pStyle w:val="P68B1DB1Normal15"/>
        <w:rPr>
          <w:b/>
          <w:b/>
        </w:rPr>
      </w:pPr>
      <w:r>
        <w:rPr/>
        <w:t xml:space="preserve">5. Ενώ πολλές ψευδείς ειδήσεις κυκλοφορούν τον τελευταίο καιρό, συνιστούμε την προώθηση μιας πιο ανεξάρτητης, αντικειμενικής και ισορροπημένης κάλυψης από τα μέσα ενημέρωσης, λαμβάνοντας τα ακόλουθα βήματα: 1. να αναπτύξει μια οδηγία της ΕΕ για τη θέσπιση ελάχιστων προτύπων για την ανεξαρτησία των μέσων ενημέρωσης· 2. να προωθήσει σε επίπεδο Ένωσης την ανάπτυξη δεξιοτήτων στα μέσα ενημέρωσης για κάθε πολίτη.» </w:t>
      </w:r>
    </w:p>
    <w:p>
      <w:pPr>
        <w:pStyle w:val="Normal"/>
        <w:rPr/>
      </w:pPr>
      <w:r>
        <w:rPr/>
        <w:t xml:space="preserve"> </w:t>
      </w:r>
    </w:p>
    <w:p>
      <w:pPr>
        <w:pStyle w:val="Normal"/>
        <w:rPr/>
      </w:pPr>
      <w:r>
        <w:rPr/>
        <w:t xml:space="preserve">Η ΕΕ πρέπει να αναπτύξει οδηγία για τη διασφάλιση της ανεξαρτησίας των μέσων ενημέρωσης και της ελευθερίας της έκφρασης. </w:t>
      </w:r>
    </w:p>
    <w:p>
      <w:pPr>
        <w:pStyle w:val="Normal"/>
        <w:rPr/>
      </w:pPr>
      <w:r>
        <w:rPr/>
        <w:t xml:space="preserve"> </w:t>
      </w:r>
    </w:p>
    <w:p>
      <w:pPr>
        <w:pStyle w:val="Normal"/>
        <w:rPr/>
      </w:pPr>
      <w:r>
        <w:rPr>
          <w:b/>
        </w:rPr>
        <w:t>6. Συνιστούμε να σταματήσουμε να επιδοτούμε τη μαζική γεωργική παραγωγή εάν δεν οδηγήσει σε μετάβαση προς το κλίμα, την οικολογική και βιώσιμη γεωργία. Αντ’ αυτού, συνιστούμε τον αναπροσανατολισμό των επιχορηγήσεων για τη στήριξη μιας βιώσιμης μετάβασης.</w:t>
      </w:r>
      <w:r>
        <w:rPr/>
        <w:t xml:space="preserve"> </w:t>
      </w:r>
    </w:p>
    <w:p>
      <w:pPr>
        <w:pStyle w:val="Normal"/>
        <w:rPr/>
      </w:pPr>
      <w:r>
        <w:rPr/>
        <w:t xml:space="preserve"> </w:t>
      </w:r>
    </w:p>
    <w:p>
      <w:pPr>
        <w:pStyle w:val="Normal"/>
        <w:rPr/>
      </w:pPr>
      <w:r>
        <w:rPr/>
        <w:t xml:space="preserve">Αντί να επιδοτείται ο γεωργικός τομέας της μαζικής κτηνοτροφίας, οι επιδοτήσεις θα πρέπει να ανακατευθύνονται σε εκμεταλλεύσεις που βρίσκονται σε μεταβατικό στάδιο ώστε να πληρούν τα νέα ελάχιστα πρότυπα καλής μεταχείρισης των ζώων. </w:t>
      </w:r>
    </w:p>
    <w:p>
      <w:pPr>
        <w:pStyle w:val="Normal"/>
        <w:rPr/>
      </w:pPr>
      <w:r>
        <w:rPr/>
        <w:t xml:space="preserve"> </w:t>
      </w:r>
    </w:p>
    <w:p>
      <w:pPr>
        <w:pStyle w:val="Titre4"/>
        <w:numPr>
          <w:ilvl w:val="3"/>
          <w:numId w:val="2"/>
        </w:numPr>
        <w:rPr/>
      </w:pPr>
      <w:bookmarkStart w:id="134" w:name="__RefHeading___Toc297203_1346298689"/>
      <w:bookmarkEnd w:id="134"/>
      <w:r>
        <w:rPr/>
        <w:t xml:space="preserve">Υποάξονας 1.4 Δικαίωμα στην ιδιωτική ζωή </w:t>
      </w:r>
    </w:p>
    <w:p>
      <w:pPr>
        <w:pStyle w:val="Normal"/>
        <w:rPr/>
      </w:pPr>
      <w:r>
        <w:rPr/>
        <w:t xml:space="preserve"> </w:t>
      </w:r>
    </w:p>
    <w:p>
      <w:pPr>
        <w:pStyle w:val="P68B1DB1Normal15"/>
        <w:rPr>
          <w:b/>
          <w:b/>
        </w:rPr>
      </w:pPr>
      <w:r>
        <w:rPr/>
        <w:t xml:space="preserve">7. «Συνιστάται οι οντότητες που επεξεργάζονται δεδομένα προσωπικού χαρακτήρα να εξουσιοδοτούνται σε επίπεδο ΕΕ. Οι εν λόγω οντότητες θα πρέπει επίσης να υπόκεινται σε ανεξάρτητο, εξωτερικό ετήσιο έλεγχο της προστασίας των δεδομένων. Οι εν λόγω οντότητες θα τιμωρηθούν για παραβιάσεις της προστασίας δεδομένων ανάλογα με τον ετήσιο κύκλο εργασιών τους, με αυστηρότερο τρόπο απ’ ό,τι στο πλαίσιο του ισχύοντος κανονισμού. Η έγκριση θα πρέπει να ανακληθεί μετά από δύο διαδοχικές παραβιάσεις και αμέσως μετά από σοβαρή παραβίαση. </w:t>
      </w:r>
    </w:p>
    <w:p>
      <w:pPr>
        <w:pStyle w:val="Normal"/>
        <w:rPr/>
      </w:pPr>
      <w:r>
        <w:rPr/>
        <w:t xml:space="preserve"> </w:t>
      </w:r>
    </w:p>
    <w:p>
      <w:pPr>
        <w:pStyle w:val="Normal"/>
        <w:rPr/>
      </w:pPr>
      <w:r>
        <w:rPr/>
        <w:t xml:space="preserve">Συνιστούμε τέτοια μέτρα, καθώς η ισχύουσα νομοθεσία (ΓΚΠΔ) δεν επαρκεί και οι οντότητες πρέπει να ελέγχονται καλύτερα και να επιβάλλονται κυρώσεις ώστε να διασφαλίζεται ότι δεν παραβιάζουν την προστασία των δεδομένων και το δικαίωμα στην ιδιωτική ζωή. </w:t>
      </w:r>
    </w:p>
    <w:p>
      <w:pPr>
        <w:pStyle w:val="Normal"/>
        <w:rPr/>
      </w:pPr>
      <w:r>
        <w:rPr/>
        <w:t xml:space="preserve"> </w:t>
      </w:r>
    </w:p>
    <w:p>
      <w:pPr>
        <w:pStyle w:val="P68B1DB1Normal15"/>
        <w:rPr>
          <w:b/>
          <w:b/>
        </w:rPr>
      </w:pPr>
      <w:r>
        <w:rPr/>
        <w:t xml:space="preserve">8. «Συνιστάται να ενισχυθούν οι αρμοδιότητες της Ένωσης στους ακόλουθους τομείς: 1) εκπαίδευση για την προστασία των δεδομένων, 2) ευαισθητοποίηση σχετικά με την προστασία των δεδομένων και 3) προστασία των δεδομένων προσωπικού χαρακτήρα των ανηλίκων. Συνιστούμε να αποσαφηνιστούν και να ενισχυθούν οι κανόνες σχετικά με την επεξεργασία των δεδομένων ανηλίκων στον ΓΚΠΔ, συμπεριλαμβανομένων των κανόνων για τη συγκατάθεση, την επαλήθευση της ηλικίας και τον έλεγχο από νόμιμους κηδεμόνες. Συνιστούμε επίσης να εισαχθεί στον ΓΚΠΔ μια ειδική κατηγορία για ευαίσθητα δεδομένα ανηλίκων (π.χ. ποινικό μητρώο, πληροφορίες υγείας, γυμνό), έτσι ώστε οι ανήλικοι να προστατεύονται από οποιαδήποτε μορφή κακοποίησης και διάκρισης. </w:t>
      </w:r>
    </w:p>
    <w:p>
      <w:pPr>
        <w:pStyle w:val="Normal"/>
        <w:rPr/>
      </w:pPr>
      <w:r>
        <w:rPr/>
        <w:t xml:space="preserve"> </w:t>
      </w:r>
    </w:p>
    <w:p>
      <w:pPr>
        <w:pStyle w:val="Normal"/>
        <w:rPr/>
      </w:pPr>
      <w:r>
        <w:rPr/>
        <w:t xml:space="preserve">Η σύσταση αυτή είναι απαραίτητη επειδή οι ανήλικοι είναι ιδιαίτερα ευάλωτοι στην προστασία των δεδομένων και στις παραβιάσεις της ιδιωτικής ζωής και επειδή, επί του παρόντος, ο γενικός πληθυσμός (ιδίως οι ανήλικοι, οι εκπαιδευτικοί και οι νόμιμοι κηδεμόνες) δεν γνωρίζει επαρκώς την προστασία των δεδομένων. Όλοι πρέπει να μάθουν πώς να χρησιμοποιούν τις διαδικτυακές και offline υπηρεσίες δεδομένων και να προστατεύουν τα δικαιώματα των παιδιών στην ιδιωτική ζωή. Επιπλέον, οι νόμιμοι κηδεμόνες μπορούν συχνά να συναινούν στην επεξεργασία των δεδομένων των παιδιών χωρίς να είναι πλήρως ενήμεροι ή ενημερωμένοι και τα παιδιά ενδέχεται να παραποιήσουν τη γονική συναίνεση. Τέλος, η σύσταση αυτή είναι απαραίτητη διότι δεν υπάρχει πραγματική εκστρατεία ευαισθητοποίησης σε επίπεδο ΕΕ για την προστασία των δεδομένων, ιδίως όσον αφορά τους ανηλίκους, τους νόμιμους κηδεμόνες και τους εκπαιδευτικούς, ενώ μια τέτοια εκστρατεία είναι απαραίτητη. </w:t>
      </w:r>
    </w:p>
    <w:p>
      <w:pPr>
        <w:pStyle w:val="Normal"/>
        <w:rPr/>
      </w:pPr>
      <w:r>
        <w:rPr/>
      </w:r>
    </w:p>
    <w:p>
      <w:pPr>
        <w:pStyle w:val="P68B1DB1Normal15"/>
        <w:rPr>
          <w:b/>
          <w:b/>
        </w:rPr>
      </w:pPr>
      <w:r>
        <w:rPr/>
        <w:t xml:space="preserve">9. Συνιστούμε να τεθούν σε εφαρμογή τυποποιημένες πολιτικές απορρήτου και εύληπτες, συνοπτικές και διαισθητικές φόρμες συγκατάθεσης, οι οποίες να υποδεικνύουν σαφώς ποια επεξεργασία δεδομένων είναι απολύτως αναγκαία και τι είναι προαιρετική. Συνιστούμε η ανάκληση της συγκατάθεσης να είναι εύκολη, γρήγορη και μόνιμη. Σας συνιστούμε να απαγορεύετε σε οντότητες να περιορίζουν τις υπηρεσίες τους περισσότερο από ό, τι είναι απαραίτητο εάν δεν έχει δοθεί συγκατάθεση στην προαιρετική επεξεργασία δεδομένων. </w:t>
      </w:r>
    </w:p>
    <w:p>
      <w:pPr>
        <w:pStyle w:val="Normal"/>
        <w:rPr/>
      </w:pPr>
      <w:r>
        <w:rPr/>
        <w:t xml:space="preserve"> </w:t>
      </w:r>
    </w:p>
    <w:p>
      <w:pPr>
        <w:pStyle w:val="Normal"/>
        <w:rPr/>
      </w:pPr>
      <w:r>
        <w:rPr/>
        <w:t xml:space="preserve">Το συνιστούμε αυτό επειδή οι ισχύοντες κανόνες της ΕΕ δεν είναι επαρκώς ακριβείς, η ανάκληση της συγκατάθεσης είναι μακρά, προσωρινή και περίπλοκη και οι οντότητες δεν έχουν συμφέρον να προσφέρουν τις υπηρεσίες τους σε πολίτες που επικαλούνται το δικαίωμά τους στην προστασία των δεδομένων. </w:t>
      </w:r>
    </w:p>
    <w:p>
      <w:pPr>
        <w:pStyle w:val="Normal"/>
        <w:rPr/>
      </w:pPr>
      <w:r>
        <w:rPr/>
        <w:t xml:space="preserve"> </w:t>
      </w:r>
    </w:p>
    <w:p>
      <w:pPr>
        <w:pStyle w:val="Titre3"/>
        <w:numPr>
          <w:ilvl w:val="2"/>
          <w:numId w:val="2"/>
        </w:numPr>
        <w:rPr/>
      </w:pPr>
      <w:bookmarkStart w:id="135" w:name="__RefHeading___Toc297205_1346298689"/>
      <w:bookmarkEnd w:id="135"/>
      <w:r>
        <w:rPr/>
        <w:t xml:space="preserve">Άξονας 2: Προστασία της δημοκρατίας και του κράτους δικαίου </w:t>
      </w:r>
    </w:p>
    <w:p>
      <w:pPr>
        <w:pStyle w:val="Normal"/>
        <w:rPr/>
      </w:pPr>
      <w:r>
        <w:rPr/>
        <w:t xml:space="preserve"> </w:t>
      </w:r>
    </w:p>
    <w:p>
      <w:pPr>
        <w:pStyle w:val="Titre4"/>
        <w:numPr>
          <w:ilvl w:val="3"/>
          <w:numId w:val="2"/>
        </w:numPr>
        <w:rPr/>
      </w:pPr>
      <w:bookmarkStart w:id="136" w:name="__RefHeading___Toc297207_1346298689"/>
      <w:bookmarkEnd w:id="136"/>
      <w:r>
        <w:rPr/>
        <w:t xml:space="preserve">Υποάξονας 2.1 Προστατεύοντας το κράτος δικαίου </w:t>
      </w:r>
    </w:p>
    <w:p>
      <w:pPr>
        <w:pStyle w:val="Normal"/>
        <w:rPr/>
      </w:pPr>
      <w:r>
        <w:rPr/>
        <w:t xml:space="preserve"> </w:t>
      </w:r>
    </w:p>
    <w:p>
      <w:pPr>
        <w:pStyle w:val="P68B1DB1Normal15"/>
        <w:rPr>
          <w:b/>
          <w:b/>
        </w:rPr>
      </w:pPr>
      <w:r>
        <w:rPr/>
        <w:t xml:space="preserve">10. «Συνιστάται να τροποποιηθεί ο κανονισμός για την πολλαπλή συμμόρφωση (2020/2092, που εγκρίθηκε στις 16 Δεκεμβρίου 2020) ώστε να εφαρμόζεται σε όλες τις παραβιάσεις του κράτους δικαίου και όχι σε παραβιάσεις που έχουν αντίκτυπο στον προϋπολογισμό της ΕΕ.» </w:t>
      </w:r>
    </w:p>
    <w:p>
      <w:pPr>
        <w:pStyle w:val="Normal"/>
        <w:rPr/>
      </w:pPr>
      <w:r>
        <w:rPr/>
        <w:t xml:space="preserve"> </w:t>
      </w:r>
    </w:p>
    <w:p>
      <w:pPr>
        <w:pStyle w:val="Normal"/>
        <w:rPr/>
      </w:pPr>
      <w:r>
        <w:rPr/>
        <w:t xml:space="preserve">Ο κανονισμός για την πολλαπλή συμμόρφωση επιτρέπει την αναστολή της εκταμίευσης κονδυλίων της ΕΕ στα κράτη μέλη που παραβιάζουν το κράτος δικαίου. Ωστόσο, σύμφωνα με την τρέχουσα διατύπωσή του, εφαρμόζεται μόνο σε παραβιάσεις που έχουν ή ενδέχεται να έχουν αντίκτυπο στον προϋπολογισμό της ΕΕ. Επιπλέον, η τρέχουσα διατύπωση του κανονισμού για την πολλαπλή συμμόρφωση προστατεύει τον προϋπολογισμό της ΕΕ και τα θεσμικά όργανα της ΕΕ και όχι τους πολίτες των οικείων κρατών μελών. Ως εκ τούτου, συνιστούμε την τροποποίηση του ισχύοντος κειμένου του κανονισμού ώστε να καλύπτει όλες τις παραβιάσεις του κράτους δικαίου. </w:t>
      </w:r>
    </w:p>
    <w:p>
      <w:pPr>
        <w:pStyle w:val="Normal"/>
        <w:rPr/>
      </w:pPr>
      <w:r>
        <w:rPr/>
        <w:t xml:space="preserve"> </w:t>
      </w:r>
    </w:p>
    <w:p>
      <w:pPr>
        <w:pStyle w:val="P68B1DB1Normal15"/>
        <w:rPr>
          <w:b/>
          <w:b/>
        </w:rPr>
      </w:pPr>
      <w:r>
        <w:rPr/>
        <w:t xml:space="preserve">11. «Συνιστάται στην ΕΕ να διοργανώνει ετήσιες διασκέψεις για το κράτος δικαίου μετά τη δημοσίευση της ετήσιας έκθεσης για το κράτος δικαίου (μηχανισμός της Επιτροπής για την παρακολούθηση της συμμόρφωσης των κρατών μελών με το κράτος δικαίου). Τα κράτη μέλη θα πρέπει να υποχρεούνται να αποστέλλουν διάφορες κοινωνικές εθνικές αντιπροσωπείες στη Διάσκεψη, συμπεριλαμβανομένων τόσο των πολιτών όσο και των δημοσίων υπαλλήλων.» </w:t>
      </w:r>
    </w:p>
    <w:p>
      <w:pPr>
        <w:pStyle w:val="Normal"/>
        <w:rPr/>
      </w:pPr>
      <w:r>
        <w:rPr/>
        <w:t xml:space="preserve"> </w:t>
      </w:r>
    </w:p>
    <w:p>
      <w:pPr>
        <w:pStyle w:val="Normal"/>
        <w:rPr/>
      </w:pPr>
      <w:r>
        <w:rPr/>
        <w:t xml:space="preserve">Η διάσκεψη αυτή θα προωθήσει τον διάλογο μεταξύ των πολιτών της ΕΕ για θέματα κράτους δικαίου, καθώς και τον διάλογο μεταξύ των πολιτών και των εμπειρογνωμόνων που καταρτίζουν τις ετήσιες εκθέσεις για το κράτος δικαίου. Πιστεύουμε ότι, σε ένα κλίμα αμοιβαίας εκτίμησης και ανταλλαγής, οι συμμετέχοντες θα είναι σε θέση να επαναφέρουν τις βέλτιστες πρακτικές και ιδέες στις χώρες καταγωγής τους. Επιπλέον, η διάσκεψη θα αυξήσει την ευαισθητοποίηση και την κατανόηση της αρχής του κράτους δικαίου και των συμπερασμάτων και της διαδικασίας στην οποία βασίζεται η ετήσια έκθεση για το κράτος δικαίου. Θα προσελκύσει επίσης την προσοχή των μέσων ενημέρωσης και θα επιτρέψει στους πολίτες να μοιραστούν τις εμπειρίες τους και να τις συγκρίνουν με τα πορίσματα της έκθεσης. </w:t>
      </w:r>
    </w:p>
    <w:p>
      <w:pPr>
        <w:pStyle w:val="Normal"/>
        <w:rPr/>
      </w:pPr>
      <w:r>
        <w:rPr/>
      </w:r>
    </w:p>
    <w:p>
      <w:pPr>
        <w:pStyle w:val="Titre4"/>
        <w:numPr>
          <w:ilvl w:val="3"/>
          <w:numId w:val="2"/>
        </w:numPr>
        <w:rPr/>
      </w:pPr>
      <w:bookmarkStart w:id="137" w:name="__RefHeading___Toc297209_1346298689"/>
      <w:bookmarkEnd w:id="137"/>
      <w:r>
        <w:rPr/>
        <w:t xml:space="preserve">Υποάξονας 2.2 Προστασία και ενίσχυση της δημοκρατίας/Υποάξονας 2.4 Μέσα ενημέρωσης και παραπληροφόρηση </w:t>
      </w:r>
    </w:p>
    <w:p>
      <w:pPr>
        <w:pStyle w:val="Normal"/>
        <w:rPr/>
      </w:pPr>
      <w:r>
        <w:rPr/>
        <w:t xml:space="preserve"> </w:t>
      </w:r>
    </w:p>
    <w:p>
      <w:pPr>
        <w:pStyle w:val="P68B1DB1Normal15"/>
        <w:rPr>
          <w:b/>
          <w:b/>
        </w:rPr>
      </w:pPr>
      <w:r>
        <w:rPr/>
        <w:t xml:space="preserve">12. «Συνιστούμε στην ΕΕ να εφαρμόσει αυστηρότερα τους κανόνες ανταγωνισμού στον τομέα των μέσων ενημέρωσης, προκειμένου να διασφαλίσει την προστασία της πολυφωνίας των μέσων ενημέρωσης σε όλα τα κράτη μέλη. Η ΕΕ θα πρέπει να αποτρέψει τα μεγάλα μονοπώλια των μέσων ενημέρωσης και τους πολιτικούς διορισμούς στα συμβούλια των μέσων ενημέρωσης. Συνιστούμε επίσης η μελλοντική νομοθεσία της ΕΕ για την ελευθερία των μέσων ενημέρωσης να περιλαμβάνει κανόνες που θα εμποδίζουν τους πολιτικούς να κατέχουν ή να έχουν ισχυρή επιρροή στο περιεχόμενό τους. </w:t>
      </w:r>
    </w:p>
    <w:p>
      <w:pPr>
        <w:pStyle w:val="Normal"/>
        <w:rPr/>
      </w:pPr>
      <w:r>
        <w:rPr/>
        <w:t xml:space="preserve"> </w:t>
      </w:r>
    </w:p>
    <w:p>
      <w:pPr>
        <w:pStyle w:val="Normal"/>
        <w:rPr/>
      </w:pPr>
      <w:r>
        <w:rPr/>
        <w:t xml:space="preserve">Το συνιστούμε αυτό διότι η εφαρμογή των κανόνων ανταγωνισμού της ΕΕ προωθεί ένα πλουραλιστικό τοπίο των μέσων ενημέρωσης στο οποίο οι πολίτες έχουν τη δυνατότητα επιλογής. Δεδομένου ότι η Επιτροπή προετοιμάζει επί του παρόντος νομοθετική πράξη (σχετικά με την ελευθερία των μέσων ενημέρωσης) για την ακεραιότητα της αγοράς μέσων ενημέρωσης της ΕΕ, θα πρέπει επίσης να προβλεφθεί ότι τα μέσα ενημέρωσης δεν θα πρέπει να κρατούνται ή να επηρεάζονται από πολιτικούς. </w:t>
      </w:r>
    </w:p>
    <w:p>
      <w:pPr>
        <w:pStyle w:val="Normal"/>
        <w:rPr/>
      </w:pPr>
      <w:r>
        <w:rPr/>
        <w:t xml:space="preserve"> </w:t>
      </w:r>
    </w:p>
    <w:p>
      <w:pPr>
        <w:pStyle w:val="Titre4"/>
        <w:numPr>
          <w:ilvl w:val="3"/>
          <w:numId w:val="2"/>
        </w:numPr>
        <w:rPr/>
      </w:pPr>
      <w:bookmarkStart w:id="138" w:name="__RefHeading___Toc297211_1346298689"/>
      <w:bookmarkEnd w:id="138"/>
      <w:r>
        <w:rPr/>
        <w:t xml:space="preserve">Υποάξονας 2.3 Ασφάλεια </w:t>
      </w:r>
    </w:p>
    <w:p>
      <w:pPr>
        <w:pStyle w:val="Normal"/>
        <w:rPr/>
      </w:pPr>
      <w:r>
        <w:rPr/>
        <w:t xml:space="preserve"> </w:t>
      </w:r>
    </w:p>
    <w:p>
      <w:pPr>
        <w:pStyle w:val="P68B1DB1Normal15"/>
        <w:rPr>
          <w:b/>
          <w:b/>
        </w:rPr>
      </w:pPr>
      <w:r>
        <w:rPr/>
        <w:t xml:space="preserve">13. «Συνιστά στα θεσμικά όργανα της ΕΕ να διαδραματίσουν σημαντικότερο ρόλο με όλα τα εργαλεία που έχουν στη διάθεσή τους, συμπεριλαμβανομένων των εθνικών κέντρων κυβερνοασφάλειας και του Οργανισμού της Ευρωπαϊκής Ένωσης για την Κυβερνοασφάλεια (ENISA), προκειμένου να προστατεύονται οι πολίτες, οι οργανώσεις και τα θεσμικά όργανα από νέες απειλές που προκύπτουν από παραβιάσεις της κυβερνοασφάλειας και τη χρήση της τεχνητής νοημοσύνης για εγκληματικούς σκοπούς. Συνιστούμε επίσης την ορθή εφαρμογή και διάδοση των οδηγιών της Ευρώπης και των οργανισμών της σε όλα τα κράτη μέλη.» </w:t>
      </w:r>
    </w:p>
    <w:p>
      <w:pPr>
        <w:pStyle w:val="Normal"/>
        <w:rPr/>
      </w:pPr>
      <w:r>
        <w:rPr/>
        <w:t xml:space="preserve"> </w:t>
      </w:r>
    </w:p>
    <w:p>
      <w:pPr>
        <w:pStyle w:val="Normal"/>
        <w:rPr/>
      </w:pPr>
      <w:r>
        <w:rPr/>
        <w:t xml:space="preserve">Το συνιστούμε αυτό διότι οι πολίτες αισθάνονται ανίσχυροι και δεν γνωρίζουν τι κάνει η Ευρωπαϊκή Ένωση για την καταπολέμηση αυτών των απειλών. Το συνιστούμε αυτό διότι οι απειλές αυτές αποτελούν σοβαρό εθνικό και ευρωπαϊκό πρόβλημα ασφάλειας. Το συνιστούμε αυτό διότι η Ευρώπη θα πρέπει να αποτελέσει πραγματική κινητήρια δύναμη της καινοτομίας σε αυτόν τον τομέα. </w:t>
      </w:r>
    </w:p>
    <w:p>
      <w:pPr>
        <w:pStyle w:val="Normal"/>
        <w:rPr/>
      </w:pPr>
      <w:r>
        <w:rPr/>
        <w:t xml:space="preserve"> </w:t>
      </w:r>
    </w:p>
    <w:p>
      <w:pPr>
        <w:pStyle w:val="P68B1DB1Normal15"/>
        <w:rPr>
          <w:b/>
          <w:b/>
        </w:rPr>
      </w:pPr>
      <w:r>
        <w:rPr/>
        <w:t xml:space="preserve">14. «Συνιστούμε, στις σχέσεις της με τις εξωτερικές χώρες, η Ένωση να ενισχύσει πρώτα τις κοινές δημοκρατικές αξίες στα σύνορά της. Μόνο μετά την επίτευξη αυτού του στόχου συνιστούμε η Ένωση να γίνει πρεσβευτής του δημοκρατικού μας μοντέλου σε χώρες που είναι πρόθυμες να εφαρμόσουν αυτό το μοντέλο και είναι πρόθυμες να το πράξουν μέσω της διπλωματίας και του διαλόγου. </w:t>
      </w:r>
    </w:p>
    <w:p>
      <w:pPr>
        <w:pStyle w:val="Normal"/>
        <w:rPr/>
      </w:pPr>
      <w:r>
        <w:rPr/>
        <w:t xml:space="preserve"> </w:t>
      </w:r>
    </w:p>
    <w:p>
      <w:pPr>
        <w:pStyle w:val="Normal"/>
        <w:rPr/>
      </w:pPr>
      <w:r>
        <w:rPr/>
        <w:t xml:space="preserve">Προτείνουμε αυτό το μέτρο, επειδή πρέπει να κοιτάξουμε προς τα μέσα πριν κοιτάξουμε προς τα έξω. Επειδή η Ευρώπη μπορεί και πρέπει να βοηθήσει τα κράτη μέλη να ενισχύσουν τις δημοκρατίες τους. Επειδή, επίσης, δίνουμε το παράδειγμα και στηρίζουμε τις προσπάθειες των εξωτερικών χωρών για δημοκρατία, προστατεύουμε τους εαυτούς μας. </w:t>
      </w:r>
    </w:p>
    <w:p>
      <w:pPr>
        <w:pStyle w:val="Normal"/>
        <w:rPr/>
      </w:pPr>
      <w:r>
        <w:rPr/>
        <w:t xml:space="preserve"> </w:t>
      </w:r>
    </w:p>
    <w:p>
      <w:pPr>
        <w:pStyle w:val="Titre3"/>
        <w:numPr>
          <w:ilvl w:val="2"/>
          <w:numId w:val="2"/>
        </w:numPr>
        <w:rPr/>
      </w:pPr>
      <w:bookmarkStart w:id="139" w:name="__RefHeading___Toc297213_1346298689"/>
      <w:bookmarkEnd w:id="139"/>
      <w:r>
        <w:rPr/>
        <w:t xml:space="preserve">Άξονας 3: Μεταρρύθμιση της Ευρωπαϊκής Ένωσης </w:t>
      </w:r>
    </w:p>
    <w:p>
      <w:pPr>
        <w:pStyle w:val="Normal"/>
        <w:rPr/>
      </w:pPr>
      <w:r>
        <w:rPr/>
        <w:t xml:space="preserve"> </w:t>
      </w:r>
    </w:p>
    <w:p>
      <w:pPr>
        <w:pStyle w:val="Titre4"/>
        <w:numPr>
          <w:ilvl w:val="3"/>
          <w:numId w:val="2"/>
        </w:numPr>
        <w:rPr/>
      </w:pPr>
      <w:bookmarkStart w:id="140" w:name="__RefHeading___Toc297215_1346298689"/>
      <w:bookmarkEnd w:id="140"/>
      <w:r>
        <w:rPr/>
        <w:t>Υποάξονας 3.1 Θεσμική μεταρρύθμιση</w:t>
      </w:r>
    </w:p>
    <w:p>
      <w:pPr>
        <w:pStyle w:val="Normal"/>
        <w:rPr/>
      </w:pPr>
      <w:r>
        <w:rPr/>
        <w:t xml:space="preserve"> </w:t>
      </w:r>
    </w:p>
    <w:p>
      <w:pPr>
        <w:pStyle w:val="Normal"/>
        <w:rPr/>
      </w:pPr>
      <w:r>
        <w:rPr>
          <w:b/>
        </w:rPr>
        <w:t>15. «Συνιστάται να αλλάξουν τα ονόματα των θεσμικών οργάνων της ΕΕ για να αποσαφηνιστούν τα καθήκοντά τους. Για παράδειγμα, το Συμβούλιο της Ευρωπαϊκής Ένωσης θα μπορούσε να ονομαστεί Γερουσία της Ευρωπαϊκής Ένωσης. Η Ευρωπαϊκή Επιτροπή θα μπορούσε να ονομαστεί Εκτελεστική Επιτροπή της Ευρωπαϊκής Ένωσης</w:t>
      </w:r>
      <w:r>
        <w:rPr/>
        <w:t xml:space="preserve">. </w:t>
      </w:r>
    </w:p>
    <w:p>
      <w:pPr>
        <w:pStyle w:val="Normal"/>
        <w:rPr/>
      </w:pPr>
      <w:r>
        <w:rPr/>
        <w:t xml:space="preserve"> </w:t>
      </w:r>
    </w:p>
    <w:p>
      <w:pPr>
        <w:pStyle w:val="Normal"/>
        <w:rPr/>
      </w:pPr>
      <w:r>
        <w:rPr/>
        <w:t xml:space="preserve">Το συνιστούμε αυτό, δεδομένου ότι είναι επί του παρόντος δύσκολο για τους πολίτες να κατανοήσουν τους ρόλους και τις λειτουργίες κάθε θεσμικού οργάνου της ΕΕ. Τα ονόματά τους δεν αντικατοπτρίζουν τις λειτουργίες τους. Δεν μπορεί να αναμένεται από τους πολίτες να κάνουν διάκριση μεταξύ του Συμβουλίου της Ευρωπαϊκής Ένωσης, του Ευρωπαϊκού Συμβουλίου και του Συμβουλίου της Ευρώπης. Είναι σημαντικό να αποφεύγονται οι επικαλύψεις. </w:t>
      </w:r>
    </w:p>
    <w:p>
      <w:pPr>
        <w:pStyle w:val="Normal"/>
        <w:rPr/>
      </w:pPr>
      <w:r>
        <w:rPr/>
        <w:t xml:space="preserve"> </w:t>
      </w:r>
    </w:p>
    <w:p>
      <w:pPr>
        <w:pStyle w:val="P68B1DB1Normal15"/>
        <w:rPr>
          <w:b/>
          <w:b/>
        </w:rPr>
      </w:pPr>
      <w:r>
        <w:rPr/>
        <w:t xml:space="preserve">16. Συνιστούμε την έγκριση εκλογικού νόμου για το Ευρωπαϊκό Κοινοβούλιο, ο οποίος θα εναρμονίζει τους εκλογικούς όρους (ηλικία του δικαιώματος ψήφου, ημερομηνία εκλογών, απαιτήσεις σχετικά με τις εκλογικές περιφέρειες, τους υποψηφίους, τα πολιτικά κόμματα και τη χρηματοδότησή τους). Οι ευρωπαίοι πολίτες θα πρέπει να έχουν το δικαίωμα να ψηφίζουν διαφορετικά κόμματα σε επίπεδο ΕΕ, καθένα από τα οποία αποτελείται από υποψηφίους από διάφορα κράτη μέλη. Κατά τη διάρκεια μιας επαρκούς μεταβατικής περιόδου, οι πολίτες μπορούσαν να ψηφίσουν εθνικά και διακρατικά κόμματα. </w:t>
      </w:r>
    </w:p>
    <w:p>
      <w:pPr>
        <w:pStyle w:val="Normal"/>
        <w:rPr/>
      </w:pPr>
      <w:r>
        <w:rPr/>
        <w:t xml:space="preserve"> </w:t>
      </w:r>
    </w:p>
    <w:p>
      <w:pPr>
        <w:pStyle w:val="Normal"/>
        <w:rPr/>
      </w:pPr>
      <w:r>
        <w:rPr/>
        <w:t xml:space="preserve">Το συνιστούμε αυτό διότι η Ένωση πρέπει να αναπτύξει μια αίσθηση ενότητας, η οποία θα μπορούσε να προκύψει μέσω μιας πραγματικά ενοποιημένης εκλογής του Ευρωπαϊκού Κοινοβουλίου. Αυτές οι κοινές εκλογές θα επιτρέψουν την ενδυνάμωση των βουλευτών του Ευρωπαϊκού Κοινοβουλίου και την επικέντρωση της προεκλογικής εκστρατείας σε κοινά ευρωπαϊκά θέματα. </w:t>
      </w:r>
    </w:p>
    <w:p>
      <w:pPr>
        <w:pStyle w:val="Normal"/>
        <w:rPr/>
      </w:pPr>
      <w:r>
        <w:rPr/>
        <w:t xml:space="preserve"> </w:t>
      </w:r>
    </w:p>
    <w:p>
      <w:pPr>
        <w:pStyle w:val="Titre4"/>
        <w:numPr>
          <w:ilvl w:val="3"/>
          <w:numId w:val="2"/>
        </w:numPr>
        <w:rPr/>
      </w:pPr>
      <w:bookmarkStart w:id="141" w:name="__RefHeading___Toc297217_1346298689"/>
      <w:bookmarkEnd w:id="141"/>
      <w:r>
        <w:rPr/>
        <w:t xml:space="preserve">Υποάξονας 3.2 Λήψη αποφάσεων </w:t>
      </w:r>
    </w:p>
    <w:p>
      <w:pPr>
        <w:pStyle w:val="Normal"/>
        <w:rPr/>
      </w:pPr>
      <w:r>
        <w:rPr/>
        <w:t xml:space="preserve"> </w:t>
      </w:r>
    </w:p>
    <w:p>
      <w:pPr>
        <w:pStyle w:val="P68B1DB1Normal15"/>
        <w:rPr>
          <w:b/>
          <w:b/>
        </w:rPr>
      </w:pPr>
      <w:r>
        <w:rPr/>
        <w:t xml:space="preserve">17. Συνιστούμε τη δημιουργία μιας διαδικτυακής πλατφόρμας στην οποία οι πολίτες θα μπορούν να βρίσκουν και να ζητούν τεκμηριωμένες πληροφορίες. Η πλατφόρμα θα πρέπει να συνδέεται σαφώς με τα θεσμικά όργανα της ΕΕ, να είναι θεματικά διαρθρωμένη και εύκολα προσβάσιμη (π.χ. με την παροχή ανοικτής τηλεφωνικής γραμμής). Οι πολίτες θα πρέπει να έχουν την ευκαιρία να υποβάλλουν κρίσιμες ερωτήσεις σε εμπειρογνώμονες (π.χ. ακαδημαϊκούς, δημοσιογράφους) και να λαμβάνουν πραγματικές απαντήσεις από πηγές. </w:t>
      </w:r>
    </w:p>
    <w:p>
      <w:pPr>
        <w:pStyle w:val="Normal"/>
        <w:rPr/>
      </w:pPr>
      <w:r>
        <w:rPr/>
        <w:t xml:space="preserve"> </w:t>
      </w:r>
    </w:p>
    <w:p>
      <w:pPr>
        <w:pStyle w:val="Normal"/>
        <w:rPr/>
      </w:pPr>
      <w:r>
        <w:rPr/>
        <w:t xml:space="preserve">Η ελεύθερη πρόσβαση σε τεκμηριωμένες πληροφορίες είναι υψίστης σημασίας για την κοινωνία μας, έτσι ώστε οι πολίτες να είναι καλά ενημερωμένοι και προστατευμένοι από ψευδείς ειδήσεις και παραπληροφόρηση. Χρειαζόμαστε μια αξιόπιστη και ανεξάρτητη πηγή πληροφοριών που να μην επηρεάζεται από πολιτικά, οικονομικά και εθνικά συμφέροντα. Επιπλέον, η πλατφόρμα μπορεί να δημιουργήσει μια γέφυρα (δηλαδή μια άμεση σχέση) μεταξύ των πολιτών και της ΕΕ. </w:t>
      </w:r>
    </w:p>
    <w:p>
      <w:pPr>
        <w:pStyle w:val="Normal"/>
        <w:rPr/>
      </w:pPr>
      <w:r>
        <w:rPr/>
      </w:r>
    </w:p>
    <w:p>
      <w:pPr>
        <w:pStyle w:val="P68B1DB1Normal15"/>
        <w:rPr>
          <w:b/>
          <w:b/>
        </w:rPr>
      </w:pPr>
      <w:r>
        <w:rPr/>
        <w:t xml:space="preserve">18. Συνιστούμε τη διεξαγωγή δημοψηφίσματος σε επίπεδο ΕΕ σε εξαιρετικές περιπτώσεις για θέματα μεγάλης σημασίας για όλους τους ευρωπαίους πολίτες. Το δημοψήφισμα θα πρέπει να ξεκινήσει από το Ευρωπαϊκό Κοινοβούλιο και να είναι νομικά δεσμευτικό. </w:t>
      </w:r>
    </w:p>
    <w:p>
      <w:pPr>
        <w:pStyle w:val="Normal"/>
        <w:rPr/>
      </w:pPr>
      <w:r>
        <w:rPr/>
        <w:t xml:space="preserve"> </w:t>
      </w:r>
    </w:p>
    <w:p>
      <w:pPr>
        <w:pStyle w:val="Normal"/>
        <w:rPr/>
      </w:pPr>
      <w:r>
        <w:rPr/>
        <w:t xml:space="preserve">Οι πολίτες της ΕΕ θα πρέπει να έχουν πιο άμεση επιρροή στις σημαντικές αποφάσεις για ευρωπαϊκά ζητήματα. Ωστόσο, τα δημοψηφίσματα θα πρέπει να διεξάγονται μόνο σε εξαιρετικές περιπτώσεις, δεδομένου ότι, δεδομένου του υψηλού κόστους τους, δεν θα ήταν δυνατή η τακτική διεξαγωγή τους. Γνωρίζουμε ότι αυτή η σύσταση μπορεί να απαιτήσει την τροποποίηση της Συνθήκης και την προσαρμογή των εθνικών συνταγμάτων. </w:t>
      </w:r>
    </w:p>
    <w:p>
      <w:pPr>
        <w:pStyle w:val="Normal"/>
        <w:rPr/>
      </w:pPr>
      <w:r>
        <w:rPr/>
        <w:t xml:space="preserve"> </w:t>
      </w:r>
    </w:p>
    <w:p>
      <w:pPr>
        <w:pStyle w:val="P68B1DB1Normal15"/>
        <w:rPr>
          <w:b/>
          <w:b/>
        </w:rPr>
      </w:pPr>
      <w:r>
        <w:rPr/>
        <w:t xml:space="preserve">19. Συνιστούμε τη δημιουργία μιας πολυλειτουργικής ψηφιακής πλατφόρμας μέσω της οποίας οι πολίτες θα μπορούν να ψηφίζουν σε διαδικτυακές εκλογές και δημοσκοπήσεις. Οι πολίτες θα πρέπει να έχουν την ευκαιρία να παρακινήσουν την ψήφο τους για σημαντικά ζητήματα και νομοθετικές προτάσεις από τα ευρωπαϊκά θεσμικά όργανα. Η πλατφόρμα αυτή θα πρέπει να είναι ασφαλής, ευρέως προσβάσιμη και ιδιαίτερα ορατή σε κάθε πολίτη. </w:t>
      </w:r>
    </w:p>
    <w:p>
      <w:pPr>
        <w:pStyle w:val="Normal"/>
        <w:rPr/>
      </w:pPr>
      <w:r>
        <w:rPr/>
        <w:t xml:space="preserve"> </w:t>
      </w:r>
    </w:p>
    <w:p>
      <w:pPr>
        <w:pStyle w:val="Normal"/>
        <w:rPr/>
      </w:pPr>
      <w:r>
        <w:rPr/>
        <w:t xml:space="preserve">Στόχος αυτής της πλατφόρμας είναι η αύξηση της συμμετοχής στην ευρωπαϊκή πολιτική και η διευκόλυνση της πρόσβασης των πολιτών στη διαβούλευση και την ψηφοφορία. Τα υπάρχοντα εργαλεία και διαδικασίες δεν είναι αρκετά ορατά και γι’ αυτό χρειαζόμαστε ένα νέο ολοκληρωμένο εργαλείο για αυτές τις διαφορετικές λειτουργίες. Η μεγαλύτερη συμμετοχή οδηγεί σε καλύτερες αποφάσεις, μεγαλύτερη εμπιστοσύνη μεταξύ των ευρωπαίων πολιτών και καλύτερη λειτουργία της Ένωσης εν γένει. </w:t>
      </w:r>
    </w:p>
    <w:p>
      <w:pPr>
        <w:pStyle w:val="Normal"/>
        <w:rPr/>
      </w:pPr>
      <w:r>
        <w:rPr/>
        <w:t xml:space="preserve"> </w:t>
      </w:r>
    </w:p>
    <w:p>
      <w:pPr>
        <w:pStyle w:val="P68B1DB1Normal15"/>
        <w:rPr>
          <w:b/>
          <w:b/>
        </w:rPr>
      </w:pPr>
      <w:r>
        <w:rPr/>
        <w:t xml:space="preserve">20. «Συνιστάται να επανεξεταστούν τα συστήματα ψηφοφορίας στα θεσμικά όργανα της ΕΕ, εστιάζοντας στο ζήτημα της ομοφωνίας. Η «στάθμιση» των ψήφων θα πρέπει να υπολογίζεται δίκαια, προκειμένου να προστατεύονται τα συμφέροντα των μικρών χωρών. </w:t>
      </w:r>
    </w:p>
    <w:p>
      <w:pPr>
        <w:pStyle w:val="Normal"/>
        <w:rPr/>
      </w:pPr>
      <w:r>
        <w:rPr/>
        <w:t xml:space="preserve"> </w:t>
      </w:r>
    </w:p>
    <w:p>
      <w:pPr>
        <w:pStyle w:val="Normal"/>
        <w:rPr/>
      </w:pPr>
      <w:r>
        <w:rPr/>
        <w:t xml:space="preserve">Η ομοφωνία αποτελεί σημαντική πρόκληση για τη λήψη αποφάσεων στην ΕΕ. Δεδομένου του μεγάλου αριθμού κρατών μελών, είναι πολύ δύσκολο να επιτευχθεί συμφωνία. Εάν χρειαστεί, οι ευρωπαϊκές συνθήκες θα πρέπει να τροποποιηθούν προκειμένου να επιλυθεί το ζήτημα της ομοφωνίας. </w:t>
      </w:r>
    </w:p>
    <w:p>
      <w:pPr>
        <w:pStyle w:val="Normal"/>
        <w:rPr/>
      </w:pPr>
      <w:r>
        <w:rPr/>
        <w:t xml:space="preserve"> </w:t>
      </w:r>
    </w:p>
    <w:p>
      <w:pPr>
        <w:pStyle w:val="Titre4"/>
        <w:numPr>
          <w:ilvl w:val="3"/>
          <w:numId w:val="2"/>
        </w:numPr>
        <w:rPr/>
      </w:pPr>
      <w:bookmarkStart w:id="142" w:name="__RefHeading___Toc297219_1346298689"/>
      <w:bookmarkEnd w:id="142"/>
      <w:r>
        <w:rPr/>
        <w:t xml:space="preserve">Υποάξονας 3.3 Στερεότερη ολοκλήρωση </w:t>
      </w:r>
    </w:p>
    <w:p>
      <w:pPr>
        <w:pStyle w:val="Normal"/>
        <w:rPr/>
      </w:pPr>
      <w:r>
        <w:rPr/>
        <w:t xml:space="preserve"> </w:t>
      </w:r>
    </w:p>
    <w:p>
      <w:pPr>
        <w:pStyle w:val="P68B1DB1Normal15"/>
        <w:rPr>
          <w:b/>
          <w:b/>
        </w:rPr>
      </w:pPr>
      <w:r>
        <w:rPr/>
        <w:t xml:space="preserve">21. «Συνιστά στην Ένωση να προβεί σε δημόσιες επενδύσεις που οδηγούν στη δημιουργία κατάλληλων θέσεων εργασίας και στη βελτίωση και εναρμόνιση της ποιότητας ζωής σε ολόκληρη την Ένωση, μεταξύ των κρατών μελών και εντός των κρατών μελών (δηλ. σε περιφερειακό επίπεδο). Είναι αναγκαίο να εξασφαλιστεί αποτελεσματική εποπτεία, διαφάνεια και επικοινωνία με τους πολίτες κατά την υλοποίηση των δημόσιων επενδύσεων και να δοθεί η δυνατότητα στους πολίτες να παρακολουθούν ολόκληρη τη διαδικασία επενδύσεων. Για μια καλύτερη ποιότητα ζωής, θα πρέπει να πραγματοποιηθούν επενδύσεις σε τομείς όπως η εκπαίδευση, η υγεία, η στέγαση, οι υλικές υποδομές, η φροντίδα των ηλικιωμένων και των ατόμων με αναπηρία, λαμβανομένων υπόψη των αναγκών κάθε κράτους μέλους. Οι πρόσθετες επενδύσεις θα πρέπει να αποσκοπούν στην επίτευξη καλής ισορροπίας μεταξύ κατάλληλης επαγγελματικής και προσωπικής ζωής, προκειμένου να καταστεί δυνατός ένας υγιεινός τρόπος ζωής. </w:t>
      </w:r>
    </w:p>
    <w:p>
      <w:pPr>
        <w:pStyle w:val="Normal"/>
        <w:rPr/>
      </w:pPr>
      <w:r>
        <w:rPr/>
        <w:t xml:space="preserve"> </w:t>
      </w:r>
    </w:p>
    <w:p>
      <w:pPr>
        <w:pStyle w:val="Normal"/>
        <w:rPr/>
      </w:pPr>
      <w:r>
        <w:rPr/>
        <w:t xml:space="preserve">Συνιστούμε το μέτρο αυτό, διότι η εναρμόνιση του βιοτικού επιπέδου στην Ένωση θα βελτιώσει την οικονομική πρόοδο σε ολόκληρη την Ένωση, οδηγώντας σε μια ενιαία Ευρωπαϊκή Ένωση. Πρόκειται για βασικό δείκτη για την περαιτέρω ολοκλήρωση της Ένωσης. Αν και ορισμένοι από αυτούς τους μηχανισμούς έχουν ήδη τεθεί σε εφαρμογή, πιστεύουμε ότι μπορούν να βελτιωθούν. </w:t>
      </w:r>
    </w:p>
    <w:p>
      <w:pPr>
        <w:pStyle w:val="Normal"/>
        <w:rPr/>
      </w:pPr>
      <w:r>
        <w:rPr/>
        <w:t xml:space="preserve"> </w:t>
      </w:r>
    </w:p>
    <w:p>
      <w:pPr>
        <w:pStyle w:val="P68B1DB1Normal15"/>
        <w:rPr>
          <w:b/>
          <w:b/>
        </w:rPr>
      </w:pPr>
      <w:r>
        <w:rPr/>
        <w:t xml:space="preserve">22. «Συνιστάται η δημιουργία μιας κοινής βάσης, η οποία θα βασίζεται σε ένα σύνολο οικονομικών δεικτών και δεικτών ποιότητας ζωής, για όλα τα κράτη μέλη, ώστε να προσφέρονται ίσες ευκαιρίες και να τίθενται όλοι σε ισότιμη βάση για την επίτευξη κοινής οικονομικής δομής. Είναι σημαντικό αυτή η κοινή βάση να καθοριστεί σύμφωνα με ένα σαφές και ρεαλιστικό χρονοδιάγραμμα που καθορίζεται από τα θεσμικά όργανα κατόπιν σύστασης των εμπειρογνωμόνων. Θα πρέπει επίσης να ζητείται η γνώμη εμπειρογνωμόνων σχετικά με τη μορφή μιας τέτοιας κοινής οικονομικής δομής. Είναι επίσης σημαντικό να καθοριστούν με μεγαλύτερη ακρίβεια οι δείκτες στους οποίους βασίζεται αυτή η κοινή βάση με τη βοήθεια εμπειρογνωμόνων. </w:t>
      </w:r>
    </w:p>
    <w:p>
      <w:pPr>
        <w:pStyle w:val="Normal"/>
        <w:rPr/>
      </w:pPr>
      <w:r>
        <w:rPr/>
        <w:t xml:space="preserve"> </w:t>
      </w:r>
    </w:p>
    <w:p>
      <w:pPr>
        <w:pStyle w:val="Normal"/>
        <w:rPr/>
      </w:pPr>
      <w:r>
        <w:rPr/>
        <w:t xml:space="preserve">Το συνιστούμε αυτό διότι αν έχουμε μια δίκαιη Ένωση, θα έχουμε μια πιο ενωμένη Ευρώπη. Για να είμαστε δίκαιοι, πρέπει να προσφέρουμε ίσες ευκαιρίες και μια κοινή βάση για ολόκληρη την Ένωση. Θα είναι δυνατή η επίτευξη μιας κοινής οικονομικής δομής μόνο μετά τη δημιουργία μιας κοινής βάσης. </w:t>
      </w:r>
    </w:p>
    <w:p>
      <w:pPr>
        <w:pStyle w:val="Normal"/>
        <w:rPr/>
      </w:pPr>
      <w:r>
        <w:rPr/>
        <w:t xml:space="preserve"> </w:t>
      </w:r>
    </w:p>
    <w:p>
      <w:pPr>
        <w:pStyle w:val="P68B1DB1Normal15"/>
        <w:rPr>
          <w:b/>
          <w:b/>
        </w:rPr>
      </w:pPr>
      <w:r>
        <w:rPr/>
        <w:t xml:space="preserve">23. Συνιστούμε να φορολογούνται οι μεγάλες εταιρείες και το εταιρικό εισόδημα για να συνεισφέρουν στις δημόσιες επενδύσεις και να χρησιμοποιούνται οι φόροι για επενδύσεις στην εκπαίδευση και την ανάπτυξη σε κάθε χώρα (Ε &amp; Α, υποτροφίες — Erasmus κ.λπ.). Είναι επίσης σημαντικό να διασφαλιστεί η κατάργηση των φορολογικών παραδείσων στην ΕΕ.» </w:t>
      </w:r>
    </w:p>
    <w:p>
      <w:pPr>
        <w:pStyle w:val="Normal"/>
        <w:rPr/>
      </w:pPr>
      <w:r>
        <w:rPr/>
        <w:t xml:space="preserve"> </w:t>
      </w:r>
    </w:p>
    <w:p>
      <w:pPr>
        <w:pStyle w:val="Normal"/>
        <w:rPr/>
      </w:pPr>
      <w:r>
        <w:rPr/>
        <w:t xml:space="preserve">Συστήνουμε αυτό το μέτρο, καθώς θα συμβάλει στην πρόληψη της φοροδιαφυγής και της δημιουργίας φορολογικών παραδείσων και θα προωθήσει τη συμμόρφωση. </w:t>
      </w:r>
    </w:p>
    <w:p>
      <w:pPr>
        <w:pStyle w:val="Normal"/>
        <w:rPr/>
      </w:pPr>
      <w:r>
        <w:rPr/>
      </w:r>
    </w:p>
    <w:p>
      <w:pPr>
        <w:pStyle w:val="Titre3"/>
        <w:numPr>
          <w:ilvl w:val="2"/>
          <w:numId w:val="2"/>
        </w:numPr>
        <w:rPr/>
      </w:pPr>
      <w:bookmarkStart w:id="143" w:name="__RefHeading___Toc297221_1346298689"/>
      <w:bookmarkEnd w:id="143"/>
      <w:r>
        <w:rPr/>
        <w:t xml:space="preserve">Άξονας 4: Οικοδόμηση μιας ευρωπαϊκής ταυτότητας </w:t>
      </w:r>
    </w:p>
    <w:p>
      <w:pPr>
        <w:pStyle w:val="Normal"/>
        <w:rPr/>
      </w:pPr>
      <w:r>
        <w:rPr/>
        <w:t xml:space="preserve"> </w:t>
      </w:r>
    </w:p>
    <w:p>
      <w:pPr>
        <w:pStyle w:val="Titre4"/>
        <w:numPr>
          <w:ilvl w:val="3"/>
          <w:numId w:val="2"/>
        </w:numPr>
        <w:rPr/>
      </w:pPr>
      <w:bookmarkStart w:id="144" w:name="__RefHeading___Toc297223_1346298689"/>
      <w:bookmarkEnd w:id="144"/>
      <w:r>
        <w:rPr/>
        <w:t xml:space="preserve">Υποάξονας 4.1 Εκπαίδευση για τη δημοκρατία </w:t>
      </w:r>
    </w:p>
    <w:p>
      <w:pPr>
        <w:pStyle w:val="Normal"/>
        <w:rPr/>
      </w:pPr>
      <w:r>
        <w:rPr/>
        <w:t xml:space="preserve"> </w:t>
      </w:r>
    </w:p>
    <w:p>
      <w:pPr>
        <w:pStyle w:val="P68B1DB1Normal15"/>
        <w:rPr>
          <w:b/>
          <w:b/>
        </w:rPr>
      </w:pPr>
      <w:r>
        <w:rPr/>
        <w:t xml:space="preserve">24. Συνιστούμε η εκπαίδευση σε θέματα δημοκρατίας στην ΕΕ να βελτιώσει και να επιτύχει ένα ελάχιστο επίπεδο γνώσεων σε όλα τα κράτη μέλη. Η εκπαίδευση αυτή θα πρέπει να καλύπτει, μεταξύ άλλων, δημοκρατικές διαδικασίες και γενικές πληροφορίες για την Ένωση, οι οποίες θα πρέπει να διδάσκονται σε όλα τα κράτη μέλη της ΕΕ. Θα πρέπει να εμπλουτίζεται από ένα σύνολο διαφορετικών εννοιών που αποσκοπούν στη διδασκαλία της δημοκρατικής διαδικασίας, η οποία θα πρέπει να είναι ελκυστική και κατάλληλη για την ηλικία. </w:t>
      </w:r>
    </w:p>
    <w:p>
      <w:pPr>
        <w:pStyle w:val="Normal"/>
        <w:rPr/>
      </w:pPr>
      <w:r>
        <w:rPr/>
        <w:t xml:space="preserve"> </w:t>
      </w:r>
    </w:p>
    <w:p>
      <w:pPr>
        <w:pStyle w:val="Normal"/>
        <w:rPr/>
      </w:pPr>
      <w:r>
        <w:rPr/>
        <w:t xml:space="preserve">Αυτή η σύσταση και οι λόγοι γι’ αυτήν είναι σημαντικοί διότι, εάν εφαρμοστεί, θα οδηγήσει σε μια πιο αρμονική και δημοκρατική ζωή στην Ένωση. Οι αιτιολογήσεις είναι οι εξής: οι νέοι θα εκπαιδευτούν στις δημοκρατικές διαδικασίες· αυτή η εκπαίδευση θα μπορούσε να περιορίσει τον λαϊκισμό και την παραπληροφόρηση στον δημόσιο διάλογο· θα μπορούσε να μειώσει τις διακρίσεις· και, τέλος, θα καταστήσει δυνατή την εκπαίδευση και την κινητοποίηση των πολιτών για τη δημοκρατία πέρα από το απλό καθήκον τους να ψηφίσουν. </w:t>
      </w:r>
    </w:p>
    <w:p>
      <w:pPr>
        <w:pStyle w:val="Normal"/>
        <w:rPr/>
      </w:pPr>
      <w:r>
        <w:rPr/>
        <w:t xml:space="preserve"> </w:t>
      </w:r>
    </w:p>
    <w:p>
      <w:pPr>
        <w:pStyle w:val="P68B1DB1Normal15"/>
        <w:rPr>
          <w:b/>
          <w:b/>
        </w:rPr>
      </w:pPr>
      <w:r>
        <w:rPr/>
        <w:t xml:space="preserve">25. «Συνιστάται να αναπτυχθούν περαιτέρω, να βελτιωθούν και να καταστούν πιο προσβάσιμες οι υφιστάμενες και αναδυόμενες μεταφραστικές τεχνολογίες, όπως η τεχνητή νοημοσύνη, προκειμένου να μειωθούν οι γλωσσικοί φραγμοί και να ενισχυθούν η κοινή ταυτότητα και η δημοκρατία στην ΕΕ.» </w:t>
      </w:r>
    </w:p>
    <w:p>
      <w:pPr>
        <w:pStyle w:val="Normal"/>
        <w:rPr/>
      </w:pPr>
      <w:r>
        <w:rPr/>
        <w:t xml:space="preserve"> </w:t>
      </w:r>
    </w:p>
    <w:p>
      <w:pPr>
        <w:pStyle w:val="Normal"/>
        <w:rPr/>
      </w:pPr>
      <w:r>
        <w:rPr/>
        <w:t xml:space="preserve">Αυτή η σύσταση και οι λόγοι γι’ αυτήν είναι σημαντικοί διότι, εάν εφαρμοστεί, θα συμβάλει στην οικοδόμηση μιας κοινής ευρωπαϊκής ταυτότητας βελτιώνοντας την επικοινωνία μεταξύ των πολιτών όλων των κρατών μελών. </w:t>
      </w:r>
    </w:p>
    <w:p>
      <w:pPr>
        <w:pStyle w:val="Normal"/>
        <w:rPr/>
      </w:pPr>
      <w:r>
        <w:rPr/>
        <w:t xml:space="preserve"> </w:t>
      </w:r>
    </w:p>
    <w:p>
      <w:pPr>
        <w:pStyle w:val="P68B1DB1Normal15"/>
        <w:rPr>
          <w:b/>
          <w:b/>
        </w:rPr>
      </w:pPr>
      <w:r>
        <w:rPr/>
        <w:t xml:space="preserve">26. Συνιστούμε να είναι εύκολα προσβάσιμες, με κατανοητούς όρους, οι πολίτες μέσω μιας εφαρμογής για φορητές συσκευές, προκειμένου να βελτιωθεί η διαφάνεια, ο δημόσιος διάλογος και η δημοκρατία. Η εφαρμογή αυτή θα μπορούσε να χρησιμοποιηθεί για τη διάδοση πληροφοριών, για παράδειγμα, σχετικά με τη νομοθεσία, τις συζητήσεις εντός της ΕΕ, τις τροποποιήσεις των Συνθηκών κ.λπ. </w:t>
      </w:r>
    </w:p>
    <w:p>
      <w:pPr>
        <w:pStyle w:val="Normal"/>
        <w:rPr/>
      </w:pPr>
      <w:r>
        <w:rPr/>
        <w:t xml:space="preserve"> </w:t>
      </w:r>
    </w:p>
    <w:p>
      <w:pPr>
        <w:pStyle w:val="Normal"/>
        <w:rPr/>
      </w:pPr>
      <w:r>
        <w:rPr/>
        <w:t xml:space="preserve">Αυτή η σύσταση και οι λόγοι γι’ αυτήν είναι σημαντικοί, διότι, εάν εφαρμοστεί, θα διευκολύνει την επικοινωνία στον βαθμό που θα επιτρέψει μια πιο ενημερωμένη συζήτηση μεταξύ των πολιτών των διαφόρων κρατών μελών, μέσω μιας εφαρμογής που θα μπορούσε να έχει πολλές διαφορετικές λειτουργίες. Η εφαρμογή αυτή θα πρέπει να σχεδιαστεί κατά τρόπο ώστε να είναι πιθανό να παρουσιάζει ενδιαφέρον για όλους και να είναι σε θέση να προσελκύσει περαιτέρω την περιέργεια και να καταστήσει τις τεχνικές πληροφορίες πιο προσβάσιμες και ελκυστικές. Η αίτηση θα πρέπει να θεωρηθεί συμπληρωματική πηγή, η οποία διαδίδει πληροφορίες που επαληθεύονται επίσημα απευθείας από την Ένωση, προκειμένου να βελτιωθεί η εμπιστοσύνη και η διαφάνεια στον δημόσιο διάλογο και να συμβάλει στην οικοδόμηση μιας κοινής ευρωπαϊκής ταυτότητας. </w:t>
      </w:r>
    </w:p>
    <w:p>
      <w:pPr>
        <w:pStyle w:val="Normal"/>
        <w:rPr/>
      </w:pPr>
      <w:r>
        <w:rPr/>
      </w:r>
    </w:p>
    <w:p>
      <w:pPr>
        <w:pStyle w:val="Titre4"/>
        <w:numPr>
          <w:ilvl w:val="3"/>
          <w:numId w:val="2"/>
        </w:numPr>
        <w:rPr/>
      </w:pPr>
      <w:bookmarkStart w:id="145" w:name="__RefHeading___Toc297225_1346298689"/>
      <w:bookmarkEnd w:id="145"/>
      <w:r>
        <w:rPr/>
        <w:t xml:space="preserve">Υποάξονας 4.2 Ευρωπαϊκές αξίες και ταυτότητα </w:t>
      </w:r>
    </w:p>
    <w:p>
      <w:pPr>
        <w:pStyle w:val="Normal"/>
        <w:rPr/>
      </w:pPr>
      <w:r>
        <w:rPr/>
        <w:t xml:space="preserve"> </w:t>
      </w:r>
    </w:p>
    <w:p>
      <w:pPr>
        <w:pStyle w:val="P68B1DB1Normal15"/>
        <w:rPr>
          <w:b/>
          <w:b/>
        </w:rPr>
      </w:pPr>
      <w:r>
        <w:rPr/>
        <w:t xml:space="preserve">27. «Συνιστούμε στην ΕΕ να δημιουργήσει ένα ειδικό ταμείο για διαδικτυακές και μη διαδικτυακές αλληλεπιδράσεις (π.χ. προγράμματα ανταλλαγών, ομάδες, συνεδριάσεις) μικρής και μακράς διάρκειας μεταξύ των πολιτών της ΕΕ, προκειμένου να ενισχυθεί η ευρωπαϊκή ταυτότητα. Οι συμμετέχοντες θα πρέπει να είναι αντιπροσωπευτικοί της κοινωνίας εντός της Ένωσης, συμπεριλαμβανομένων των ομάδων που επιλέγονται με στοχευμένο τρόπο με βάση διάφορα κριτήρια, δηλαδή δημογραφικά, κοινωνικοοικονομικά και επαγγελματικά κριτήρια. Οι στόχοι αυτού του ταμείου πρέπει να δηλώνονται σαφώς για την προώθηση της ευρωπαϊκής ταυτότητας και το ταμείο αυτό θα πρέπει να αξιολογείται σε τακτά χρονικά διαστήματα. </w:t>
      </w:r>
    </w:p>
    <w:p>
      <w:pPr>
        <w:pStyle w:val="Normal"/>
        <w:rPr/>
      </w:pPr>
      <w:r>
        <w:rPr/>
        <w:t xml:space="preserve"> </w:t>
      </w:r>
    </w:p>
    <w:p>
      <w:pPr>
        <w:pStyle w:val="Normal"/>
        <w:rPr/>
      </w:pPr>
      <w:r>
        <w:rPr/>
        <w:t xml:space="preserve">Το συνιστούμε αυτό, καθώς αυτό το είδος αλληλεπίδρασης επιτρέπει στους πολίτες να μοιράζονται ιδέες και οι μακροχρόνιες ανταλλαγές τους επιτρέπουν να κατανοούν διαφορετικές κουλτούρες και να μοιράζονται εμπειρίες, συμπεριλαμβανομένων των επαγγελματικών πρακτικών. Απαιτείται ένα ταμείο της ΕΕ, καθώς είναι σημαντικό να μπορούν να συμμετέχουν όλοι, συμπεριλαμβανομένων εκείνων που συνήθως δεν συμμετέχουν. </w:t>
      </w:r>
    </w:p>
    <w:p>
      <w:pPr>
        <w:pStyle w:val="Normal"/>
        <w:rPr/>
      </w:pPr>
      <w:r>
        <w:rPr/>
        <w:t xml:space="preserve"> </w:t>
      </w:r>
    </w:p>
    <w:p>
      <w:pPr>
        <w:pStyle w:val="P68B1DB1Normal15"/>
        <w:rPr>
          <w:b/>
          <w:b/>
        </w:rPr>
      </w:pPr>
      <w:r>
        <w:rPr/>
        <w:t xml:space="preserve">28. «Συνιστούμε στην ΕΕ να επενδύσει γρήγορα στην καταπολέμηση της παραπληροφόρησης, στηρίζοντας τις υφιστάμενες οργανώσεις και πρωτοβουλίες, όπως ο κώδικας δεοντολογίας για την παραπληροφόρηση και το Ευρωπαϊκό Παρατηρητήριο Ψηφιακών Μέσων Ενημέρωσης, καθώς και παρόμοιες πρωτοβουλίες στα κράτη μέλη. Θα μπορούσαν να εφαρμοστούν διαφορετικά αντίμετρα: την επαλήθευση των γεγονότων, την ευαισθητοποίηση σχετικά με την παραπληροφόρηση, την παραγωγή εύκολα προσβάσιμων στατιστικών, την επιβολή κατάλληλων κυρώσεων βάσει νομικού πλαισίου σε όσους διαδίδουν παραπληροφόρηση και την καταπολέμηση των πηγών παραπληροφόρησης. </w:t>
      </w:r>
    </w:p>
    <w:p>
      <w:pPr>
        <w:pStyle w:val="Normal"/>
        <w:rPr/>
      </w:pPr>
      <w:r>
        <w:rPr/>
        <w:t xml:space="preserve"> </w:t>
      </w:r>
    </w:p>
    <w:p>
      <w:pPr>
        <w:pStyle w:val="Normal"/>
        <w:rPr/>
      </w:pPr>
      <w:r>
        <w:rPr/>
        <w:t xml:space="preserve">Η σύσταση αυτή είναι σημαντική διότι η παραπληροφόρηση και η παραπληροφόρηση, εντός και εκτός της ΕΕ, έχουν ως αποτέλεσμα τη δημιουργία συγκρούσεων μεταξύ των πολιτών της ΕΕ, την πόλωση της κοινωνίας, την απειλή της δημοκρατίας και την πρόκληση βλάβης στην οικονομία. Δεδομένης της πολυπλοκότητας του θέματος, απαιτούνται σημαντικοί ανθρώπινοι και οικονομικοί πόροι. </w:t>
      </w:r>
    </w:p>
    <w:p>
      <w:pPr>
        <w:pStyle w:val="Normal"/>
        <w:rPr/>
      </w:pPr>
      <w:r>
        <w:rPr/>
        <w:t xml:space="preserve"> </w:t>
      </w:r>
    </w:p>
    <w:p>
      <w:pPr>
        <w:pStyle w:val="P68B1DB1Normal15"/>
        <w:rPr>
          <w:b/>
          <w:b/>
        </w:rPr>
      </w:pPr>
      <w:r>
        <w:rPr/>
        <w:t xml:space="preserve">29. «Συνιστάται 1) η αύξηση της συχνότητας των αλληλεπιδράσεων εντός και εκτός διαδικτύου μεταξύ της Ένωσης και των πολιτών της (δηλαδή μέσω της άμεσης συνέντευξης με τους πολίτες για ευρωπαϊκά ζητήματα και της δημιουργίας μιας εύχρηστης πλατφόρμας που θα διασφαλίζει ότι κάθε πολίτης μπορεί να αλληλεπιδρά με τα θεσμικά όργανα και τους υπαλλήλους της ΕΕ) και 2) διασφαλίζοντας ότι οι πολίτες μπορούν να συμμετέχουν στη διαδικασία χάραξης πολιτικής της ΕΕ, να εκφράζουν τις απόψεις τους και να λαμβάνουν ανατροφοδότηση, και συνιστούμε τη δημιουργία ενός Χάρτη ή ενός κώδικα δεοντολογίας ή κατευθυντήριων γραμμών για τους υπαλλήλους της ΕΕ. Θα πρέπει να υπάρχουν διαφορετικά μέσα αλληλεπίδρασης, έτσι ώστε κάθε πολίτης να μπορεί να συμμετέχει. </w:t>
      </w:r>
    </w:p>
    <w:p>
      <w:pPr>
        <w:pStyle w:val="Normal"/>
        <w:rPr/>
      </w:pPr>
      <w:r>
        <w:rPr/>
        <w:t xml:space="preserve"> </w:t>
      </w:r>
    </w:p>
    <w:p>
      <w:pPr>
        <w:pStyle w:val="Normal"/>
        <w:rPr/>
      </w:pPr>
      <w:r>
        <w:rPr/>
        <w:t xml:space="preserve">Συνιστούμε αυτό το μέτρο επειδή υπάρχουν διάφοροι τρόποι για να έρθετε σε επαφή με τα ευρωπαϊκά θεσμικά όργανα (επιγραμμικές πλατφόρμες, αντιπροσωπευτικοί φορείς), αλλά δεν είναι γνωστοί, δεν είναι αποτελεσματικοί και δεν είναι διαφανείς. Η προσβασιμότητα ποικίλλει σημαντικά από χώρα σε χώρα. Οι συχνότερες και καλύτερες αλληλεπιδράσεις θα δημιουργήσουν αίσθημα κυριότητας της ευρωπαϊκής ιθαγένειας. </w:t>
      </w:r>
    </w:p>
    <w:p>
      <w:pPr>
        <w:pStyle w:val="Normal"/>
        <w:rPr/>
      </w:pPr>
      <w:r>
        <w:rPr/>
        <w:t xml:space="preserve"> </w:t>
      </w:r>
    </w:p>
    <w:p>
      <w:pPr>
        <w:pStyle w:val="P68B1DB1Normal15"/>
        <w:rPr>
          <w:b/>
          <w:b/>
        </w:rPr>
      </w:pPr>
      <w:r>
        <w:rPr/>
        <w:t xml:space="preserve">30. Συνιστούμε η ευρωπαϊκή ταυτότητα και οι ευρωπαϊκές αξίες (δηλαδή το κράτος δικαίου, η δημοκρατία και η αλληλεγγύη) να διαδραματίσουν ιδιαίτερο ρόλο στη διαδικασία ένταξης των μεταναστών. Μπορούν να προβλεφθούν διάφορα μέτρα, όπως η δημιουργία προγραμμάτων ή η στήριξη ήδη υφιστάμενων (τοπικών) προγραμμάτων, προκειμένου να ενθαρρυνθούν οι κοινωνικές αλληλεπιδράσεις μεταξύ μεταναστών και πολιτών της ΕΕ ή η συμμετοχή επιχειρήσεων σε προγράμματα στήριξης της ένταξης των μεταναστών. Ταυτόχρονα, θα πρέπει να δρομολογηθούν παρόμοια προγράμματα για την ευαισθητοποίηση των πολιτών της ΕΕ σε θέματα που σχετίζονται με τη μετανάστευση. </w:t>
      </w:r>
    </w:p>
    <w:p>
      <w:pPr>
        <w:pStyle w:val="Normal"/>
        <w:rPr/>
      </w:pPr>
      <w:r>
        <w:rPr/>
        <w:t xml:space="preserve"> </w:t>
      </w:r>
    </w:p>
    <w:p>
      <w:pPr>
        <w:pStyle w:val="Normal"/>
        <w:rPr/>
      </w:pPr>
      <w:r>
        <w:rPr/>
        <w:t xml:space="preserve">Η σύσταση αυτή είναι σημαντική, καθώς τα προγράμματα κοινωνικής αλληλεπίδρασης μπορούν να βοηθήσουν τους μετανάστες στη νέα τους ζωή και να επιτρέψουν στους μη μετανάστες να κατανοήσουν καλύτερα την καθημερινή ζωή των μεταναστών. Εάν οι μετανάστες ζουν σε γκέτο, δεν υπάρχει δυνατότητα ενσωμάτωσής τους στην κοινωνία σε εθνικό ή ενωσιακό επίπεδο. Μια κοινή πολιτική είναι απαραίτητη, διότι από τη στιγμή που οι μετανάστες εισέρχονται στο έδαφος της Ένωσης, μπορούν να μεταβούν σε όλες τις χώρες της ΕΕ. Θα πρέπει να υποστηριχθούν οι τοπικές πρωτοβουλίες, δεδομένου ότι οι τοπικές κυβερνήσεις θα χρησιμοποιούν τους πόρους πιο αποτελεσματικά απ’ ό,τι σε εθνικό επίπεδο. </w:t>
      </w:r>
    </w:p>
    <w:p>
      <w:pPr>
        <w:pStyle w:val="Normal"/>
        <w:rPr/>
      </w:pPr>
      <w:r>
        <w:rPr/>
        <w:t xml:space="preserve"> </w:t>
      </w:r>
    </w:p>
    <w:p>
      <w:pPr>
        <w:pStyle w:val="Titre4"/>
        <w:numPr>
          <w:ilvl w:val="3"/>
          <w:numId w:val="2"/>
        </w:numPr>
        <w:rPr/>
      </w:pPr>
      <w:bookmarkStart w:id="146" w:name="__RefHeading___Toc297227_1346298689"/>
      <w:bookmarkEnd w:id="146"/>
      <w:r>
        <w:rPr/>
        <w:t xml:space="preserve">Υποάξονας 4.3 Πληροφορίες ΕΕ </w:t>
      </w:r>
    </w:p>
    <w:p>
      <w:pPr>
        <w:pStyle w:val="Normal"/>
        <w:rPr/>
      </w:pPr>
      <w:r>
        <w:rPr/>
        <w:t xml:space="preserve"> </w:t>
      </w:r>
    </w:p>
    <w:p>
      <w:pPr>
        <w:pStyle w:val="P68B1DB1Normal15"/>
        <w:rPr>
          <w:b/>
          <w:b/>
        </w:rPr>
      </w:pPr>
      <w:r>
        <w:rPr/>
        <w:t xml:space="preserve">31. «Συνιστούμε στην ΕΕ να ενημερώνει καλύτερα τους ευρωπαίους πολίτες. Για τον σκοπό αυτό, η Ένωση θα πρέπει να χρησιμοποιήσει όλα τα αναγκαία μέσα, σεβόμενη παράλληλα την ελευθερία και την ανεξαρτησία των μέσων ενημέρωσης. Θα πρέπει να παρέχει στα μέσα ενημέρωσης γενικούς και αξιόπιστους πόρους και πληροφορίες σχετικά με τις δραστηριότητες και τις πολιτικές της Ένωσης. Η Ένωση θα πρέπει να διασφαλίσει ότι οι πληροφορίες διαδίδονται ισότιμα σε όλα τα κράτη μέλη μέσω των εθνικών και ευρωπαϊκών μέσων ενημέρωσης και να διασφαλίσει ότι τα κράτη μέλη ενθαρρύνουν τους δημόσιους ραδιοτηλεοπτικούς φορείς και τα δημόσια πρακτορεία ειδήσεων να ασχολούνται με ευρωπαϊκά ζητήματα.» </w:t>
      </w:r>
    </w:p>
    <w:p>
      <w:pPr>
        <w:pStyle w:val="Normal"/>
        <w:rPr/>
      </w:pPr>
      <w:r>
        <w:rPr/>
      </w:r>
    </w:p>
    <w:p>
      <w:pPr>
        <w:pStyle w:val="Normal"/>
        <w:rPr/>
      </w:pPr>
      <w:r>
        <w:rPr/>
        <w:t xml:space="preserve">Το συνιστούμε αυτό διότι, από την προσωπική μας εμπειρία και σύμφωνα με τα στοιχεία του Ευρωβαρόμετρου, η πλειονότητα των ευρωπαίων πολιτών ενημερώνεται από τα κύρια μέσα ενημέρωσης (τύπος, ραδιόφωνο και τηλεόραση) και τα κανάλια αυτά παρέχουν επί του παρόντος πολύ λίγες πληροφορίες σχετικά με την ΕΕ. Τα μέσα ενημέρωσης, συμπεριλαμβανομένων των δημόσιων μέσων ενημέρωσης, έχουν λειτουργία δημόσιας υπηρεσίας. Ως εκ τούτου, είναι σημαντικό να αντιμετωπιστούν τα ευρωπαϊκά ζητήματα που επηρεάζουν τον ευρωπαϊκό πληθυσμό προκειμένου να εκπληρωθεί αυτή η λειτουργία. Συνιστούμε οι πληροφορίες της ΕΕ που διαδίδονται στα διάφορα κράτη μέλη να είναι οι ίδιες για την προώθηση της ένταξης και συνιστούμε να αποφεύγονται οι αποκλίνουσες πληροφορίες για διαφορετικά θέματα σε κάθε χώρα. Είναι πιο βολικό και φθηνότερο να χρησιμοποιήσετε τα υπάρχοντα κανάλια πολυμέσων από το να δημιουργήσετε ένα νέο κανάλι, για το ίδιο αποτέλεσμα. Οι υφιστάμενοι δίαυλοι έχουν επίσης το πλεονέκτημα ότι είναι ήδη γνωστοί στους πολίτες. Κανένας πολίτης δεν θα πρέπει να χρειάζεται να επιλέξει μεταξύ διαφορετικών διαύλων πρόσβασης σε διαφορετικό περιεχόμενο (εθνικό ή ευρωπαϊκό). </w:t>
      </w:r>
    </w:p>
    <w:p>
      <w:pPr>
        <w:pStyle w:val="Normal"/>
        <w:rPr/>
      </w:pPr>
      <w:r>
        <w:rPr/>
        <w:t xml:space="preserve"> </w:t>
      </w:r>
    </w:p>
    <w:p>
      <w:pPr>
        <w:pStyle w:val="P68B1DB1Normal15"/>
        <w:rPr>
          <w:b/>
          <w:b/>
        </w:rPr>
      </w:pPr>
      <w:r>
        <w:rPr/>
        <w:t xml:space="preserve">32. «Συνιστούμε στην ΕΕ να δημιουργήσει και να προωθήσει πολύγλωσσα διαδικτυακά φόρουμ και συνεδριάσεις εκτός διαδικτύου που θα επιτρέπουν στους πολίτες να συμμετέχουν σε συζήτηση με τους εκπροσώπους της ΕΕ, ανεξάρτητα από το θέμα και το γεωγραφικό πεδίο εφαρμογής του θέματος που τίθεται. Οι απαντήσεις στις ερωτήσεις που τίθενται σε αυτά τα διαδικτυακά φόρουμ και σε συνεδριάσεις εκτός διαδικτύου θα πρέπει να παρέχονται εντός σαφώς καθορισμένου σύντομου χρονικού διαστήματος. Όλες οι πληροφορίες σχετικά με αυτούς τους χώρους θα πρέπει να συγκεντρώνονται σε έναν ενσωματωμένο επίσημο ιστότοπο με διαφορετικά χαρακτηριστικά, όπως ένας χώρος για συχνές ερωτήσεις, η δυνατότητα ανταλλαγής ιδεών, προτάσεων ή ανησυχιών με άλλους πολίτες, καθώς και ένας μηχανισμός που θα υποδεικνύει ποιοι λαμβάνουν τη μεγαλύτερη υποστήριξη. Σε κάθε περίπτωση, η πρόσβαση σε αυτόν τον ιστότοπο θα πρέπει να είναι εύκολη και θα πρέπει να χρησιμοποιείται μη γραφειοκρατική γλώσσα. </w:t>
      </w:r>
    </w:p>
    <w:p>
      <w:pPr>
        <w:pStyle w:val="Normal"/>
        <w:rPr/>
      </w:pPr>
      <w:r>
        <w:rPr/>
        <w:t xml:space="preserve"> </w:t>
      </w:r>
    </w:p>
    <w:p>
      <w:pPr>
        <w:pStyle w:val="Normal"/>
        <w:rPr/>
      </w:pPr>
      <w:r>
        <w:rPr/>
        <w:t xml:space="preserve">Το συνιστούμε αυτό διότι είναι ένας τρόπος για να δημιουργηθεί μια άμεση γέφυρα μεταξύ των ευρωπαίων πολιτών και των ευρωπαίων εκπροσώπων για να μιλούν και να συμμετέχουν από κοινού, να παρέχουν στους πολίτες εύκολη πρόσβαση σε πληροφορίες σχετικά με την Ένωση και να τους ενημερώνουν καλύτερα για τις ήδη διαθέσιμες πληροφορίες. Αυτό θα δημιουργήσει μια πιο διαφανή και ανοικτή Ένωση και θα βοηθήσει τους πολίτες να μοιραστούν τα προβλήματα και τους προβληματισμούς τους και να λάβουν πολιτικές απαντήσεις και λύσεις, και θα επιτρέψει στους πολίτες να εμπλακούν και να μοιραστούν προοπτικές και εμπειρίες με άλλους πολίτες. </w:t>
      </w:r>
    </w:p>
    <w:p>
      <w:pPr>
        <w:pStyle w:val="Normal"/>
        <w:rPr/>
      </w:pPr>
      <w:r>
        <w:rPr/>
        <w:t xml:space="preserve"> </w:t>
      </w:r>
    </w:p>
    <w:p>
      <w:pPr>
        <w:pStyle w:val="Normal"/>
        <w:rPr>
          <w:b/>
          <w:b/>
        </w:rPr>
      </w:pPr>
      <w:r>
        <w:rPr>
          <w:b/>
        </w:rPr>
        <w:t xml:space="preserve">33. </w:t>
      </w:r>
      <w:commentRangeStart w:id="4"/>
      <w:r>
        <w:rPr>
          <w:b/>
        </w:rPr>
        <w:t>«</w:t>
      </w:r>
      <w:r>
        <w:rPr>
          <w:b/>
          <w:i/>
        </w:rPr>
        <w:t>Συνιστούμε στα θεσμικά όργανα και τους εκπροσώπους της ΕΕ να χρησιμοποιούν πιο προσιτή γλώσσα και να αποφεύγουν τη χρήση γραφειοκρατικών όρων στις επικοινωνίες τους, διατηρώντας παράλληλα την ποιότητα και το τεχνικό επίπεδο των παρεχόμενων πληροφοριών.</w:t>
      </w:r>
      <w:r>
        <w:rPr>
          <w:b/>
        </w:rPr>
        <w:t xml:space="preserve"> </w:t>
      </w:r>
      <w:r>
        <w:rPr>
          <w:b/>
        </w:rPr>
      </w:r>
      <w:commentRangeEnd w:id="4"/>
      <w:r>
        <w:commentReference w:id="4"/>
      </w:r>
      <w:r>
        <w:rPr>
          <w:b/>
        </w:rPr>
        <w:t xml:space="preserve">Η Ένωση θα πρέπει επίσης να προσαρμόσει τις πληροφορίες που παρέχει στους πολίτες χρησιμοποιώντας διαφορετικούς διαύλους επικοινωνίας και διαφορετικά ακροατήρια (π.χ. εφημερίδες, τηλεόραση, μέσα κοινωνικής δικτύωσης). Η ΕΕ θα πρέπει να καταβάλει ιδιαίτερη προσπάθεια για την προσαρμογή της επικοινωνίας στα ψηφιακά μέσα, προκειμένου να αυξήσει την ικανότητά της να προσεγγίζει τους νέους.» </w:t>
      </w:r>
    </w:p>
    <w:p>
      <w:pPr>
        <w:pStyle w:val="Normal"/>
        <w:rPr/>
      </w:pPr>
      <w:r>
        <w:rPr/>
        <w:t xml:space="preserve"> </w:t>
      </w:r>
    </w:p>
    <w:p>
      <w:pPr>
        <w:pStyle w:val="Normal"/>
        <w:rPr/>
      </w:pPr>
      <w:r>
        <w:rPr/>
        <w:t xml:space="preserve">Συνιστούμε αυτό το μέτρο, δεδομένου ότι η ύπαρξη κατανοητών πληροφοριών θα επιτρέψει στην Ένωση να προσεγγίσει περισσότερους ευρωπαίους πολίτες και όχι μόνο εκείνους που συμμετέχουν. Με νέα σύγχρονα εργαλεία για τη στόχευση συγκεκριμένων ακροατηρίων, οι πολίτες θα αποκτήσουν καλύτερη κατανόηση των δραστηριοτήτων και των πολιτικών της ΕΕ, ιδίως των νέων που δεν αισθάνονται κοντά ή δεν συνδέονται με την ΕΕ. </w:t>
      </w:r>
    </w:p>
    <w:p>
      <w:pPr>
        <w:pStyle w:val="Normal"/>
        <w:rPr/>
      </w:pPr>
      <w:r>
        <w:rPr/>
      </w:r>
    </w:p>
    <w:p>
      <w:pPr>
        <w:pStyle w:val="Titre3"/>
        <w:numPr>
          <w:ilvl w:val="2"/>
          <w:numId w:val="2"/>
        </w:numPr>
        <w:rPr/>
      </w:pPr>
      <w:bookmarkStart w:id="147" w:name="__RefHeading___Toc297229_1346298689"/>
      <w:bookmarkEnd w:id="147"/>
      <w:r>
        <w:rPr/>
        <w:t xml:space="preserve">Άξονας 5: Ενίσχυση της συμμετοχής των πολιτών </w:t>
      </w:r>
    </w:p>
    <w:p>
      <w:pPr>
        <w:pStyle w:val="Normal"/>
        <w:rPr/>
      </w:pPr>
      <w:r>
        <w:rPr/>
        <w:t xml:space="preserve"> </w:t>
      </w:r>
    </w:p>
    <w:p>
      <w:pPr>
        <w:pStyle w:val="Titre4"/>
        <w:numPr>
          <w:ilvl w:val="3"/>
          <w:numId w:val="2"/>
        </w:numPr>
        <w:rPr/>
      </w:pPr>
      <w:bookmarkStart w:id="148" w:name="__RefHeading___Toc297231_1346298689"/>
      <w:bookmarkEnd w:id="148"/>
      <w:r>
        <w:rPr/>
        <w:t xml:space="preserve">Υποάξονας 5.1 Συμμετοχή των πολιτών </w:t>
      </w:r>
    </w:p>
    <w:p>
      <w:pPr>
        <w:pStyle w:val="Normal"/>
        <w:rPr/>
      </w:pPr>
      <w:r>
        <w:rPr/>
        <w:t xml:space="preserve"> </w:t>
      </w:r>
    </w:p>
    <w:p>
      <w:pPr>
        <w:pStyle w:val="P68B1DB1Normal15"/>
        <w:rPr>
          <w:b/>
          <w:b/>
        </w:rPr>
      </w:pPr>
      <w:r>
        <w:rPr/>
        <w:t xml:space="preserve">34. «Συνιστούμε την παρουσία ανεξάρτητων παρατηρητών πολιτών σε όλες τις διαδικασίες λήψης αποφάσεων της ΕΕ. Θα πρέπει να υπάρχει μόνιμο φόρουμ ή σώμα εκπροσώπων των πολιτών, το οποίο θα είναι αρμόδιο για τη διάδοση σχετικών και σημαντικών πληροφοριών σε όλους τους πολίτες της Ένωσης που ορίζονται ως τέτοιοι. Οι εν λόγω πολίτες θα συνεργαστούν με όλους τους άλλους ευρωπαίους πολίτες σε μια προσέγγιση από την κορυφή προς τη βάση/από τη βάση προς την κορυφή, η οποία θα αναπτύξει περαιτέρω τον διάλογο μεταξύ των πολιτών και των θεσμικών οργάνων της ΕΕ.» </w:t>
      </w:r>
    </w:p>
    <w:p>
      <w:pPr>
        <w:pStyle w:val="Normal"/>
        <w:rPr/>
      </w:pPr>
      <w:r>
        <w:rPr/>
        <w:t xml:space="preserve"> </w:t>
      </w:r>
    </w:p>
    <w:p>
      <w:pPr>
        <w:pStyle w:val="Normal"/>
        <w:rPr/>
      </w:pPr>
      <w:r>
        <w:rPr/>
        <w:t xml:space="preserve">Οι πολίτες, φυσικά, αξίζουν να ενημερώνονται για όλα τα θέματα και είναι σημαντικό να διασφαλιστεί ότι οι πολιτικοί δεν θα μπορούν να παραβλέπουν ορισμένα από τα ζητήματα που θα προτιμούσαν να αγνοήσουν. Ένα τέτοιο μέτρο θα γεφυρώσει το χάσμα μεταξύ των πολιτών και των εκλεγμένων αντιπροσώπων με τη δημιουργία νέων οδών εμπιστοσύνης. </w:t>
      </w:r>
    </w:p>
    <w:p>
      <w:pPr>
        <w:pStyle w:val="Normal"/>
        <w:rPr/>
      </w:pPr>
      <w:r>
        <w:rPr/>
        <w:t xml:space="preserve"> </w:t>
      </w:r>
    </w:p>
    <w:p>
      <w:pPr>
        <w:pStyle w:val="P68B1DB1Normal15"/>
        <w:rPr>
          <w:b/>
          <w:b/>
        </w:rPr>
      </w:pPr>
      <w:r>
        <w:rPr/>
        <w:t xml:space="preserve"> </w:t>
      </w:r>
      <w:r>
        <w:rPr/>
        <w:t xml:space="preserve">35. «Συνιστούμε στην Ένωση να ανοίξει εκ νέου τη συζήτηση για το Σύνταγμα της Ευρώπης με σκοπό την κατάρτιση ενός συντάγματος εμπνευσμένου από τους πολίτες της Ένωσης. Οι πολίτες θα πρέπει να μπορούν να ψηφίσουν υπέρ ενός τέτοιου συντάγματος. Προκειμένου να αποφευχθεί οποιαδήποτε σύγκρουση με τα κράτη μέλη, οι αξίες των ανθρωπίνων δικαιωμάτων και της δημοκρατίας θα πρέπει να συμπεριληφθούν κατά προτεραιότητα στο παρόν Σύνταγμα. Κατά την κατάρτιση ενός τέτοιου συντάγματος, πρέπει να ληφθούν υπόψη προηγούμενες προσπάθειες που δεν οδήγησαν ποτέ σε σύνταγμα. </w:t>
      </w:r>
    </w:p>
    <w:p>
      <w:pPr>
        <w:pStyle w:val="Normal"/>
        <w:rPr/>
      </w:pPr>
      <w:r>
        <w:rPr/>
        <w:t xml:space="preserve"> </w:t>
      </w:r>
    </w:p>
    <w:p>
      <w:pPr>
        <w:pStyle w:val="Normal"/>
        <w:rPr/>
      </w:pPr>
      <w:r>
        <w:rPr/>
        <w:t xml:space="preserve">Επειδή αυτό το σύνταγμα θα εμπλέξει τους νέους στην πολιτική σε επίπεδο ΕΕ και θα ανατρέψει τις δυνάμεις του εθνικισμού που κερδίζουν έδαφος. Θα παρείχε έναν κοινό ορισμό για το τι είναι και τι θα εφαρμοστεί ισότιμα σε όλα τα κράτη μέλη. Επειδή η ΕΕ συμμερίζεται κοινές αξίες για τη δημοκρατία και τα ανθρώπινα δικαιώματα. Επειδή οι πολίτες θα έχουν την ευκαιρία να συμμετέχουν στη διαδικασία λήψης αποφάσεων και να ταυτίζονται περισσότερο με την Ένωση συμμετέχοντας στη διαδικασία αυτή. </w:t>
      </w:r>
    </w:p>
    <w:p>
      <w:pPr>
        <w:pStyle w:val="Normal"/>
        <w:rPr/>
      </w:pPr>
      <w:r>
        <w:rPr/>
        <w:t xml:space="preserve"> </w:t>
      </w:r>
    </w:p>
    <w:p>
      <w:pPr>
        <w:pStyle w:val="P68B1DB1Normal15"/>
        <w:rPr>
          <w:b/>
          <w:b/>
        </w:rPr>
      </w:pPr>
      <w:r>
        <w:rPr/>
        <w:t xml:space="preserve">36. Συνιστούμε οι πολιτικοί να είναι πιο υπεύθυνοι για τον τρόπο με τον οποίο εκπροσωπούν τους πολίτες που τους εξέλεξαν. Οι νέοι, ειδικότερα, είναι ιδιαίτερα αποκομμένοι από την πολιτική και δεν λαμβάνονται σοβαρά υπόψη όταν συμμετέχουν. Αλλά η αδιαφορία είναι ένα παγκόσμιο πρόβλημα και οι άνθρωποι όλων των ηλικιών θα πρέπει να είναι πιο αφοσιωμένοι από ό, τι είναι τώρα. </w:t>
      </w:r>
    </w:p>
    <w:p>
      <w:pPr>
        <w:pStyle w:val="Normal"/>
        <w:rPr/>
      </w:pPr>
      <w:r>
        <w:rPr/>
        <w:t xml:space="preserve"> </w:t>
      </w:r>
    </w:p>
    <w:p>
      <w:pPr>
        <w:pStyle w:val="Normal"/>
        <w:rPr/>
      </w:pPr>
      <w:r>
        <w:rPr/>
        <w:t xml:space="preserve">Διότι ο ορισμός της δημοκρατίας πρέπει να επικαιροποιηθεί. Πρέπει να θυμόμαστε τι είναι πραγματικά δημοκρατία. Επειδή οι νέοι έχουν αρκετά και είναι απογοητευμένοι από τους πολιτικούς που βλέπουν ως ελίτ που δεν συμμερίζονται τις απόψεις τους. Αυτός είναι ο λόγος για τον οποίο οι πολίτες πρέπει να συμμετέχουν περισσότερο με πρωτότυπο και ελκυστικό τρόπο. Το εκπαιδευτικό σύστημα, τα μέσα κοινωνικής δικτύωσης και όλες οι άλλες μορφές μέσων ενημέρωσης θα μπορούσαν να εκπληρώσουν αυτόν τον ρόλο καθ’ όλη τη διάρκεια του κύκλου ζωής και σε όλες τις γλώσσες. </w:t>
      </w:r>
    </w:p>
    <w:p>
      <w:pPr>
        <w:pStyle w:val="Normal"/>
        <w:rPr/>
      </w:pPr>
      <w:r>
        <w:rPr/>
        <w:t xml:space="preserve"> </w:t>
      </w:r>
    </w:p>
    <w:p>
      <w:pPr>
        <w:pStyle w:val="Titre4"/>
        <w:numPr>
          <w:ilvl w:val="3"/>
          <w:numId w:val="2"/>
        </w:numPr>
        <w:rPr/>
      </w:pPr>
      <w:bookmarkStart w:id="149" w:name="__RefHeading___Toc297233_1346298689"/>
      <w:bookmarkEnd w:id="149"/>
      <w:r>
        <w:rPr/>
        <w:t xml:space="preserve">Υποάξονας 5.2 Συμμετοχή των πολιτών </w:t>
      </w:r>
    </w:p>
    <w:p>
      <w:pPr>
        <w:pStyle w:val="Normal"/>
        <w:rPr/>
      </w:pPr>
      <w:r>
        <w:rPr/>
        <w:t xml:space="preserve"> </w:t>
      </w:r>
    </w:p>
    <w:p>
      <w:pPr>
        <w:pStyle w:val="P68B1DB1Normal15"/>
        <w:rPr>
          <w:b/>
          <w:b/>
        </w:rPr>
      </w:pPr>
      <w:r>
        <w:rPr/>
        <w:t xml:space="preserve">37. «Συνιστούμε στην ΕΕ να προσεγγίσει πιο αποφασιστικά τους πολίτες. Για να επιτευχθεί αυτό, τα κράτη μέλη θα πρέπει να συμμετέχουν στην προώθηση της συμμετοχής των πολιτών στην Ένωση. Η Ένωση θα πρέπει να προωθήσει τη χρήση μηχανισμών συμμετοχής των πολιτών με τη διοργάνωση εμπορικών και διαφημιστικών εκστρατειών. Οι εθνικές και τοπικές αρχές θα πρέπει να είναι υποχρεωμένες να συμμετέχουν στη διαδικασία αυτή. Η Ένωση θα πρέπει να διασφαλίσει την αποτελεσματικότητα των πλατφορμών συμμετοχικής δημοκρατίας.» </w:t>
      </w:r>
    </w:p>
    <w:p>
      <w:pPr>
        <w:pStyle w:val="Normal"/>
        <w:rPr/>
      </w:pPr>
      <w:r>
        <w:rPr/>
        <w:t xml:space="preserve"> </w:t>
      </w:r>
    </w:p>
    <w:p>
      <w:pPr>
        <w:pStyle w:val="Normal"/>
        <w:rPr/>
      </w:pPr>
      <w:r>
        <w:rPr/>
        <w:t xml:space="preserve">Το συνιστούμε αυτό, διότι η πλατφόρμα που υπάρχει ήδη πρέπει να ενισχυθεί και να καταστεί αποτελεσματικότερη: πρέπει να υπάρξει περισσότερη ανατροφοδότηση από τους πολίτες στην ΕΕ και αντίστροφα. Δεν υπάρχει αρκετή συζήτηση εντός της ΕΕ, τόσο μεταξύ των πολιτών όσο και μεταξύ των κυβερνήσεων. Επειδή οι πολίτες δεν υποβάλλουν αναφορές, είτε επειδή δεν γνωρίζουν ότι υπάρχει ο μηχανισμός είτε επειδή δεν πιστεύουν ότι οι αναφορές αυτές μπορούν να πετύχουν. </w:t>
      </w:r>
    </w:p>
    <w:p>
      <w:pPr>
        <w:pStyle w:val="Normal"/>
        <w:rPr/>
      </w:pPr>
      <w:r>
        <w:rPr/>
        <w:t xml:space="preserve"> </w:t>
      </w:r>
    </w:p>
    <w:p>
      <w:pPr>
        <w:pStyle w:val="P68B1DB1Normal15"/>
        <w:rPr>
          <w:b/>
          <w:b/>
        </w:rPr>
      </w:pPr>
      <w:r>
        <w:rPr/>
        <w:t xml:space="preserve">38. «Συνιστούμε στην Ένωση να δημιουργήσει και να εφαρμόσει προγράμματα σπουδών για τα σχολεία σχετικά με το τι γίνεται στην ΕΕ όσον αφορά τους μηχανισμούς συμμετοχής. Τα προγράμματα αυτά θα πρέπει να ενσωματωθούν στα σχολικά προγράμματα σπουδών για την ευρωπαϊκή ιθαγένεια και δεοντολογία, με περιεχόμενο προσαρμοσμένο στην ηλικία των μαθητών. Θα πρέπει επίσης να υπάρχουν προγράμματα για ενήλικες. Τα προγράμματα διά βίου μάθησης θα πρέπει να διατίθενται στους πολίτες προκειμένου να εμβαθύνουν τις γνώσεις τους σχετικά με τις ευκαιρίες συμμετοχής των πολιτών στην Ένωση.» </w:t>
      </w:r>
    </w:p>
    <w:p>
      <w:pPr>
        <w:pStyle w:val="Normal"/>
        <w:rPr/>
      </w:pPr>
      <w:r>
        <w:rPr/>
        <w:t xml:space="preserve"> </w:t>
      </w:r>
    </w:p>
    <w:p>
      <w:pPr>
        <w:pStyle w:val="Normal"/>
        <w:rPr/>
      </w:pPr>
      <w:r>
        <w:rPr/>
        <w:t xml:space="preserve">Προτείνουμε αυτό το μέτρο επειδή είναι σημαντικό για το μέλλον των παιδιών μας. Οι πολίτες θέλουν να ξέρουν πώς να εκφράσουν τη φωνή τους. Είναι σημαντικό να γνωρίζουν τους ακριβείς μηχανισμούς και πώς μπορούν να χρησιμοποιηθούν, έτσι ώστε η φωνή τους να ακουστεί από την Ένωση. Αυτό είναι σημαντικό για όλους τους ευρωπαίους πολίτες να βρίσκονται σε ισότιμη βάση. Ως ευρωπαίοι πολίτες, πρέπει να γνωρίζουμε πώς να ασκούμε τα δικαιώματά μας. Ως ευρωπαίοι πολίτες, έχουμε το δικαίωμα να γνωρίζουμε αυτές τις πληροφορίες. </w:t>
      </w:r>
    </w:p>
    <w:p>
      <w:pPr>
        <w:pStyle w:val="Normal"/>
        <w:rPr/>
      </w:pPr>
      <w:r>
        <w:rPr/>
        <w:t xml:space="preserve"> </w:t>
      </w:r>
    </w:p>
    <w:p>
      <w:pPr>
        <w:pStyle w:val="Titre4"/>
        <w:numPr>
          <w:ilvl w:val="3"/>
          <w:numId w:val="2"/>
        </w:numPr>
        <w:rPr/>
      </w:pPr>
      <w:bookmarkStart w:id="150" w:name="__RefHeading___Toc297235_1346298689"/>
      <w:bookmarkEnd w:id="150"/>
      <w:r>
        <w:rPr/>
        <w:t xml:space="preserve">Υποάξονας 5.3 Συμμετοχή των πολιτών </w:t>
      </w:r>
    </w:p>
    <w:p>
      <w:pPr>
        <w:pStyle w:val="Normal"/>
        <w:rPr/>
      </w:pPr>
      <w:r>
        <w:rPr/>
        <w:t xml:space="preserve"> </w:t>
      </w:r>
    </w:p>
    <w:p>
      <w:pPr>
        <w:pStyle w:val="P68B1DB1Normal15"/>
        <w:rPr>
          <w:b/>
          <w:b/>
        </w:rPr>
      </w:pPr>
      <w:r>
        <w:rPr/>
        <w:t xml:space="preserve">39. Συνιστούμε στην Ένωση να οργανώσει συνελεύσεις πολιτών. Συνιστούμε θερμά να τεθούν σε εφαρμογή στο πλαίσιο ενός νομικά δεσμευτικού και υποχρεωτικού νόμου ή κανονισμού. Αυτές οι συνελεύσεις πολιτών θα πρέπει να πραγματοποιούνται κάθε 12 έως 18 μήνες. Η συμμετοχή των πολιτών δεν θα πρέπει να είναι υποχρεωτική, αλλά θα πρέπει να ενθαρρύνεται, ενώ οργανώνεται βάσει περιορισμένων εντολών. Οι συμμετέχοντες πρέπει να επιλέγονται τυχαία σύμφωνα με κριτήρια αντιπροσωπευτικότητας. Δεν πρέπει να εκπροσωπούν οργανώσεις οποιουδήποτε είδους και δεν πρέπει να καλούνται να συμμετάσχουν λόγω της επαγγελματικής τους λειτουργίας όταν είναι μέλη της συνέλευσης. Εάν είναι απαραίτητο, θα παρέχεται υποστήριξη από εμπειρογνώμονες ώστε να εξασφαλίζεται ότι τα μέλη της συνέλευσης διαθέτουν επαρκείς πληροφορίες για να διαβουλεύονται. Η λήψη αποφάσεων θα είναι στα χέρια των πολιτών. Η Ένωση πρέπει να εγγυηθεί τη δέσμευση των πολιτικών έναντι των αποφάσεων που λαμβάνουν οι πολίτες στις συνελεύσεις πολιτών. Εάν οι προτάσεις των πολιτών αγνοηθούν ή απορριφθούν ρητά, τα ευρωπαϊκά θεσμικά όργανα πρέπει να υποβάλουν σχετική έκθεση, αναφέροντας τους λόγους για τους οποίους ελήφθη αυτή η απόφαση. </w:t>
      </w:r>
    </w:p>
    <w:p>
      <w:pPr>
        <w:pStyle w:val="Normal"/>
        <w:rPr/>
      </w:pPr>
      <w:r>
        <w:rPr/>
        <w:t xml:space="preserve"> </w:t>
      </w:r>
    </w:p>
    <w:p>
      <w:pPr>
        <w:pStyle w:val="Normal"/>
        <w:rPr/>
      </w:pPr>
      <w:r>
        <w:rPr/>
        <w:t xml:space="preserve">Συνιστούμε τη δημιουργία συνελεύσεων πολιτών, διότι θέλουμε οι πολίτες να αισθάνονται πιο κοντά στα ευρωπαϊκά θεσμικά όργανα και να συμβάλλουν άμεσα στη λήψη αποφάσεων, χέρι-χέρι με τους πολιτικούς, προκειμένου να ενισχυθεί η αίσθηση του ανήκειν και η άμεση αποτελεσματικότητα. Επιπλέον, θέλουμε τα πολιτικά κόμματα να λογοδοτούν στους πολίτες, συμπεριλαμβανομένων των εκλογικών τους προγραμμάτων. </w:t>
      </w:r>
    </w:p>
    <w:p>
      <w:pPr>
        <w:pStyle w:val="Normal"/>
        <w:rPr/>
      </w:pPr>
      <w:r>
        <w:rPr/>
        <w:t xml:space="preserve"> </w:t>
      </w:r>
    </w:p>
    <w:p>
      <w:pPr>
        <w:pStyle w:val="Titre3"/>
        <w:numPr>
          <w:ilvl w:val="2"/>
          <w:numId w:val="2"/>
        </w:numPr>
        <w:rPr/>
      </w:pPr>
      <w:bookmarkStart w:id="151" w:name="__RefHeading___Toc297237_1346298689"/>
      <w:bookmarkEnd w:id="151"/>
      <w:r>
        <w:rPr/>
        <w:t xml:space="preserve">Παράρτημα: ΆΛΛΕΣ ΣΥΣΤΆΣΕΙΣ ΠΟΥ ΕΞΕΤΆΣΤΗΚΑΝ ΑΠΌ ΤΗΝ ΕΙΔΙΚΉ ΟΜΆΔΑ ΑΛΛΆ ΔΕΝ ΕΓΚΡΊΘΗΚΑΝ </w:t>
      </w:r>
    </w:p>
    <w:p>
      <w:pPr>
        <w:pStyle w:val="Normal"/>
        <w:rPr/>
      </w:pPr>
      <w:r>
        <w:rPr/>
        <w:t xml:space="preserve"> </w:t>
      </w:r>
    </w:p>
    <w:p>
      <w:pPr>
        <w:pStyle w:val="Titre4"/>
        <w:numPr>
          <w:ilvl w:val="3"/>
          <w:numId w:val="2"/>
        </w:numPr>
        <w:rPr/>
      </w:pPr>
      <w:bookmarkStart w:id="152" w:name="__RefHeading___Toc297239_1346298689"/>
      <w:bookmarkEnd w:id="152"/>
      <w:r>
        <w:rPr/>
        <w:t xml:space="preserve">Άξονας 1: Διασφάλιση των δικαιωμάτων και της απαγόρευσης των διακρίσεων </w:t>
      </w:r>
    </w:p>
    <w:p>
      <w:pPr>
        <w:pStyle w:val="Normal"/>
        <w:rPr/>
      </w:pPr>
      <w:r>
        <w:rPr/>
        <w:t xml:space="preserve"> </w:t>
      </w:r>
    </w:p>
    <w:p>
      <w:pPr>
        <w:pStyle w:val="Normal"/>
        <w:rPr/>
      </w:pPr>
      <w:r>
        <w:rPr/>
        <w:t xml:space="preserve">Υποάξονας 1.1 Μη διάκριση/Υπάξονας 1.2 Ισότητα των φύλων </w:t>
      </w:r>
    </w:p>
    <w:p>
      <w:pPr>
        <w:pStyle w:val="Normal"/>
        <w:rPr/>
      </w:pPr>
      <w:r>
        <w:rPr/>
        <w:t xml:space="preserve"> </w:t>
      </w:r>
    </w:p>
    <w:p>
      <w:pPr>
        <w:pStyle w:val="P68B1DB1Normal15"/>
        <w:rPr>
          <w:b/>
          <w:b/>
        </w:rPr>
      </w:pPr>
      <w:r>
        <w:rPr/>
        <w:t xml:space="preserve">«Συνιστούμε στην ΕΕ να συμπεριλάβει ενεργά τις μειονότητες στη χάραξη πολιτικής σχετικά με βασικές πτυχές των κρατικών θεσμών (π.χ. αστυνομία και ΜΚΟ). Συνιστούμε στην Ένωση να συστήσει ένα γνωμοδοτικό συμβούλιο, το οποίο θα εκλέγεται άμεσα από μειονότητες. Θα πρέπει να αποτελείται κυρίως από εκπροσώπους μειονοτήτων, ενώ θα περιλαμβάνει επίσης εκπροσώπους ΜΚΟ. Θα πρέπει να έχει επιμορφωτικό ρόλο στην ευαισθητοποίηση των δημόσιων υπαλλήλων σχετικά με τις ανάγκες των μειονοτήτων. Αυτό το σώμα θα πρέπει να έχει βέτο σε μειονοτικά ζητήματα. </w:t>
      </w:r>
    </w:p>
    <w:p>
      <w:pPr>
        <w:pStyle w:val="Normal"/>
        <w:rPr/>
      </w:pPr>
      <w:r>
        <w:rPr/>
        <w:t xml:space="preserve">Το συνιστούμε αυτό επειδή οι φωνές των μειονοτήτων δεν ακούγονται επαρκώς. Θα πρέπει να εκφράζονται για λογαριασμό τους, με αυτοπροσδιοριζόμενο τρόπο και σε επαγγελματικό επίπεδο· αυτός είναι ο λόγος για τον οποίο συνδυάσαμε την εκπροσώπηση μέσω της ψηφοφορίας και της εμπειρογνωμοσύνης. </w:t>
      </w:r>
    </w:p>
    <w:p>
      <w:pPr>
        <w:pStyle w:val="Normal"/>
        <w:rPr/>
      </w:pPr>
      <w:r>
        <w:rPr/>
        <w:t xml:space="preserve"> </w:t>
      </w:r>
    </w:p>
    <w:p>
      <w:pPr>
        <w:pStyle w:val="Titre4"/>
        <w:numPr>
          <w:ilvl w:val="3"/>
          <w:numId w:val="2"/>
        </w:numPr>
        <w:rPr/>
      </w:pPr>
      <w:bookmarkStart w:id="153" w:name="__RefHeading___Toc297241_1346298689"/>
      <w:bookmarkEnd w:id="153"/>
      <w:r>
        <w:rPr/>
        <w:t xml:space="preserve">Άξονας 2: Προστασία της δημοκρατίας και του κράτους δικαίου </w:t>
      </w:r>
    </w:p>
    <w:p>
      <w:pPr>
        <w:pStyle w:val="Normal"/>
        <w:rPr/>
      </w:pPr>
      <w:r>
        <w:rPr/>
        <w:t xml:space="preserve"> </w:t>
      </w:r>
    </w:p>
    <w:p>
      <w:pPr>
        <w:pStyle w:val="Normal"/>
        <w:rPr/>
      </w:pPr>
      <w:r>
        <w:rPr/>
        <w:t xml:space="preserve">Υποάξονας 2.2 Προστασία και ενίσχυση της δημοκρατίας/Υποάξονας 2.4 Μέσα ενημέρωσης και παραπληροφόρηση </w:t>
      </w:r>
    </w:p>
    <w:p>
      <w:pPr>
        <w:pStyle w:val="Normal"/>
        <w:rPr/>
      </w:pPr>
      <w:r>
        <w:rPr/>
        <w:t xml:space="preserve"> </w:t>
      </w:r>
    </w:p>
    <w:p>
      <w:pPr>
        <w:pStyle w:val="P68B1DB1Normal15"/>
        <w:rPr>
          <w:b/>
          <w:b/>
        </w:rPr>
      </w:pPr>
      <w:r>
        <w:rPr/>
        <w:t xml:space="preserve">«Συνιστούμε τη δημιουργία ενός οργανισμού παρακολούθησης των οπτικοακουστικών, έντυπων και ψηφιακών μέσων σε ευρωπαϊκό επίπεδο. Ο οργανισμός αυτός θα πρέπει να επαληθεύει ότι τα εθνικά μέσα ενημέρωσης ακολουθούν αμερόληπτη και αντικειμενική διαδικασία κατά την παραγωγή του περιεχομένου τους. Για την πρόληψη της παραπληροφόρησης, ο Οργανισμός θα πρέπει να προβλέπει ένα σύστημα αξιολόγησης της αξιοπιστίας των εθνικών μέσων ενημέρωσης. Αυτό το σύστημα αξιολόγησης θα πρέπει να είναι εύκολο για τους πολίτες να κατανοήσουν. </w:t>
      </w:r>
    </w:p>
    <w:p>
      <w:pPr>
        <w:pStyle w:val="Normal"/>
        <w:rPr/>
      </w:pPr>
      <w:r>
        <w:rPr/>
        <w:t xml:space="preserve"> </w:t>
      </w:r>
    </w:p>
    <w:p>
      <w:pPr>
        <w:pStyle w:val="Normal"/>
        <w:rPr/>
      </w:pPr>
      <w:r>
        <w:rPr/>
        <w:t xml:space="preserve">Το συνιστούμε αυτό διότι χρειαζόμαστε αξιολόγηση των μέσων ενημέρωσης και της αξιοπιστίας τους, αλλά και της ποικιλομορφίας των μέσων ενημέρωσης στις χώρες της ΕΕ. Ένας ευρωπαϊκός οργανισμός θα ήταν ο πλέον αντικειμενικός φορέας για την εξασφάλιση μιας τέτοιας αποστολής. Επιπλέον, ένα τέτοιο σύστημα αξιολόγησης επιτρέπει στους πολίτες να κάνουν συνειδητές επιλογές και ενθαρρύνει τα μέσα ενημέρωσης να παρέχουν αξιόπιστες πληροφορίες. Εάν το σύστημα αξιολόγησης αποδειχθεί ανεπαρκές για τη διασφάλιση της αξιοπιστίας των μέσων ενημέρωσης, ο οργανισμός θα πρέπει επίσης να έχει την εξουσία να επιβάλλει κυρώσεις. </w:t>
      </w:r>
    </w:p>
    <w:p>
      <w:pPr>
        <w:pStyle w:val="Normal"/>
        <w:rPr/>
      </w:pPr>
      <w:r>
        <w:rPr/>
        <w:t xml:space="preserve"> </w:t>
      </w:r>
    </w:p>
    <w:p>
      <w:pPr>
        <w:pStyle w:val="Titre3"/>
        <w:numPr>
          <w:ilvl w:val="2"/>
          <w:numId w:val="2"/>
        </w:numPr>
        <w:rPr/>
      </w:pPr>
      <w:bookmarkStart w:id="154" w:name="__RefHeading___Toc297243_1346298689"/>
      <w:bookmarkEnd w:id="154"/>
      <w:r>
        <w:rPr/>
        <w:t xml:space="preserve">Άξονας 5: Ενίσχυση της συμμετοχής των πολιτών </w:t>
      </w:r>
    </w:p>
    <w:p>
      <w:pPr>
        <w:pStyle w:val="Normal"/>
        <w:rPr/>
      </w:pPr>
      <w:r>
        <w:rPr/>
        <w:t xml:space="preserve"> </w:t>
      </w:r>
    </w:p>
    <w:p>
      <w:pPr>
        <w:pStyle w:val="Titre4"/>
        <w:numPr>
          <w:ilvl w:val="3"/>
          <w:numId w:val="2"/>
        </w:numPr>
        <w:rPr/>
      </w:pPr>
      <w:r>
        <w:rPr/>
        <w:t xml:space="preserve">Υποάξονας 5.1 Συμμετοχή των πολιτών </w:t>
      </w:r>
    </w:p>
    <w:p>
      <w:pPr>
        <w:pStyle w:val="Normal"/>
        <w:rPr/>
      </w:pPr>
      <w:r>
        <w:rPr/>
        <w:t xml:space="preserve"> </w:t>
      </w:r>
    </w:p>
    <w:p>
      <w:pPr>
        <w:pStyle w:val="P68B1DB1Normal15"/>
        <w:rPr>
          <w:b/>
          <w:b/>
        </w:rPr>
      </w:pPr>
      <w:r>
        <w:rPr/>
        <w:t xml:space="preserve">«Συνιστούμε τη δημιουργία ενός οργάνου εκπροσώπησης των πολιτών που θα συζητά και θα συμβάλλει σημαντικά στη διαδικασία λήψης αποφάσεων — κάθε φορά που ένα βασικό ζήτημα για τους ευρωπαίους πολίτες αποφασίζεται σε επίπεδο ΕΕ (σύμφωνα με απόφαση των πολιτών — ενδεχομένως μέσω έρευνας). Αυτή θα πρέπει να είναι μια ετερογενής ομάδα περίπου 100 πολιτών από όλες τις χώρες της ΕΕ, στην οποία κάθε χώρα εκπροσωπείται ισότιμα. Θα πρέπει να είναι μια εκ περιτροπής ομάδα, τα μέλη της οποίας αντικαθίστανται τακτικά. </w:t>
      </w:r>
    </w:p>
    <w:p>
      <w:pPr>
        <w:pStyle w:val="Normal"/>
        <w:rPr/>
      </w:pPr>
      <w:r>
        <w:rPr/>
        <w:t xml:space="preserve"> </w:t>
      </w:r>
    </w:p>
    <w:p>
      <w:pPr>
        <w:pStyle w:val="Normal"/>
        <w:rPr/>
      </w:pPr>
      <w:r>
        <w:rPr/>
        <w:t xml:space="preserve">Επειδή είναι σημαντικό να αποφευχθούν προβλήματα όπως η διαφθορά, τα οποία θα μπορούσαν να προκύψουν από ένα μόνιμο όργανο εκπροσώπησης, και είναι ζωτικής σημασίας ένα τέτοιο όργανο να έχει ίση εκπροσώπηση όλων των χωρών για να αποφευχθεί η άδικη εξουσία λήψης αποφάσεων. Επειδή αυτός ο τρόπος λειτουργίας θα απέτρεπε προβλήματα που σχετίζονται με την εγκατάσταση ή τη συνεχή χρήση απομακρυσμένων τεχνολογιών.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Ομάδα Ευρωπαίων Πολιτών 3: Κλιματική αλλαγή και περιβάλλον/υγεία </w:t>
      </w:r>
    </w:p>
    <w:p>
      <w:pPr>
        <w:pStyle w:val="Normal"/>
        <w:rPr/>
      </w:pPr>
      <w:r>
        <w:rPr/>
        <w:t xml:space="preserve"> </w:t>
      </w:r>
    </w:p>
    <w:p>
      <w:pPr>
        <w:pStyle w:val="Normal"/>
        <w:rPr/>
      </w:pPr>
      <w:r>
        <w:rPr/>
        <w:t xml:space="preserve">ΣΥΣΤΆΣΕΙΣ ΠΟΥ ΕΓΚΡΊΘΗΚΑΝ ΑΠΌ ΤΗΝ ΕΠΙΤΡΟΠΉ (ΠΡΟΣ ΠΑΡΟΥΣΊΑΣΗ ΣΤΗΝ ΟΛΟΜΈΛΕΙΑ) </w:t>
      </w:r>
    </w:p>
    <w:p>
      <w:pPr>
        <w:pStyle w:val="Normal"/>
        <w:rPr/>
      </w:pPr>
      <w:r>
        <w:rPr/>
        <w:t xml:space="preserve"> </w:t>
      </w:r>
    </w:p>
    <w:p>
      <w:pPr>
        <w:pStyle w:val="Titre3"/>
        <w:numPr>
          <w:ilvl w:val="2"/>
          <w:numId w:val="2"/>
        </w:numPr>
        <w:rPr/>
      </w:pPr>
      <w:bookmarkStart w:id="156" w:name="__RefHeading___Toc297247_1346298689"/>
      <w:bookmarkEnd w:id="156"/>
      <w:r>
        <w:rPr/>
        <w:t xml:space="preserve">Άξονας 1: Καλύτεροι τρόποι ζωής </w:t>
      </w:r>
    </w:p>
    <w:p>
      <w:pPr>
        <w:pStyle w:val="Normal"/>
        <w:rPr/>
      </w:pPr>
      <w:r>
        <w:rPr/>
        <w:t xml:space="preserve"> </w:t>
      </w:r>
    </w:p>
    <w:p>
      <w:pPr>
        <w:pStyle w:val="Titre4"/>
        <w:numPr>
          <w:ilvl w:val="3"/>
          <w:numId w:val="2"/>
        </w:numPr>
        <w:rPr/>
      </w:pPr>
      <w:bookmarkStart w:id="157" w:name="__RefHeading___Toc297249_1346298689"/>
      <w:bookmarkEnd w:id="157"/>
      <w:r>
        <w:rPr/>
        <w:t xml:space="preserve">Υποάξονας 1.1 Υγιής τρόπος ζωής </w:t>
      </w:r>
    </w:p>
    <w:p>
      <w:pPr>
        <w:pStyle w:val="P68B1DB1Normal15"/>
        <w:rPr>
          <w:b/>
          <w:b/>
        </w:rPr>
      </w:pPr>
      <w:r>
        <w:rPr/>
        <w:t xml:space="preserve">1. Συνιστούμε στην ΕΕ να παράσχει επιδοτήσεις στη βιολογική γεωργία, συμπεριλαμβανομένων κινήτρων για βιολογικά φυτοφάρμακα, προκειμένου να καταστούν τα βιολογικά προϊόντα πιο προσιτά. Επιπλέον, η ΕΕ πρέπει να στηρίξει την εκπαίδευση των γεωργών σχετικά με τη βιολογική και βιώσιμη γεωργία και τις μονοκαλλιέργειες. Οι μικρές εκμεταλλεύσεις βιολογικής παραγωγής, οι μη εντατικές εκμεταλλεύσεις και οι εκμεταλλεύσεις με βραχείες αλυσίδες εφοδιασμού θα πρέπει να επωφεληθούν από τη στήριξη που θα τους επιτρέψει να είναι πιο ανταγωνιστικοί. </w:t>
      </w:r>
    </w:p>
    <w:p>
      <w:pPr>
        <w:pStyle w:val="Normal"/>
        <w:rPr/>
      </w:pPr>
      <w:r>
        <w:rPr/>
        <w:t xml:space="preserve"> </w:t>
      </w:r>
    </w:p>
    <w:p>
      <w:pPr>
        <w:pStyle w:val="Normal"/>
        <w:rPr/>
      </w:pPr>
      <w:r>
        <w:rPr/>
        <w:t xml:space="preserve">Η επιδότηση των βιολογικών προϊόντων θα τα καθιστούσε πιο προσιτά. Θα πρέπει να βοηθήσουμε τα σούπερ μάρκετ που χρησιμοποιούν μικρότερες αλυσίδες εφοδιασμού και τους μικροκαλλιεργητές, παρέχοντάς τους ευκαιρίες να πουλήσουν τα προϊόντα τους. Αυτό καθιστά δυνατή την επέκταση της πρόσβασης σε πιο φρέσκα προϊόντα. Επιπλέον, οι χαμηλές τιμές των μη βιολογικών προϊόντων δεν αντικατοπτρίζουν τη ζημία που προκαλούν. </w:t>
      </w:r>
    </w:p>
    <w:p>
      <w:pPr>
        <w:pStyle w:val="Normal"/>
        <w:rPr/>
      </w:pPr>
      <w:r>
        <w:rPr/>
        <w:t xml:space="preserve"> </w:t>
      </w:r>
    </w:p>
    <w:p>
      <w:pPr>
        <w:pStyle w:val="P68B1DB1Normal15"/>
        <w:rPr>
          <w:b/>
          <w:b/>
        </w:rPr>
      </w:pPr>
      <w:r>
        <w:rPr/>
        <w:t xml:space="preserve">2. Συνιστούμε η καινοτομία στην κάθετη γεωργία να χρηματοδοτείται από επενδύσεις της ΕΕ. </w:t>
      </w:r>
    </w:p>
    <w:p>
      <w:pPr>
        <w:pStyle w:val="Normal"/>
        <w:rPr/>
      </w:pPr>
      <w:r>
        <w:rPr/>
        <w:t xml:space="preserve">Κάθετη γεωργία μας επιτρέπει να εξοικονομήσουμε χώρο γης που θα μπορούσε αντ’ αυτού να χρησιμοποιηθεί για τη δασοκομία. Επίσης, δεν απαιτεί φυτοφάρμακα, επιτρέποντάς μας να παράγουμε περισσότερα βιολογικά τρόφιμα. Επιπλέον, δεν επηρεάζεται από κακές καιρικές συνθήκες, οι οποίες είναι όλο και πιο συχνές λόγω της κλιματικής αλλαγής και μπορούν να μειώσουν τις αλυσίδες εφοδιασμού. </w:t>
      </w:r>
    </w:p>
    <w:p>
      <w:pPr>
        <w:pStyle w:val="Normal"/>
        <w:rPr/>
      </w:pPr>
      <w:r>
        <w:rPr/>
        <w:t xml:space="preserve"> </w:t>
      </w:r>
    </w:p>
    <w:p>
      <w:pPr>
        <w:pStyle w:val="P68B1DB1Normal15"/>
        <w:rPr>
          <w:b/>
          <w:b/>
        </w:rPr>
      </w:pPr>
      <w:r>
        <w:rPr/>
        <w:t xml:space="preserve">3. Η ΕΕ θα πρέπει να θεσπίσει ελάχιστα πρότυπα για την ποιότητα των τροφίμων, την ιχνηλασιμότητα των τροφίμων και την κατανάλωση εποχιακών προϊόντων στα σχολικά κυλικεία. Ως εκ τούτου, τα υγιεινά συστατικά για τα σχολικά κυλικεία θα πρέπει να επιδοτούνται προκειμένου να παρέχονται στους μαθητές ποιοτικά προσιτά τρόφιμα. </w:t>
      </w:r>
    </w:p>
    <w:p>
      <w:pPr>
        <w:pStyle w:val="Normal"/>
        <w:rPr/>
      </w:pPr>
      <w:r>
        <w:rPr/>
        <w:t xml:space="preserve"> </w:t>
      </w:r>
    </w:p>
    <w:p>
      <w:pPr>
        <w:pStyle w:val="Normal"/>
        <w:rPr/>
      </w:pPr>
      <w:r>
        <w:rPr/>
        <w:t xml:space="preserve">Αποκτούμε από νεαρή ηλικία συνήθειες που διαμορφώνουν τη στάση μας απέναντι στην υγεία. οι καλές συνήθειες πρέπει να ενθαρρύνονται στο σχολείο και οι μαθητές μπορούν να τις αναπαράγουν στο σπίτι. Πρόκειται επίσης για ζήτημα κοινωνικής δικαιοσύνης: κάθε σπουδαστής της ΕΕ θα πρέπει να δικαιούται ποιοτική τροφή στο σχολείο. </w:t>
      </w:r>
    </w:p>
    <w:p>
      <w:pPr>
        <w:pStyle w:val="Normal"/>
        <w:rPr/>
      </w:pPr>
      <w:r>
        <w:rPr/>
        <w:t xml:space="preserve"> </w:t>
      </w:r>
    </w:p>
    <w:p>
      <w:pPr>
        <w:pStyle w:val="P68B1DB1Normal15"/>
        <w:rPr>
          <w:b/>
          <w:b/>
        </w:rPr>
      </w:pPr>
      <w:r>
        <w:rPr/>
        <w:t xml:space="preserve">4. Συνιστούμε την επένδυση σε νέες ποδηλατικές διαδρομές και τη βελτίωση των υφιστάμενων μονοπατιών, προκειμένου να καταστεί η ποδηλασία ασφαλής και ελκυστική, και να διασφαλιστεί ότι όλες οι ηλικιακές ομάδες μπορούν να επωφεληθούν από την κατάρτιση στους κανόνες οδικής κυκλοφορίας στην Ευρώπη, ιδίως για τους χρήστες ηλεκτρονικών ποδηλάτων και τα άτομα χωρίς άδεια οδήγησης. Οι κατασκευαστές ηλεκτρικών ποδηλάτων θα πρέπει να υποχρεούνται να παρέχουν πληροφορίες σχετικά με τη χρήση του ηλεκτρικού ποδηλάτου και τους συναφείς κινδύνους. Θα πρέπει να παρέχεται νομική προστασία στους ποδηλάτες σε περίπτωση ατυχήματος με όχημα (βλ. ολλανδικούς κανόνες). Είμαστε υπέρ των περιοχών χωρίς αυτοκίνητα στις πόλεις (χωρίς να βλάπτουμε τις εμπορικές περιοχές). Γενικότερα, συνιστούμε να δοθεί προτεραιότητα και πρόσθετα δικαιώματα στους ποδηλάτες και τους πεζούς έναντι των μηχανοκίνητων οχημάτων, διασφαλίζοντας παράλληλα την οδική ασφάλεια και τη συμμόρφωση με τους κανόνες κυκλοφορίας. </w:t>
      </w:r>
    </w:p>
    <w:p>
      <w:pPr>
        <w:pStyle w:val="Normal"/>
        <w:rPr/>
      </w:pPr>
      <w:r>
        <w:rPr/>
        <w:t xml:space="preserve"> </w:t>
      </w:r>
    </w:p>
    <w:p>
      <w:pPr>
        <w:pStyle w:val="Normal"/>
        <w:rPr/>
      </w:pPr>
      <w:r>
        <w:rPr/>
        <w:t xml:space="preserve">Οι συστάσεις αυτές είναι σημαντικές διότι η ποδηλασία αποφέρει οφέλη όσον αφορά την ατομική και τη δημόσια υγεία, την ποιότητα του αέρα, τα επίπεδα θορύβου, το κλίμα και την κυκλοφορία στα κέντρα των πόλεων. Οι ποδηλάτες και οι πεζοί πρέπει να αισθάνονται ασφαλείς, δεδομένων των κινδύνων που συνδέονται με την αυξημένη χρήση του ηλεκτρικού ποδηλάτου. Μερικές φορές οι ποδηλατικές λωρίδες λείπουν ή βρίσκονται σε κακή κατάσταση. </w:t>
      </w:r>
    </w:p>
    <w:p>
      <w:pPr>
        <w:pStyle w:val="Normal"/>
        <w:rPr/>
      </w:pPr>
      <w:r>
        <w:rPr/>
        <w:t xml:space="preserve"> </w:t>
      </w:r>
    </w:p>
    <w:p>
      <w:pPr>
        <w:pStyle w:val="P68B1DB1Normal15"/>
        <w:rPr>
          <w:b/>
          <w:b/>
        </w:rPr>
      </w:pPr>
      <w:r>
        <w:rPr/>
        <w:t xml:space="preserve">5. Συνιστούμε την ενσωμάτωση της παραγωγής τροφίμων στη δημόσια εκπαίδευση. Συνιστούμε την επιδότηση και υποστήριξη της δημιουργίας κήπων στα σχολεία, ει δυνατόν, και έργων αστικής κηπουρικής σε δημόσιους και ιδιωτικούς χώρους. Τα πλαίσια πολεοδομικού σχεδιασμού πρέπει να ενσωματώνουν την ανάγκη για χώρο, νερό και υποστηρικτικές υποδομές. Για παράδειγμα, πρώην χώροι στάθμευσης θα μπορούσαν να χρησιμοποιηθούν για έργα οικολογικού προσανατολισμού, τα κάθετα έργα κηπουρικής θα μπορούσαν να υλοποιηθούν σε κτίρια ή η απόκτηση οικοδομικών αδειών θα μπορούσε να εξαρτάται από την ενσωμάτωση χώρων πρασίνου. Συνιστούμε την ανταλλαγή καινοτόμων και ορθών πρακτικών σε όλα τα κράτη μέλη. </w:t>
      </w:r>
    </w:p>
    <w:p>
      <w:pPr>
        <w:pStyle w:val="Normal"/>
        <w:rPr/>
      </w:pPr>
      <w:r>
        <w:rPr/>
        <w:t xml:space="preserve"> </w:t>
      </w:r>
    </w:p>
    <w:p>
      <w:pPr>
        <w:pStyle w:val="Normal"/>
        <w:rPr/>
      </w:pPr>
      <w:r>
        <w:rPr/>
        <w:t xml:space="preserve">Τα έργα κηπουρικής προωθούν την ανθεκτικότητα των πόλεων και των κατοίκων τους, συγκεντρώνοντας ανθρώπους διαφορετικών ηλικιών και κοινωνικών ομάδων. Ο πολλαπλασιασμός των χώρων πρασίνου βελτιώνει την ποιότητα ζωής, την ποιότητα του αέρα, την ψυχική και σωματική υγεία και το περιβάλλον. </w:t>
      </w:r>
    </w:p>
    <w:p>
      <w:pPr>
        <w:pStyle w:val="Normal"/>
        <w:rPr/>
      </w:pPr>
      <w:r>
        <w:rPr/>
        <w:t xml:space="preserve"> </w:t>
      </w:r>
    </w:p>
    <w:p>
      <w:pPr>
        <w:pStyle w:val="Titre4"/>
        <w:numPr>
          <w:ilvl w:val="3"/>
          <w:numId w:val="2"/>
        </w:numPr>
        <w:rPr/>
      </w:pPr>
      <w:bookmarkStart w:id="158" w:name="__RefHeading___Toc297251_1346298689"/>
      <w:bookmarkEnd w:id="158"/>
      <w:r>
        <w:rPr/>
        <w:t xml:space="preserve">Υποάξονας 1.2 Περιβαλλοντική εκπαίδευση </w:t>
      </w:r>
    </w:p>
    <w:p>
      <w:pPr>
        <w:pStyle w:val="P68B1DB1Normal15"/>
        <w:rPr>
          <w:b/>
          <w:b/>
        </w:rPr>
      </w:pPr>
      <w:r>
        <w:rPr/>
        <w:t>6. Συνιστούμε στην ΕΕ να εγκρίνει οδηγία που θα απαιτεί τα προγράμματα πολεοδομικού σχεδιασμού να συμμορφώνονται με συγκεκριμένες περιβαλλοντικές απαιτήσεις προκειμένου να καταστούν οι πόλεις πιο πράσινες. Η παρούσα οδηγία θα πρέπει να εφαρμόζεται σε ιδιωτικά και δημόσια αγαθά και χώρους, ιδίως σε νέα κτίρια υπό ανάπτυξη. Πρέπει να επιβάλλει ελάχιστα πρότυπα για να διασφαλίζει ότι τα κτίρια και οι χώροι είναι όσο το δυνατόν πιο πράσινοι. Το επίθετο «πράσινο» αναφέρεται εδώ στη χρήση ανανεώσιμων πηγών ενέργειας, στη μείωση της κατανάλωσης ενέργειας, στις χαμηλές εκπομπές CO2</w:t>
      </w:r>
      <w:r>
        <w:rPr>
          <w:vertAlign w:val="subscript"/>
        </w:rPr>
        <w:t>και</w:t>
      </w:r>
      <w:r>
        <w:rPr/>
        <w:t xml:space="preserve"> στην ένταξη των εγκαταστάσεων σε αρχιτεκτονικά έργα. </w:t>
      </w:r>
    </w:p>
    <w:p>
      <w:pPr>
        <w:pStyle w:val="Normal"/>
        <w:rPr/>
      </w:pPr>
      <w:r>
        <w:rPr/>
        <w:t xml:space="preserve"> </w:t>
      </w:r>
    </w:p>
    <w:p>
      <w:pPr>
        <w:pStyle w:val="Normal"/>
        <w:rPr/>
      </w:pPr>
      <w:r>
        <w:rPr/>
        <w:t>Οι πιο πράσινες πόλεις συμβάλλουν ενεργά στη μείωση των επιπτώσεων της κλιματικής αλλαγής και των εκπομπών</w:t>
      </w:r>
      <w:r>
        <w:rPr>
          <w:vertAlign w:val="subscript"/>
        </w:rPr>
        <w:t>CO2 και όζοντος</w:t>
      </w:r>
      <w:r>
        <w:rPr/>
        <w:t xml:space="preserve">, ιδίως, οι οποίες έχουν αρνητικό αντίκτυπο στην υγεία των πολιτών. Η επένδυση σε πιο πράσινες πόλεις συμβάλλει στη βιώσιμη ανάπτυξη της κοινότητας που αποφέρει μακροπρόθεσμα οικονομικά και κοινωνικά οφέλη. </w:t>
      </w:r>
    </w:p>
    <w:p>
      <w:pPr>
        <w:pStyle w:val="Normal"/>
        <w:rPr/>
      </w:pPr>
      <w:r>
        <w:rPr/>
        <w:t xml:space="preserve"> </w:t>
      </w:r>
    </w:p>
    <w:p>
      <w:pPr>
        <w:pStyle w:val="P68B1DB1Normal15"/>
        <w:rPr>
          <w:b/>
          <w:b/>
        </w:rPr>
      </w:pPr>
      <w:r>
        <w:rPr/>
        <w:t xml:space="preserve">7. Συνιστούμε στην ΕΕ, με τη βοήθεια των κρατών μελών, να αναπτύξει, να εγκρίνει και να εφαρμόσει έναν κοινό ευρωπαϊκό χάρτη με στόχο τα περιβαλλοντικά ζητήματα στην πολυπλοκότητά τους. Ο Χάρτης θα παρέχει στα κράτη μέλη ένα πλαίσιο για τη διοργάνωση τακτικών εκστρατειών ενημέρωσης και κατάρτισης, οι οποίες θα διαδίδονται μέσω όλων των διαθέσιμων διαύλων μέσων ενημέρωσης και σε μια νέα πύλη πληροφόρησης που θα δημιουργηθεί για τον σκοπό αυτό. Οι εκστρατείες αυτές θα πρέπει να διοργανωθούν σε ολόκληρη την ΕΕ και σε όλα τα επίπεδα, προκειμένου να αυξηθεί η ευαισθητοποίηση όλων των πολιτών σχετικά με το περιβάλλον. </w:t>
      </w:r>
    </w:p>
    <w:p>
      <w:pPr>
        <w:pStyle w:val="Normal"/>
        <w:rPr/>
      </w:pPr>
      <w:r>
        <w:rPr/>
        <w:t xml:space="preserve"> </w:t>
      </w:r>
    </w:p>
    <w:p>
      <w:pPr>
        <w:pStyle w:val="Normal"/>
        <w:rPr/>
      </w:pPr>
      <w:r>
        <w:rPr/>
        <w:t xml:space="preserve">Η έλλειψη συντονισμού μεταξύ των κρατών μελών παρεμποδίζει την αποτελεσματικότητα των υφιστάμενων εκστρατειών και επιβραδύνει τις προσπάθειες για την αντιμετώπιση της παγκόσμιας πρόκλησης της κλιματικής αλλαγής. Ένας κοινός χάρτης θα ενισχύσει τις συνέργειες μεταξύ των σχεδίων δράσης των κρατών μελών, εξασφαλίζοντας μεγαλύτερη αποτελεσματικότητα των προσπαθειών. Επιπλέον, θα διασφαλίσει την παροχή συνεκτικής και συνεκτικής ενημέρωσης στους πολίτες σχετικά με τον αντίκτυπο των καθημερινών ενεργειών τους, όπως η επιλογή του τρόπου μεταφοράς και η επεξεργασία των αποβλήτων τους. </w:t>
      </w:r>
    </w:p>
    <w:p>
      <w:pPr>
        <w:pStyle w:val="Normal"/>
        <w:rPr/>
      </w:pPr>
      <w:r>
        <w:rPr/>
        <w:t xml:space="preserve"> </w:t>
      </w:r>
    </w:p>
    <w:p>
      <w:pPr>
        <w:pStyle w:val="Titre3"/>
        <w:numPr>
          <w:ilvl w:val="2"/>
          <w:numId w:val="2"/>
        </w:numPr>
        <w:rPr/>
      </w:pPr>
      <w:bookmarkStart w:id="159" w:name="__RefHeading___Toc297253_1346298689"/>
      <w:bookmarkEnd w:id="159"/>
      <w:r>
        <w:rPr/>
        <w:t xml:space="preserve">Άξονας 2: Προστασία του περιβάλλοντος και της υγείας μας </w:t>
      </w:r>
    </w:p>
    <w:p>
      <w:pPr>
        <w:pStyle w:val="Titre4"/>
        <w:numPr>
          <w:ilvl w:val="3"/>
          <w:numId w:val="2"/>
        </w:numPr>
        <w:rPr/>
      </w:pPr>
      <w:bookmarkStart w:id="160" w:name="__RefHeading___Toc297255_1346298689"/>
      <w:bookmarkEnd w:id="160"/>
      <w:r>
        <w:rPr/>
        <w:t xml:space="preserve">Υποάξονας 2.1 Ένα υγιές φυσικό περιβάλλον </w:t>
      </w:r>
    </w:p>
    <w:p>
      <w:pPr>
        <w:pStyle w:val="P68B1DB1Normal15"/>
        <w:rPr>
          <w:b/>
          <w:b/>
        </w:rPr>
      </w:pPr>
      <w:r>
        <w:rPr/>
        <w:t xml:space="preserve">8. Συνιστούμε ένα ενιαίο σύστημα οικολογικής βαθμολογίας που θα εμφανίζει το συνολικό περιβαλλοντικό αποτύπωμα κάθε διαθέσιμου προϊόντος που αγοράζεται στην ΕΕ. Τα προϊόντα από τρίτες χώρες πρέπει να σέβονται αυτό το οικολογικό σύστημα με διαφανή τρόπο. Το σύστημα αυτό θα πρέπει να βασίζεται σε σαφή κριτήρια ταξινόμησης που ισχύουν για τα ίδια τα προϊόντα και να χρησιμοποιεί, για παράδειγμα, έναν κωδικό QR που παρέχει λεπτομερέστερες πληροφορίες για το προϊόν. </w:t>
      </w:r>
    </w:p>
    <w:p>
      <w:pPr>
        <w:pStyle w:val="Normal"/>
        <w:rPr/>
      </w:pPr>
      <w:r>
        <w:rPr/>
        <w:t xml:space="preserve"> </w:t>
      </w:r>
    </w:p>
    <w:p>
      <w:pPr>
        <w:pStyle w:val="Normal"/>
        <w:rPr/>
      </w:pPr>
      <w:r>
        <w:rPr/>
        <w:t xml:space="preserve">Αυτές οι πληροφορίες για τον κύκλο ζωής των προϊόντων είναι θεμελιώδεις για όλους τους πολίτες της ΕΕ προκειμένου να ενδυναμωθούν οι καταναλωτές κατά τις αγορές τους. Αυτό θα επιτρέψει στους πολίτες της ΕΕ να λαμβάνουν υπεύθυνες αποφάσεις που θα συμβάλουν στην προστασία του περιβάλλοντός τους. </w:t>
      </w:r>
    </w:p>
    <w:p>
      <w:pPr>
        <w:pStyle w:val="Normal"/>
        <w:rPr/>
      </w:pPr>
      <w:r>
        <w:rPr/>
        <w:t xml:space="preserve"> </w:t>
      </w:r>
    </w:p>
    <w:p>
      <w:pPr>
        <w:pStyle w:val="P68B1DB1Normal15"/>
        <w:rPr>
          <w:b/>
          <w:b/>
        </w:rPr>
      </w:pPr>
      <w:r>
        <w:rPr/>
        <w:t xml:space="preserve">9. Συνιστούμε να γίνουν περισσότερες επενδύσεις για τη διερεύνηση νέων φιλικών προς το περιβάλλον πηγών ενέργειας και, μέχρι την ανάπτυξη αυτών των νέων πηγών, να διατεθούν πρόσθετες επενδύσεις σε υφιστάμενες βέλτιστες λύσεις παραγωγής ενέργειας. Συνιστούμε επίσης τη διαφανή ενημέρωση και εκπαίδευση των ευρωπαίων πολιτών σχετικά με συγκεκριμένες πηγές ενέργειας. Συνιστούμε θερμά να ληφθούν υπόψη οι συνολικές οικολογικές και κοινωνικές επιπτώσεις της διαδικασίας παραγωγής ενέργειας για τις σημερινές και τις μελλοντικές γενιές. </w:t>
      </w:r>
    </w:p>
    <w:p>
      <w:pPr>
        <w:pStyle w:val="Normal"/>
        <w:rPr/>
      </w:pPr>
      <w:r>
        <w:rPr/>
        <w:t xml:space="preserve"> </w:t>
      </w:r>
    </w:p>
    <w:p>
      <w:pPr>
        <w:pStyle w:val="Normal"/>
        <w:rPr/>
      </w:pPr>
      <w:r>
        <w:rPr/>
        <w:t xml:space="preserve">Αντιμετωπίζουμε πολύ υψηλά επίπεδα εκπομπών άνθρακα και άλλων τοξικών ουσιών από την παραγωγή ενέργειας που υποβαθμίζουν το κλίμα και την ποιότητα του αέρα. Για να συμμορφωθούμε με τις κατευθυντήριες γραμμές της ΕΕ, τις συστάσεις των εκθέσεων της IPCC και τους στόχους της COP26, πρέπει να ενισχύσουμε την έρευνα και τις επενδύσεις για την επίτευξη κλιματικά ουδέτερης παραγωγής ενέργειας. </w:t>
      </w:r>
    </w:p>
    <w:p>
      <w:pPr>
        <w:pStyle w:val="Normal"/>
        <w:rPr/>
      </w:pPr>
      <w:r>
        <w:rPr/>
        <w:t xml:space="preserve"> </w:t>
      </w:r>
    </w:p>
    <w:p>
      <w:pPr>
        <w:pStyle w:val="Titre4"/>
        <w:numPr>
          <w:ilvl w:val="3"/>
          <w:numId w:val="2"/>
        </w:numPr>
        <w:rPr/>
      </w:pPr>
      <w:bookmarkStart w:id="161" w:name="__RefHeading___Toc297257_1346298689"/>
      <w:bookmarkEnd w:id="161"/>
      <w:r>
        <w:rPr/>
        <w:t xml:space="preserve">Υποάξονας 2.2 Προστασία της βιοποικιλότητας μας </w:t>
      </w:r>
    </w:p>
    <w:p>
      <w:pPr>
        <w:pStyle w:val="P68B1DB1Normal15"/>
        <w:rPr>
          <w:b/>
          <w:b/>
        </w:rPr>
      </w:pPr>
      <w:r>
        <w:rPr/>
        <w:t xml:space="preserve">10. Συνιστούμε τη δραστική μείωση της χρήσης χημικών φυτοφαρμάκων και λιπασμάτων σε όλους τους τύπους γεωργίας, διασφαλίζοντας την εφαρμογή αυστηρότερων κοινών προτύπων, επιταχύνοντας την έρευνα για τις φυσικές εναλλακτικές λύσεις και υποστηρίζοντας την υιοθέτηση νέων λύσεων, συμπεριλαμβανομένης της κατάρτισης των γεωργών. </w:t>
      </w:r>
    </w:p>
    <w:p>
      <w:pPr>
        <w:pStyle w:val="Normal"/>
        <w:rPr/>
      </w:pPr>
      <w:r>
        <w:rPr/>
        <w:t xml:space="preserve"> </w:t>
      </w:r>
    </w:p>
    <w:p>
      <w:pPr>
        <w:pStyle w:val="Normal"/>
        <w:rPr/>
      </w:pPr>
      <w:r>
        <w:rPr/>
        <w:t xml:space="preserve">Παρά το γεγονός ότι έχει σημειωθεί πρόοδος όσον αφορά τα λιπάσματα και τα εναλλακτικά φυτοφάρμακα, τα περισσότερα από αυτά δεν μπορούν ακόμη να χρησιμοποιηθούν από μεγάλες γεωργικές εκμεταλλεύσεις. Ως εκ τούτου, απαιτείται μεγαλύτερη προσπάθεια για την ανάπτυξη νέων λύσεων. Η έρευνα θα πρέπει να ενθαρρυνθεί μέσω δημόσιων δαπανών και υψηλότερων προτύπων για τη χρήση φυτοφαρμάκων και λιπασμάτων. Τα αποτελέσματα της έρευνας πρέπει να διαδίδονται ταχέως σε επίπεδο ΕΕ. </w:t>
      </w:r>
    </w:p>
    <w:p>
      <w:pPr>
        <w:pStyle w:val="Normal"/>
        <w:rPr/>
      </w:pPr>
      <w:r>
        <w:rPr/>
        <w:t xml:space="preserve"> </w:t>
      </w:r>
    </w:p>
    <w:p>
      <w:pPr>
        <w:pStyle w:val="P68B1DB1Normal15"/>
        <w:rPr>
          <w:b/>
          <w:b/>
        </w:rPr>
      </w:pPr>
      <w:r>
        <w:rPr/>
        <w:t xml:space="preserve">11. Συνιστούμε την επέκταση των προστατευόμενων περιοχών για τη διατήρηση της βιοποικιλότητας (θηλαστικά, πτηνά, έντομα και φυτά) και την ενίσχυση του κράτους δικαίου όσον αφορά την ανθρώπινη παρέμβαση στις περιοχές αυτές. Οι προστατευόμενες περιοχές θα θεωρούνται όχι μόνο ως νησίδες, αλλά και ως συνέχεια με πιο πράσινες αστικές περιοχές, σύμφωνα με τα εναρμονισμένα πρότυπα της ΕΕ. </w:t>
      </w:r>
    </w:p>
    <w:p>
      <w:pPr>
        <w:pStyle w:val="Normal"/>
        <w:rPr/>
      </w:pPr>
      <w:r>
        <w:rPr/>
        <w:t xml:space="preserve"> </w:t>
      </w:r>
    </w:p>
    <w:p>
      <w:pPr>
        <w:pStyle w:val="Normal"/>
        <w:rPr/>
      </w:pPr>
      <w:r>
        <w:rPr/>
        <w:t xml:space="preserve">Η βιοποικιλότητα πλήττεται σε μεγάλο βαθμό από την αποψίλωση των δασών. Η δημιουργία προστατευόμενων περιοχών αποτελεί ένα από τα κύρια μέσα προστασίας της χερσαίας βιοποικιλότητας. Ωστόσο, είναι δύσκολο να διατηρηθούν προστατευόμενες περιοχές κοντά σε μολυσμένες πόλεις ή να αποφευχθεί η ανθρώπινη παρέμβαση όταν οι γύρω περιοχές αφήνουν ελάχιστα περιθώρια για τη φύση. Πρέπει να πρασινίσουμε τους χώρους διαβίωσης και να τους ενσωματώσουμε στη φύση που τους περιβάλλει. </w:t>
      </w:r>
    </w:p>
    <w:p>
      <w:pPr>
        <w:pStyle w:val="Normal"/>
        <w:rPr/>
      </w:pPr>
      <w:r>
        <w:rPr/>
        <w:t xml:space="preserve"> </w:t>
      </w:r>
    </w:p>
    <w:p>
      <w:pPr>
        <w:pStyle w:val="Normal"/>
        <w:rPr/>
      </w:pPr>
      <w:r>
        <w:rPr>
          <w:b/>
        </w:rPr>
        <w:t>12. Συνιστούμε την ανακατεύθυνση των γενικών επιδοτήσεων στη γεωργία κυρίως προς έργα που σχετίζονται με την ανάπτυξη βιώσιμης γεωργίας, συμπεριλαμβανομένου του σεβασμού της φύσης και των εργαζομένων. Οι δικαιούχοι θα πρέπει να τηρούν σαφή περιβαλλοντικά πρότυπα και να παρακολουθούνται στενά.</w:t>
      </w:r>
      <w:r>
        <w:rPr/>
        <w:t xml:space="preserve"> </w:t>
      </w:r>
    </w:p>
    <w:p>
      <w:pPr>
        <w:pStyle w:val="Normal"/>
        <w:rPr/>
      </w:pPr>
      <w:r>
        <w:rPr/>
        <w:t xml:space="preserve"> </w:t>
      </w:r>
    </w:p>
    <w:p>
      <w:pPr>
        <w:pStyle w:val="Normal"/>
        <w:rPr/>
      </w:pPr>
      <w:r>
        <w:rPr/>
        <w:t xml:space="preserve">Πιστεύουμε ότι θα πρέπει να ενθαρρυνθεί μόνο η βιώσιμη γεωργία, πράγμα που συνεπάγεται την ανακατανομή των πόρων που χρησιμοποιούνται επί του παρόντος για γενικές επιδοτήσεις. Επιπλέον, είναι δυνατόν να αυξηθεί η αποτελεσματικότητα των κονδυλίων που χρησιμοποιούνται εστιάζοντας σε μετασχηματιστικά έργα και καινοτόμες λύσεις και όχι σε ετήσιες πληρωμές. Θα πρέπει να εξασφαλιστεί καλύτερη παρακολούθηση των οικολογικών επιπτώσεων των γεωργικών δραστηριοτήτων και έργων. Τα ανθρώπινα δικαιώματα των εργαζομένων πρέπει επίσης να θεωρούνται αναπόσπαστο μέρος της βιωσιμότητας. </w:t>
      </w:r>
    </w:p>
    <w:p>
      <w:pPr>
        <w:pStyle w:val="Normal"/>
        <w:rPr/>
      </w:pPr>
      <w:r>
        <w:rPr/>
        <w:t xml:space="preserve"> </w:t>
      </w:r>
    </w:p>
    <w:p>
      <w:pPr>
        <w:pStyle w:val="Normal"/>
        <w:rPr/>
      </w:pPr>
      <w:r>
        <w:rPr>
          <w:b/>
        </w:rPr>
        <w:t>13. Συνιστούμε στην ΕΕ να διασφαλίσει θεμιτό ανταγωνισμό για τα φιλικά προς το περιβάλλον γεωργικά προϊόντα, θεσπίζοντας υψηλότερα πρότυπα τόσο για τα ενωσιακά όσο και για τα εισαγόμενα προϊόντα, διασφαλίζοντας την ιχνηλασιμότητα, την επισήμανση και τον ποιοτικό έλεγχο.</w:t>
      </w:r>
      <w:r>
        <w:rPr/>
        <w:t xml:space="preserve"> </w:t>
      </w:r>
    </w:p>
    <w:p>
      <w:pPr>
        <w:pStyle w:val="Normal"/>
        <w:rPr/>
      </w:pPr>
      <w:r>
        <w:rPr/>
        <w:t xml:space="preserve"> </w:t>
      </w:r>
    </w:p>
    <w:p>
      <w:pPr>
        <w:pStyle w:val="Normal"/>
        <w:rPr/>
      </w:pPr>
      <w:r>
        <w:rPr/>
        <w:t xml:space="preserve">Η χαμηλότερη παραγωγικότητα των βιώσιμων γεωργικών προϊόντων υπονομεύει την ανταγωνιστικότητα ως προς το κόστος τους. Τα εισαγόμενα προϊόντα πρέπει να πληρούν τα ίδια αυστηρά πρότυπα όσον αφορά τις περιβαλλοντικές επιπτώσεις της παραγωγής τους. Οι αρχές μας θα πρέπει να είναι σε θέση να διασφαλίζουν την ιχνηλασιμότητα των εισαγόμενων γεωργικών προϊόντων. </w:t>
      </w:r>
    </w:p>
    <w:p>
      <w:pPr>
        <w:pStyle w:val="Normal"/>
        <w:rPr/>
      </w:pPr>
      <w:r>
        <w:rPr/>
        <w:t xml:space="preserve"> </w:t>
      </w:r>
    </w:p>
    <w:p>
      <w:pPr>
        <w:pStyle w:val="P68B1DB1Normal15"/>
        <w:rPr>
          <w:b/>
          <w:b/>
        </w:rPr>
      </w:pPr>
      <w:r>
        <w:rPr/>
        <w:t xml:space="preserve">14. Συνιστούμε την ταχεία και μαζική αναδάσωση και δάσωση στην ΕΕ, χάρη στη βελτιστοποιημένη χρήση της γης. Ιδιαίτερη προσοχή θα πρέπει να δοθεί στην αναδάσωση των εκμεταλλευόμενων ή κατεστραμμένων δασών και στη δάσωση περιοχών με υποβαθμισμένα εδάφη. Θα πρέπει να προωθηθούν νέες, πιο υπεύθυνες λύσεις για την καλύτερη χρήση του ξύλου, για παράδειγμα για την αντικατάσταση των πλαστικών και άλλων χημικών ουσιών, την επίτευξη αυξημένης ενεργειακής απόδοσης από τη βιομάζα και την ανακύκλωση προϊόντων ξύλου. </w:t>
      </w:r>
    </w:p>
    <w:p>
      <w:pPr>
        <w:pStyle w:val="Normal"/>
        <w:rPr/>
      </w:pPr>
      <w:r>
        <w:rPr/>
        <w:t xml:space="preserve"> </w:t>
      </w:r>
    </w:p>
    <w:p>
      <w:pPr>
        <w:pStyle w:val="Normal"/>
        <w:rPr/>
      </w:pPr>
      <w:r>
        <w:rPr/>
        <w:t xml:space="preserve">Η αναδάσωση έχει σαφή θετικό αντίκτυπο στο περιβάλλον και τη βιοποικιλότητα εν γένει. Ταυτόχρονα, πρέπει να χρησιμοποιούμε λιγότερο ξύλο για να θερμαίνουμε τους εαυτούς μας, αλλά περισσότερο για να παράγουμε προϊόντα υψηλής προστιθέμενης αξίας· για παράδειγμα, για την αντικατάσταση των πλαστικών, η χρήση του ξύλου είναι υψίστης σημασίας. </w:t>
      </w:r>
    </w:p>
    <w:p>
      <w:pPr>
        <w:pStyle w:val="Normal"/>
        <w:rPr/>
      </w:pPr>
      <w:r>
        <w:rPr/>
        <w:t xml:space="preserve"> </w:t>
      </w:r>
    </w:p>
    <w:p>
      <w:pPr>
        <w:pStyle w:val="Titre4"/>
        <w:numPr>
          <w:ilvl w:val="3"/>
          <w:numId w:val="2"/>
        </w:numPr>
        <w:rPr/>
      </w:pPr>
      <w:bookmarkStart w:id="162" w:name="__RefHeading___Toc297259_1346298689"/>
      <w:bookmarkEnd w:id="162"/>
      <w:r>
        <w:rPr/>
        <w:t xml:space="preserve">Υποάξονας 2.3 Ασφαλή και Υγιεινά Τρόφιμα </w:t>
      </w:r>
    </w:p>
    <w:p>
      <w:pPr>
        <w:pStyle w:val="P68B1DB1Normal15"/>
        <w:rPr>
          <w:b/>
          <w:b/>
        </w:rPr>
      </w:pPr>
      <w:r>
        <w:rPr/>
        <w:t xml:space="preserve">15. Συνιστούμε την ταχεία και σταδιακή αφαίρεση των μη βιώσιμων συσκευασιών που χρησιμοποιούνται για τρόφιμα, συμπεριλαμβανομένων των πλαστικών συσκευασιών και άλλων μη βιοαποδομήσιμων συσκευασιών. Για το σκοπό αυτό, προτείνουμε την παροχή οικονομικών κινήτρων σε εταιρείες που μετακινούνται σε πλήρως βιοαποικοδομήσιμες μορφές συσκευασίας, επενδύοντας στην εξεύρεση εναλλακτικών λύσεων και επιβάλλοντας κυρώσεις σε εταιρείες που δεν χρησιμοποιούν βιοαποικοδομήσιμες συσκευασίες. </w:t>
      </w:r>
    </w:p>
    <w:p>
      <w:pPr>
        <w:pStyle w:val="Normal"/>
        <w:rPr/>
      </w:pPr>
      <w:r>
        <w:rPr/>
        <w:t xml:space="preserve"> </w:t>
      </w:r>
    </w:p>
    <w:p>
      <w:pPr>
        <w:pStyle w:val="Normal"/>
        <w:rPr/>
      </w:pPr>
      <w:r>
        <w:rPr/>
        <w:t xml:space="preserve">Τα πλαστικά απόβλητα, ειδικά τα μικροπλαστικά, γίνονται όλο και πιο άφθονα και αργά υποβαθμισμένα. Η κατανάλωση πλαστικού υπονομεύει την ποιότητα και την ασφάλεια των τροφίμων και, ταυτόχρονα, εγκυμονεί κινδύνους για την υγεία των ανθρώπων και των ζώων. Επιπλέον, η ισχύουσα νομοθεσία της ΕΕ για τη μείωση των μη βιοαποδομήσιμων συσκευασιών είναι ανεπαρκής. </w:t>
      </w:r>
    </w:p>
    <w:p>
      <w:pPr>
        <w:pStyle w:val="Normal"/>
        <w:rPr/>
      </w:pPr>
      <w:r>
        <w:rPr/>
        <w:t xml:space="preserve"> </w:t>
      </w:r>
    </w:p>
    <w:p>
      <w:pPr>
        <w:pStyle w:val="P68B1DB1Normal15"/>
        <w:rPr>
          <w:b/>
          <w:b/>
        </w:rPr>
      </w:pPr>
      <w:r>
        <w:rPr/>
        <w:t xml:space="preserve">16. Συνιστούμε τη σταδιακή εγκατάλειψη της εντατικής εκτροφής, συμπεριλαμβανομένου του τερματισμού των υποβαθμιστικών συνθηκών διαβίωσης των ζώων. Προτείνουμε τη θέσπιση κοινών προτύπων για την κτηνοτροφία (π.χ. μέγιστο αριθμό ζώων, προσαρμοσμένος υπαίθριος χώρος) και να επενδύσουμε περισσότερο σε μη εντατικές μεθόδους (εκτεταμένη και βιώσιμη γεωργία) παρέχοντας οικονομικά κίνητρα και κατάρτιση στους γεωργούς για τη στήριξη αυτής της ανάπτυξης. </w:t>
      </w:r>
    </w:p>
    <w:p>
      <w:pPr>
        <w:pStyle w:val="Normal"/>
        <w:rPr/>
      </w:pPr>
      <w:r>
        <w:rPr/>
        <w:t xml:space="preserve"> </w:t>
      </w:r>
    </w:p>
    <w:p>
      <w:pPr>
        <w:pStyle w:val="Normal"/>
        <w:rPr/>
      </w:pPr>
      <w:r>
        <w:rPr/>
        <w:t xml:space="preserve">Η σταδιακή κατάργηση της εντατικής γεωργίας θα μειώσει τα επίπεδα περιβαλλοντικής ρύπανσης και θα ενισχύσει την προστασία της φύσης. Επιπλέον, η σταδιακή κατάργηση της εντατικής κτηνοτροφίας θα μειώσει την ποσότητα των φαρμάκων που απαιτούνται για την καταπολέμηση των ασθενειών των ζώων και θα βελτιώσει την ποιότητα της διατροφής μας. Η εντατική γεωργία δεν σέβεται επίσης την καλή μεταχείριση των ζώων, αλλά υπάρχουν πιο βιώσιμες μορφές γεωργίας, όπως η εκτατική γεωργία· είναι αναγκαίο να δοθούν επιδοτήσεις στους γεωργούς για να τους βοηθήσουν να ξεκινήσουν αυτή την πορεία. </w:t>
      </w:r>
    </w:p>
    <w:p>
      <w:pPr>
        <w:pStyle w:val="Normal"/>
        <w:rPr/>
      </w:pPr>
      <w:r>
        <w:rPr/>
        <w:t xml:space="preserve"> </w:t>
      </w:r>
    </w:p>
    <w:p>
      <w:pPr>
        <w:pStyle w:val="P68B1DB1Normal15"/>
        <w:rPr>
          <w:b/>
          <w:b/>
        </w:rPr>
      </w:pPr>
      <w:r>
        <w:rPr/>
        <w:t xml:space="preserve">17. Συνιστούμε την ενίσχυση των ελέγχων σχετικά με την απαγόρευση της άσκοπης χρήσης αντιβιοτικών και άλλων κτηνιατρικών φαρμάκων σε πρόσθετες ύλες ζωοτροφών: ας κάνουμε αυτή την πρωτοβουλία να πραγματοποιηθεί! Προτείνουμε η χρήση αντιβιοτικών στην κτηνοτροφία να επιτρέπεται μόνο όταν είναι απολύτως αναγκαία, για την προστασία της υγείας και της καλής διαβίωσης των ζώων και όχι με προληπτικό τρόπο. Επιπλέον, υπάρχει ανάγκη να επενδύσουμε περισσότερο στην αναζήτηση αποτελεσματικότερων αντιβιοτικών, αναπτύσσοντας εναλλακτικές λύσεις, αξιοποιώντας παράλληλα τη συνεχιζόμενη έρευνα στον τομέα αυτό. </w:t>
      </w:r>
    </w:p>
    <w:p>
      <w:pPr>
        <w:pStyle w:val="Normal"/>
        <w:rPr/>
      </w:pPr>
      <w:r>
        <w:rPr/>
        <w:t xml:space="preserve"> </w:t>
      </w:r>
    </w:p>
    <w:p>
      <w:pPr>
        <w:pStyle w:val="Normal"/>
        <w:rPr/>
      </w:pPr>
      <w:r>
        <w:rPr/>
        <w:t xml:space="preserve">Η ανθεκτικότητα του ανθρώπου στα αντιβιοτικά μειώνεται λόγω της κατανάλωσης τροφίμων που προέρχονται από ζώα στα οποία έχουν χορηγηθεί αντιβιοτικά. Επιπλέον, χρειάζεται χρόνος για να αναπτυχθούν κατάλληλες λύσεις για την αντικατάσταση των υφιστάμενων αντιβιοτικών και για να διασφαλιστεί ότι οι γεωργοί είναι ενημερωμένοι και πρόθυμοι να τα χρησιμοποιήσουν. Αναγνωρίζουμε ότι υπάρχουν οδηγίες της ΕΕ για τα αντιβιοτικά· ωστόσο, δεν έχουν εφαρμοστεί με τον ίδιο τρόπο σε όλα τα κράτη μέλη. Τέλος, τα κτηνιατρικά φάρμακα χρησιμοποιούνται καταχρηστικά για σκοπούς φαρμακοδιέγερσης· ως εκ τούτου, η αυστηρότερη νομοθεσία στον τομέα αυτό θα ενισχύσει την καλή μεταχείριση των ζώων και θα βελτιώσει την ποιότητα ζωής τους. </w:t>
      </w:r>
    </w:p>
    <w:p>
      <w:pPr>
        <w:pStyle w:val="Normal"/>
        <w:rPr/>
      </w:pPr>
      <w:r>
        <w:rPr/>
        <w:t xml:space="preserve"> </w:t>
      </w:r>
    </w:p>
    <w:p>
      <w:pPr>
        <w:pStyle w:val="P68B1DB1Normal15"/>
        <w:rPr>
          <w:b/>
          <w:b/>
        </w:rPr>
      </w:pPr>
      <w:r>
        <w:rPr/>
        <w:t xml:space="preserve">18. Συνιστούμε η νομοθεσία της ΕΕ να απαιτεί την υποβολή εκθέσεων σχετικά με τη χρήση ορμονικών ουσιών και ενδοκρινικών διαταρακτών στην παραγωγή τροφίμων, προκειμένου να προσδιορίζεται ο τύπος, η ποσότητα και η έκθεση του τελικού προϊόντος που χρησιμοποιείται. Οι ετικέτες που αναφέρουν σαφώς τις ουσίες που υπάρχουν και τους λόγους για τη χρήση τους πρέπει να αναγράφονται στη συσκευασία όλων των σχετικών τροφίμων. Επιπλέον, θα πρέπει να επιταχυνθεί η έρευνα σχετικά με τις επιπτώσεις των ορμονικών ουσιών και των ενδοκρινικών διαταρακτών στην ανθρώπινη υγεία. </w:t>
      </w:r>
    </w:p>
    <w:p>
      <w:pPr>
        <w:pStyle w:val="Normal"/>
        <w:rPr/>
      </w:pPr>
      <w:r>
        <w:rPr/>
        <w:t xml:space="preserve"> </w:t>
      </w:r>
    </w:p>
    <w:p>
      <w:pPr>
        <w:pStyle w:val="Normal"/>
        <w:rPr/>
      </w:pPr>
      <w:r>
        <w:rPr/>
        <w:t xml:space="preserve">Επί του παρόντος, η ιχνηλασιμότητα των τροφίμων είναι ανεπαρκής, ιδίως όσον αφορά τις ορμονικές ουσίες και τους ενδοκρινικούς διαταράκτες. Πιστεύουμε ότι η διαφάνεια στην παραγωγή τροφίμων είναι απαραίτητη για την αντιμετώπιση της λογοδοσίας. Επιπλέον, οι καταναλωτές θα πρέπει να είναι σε θέση να γνωρίζουν τη σύνθεση, στο σύνολό της, των τροφίμων που καταναλώνουν και να είναι σε θέση να επιλέγουν ελεύθερα τι τρώνε. Επιπλέον, δεν υπάρχει επαρκής έρευνα σχετικά με τον αντίκτυπο στον άνθρωπο (και τους πιθανούς κινδύνους) που συνδέονται με την κατανάλωση τροφίμων που περιέχουν ορμονικές ουσίες και ενδοκρινικούς διαταράκτες. </w:t>
      </w:r>
    </w:p>
    <w:p>
      <w:pPr>
        <w:pStyle w:val="Normal"/>
        <w:rPr/>
      </w:pPr>
      <w:r>
        <w:rPr/>
        <w:t xml:space="preserve"> </w:t>
      </w:r>
    </w:p>
    <w:p>
      <w:pPr>
        <w:pStyle w:val="P68B1DB1Normal15"/>
        <w:rPr>
          <w:b/>
          <w:b/>
        </w:rPr>
      </w:pPr>
      <w:r>
        <w:rPr/>
        <w:t xml:space="preserve">19. Συνιστούμε την αποθάρρυνση της κατανάλωσης επεξεργασμένων τροφίμων με την επιβολή φόρων σε τρόφιμα που είναι επιβλαβή για την υγεία και με την επένδυση κεφαλαίων σε υγιεινά τρόφιμα. Προτείνουμε να δημιουργηθεί ένα πανευρωπαϊκό σύστημα αξιολόγησης των υγιεινών τροφίμων με βάση τις βέλτιστες πρακτικές στα κράτη μέλη και να τοποθετηθούν ετικέτες στα τρόφιμα για την ενημέρωση των καταναλωτών σχετικά με τις επιπτώσεις τους στην υγεία. </w:t>
      </w:r>
    </w:p>
    <w:p>
      <w:pPr>
        <w:pStyle w:val="Normal"/>
        <w:rPr/>
      </w:pPr>
      <w:r>
        <w:rPr/>
        <w:t xml:space="preserve"> </w:t>
      </w:r>
    </w:p>
    <w:p>
      <w:pPr>
        <w:pStyle w:val="Normal"/>
        <w:rPr/>
      </w:pPr>
      <w:r>
        <w:rPr/>
        <w:t xml:space="preserve">Με τον τρόπο αυτό, τα κονδύλια που συγκεντρώνονται μπορούν να χρησιμοποιηθούν για την ανάπτυξη εκστρατειών ευαισθητοποίησης και προώθησης, την ιεράρχηση της υγιεινής διατροφής στον τομέα της εκπαίδευσης και τη μείωση της προβολής των ανθυγιεινών τροφίμων στα σουπερμάρκετ. Οι επενδύσεις σε υγιεινά τρόφιμα συμβάλλουν επίσης στη βελτίωση της γενικής υγείας του πληθυσμού και, κατά συνέπεια, στη μείωση του επιπέδου των δημόσιων δαπανών που απαιτούνται για την αντιμετώπιση των προβλημάτων υγείας που προκύπτουν από την κακή διατροφή. Επιπλέον, πιστεύουμε ότι οι φόροι και οι επιδοτήσεις θα ενθαρρύνουν τις επιχειρήσεις να παράγουν πιο υγιεινά τρόφιμα. </w:t>
      </w:r>
    </w:p>
    <w:p>
      <w:pPr>
        <w:pStyle w:val="Normal"/>
        <w:rPr/>
      </w:pPr>
      <w:r>
        <w:rPr/>
        <w:t xml:space="preserve"> </w:t>
      </w:r>
    </w:p>
    <w:p>
      <w:pPr>
        <w:pStyle w:val="Titre3"/>
        <w:numPr>
          <w:ilvl w:val="2"/>
          <w:numId w:val="2"/>
        </w:numPr>
        <w:rPr/>
      </w:pPr>
      <w:bookmarkStart w:id="163" w:name="__RefHeading___Toc297261_1346298689"/>
      <w:bookmarkEnd w:id="163"/>
      <w:r>
        <w:rPr/>
        <w:t xml:space="preserve">Άξονας 3: αναπροσανατολισμός της οικονομίας και της κατανάλωσης </w:t>
      </w:r>
    </w:p>
    <w:p>
      <w:pPr>
        <w:pStyle w:val="Titre4"/>
        <w:numPr>
          <w:ilvl w:val="3"/>
          <w:numId w:val="2"/>
        </w:numPr>
        <w:rPr/>
      </w:pPr>
      <w:bookmarkStart w:id="164" w:name="__RefHeading___Toc297263_1346298689"/>
      <w:bookmarkEnd w:id="164"/>
      <w:r>
        <w:rPr/>
        <w:t xml:space="preserve">Υποάξονας 3.1 Ρύθμιση της υπερπαραγωγής και της υπερκατανάλωσης </w:t>
      </w:r>
    </w:p>
    <w:p>
      <w:pPr>
        <w:pStyle w:val="P68B1DB1Normal15"/>
        <w:rPr>
          <w:b/>
          <w:b/>
        </w:rPr>
      </w:pPr>
      <w:r>
        <w:rPr/>
        <w:t xml:space="preserve">20. Συνιστούμε στην ΕΕ να λάβει περισσότερα μέτρα για να επιτρέψει στους καταναλωτές να χρησιμοποιούν τα προϊόντα για μεγαλύτερο χρονικό διάστημα και να τους ενθαρρύνει να το πράξουν. Η ΕΕ θα πρέπει να καταπολεμήσει την προγραμματισμένη απαξίωση με την παράταση της εγγύησης του προϊόντος και τον καθορισμό μέγιστης τιμής για τα ανταλλακτικά μετά τη λήξη της περιόδου εγγύησης. Όλα τα κράτη μέλη θα πρέπει να θεσπίσουν φορολογική μείωση για τις υπηρεσίες επισκευής, όπως συμβαίνει στη Σουηδία. Οι κατασκευαστές θα πρέπει να υποχρεούνται να αναφέρουν την αναμενόμενη διάρκεια ζωής των προϊόντων τους. Η ΕΕ θα πρέπει να παρέχει πληροφορίες σχετικά με τον τρόπο επαναχρησιμοποίησης και επισκευής προϊόντων μέσω δικτυακού τόπου και μέσω της εκπαίδευσης. </w:t>
      </w:r>
    </w:p>
    <w:p>
      <w:pPr>
        <w:pStyle w:val="Normal"/>
        <w:rPr/>
      </w:pPr>
      <w:r>
        <w:rPr/>
        <w:t xml:space="preserve"> </w:t>
      </w:r>
    </w:p>
    <w:p>
      <w:pPr>
        <w:pStyle w:val="Normal"/>
        <w:rPr/>
      </w:pPr>
      <w:r>
        <w:rPr/>
        <w:t xml:space="preserve">Η κοινωνία των αποβλήτων δεν είναι βιώσιμη, διότι παράγει πάρα πολλά απόβλητα. Με την εφαρμογή των προτεινόμενων μέτρων, θα εξελιχθούμε σε μια κοινωνία στην οποία τα προϊόντα θα επαναχρησιμοποιηθούν και θα επισκευαστούν, ο αριθμός των οποίων θα μειωθεί, μειώνοντας έτσι την υπερκατανάλωση. </w:t>
      </w:r>
    </w:p>
    <w:p>
      <w:pPr>
        <w:pStyle w:val="Normal"/>
        <w:rPr/>
      </w:pPr>
      <w:r>
        <w:rPr/>
        <w:t xml:space="preserve"> </w:t>
      </w:r>
    </w:p>
    <w:p>
      <w:pPr>
        <w:pStyle w:val="P68B1DB1Normal15"/>
        <w:rPr>
          <w:b/>
          <w:b/>
        </w:rPr>
      </w:pPr>
      <w:r>
        <w:rPr/>
        <w:t xml:space="preserve">21. Συνιστούμε στην ΕΕ να εφαρμόζει αυστηρότερα περιβαλλοντικά πρότυπα και να διασφαλίζει δίκαιες συνθήκες εργασίας κατά μήκος της αλυσίδας παραγωγής. Τα πρότυπα παραγωγής της ΕΕ θα πρέπει να είναι πιο βιώσιμα και εναρμονισμένα μεταξύ των κρατών μελών και να εφαρμόζονται στα εισαγόμενα αγαθά. Τα πρότυπα αυτά πρέπει επίσης να έχουν κοινωνικό χαρακτήρα, συμπεριλαμβανομένου ενός αξιοπρεπούς εισοδήματος για τους εργαζόμενους και ικανοποιητικών συνθηκών εργασίας στα εργοστάσια. Θα πρέπει να υπάρξουν συνέπειες για τα αγαθά που δεν πληρούν αυτά τα πρότυπα. </w:t>
      </w:r>
    </w:p>
    <w:p>
      <w:pPr>
        <w:pStyle w:val="Normal"/>
        <w:rPr/>
      </w:pPr>
      <w:r>
        <w:rPr/>
        <w:t xml:space="preserve"> </w:t>
      </w:r>
    </w:p>
    <w:p>
      <w:pPr>
        <w:pStyle w:val="Normal"/>
        <w:rPr/>
      </w:pPr>
      <w:r>
        <w:rPr/>
        <w:t xml:space="preserve">Είναι σημαντικό να θεσπιστούν περιβαλλοντικά και κοινωνικά ομοιογενή πρότυπα παραγωγής στην Ευρώπη, ώστε να διασφαλιστεί ότι όλα τα προσφερόμενα προϊόντα παράγονται με βιώσιμο τρόπο. Τα μέτρα αυτά είναι απαραίτητα για τον αναπροσανατολισμό της οικονομίας μας και την αλλαγή των προτύπων παραγωγής των επιχειρήσεων. </w:t>
      </w:r>
    </w:p>
    <w:p>
      <w:pPr>
        <w:pStyle w:val="Normal"/>
        <w:rPr/>
      </w:pPr>
      <w:r>
        <w:rPr/>
        <w:t xml:space="preserve"> </w:t>
      </w:r>
    </w:p>
    <w:p>
      <w:pPr>
        <w:pStyle w:val="P68B1DB1Normal15"/>
        <w:rPr>
          <w:b/>
          <w:b/>
        </w:rPr>
      </w:pPr>
      <w:r>
        <w:rPr/>
        <w:t xml:space="preserve">22. Συνιστούμε στην ΕΕ και τα κράτη μέλη να θεσπίσουν μέτρα για τον περιορισμό της διαφήμισης προϊόντων που βλάπτουν το περιβάλλον. Τα προϊόντα με χαμηλή ανθεκτικότητα θα πρέπει να υπόκεινται σε υποχρεωτική ρήτρα μη ευθύνης σε όλες τις μορφές διαφήμισης που να δείχνει ότι είναι επιβλαβή για το περιβάλλον. Η ΕΕ θα πρέπει να απαγορεύσει τη διαφήμιση προϊόντων που δεν είναι καθόλου βιώσιμα. </w:t>
      </w:r>
    </w:p>
    <w:p>
      <w:pPr>
        <w:pStyle w:val="Normal"/>
        <w:rPr/>
      </w:pPr>
      <w:r>
        <w:rPr/>
        <w:t xml:space="preserve"> </w:t>
      </w:r>
    </w:p>
    <w:p>
      <w:pPr>
        <w:pStyle w:val="Normal"/>
        <w:rPr/>
      </w:pPr>
      <w:r>
        <w:rPr/>
        <w:t xml:space="preserve">Η διαφήμιση ενθαρρύνει την κατανάλωση· τα προϊόντα που βλάπτουν το περιβάλλον δεν πρέπει να επισημαίνονται. Με αυτόν τον τρόπο, οι καταναλωτές θα είναι λιγότερο πιθανό να αγοράσουν επιβλαβή για το περιβάλλον προϊόντα. </w:t>
      </w:r>
    </w:p>
    <w:p>
      <w:pPr>
        <w:pStyle w:val="Normal"/>
        <w:rPr/>
      </w:pPr>
      <w:r>
        <w:rPr/>
        <w:t xml:space="preserve"> </w:t>
      </w:r>
    </w:p>
    <w:p>
      <w:pPr>
        <w:pStyle w:val="P68B1DB1Normal15"/>
        <w:rPr>
          <w:b/>
          <w:b/>
        </w:rPr>
      </w:pPr>
      <w:r>
        <w:rPr/>
        <w:t xml:space="preserve">23. Συνιστούμε στην ΕΕ να δημιουργήσει και να αναπτύξει υποδομές συστημάτων κατάθεσης για όλες τις πρωτογενείς συσκευασίες από γυαλί, πλαστικό, αλουμίνιο κ.λπ., ομοιόμορφα σε ολόκληρη την ΕΕ. Οι κατασκευαστές θα πρέπει, στο μέτρο του δυνατού, να επαναχρησιμοποιούν τις επιστρεφόμενες συσκευασίες αποστείρωσης και όχι απλώς να ανακυκλώνουν τα υλικά. Εκτός από τη συσκευασία τροφίμων και ποτών, η συσκευή θα πρέπει επίσης να καλύπτει και άλλους τύπους φιαλών και δοχείων, όπως μπουκάλια σαμπουάν. </w:t>
      </w:r>
    </w:p>
    <w:p>
      <w:pPr>
        <w:pStyle w:val="Normal"/>
        <w:rPr/>
      </w:pPr>
      <w:r>
        <w:rPr/>
        <w:t xml:space="preserve"> </w:t>
      </w:r>
    </w:p>
    <w:p>
      <w:pPr>
        <w:pStyle w:val="Normal"/>
        <w:rPr/>
      </w:pPr>
      <w:r>
        <w:rPr/>
        <w:t xml:space="preserve">Επί του παρόντος, οι καταναλωτές ρίχνουν πάρα πολλές συσκευασίες, ρυπαίνουν και καταστρέφουν τα οικοσυστήματά μας. Τα συστήματα καταθέσεων συμβάλλουν στη μείωση των αποβλήτων, ενθαρρύνοντας τους πολίτες να επαναφέρουν τις συσκευασίες τους αντί να τις πετάξουν. Μέσω της ανάπτυξης αυτού του συστήματος, θα χρησιμοποιήσουμε λιγότερους πόρους. η ποσότητα των παραγόμενων αποβλήτων θα μειωθεί. </w:t>
      </w:r>
    </w:p>
    <w:p>
      <w:pPr>
        <w:pStyle w:val="Normal"/>
        <w:rPr/>
      </w:pPr>
      <w:r>
        <w:rPr/>
        <w:t xml:space="preserve"> </w:t>
      </w:r>
    </w:p>
    <w:p>
      <w:pPr>
        <w:pStyle w:val="Titre4"/>
        <w:numPr>
          <w:ilvl w:val="3"/>
          <w:numId w:val="2"/>
        </w:numPr>
        <w:rPr/>
      </w:pPr>
      <w:bookmarkStart w:id="165" w:name="__RefHeading___Toc297265_1346298689"/>
      <w:bookmarkEnd w:id="165"/>
      <w:r>
        <w:rPr/>
        <w:t xml:space="preserve">Υποάξονας 3.2 Μείωση των αποβλήτων </w:t>
      </w:r>
    </w:p>
    <w:p>
      <w:pPr>
        <w:pStyle w:val="P68B1DB1Normal15"/>
        <w:rPr>
          <w:b/>
          <w:b/>
        </w:rPr>
      </w:pPr>
      <w:r>
        <w:rPr/>
        <w:t xml:space="preserve">24. Συνιστούμε την προώθηση ισχυρότερης εφαρμογής των πολιτικών για την κυκλική οικονομία σε ευρωπαϊκό επίπεδο, με στόχο τόσο τις επιχειρήσεις όσο και τους πολίτες, με τη μορφή οικονομικών κινήτρων για όσους συμμορφώνονται με αυτές. </w:t>
      </w:r>
    </w:p>
    <w:p>
      <w:pPr>
        <w:pStyle w:val="Normal"/>
        <w:rPr/>
      </w:pPr>
      <w:r>
        <w:rPr/>
        <w:t xml:space="preserve"> </w:t>
      </w:r>
    </w:p>
    <w:p>
      <w:pPr>
        <w:pStyle w:val="Normal"/>
        <w:rPr/>
      </w:pPr>
      <w:r>
        <w:rPr/>
        <w:t xml:space="preserve">Πολλοί άνθρωποι θα βρεθούν τελικά άνεργοι εάν οι εταιρείες παραγωγής μειώσουν το εργατικό δυναμικό τους ή ακόμη και καταλήξουν σε μια κατάσταση παύσης πληρωμής/ζύμωσης. Τα μέτρα επανεκπαίδευσης για τους ανέργους θα ενθαρρύνουν πρακτικές φιλικές προς το περιβάλλον, περιορίζοντας παράλληλα την ανεργία και προωθώντας τον εκσυγχρονισμό μιας διαφοροποιημένης οικονομίας. </w:t>
      </w:r>
    </w:p>
    <w:p>
      <w:pPr>
        <w:pStyle w:val="Normal"/>
        <w:rPr/>
      </w:pPr>
      <w:r>
        <w:rPr/>
        <w:t xml:space="preserve"> </w:t>
      </w:r>
    </w:p>
    <w:p>
      <w:pPr>
        <w:pStyle w:val="P68B1DB1Normal15"/>
        <w:rPr>
          <w:b/>
          <w:b/>
        </w:rPr>
      </w:pPr>
      <w:r>
        <w:rPr/>
        <w:t xml:space="preserve">25. Συνιστούμε στην ΕΕ να ρυθμίσει τη χρήση περιβαλλοντικά ασφαλών συσκευασιών (δηλ. συσκευασιών που βασίζονται σε βιοαποικοδομήσιμα ή ανακυκλώσιμα ή πιο βιώσιμα υλικά, ει δυνατόν) και/ή τη χρήση λιγότερο ογκωδών συσκευασιών, επίσης με κωδικό QR που θα παρέχει πληροφορίες σχετικές με τη διαδικασία ανακύκλωσης ή/και διάθεσης των συσκευασιών μετά τη χρήση. </w:t>
      </w:r>
    </w:p>
    <w:p>
      <w:pPr>
        <w:pStyle w:val="Normal"/>
        <w:rPr/>
      </w:pPr>
      <w:r>
        <w:rPr/>
        <w:t xml:space="preserve"> </w:t>
      </w:r>
    </w:p>
    <w:p>
      <w:pPr>
        <w:pStyle w:val="Normal"/>
        <w:rPr/>
      </w:pPr>
      <w:r>
        <w:rPr/>
        <w:t xml:space="preserve">Η σύσταση αυτή θα έχει ως αποτέλεσμα τη μείωση των συσκευασιών, τη μείωση των αποβλήτων και, κατά συνέπεια, τη ρύπανση· ως εκ τούτου, το περιβάλλον θα είναι καθαρότερο και, τελικά, το αποτύπωμα άνθρακα θα είναι μικρότερο. Η φορολογική επιβάρυνση των παραγωγών θα είναι επίσης χαμηλότερη. </w:t>
      </w:r>
    </w:p>
    <w:p>
      <w:pPr>
        <w:pStyle w:val="Normal"/>
        <w:rPr/>
      </w:pPr>
      <w:r>
        <w:rPr/>
        <w:t xml:space="preserve"> </w:t>
      </w:r>
    </w:p>
    <w:p>
      <w:pPr>
        <w:pStyle w:val="Titre4"/>
        <w:numPr>
          <w:ilvl w:val="3"/>
          <w:numId w:val="2"/>
        </w:numPr>
        <w:rPr/>
      </w:pPr>
      <w:bookmarkStart w:id="166" w:name="__RefHeading___Toc297267_1346298689"/>
      <w:bookmarkEnd w:id="166"/>
      <w:r>
        <w:rPr/>
        <w:t xml:space="preserve">Υποάξονας 3.3 Δίκαια προϊόντα, ισότιμη πρόσβαση και δίκαιη κατανάλωση </w:t>
      </w:r>
    </w:p>
    <w:p>
      <w:pPr>
        <w:pStyle w:val="P68B1DB1Normal15"/>
        <w:rPr>
          <w:b/>
          <w:b/>
        </w:rPr>
      </w:pPr>
      <w:r>
        <w:rPr/>
        <w:t xml:space="preserve">26. Συνιστούμε στην Ευρωπαϊκή Ένωση να θεσπίσει ένα νομικό πλαίσιο για να διασφαλίσει ότι όλοι οι ευρωπαίοι καταναλωτές θα έχουν οικονομικά προσιτή και βελτιωμένη πρόσβαση σε ποιοτικά και τοπικά προϊόντα διατροφής. </w:t>
      </w:r>
    </w:p>
    <w:p>
      <w:pPr>
        <w:pStyle w:val="Normal"/>
        <w:rPr/>
      </w:pPr>
      <w:r>
        <w:rPr/>
        <w:t xml:space="preserve"> </w:t>
      </w:r>
    </w:p>
    <w:p>
      <w:pPr>
        <w:pStyle w:val="Normal"/>
        <w:rPr/>
      </w:pPr>
      <w:r>
        <w:rPr/>
        <w:t xml:space="preserve">Πράγματι, επί του παρόντος δεν υπάρχει κοινή ερμηνεία σε επίπεδο ΕΕ για το τι θα πρέπει να θεωρείται τοπικό και ποιοτικό τρόφιμο. Αυτό το κενό πρέπει να καλυφθεί. </w:t>
      </w:r>
    </w:p>
    <w:p>
      <w:pPr>
        <w:pStyle w:val="Normal"/>
        <w:rPr/>
      </w:pPr>
      <w:r>
        <w:rPr/>
        <w:t xml:space="preserve">Η εισαγωγή προϊόντων κακής ποιότητας έχει άμεσο αρνητικό αντίκτυπο στο περιβάλλον. Για την καταπολέμηση της κλιματικής αλλαγής, πρέπει να αντιμετωπίσουμε όλες τις αιτίες της, συμπεριλαμβανομένης της εισαγωγής προϊόντων χαμηλής ποιότητας: υπάρχει ανάγκη να μειωθούν οι αποστάσεις μεταφοράς και να προωθηθούν εποχιακά προϊόντα. </w:t>
      </w:r>
    </w:p>
    <w:p>
      <w:pPr>
        <w:pStyle w:val="Normal"/>
        <w:rPr/>
      </w:pPr>
      <w:r>
        <w:rPr/>
        <w:t xml:space="preserve">Η σύσταση αυτή είναι πολλά υποσχόμενη, καθώς θα μπορούσε να ισχύει και για τα μη εδώδιμα προϊόντα. </w:t>
      </w:r>
    </w:p>
    <w:p>
      <w:pPr>
        <w:pStyle w:val="Normal"/>
        <w:rPr/>
      </w:pPr>
      <w:r>
        <w:rPr/>
        <w:t xml:space="preserve"> </w:t>
      </w:r>
    </w:p>
    <w:p>
      <w:pPr>
        <w:pStyle w:val="P68B1DB1Normal15"/>
        <w:rPr>
          <w:b/>
          <w:b/>
        </w:rPr>
      </w:pPr>
      <w:r>
        <w:rPr/>
        <w:t xml:space="preserve">27. Συνιστούμε στην Ευρωπαϊκή Ένωση να ενθαρρύνει την έρευνα και την ανάπτυξη μέσω προγραμμάτων χρηματοδότησης, ώστε να εξασφαλιστεί η διαθεσιμότητα στην ευρωπαϊκή αγορά πιο βιώσιμων και οικονομικά προσιτών προϊόντων στην αγορά. Η Ευρωπαϊκή Ένωση πρέπει επίσης να διεξάγει διαβουλεύσεις με τους πολίτες, σε όλα τα επίπεδα λήψης αποφάσεων, μεταξύ άλλων και σε τοπικό επίπεδο, για να καθορίσει τις ανάγκες τους για βιώσιμα προϊόντα. </w:t>
      </w:r>
    </w:p>
    <w:p>
      <w:pPr>
        <w:pStyle w:val="Normal"/>
        <w:rPr/>
      </w:pPr>
      <w:r>
        <w:rPr/>
        <w:t xml:space="preserve"> </w:t>
      </w:r>
    </w:p>
    <w:p>
      <w:pPr>
        <w:pStyle w:val="Normal"/>
        <w:rPr/>
      </w:pPr>
      <w:r>
        <w:rPr/>
        <w:t xml:space="preserve">Πιστεύουμε ότι η έρευνα για τα βιώσιμα προϊόντα είναι ανεπαρκής και υπάρχει επείγουσα ανάγκη να διατεθούν περισσότεροι χρηματοδοτικοί πόροι για την έρευνα, ώστε οι Ευρωπαίοι να έχουν πρόσβαση σε πιο οικονομικά βιώσιμα προϊόντα. </w:t>
      </w:r>
    </w:p>
    <w:p>
      <w:pPr>
        <w:pStyle w:val="Normal"/>
        <w:rPr/>
      </w:pPr>
      <w:r>
        <w:rPr/>
        <w:t xml:space="preserve">Οι πολίτες πρέπει να συμμετέχουν στη διαδικασία λήψης αποφάσεων. Το πρόγραμμα δράσεων έρευνας και καινοτομίας πρέπει να καταρτιστεί από κοινού με τους πολίτες. Θα πρέπει να ενημερώνονται για τη συνέχεια που θα δοθεί και τα αποτελέσματα θα πρέπει να τους κοινοποιούνται. </w:t>
      </w:r>
    </w:p>
    <w:p>
      <w:pPr>
        <w:pStyle w:val="Normal"/>
        <w:rPr/>
      </w:pPr>
      <w:r>
        <w:rPr/>
      </w:r>
    </w:p>
    <w:p>
      <w:pPr>
        <w:pStyle w:val="P68B1DB1Normal15"/>
        <w:rPr>
          <w:b/>
          <w:b/>
        </w:rPr>
      </w:pPr>
      <w:r>
        <w:rPr/>
        <w:t xml:space="preserve">28. Συνιστούμε στην Ευρωπαϊκή Ένωση να θεσπίσει ρυθμιστικό μηχανισμό για τα είδη μόδας που εισέρχονται στην κοινή αγορά. Σκοπός του μηχανισμού αυτού είναι να ενθαρρύνει την καλύτερη κατανάλωση μέσω ενός δείκτη που θα διασφαλίζει ότι το προϊόν πληροί τα κριτήρια βιωσιμότητας. </w:t>
      </w:r>
    </w:p>
    <w:p>
      <w:pPr>
        <w:pStyle w:val="Normal"/>
        <w:rPr/>
      </w:pPr>
      <w:r>
        <w:rPr/>
        <w:t xml:space="preserve"> </w:t>
      </w:r>
    </w:p>
    <w:p>
      <w:pPr>
        <w:pStyle w:val="Normal"/>
        <w:rPr/>
      </w:pPr>
      <w:r>
        <w:rPr/>
        <w:t xml:space="preserve">Ο τομέας της μόδας, ο οποίος παράγει πάρα πολλά προϊόντα χαμηλής ποιότητας εκτός των ευρωπαϊκών συνόρων, δεν εφαρμόζει δεοντολογικά πρότυπα και δεν υιοθετεί βιώσιμη συμπεριφορά. </w:t>
      </w:r>
    </w:p>
    <w:p>
      <w:pPr>
        <w:pStyle w:val="Normal"/>
        <w:rPr/>
      </w:pPr>
      <w:r>
        <w:rPr/>
        <w:t xml:space="preserve">Πρέπει να βρούμε έναν δίκαιο μηχανισμό που θα επιτρέπει στους καταναλωτές να καταναλώνουν καλύτερα. Ωστόσο, είναι σημαντικό να μην αυξηθούν οι φόροι, γεγονός που θα είχε αρνητικές συνέπειες για τους καταναλωτές μειώνοντας την αγοραστική τους δύναμη. </w:t>
      </w:r>
    </w:p>
    <w:p>
      <w:pPr>
        <w:pStyle w:val="Normal"/>
        <w:rPr/>
      </w:pPr>
      <w:r>
        <w:rPr/>
        <w:t xml:space="preserve">Οι καταναλωτές θα πρέπει να γνωρίζουν υπό ποιες συνθήκες κατασκευάζονται τα προϊόντα που αγοράζουν και εάν πληρούν βιώσιμα πρότυπα ποιότητας. </w:t>
      </w:r>
    </w:p>
    <w:p>
      <w:pPr>
        <w:pStyle w:val="Normal"/>
        <w:rPr/>
      </w:pPr>
      <w:r>
        <w:rPr/>
        <w:t xml:space="preserve"> </w:t>
      </w:r>
    </w:p>
    <w:p>
      <w:pPr>
        <w:pStyle w:val="Titre3"/>
        <w:numPr>
          <w:ilvl w:val="2"/>
          <w:numId w:val="2"/>
        </w:numPr>
        <w:rPr/>
      </w:pPr>
      <w:bookmarkStart w:id="167" w:name="__RefHeading___Toc297269_1346298689"/>
      <w:bookmarkEnd w:id="167"/>
      <w:r>
        <w:rPr/>
        <w:t xml:space="preserve">Άξονας 4: προς μια βιώσιμη κοινωνία </w:t>
      </w:r>
    </w:p>
    <w:p>
      <w:pPr>
        <w:pStyle w:val="Titre4"/>
        <w:numPr>
          <w:ilvl w:val="3"/>
          <w:numId w:val="2"/>
        </w:numPr>
        <w:rPr/>
      </w:pPr>
      <w:bookmarkStart w:id="168" w:name="__RefHeading___Toc297271_1346298689"/>
      <w:bookmarkEnd w:id="168"/>
      <w:r>
        <w:rPr/>
        <w:t xml:space="preserve">Υποάξονας 4.1 Ανανεώσιμες ενέργειες, από τώρα και στο εξής </w:t>
      </w:r>
    </w:p>
    <w:p>
      <w:pPr>
        <w:pStyle w:val="P68B1DB1Normal15"/>
        <w:rPr>
          <w:b/>
          <w:b/>
        </w:rPr>
      </w:pPr>
      <w:r>
        <w:rPr/>
        <w:t xml:space="preserve">29. Συνιστούμε στην ΕΕ να λάβει μέτρα για να καταστήσει τα φίλτρα CO2 υποχρεωτικά, ιδίως για τους σταθμούς ηλεκτροπαραγωγής με καύση άνθρακα, κατά τη διάρκεια μεταβατικής περιόδου, εφόσον εξακολουθούμε να βασιζόμαστε στη συμβατική ενέργεια. Επιπλέον, συνιστούμε στην ΕΕ να παράσχει χρηματοδοτική συνδρομή στα κράτη μέλη που δεν διαθέτουν οικονομικούς πόρους για την εφαρμογή φίλτρων CO2. Η ενίσχυση εξαρτάται από τη συμμόρφωση με τις πολιτικές της ΕΕ για το κλίμα που σχετίζονται με τη συμφωνία του Παρισιού, την Πράσινη Συμφωνία και κάθε νέο νόμο για το κλίμα. </w:t>
      </w:r>
    </w:p>
    <w:p>
      <w:pPr>
        <w:pStyle w:val="Normal"/>
        <w:rPr/>
      </w:pPr>
      <w:r>
        <w:rPr>
          <w:b/>
        </w:rPr>
        <w:t>Πρόκειται για ένα συγκεκριμένο βήμα που πρέπει να ληφθεί παράλληλα με τις συνεχιζόμενες επενδύσεις στην έρευνα για την ασφάλεια της παραγωγής ενέργειας και η οποία έχει ως στόχο να βοηθήσει τα κράτη μέλη της ΕΕ να επιτύχουν σταδιακά τους κοινούς στόχους μείωσης του CO2.</w:t>
      </w:r>
      <w:r>
        <w:rPr/>
        <w:t xml:space="preserve"> </w:t>
      </w:r>
    </w:p>
    <w:p>
      <w:pPr>
        <w:pStyle w:val="Normal"/>
        <w:rPr/>
      </w:pPr>
      <w:r>
        <w:rPr/>
        <w:t xml:space="preserve"> </w:t>
      </w:r>
    </w:p>
    <w:p>
      <w:pPr>
        <w:pStyle w:val="Normal"/>
        <w:rPr/>
      </w:pPr>
      <w:r>
        <w:rPr/>
        <w:t xml:space="preserve">Γνωρίζουμε ότι η χρήση συμβατικών καυσίμων οδηγεί σε εκπομπές αερίων του θερμοκηπίου και τα κράτη μέλη της ΕΕ πρέπει να μειώσουν τη χρήση συμβατικών καυσίμων για να συμμορφωθούν με τη συμφωνία του Παρισιού. Δεδομένου ότι δεν είναι δυνατόν να τερματιστούν άμεσα οι εκπομπές CO2 και εξακολουθούμε να εξαρτόμαστε από τον άνθρακα, πρέπει να αναλάβουμε δράση βραχυπρόθεσμα και μεσοπρόθεσμα. </w:t>
      </w:r>
    </w:p>
    <w:p>
      <w:pPr>
        <w:pStyle w:val="Normal"/>
        <w:rPr/>
      </w:pPr>
      <w:r>
        <w:rPr/>
        <w:t xml:space="preserve">Η μείωση των εκπομπών CO2 είναι κοινού ενδιαφέροντος για όλους τους πολίτες, τόσο εντός όσο και εκτός της ΕΕ· η ΕΕ, ως θεσμικό όργανο, έχει τις δικές της αρμοδιότητες και το θεσμικό όργανο διατυπώνει συστάσεις και παρέχει λύσεις, διότι τα κράτη μέλη δεν μπορούν να επιτύχουν μόνοι τους τους στόχους. </w:t>
      </w:r>
    </w:p>
    <w:p>
      <w:pPr>
        <w:pStyle w:val="Normal"/>
        <w:rPr/>
      </w:pPr>
      <w:r>
        <w:rPr/>
      </w:r>
    </w:p>
    <w:p>
      <w:pPr>
        <w:pStyle w:val="P68B1DB1Normal15"/>
        <w:rPr>
          <w:b/>
          <w:b/>
        </w:rPr>
      </w:pPr>
      <w:r>
        <w:rPr/>
        <w:t xml:space="preserve">30. Συνιστούμε τη μείωση της εντατικής βιομηχανικής κτηνοτροφίας για τη μείωση της παραγωγής μεθανίου και της ρύπανσης των υδάτων. Για τον σκοπό αυτό, η ΕΕ αναθεωρεί την κοινή γεωργική πολιτική της για να κατευθύνει τις επιδοτήσεις της προς τη βιώσιμη και τοπική γεωργία, μεταξύ άλλων μέσω ενός συστήματος επισήμανσης που θα επιτρέπει στους καταναλωτές να αναγνωρίζουν βιώσιμα προϊόντα κρέατος. Ενθαρρύνουμε επίσης την ΕΕ να επενδύσει σε μεθόδους επαναχρησιμοποίησης των αποβλήτων της ζωικής παραγωγής και άλλων βιομηχανιών. </w:t>
      </w:r>
    </w:p>
    <w:p>
      <w:pPr>
        <w:pStyle w:val="Normal"/>
        <w:rPr/>
      </w:pPr>
      <w:r>
        <w:rPr/>
        <w:t xml:space="preserve"> </w:t>
      </w:r>
    </w:p>
    <w:p>
      <w:pPr>
        <w:pStyle w:val="Normal"/>
        <w:rPr/>
      </w:pPr>
      <w:r>
        <w:rPr/>
        <w:t xml:space="preserve">Ο πληθυσμός αυξάνεται, γεγονός που θα οδηγήσει σε αύξηση της ζήτησης για κρέας στο μέλλον. Αυτός είναι ο λόγος για τον οποίο η κατανάλωση κρέατος πρέπει να μειωθεί. </w:t>
      </w:r>
    </w:p>
    <w:p>
      <w:pPr>
        <w:pStyle w:val="Normal"/>
        <w:rPr/>
      </w:pPr>
      <w:r>
        <w:rPr/>
        <w:t xml:space="preserve">Δεδομένου ότι το μεθάνιο παράγει αέρια του θερμοκηπίου, πιστεύουμε ότι είναι φυσικό να αρχίσουμε με τη μείωση των εκπομπών του ζωικού κεφαλαίου. </w:t>
      </w:r>
    </w:p>
    <w:p>
      <w:pPr>
        <w:pStyle w:val="Normal"/>
        <w:rPr/>
      </w:pPr>
      <w:r>
        <w:rPr/>
        <w:t xml:space="preserve">Όλοι γνωρίζουμε ότι πρέπει να καταναλώνεται λιγότερο κρέας και, ως εκ τούτου, ο αριθμός των βοοειδών πρέπει να μειωθεί αναλόγως. </w:t>
      </w:r>
    </w:p>
    <w:p>
      <w:pPr>
        <w:pStyle w:val="Normal"/>
        <w:rPr/>
      </w:pPr>
      <w:r>
        <w:rPr/>
        <w:t xml:space="preserve"> </w:t>
      </w:r>
    </w:p>
    <w:p>
      <w:pPr>
        <w:pStyle w:val="P68B1DB1Normal15"/>
        <w:rPr>
          <w:b/>
          <w:b/>
        </w:rPr>
      </w:pPr>
      <w:r>
        <w:rPr/>
        <w:t xml:space="preserve">31. Αν και η παραγωγή πράσινου υδρογόνου είναι μια δαπανηρή διαδικασία, καθώς χρειάζεται το 75 % της ενέργειας για να ληφθεί το 25 % του υδρογόνου, αυτός ο τύπος ενέργειας έχει πολλές θετικές πτυχές. Η καλύτερη λύση μπορεί να είναι η παραγωγή ενέργειας χωρίς CO2 παράλληλα με την ανάπτυξη του πράσινου υδρογόνου. Η αιολική ενέργεια θα πρέπει να χρησιμοποιείται για την παραγωγή πράσινου υδρογόνου και η ΕΕ θα πρέπει να επενδύσει περισσότερο και να αυξήσει την παραγωγή αιολικής ενέργειας και να την αποθηκεύσει για μελλοντικές ανάγκες. </w:t>
      </w:r>
    </w:p>
    <w:p>
      <w:pPr>
        <w:pStyle w:val="Normal"/>
        <w:rPr/>
      </w:pPr>
      <w:r>
        <w:rPr/>
        <w:t xml:space="preserve"> </w:t>
      </w:r>
    </w:p>
    <w:p>
      <w:pPr>
        <w:pStyle w:val="Normal"/>
        <w:rPr/>
      </w:pPr>
      <w:r>
        <w:rPr/>
        <w:t xml:space="preserve">Το πράσινο υδρογόνο είναι ευέλικτο και μπορεί να αποθηκευτεί για χρήση όταν χρειάζεται. Δεν προκαλεί ρύπανση του CO2. </w:t>
      </w:r>
    </w:p>
    <w:p>
      <w:pPr>
        <w:pStyle w:val="Normal"/>
        <w:rPr/>
      </w:pPr>
      <w:r>
        <w:rPr/>
        <w:t xml:space="preserve"> </w:t>
      </w:r>
    </w:p>
    <w:p>
      <w:pPr>
        <w:pStyle w:val="Titre4"/>
        <w:numPr>
          <w:ilvl w:val="3"/>
          <w:numId w:val="2"/>
        </w:numPr>
        <w:rPr/>
      </w:pPr>
      <w:bookmarkStart w:id="169" w:name="__RefHeading___Toc297273_1346298689"/>
      <w:bookmarkEnd w:id="169"/>
      <w:r>
        <w:rPr/>
        <w:t xml:space="preserve">Υποάξονας 4.2 Υποστηρικτική αλλαγή </w:t>
      </w:r>
    </w:p>
    <w:p>
      <w:pPr>
        <w:pStyle w:val="P68B1DB1Normal15"/>
        <w:rPr>
          <w:b/>
          <w:b/>
        </w:rPr>
      </w:pPr>
      <w:r>
        <w:rPr/>
        <w:t xml:space="preserve">32. Συνιστούμε στην ΕΕ να θέσει σε εφαρμογή ένα σύστημα εξαναγκασμού και ανταμοιβής για την καταπολέμηση της ρύπανσης, συμπεριλαμβανομένων των υδάτων, του εδάφους, του αέρα και της ακτινοβολίας. Τα πρόστιμα πρέπει να επιβάλλονται στους ρυπαίνοντες, σε συνδυασμό με την υποχρεωτική υποστήριξη ενός εξειδικευμένου οργανισμού, ειδικά σχεδιασμένου για να βοηθήσει τους φορείς να εξαλείψουν τη ρύπανση και να αποκαταστήσουν το οικοσύστημα. Αυτός ο εξειδικευμένος οργανισμός θα πρέπει να διαδραματίσει ηγετικό ρόλο στην πρόληψη και τον έλεγχο των επιπέδων ρύπανσης. </w:t>
      </w:r>
    </w:p>
    <w:p>
      <w:pPr>
        <w:pStyle w:val="Normal"/>
        <w:rPr/>
      </w:pPr>
      <w:r>
        <w:rPr/>
        <w:t xml:space="preserve"> </w:t>
      </w:r>
    </w:p>
    <w:p>
      <w:pPr>
        <w:pStyle w:val="Normal"/>
        <w:rPr/>
      </w:pPr>
      <w:r>
        <w:rPr/>
        <w:t xml:space="preserve">Επειδή είναι σημαντικό να δοθεί έμφαση στις ευθύνες των ρυπαινόντων και να ενθαρρυνθούν οι οντότητες να μειώσουν τη ρύπανση μέσω της στόχευσης της μηδενικής ρύπανσης. Είναι απαραίτητο να έχουμε έναν υγιή πλανήτη, καθώς συνδέεται άμεσα με την ευημερία μας και τη μελλοντική μας ύπαρξη. </w:t>
      </w:r>
    </w:p>
    <w:p>
      <w:pPr>
        <w:pStyle w:val="Normal"/>
        <w:rPr/>
      </w:pPr>
      <w:r>
        <w:rPr/>
        <w:t xml:space="preserve"> </w:t>
      </w:r>
    </w:p>
    <w:p>
      <w:pPr>
        <w:pStyle w:val="P68B1DB1Normal15"/>
        <w:rPr>
          <w:b/>
          <w:b/>
        </w:rPr>
      </w:pPr>
      <w:r>
        <w:rPr/>
        <w:t xml:space="preserve">33. Συνιστούμε στην ΕΕ να δημιουργήσει έναν συγκεκριμένο ιστότοπο/πλατφόρμα που θα ελέγχεται από πολλούς εμπειρογνώμονες — με ποικίλες και τακτικά επικαιροποιημένες περιβαλλοντικές επιστημονικές πληροφορίες — ο οποίος θα είναι εύκολα προσβάσιμος και διαφανής για όλους τους πολίτες. Αυτός ο ιστότοπος/πλατφόρμα θα συνδέεται με ένα φόρουμ όπου οι πολίτες και οι εμπειρογνώμονες μπορούν να αλληλεπιδρούν. Συνιστούμε επίσης να ξεκινήσει μια εκστρατεία στα μέσα ενημέρωσης για την προώθηση αυτής της ιστοσελίδας/πλατφόρμας (π.χ. μέσω κοινωνικών μέσων όπως το YouTube, το TikTok και το LinkedIn). </w:t>
      </w:r>
    </w:p>
    <w:p>
      <w:pPr>
        <w:pStyle w:val="Normal"/>
        <w:rPr/>
      </w:pPr>
      <w:r>
        <w:rPr/>
        <w:t xml:space="preserve"> </w:t>
      </w:r>
    </w:p>
    <w:p>
      <w:pPr>
        <w:pStyle w:val="Normal"/>
        <w:rPr/>
      </w:pPr>
      <w:r>
        <w:rPr/>
        <w:t xml:space="preserve">Όλοι οι πολίτες πρέπει να διαθέτουν ανεξάρτητες πηγές πληροφοριών, βάσει επιστημονικών στοιχείων, για να κατανοήσουν τις προκλήσεις που σχετίζονται με την κλιματική αλλαγή (τις συνέπειές της και τα μέτρα που πρέπει να ληφθούν για την αντιστροφή της), καθώς και για την αντιμετώπιση των ψευδών ειδήσεων. Η εκστρατεία των μέσων ενημέρωσης θα αυξήσει την ευαισθητοποίηση σχετικά με την ύπαρξη αυτής της πλατφόρμας/ιστοσελίδας. Είναι επίσης σημαντικό οι πληροφορίες που παρέχονται από την ιστοσελίδα/πλατφόρμα να είναι κατανοητές σε όλους τους πολίτες, με πρόσβαση σε υλικό πηγής για όσους επιθυμούν να εμβαθύνουν το θέμα. </w:t>
      </w:r>
    </w:p>
    <w:p>
      <w:pPr>
        <w:pStyle w:val="Normal"/>
        <w:rPr/>
      </w:pPr>
      <w:r>
        <w:rPr/>
        <w:t xml:space="preserve"> </w:t>
      </w:r>
    </w:p>
    <w:p>
      <w:pPr>
        <w:pStyle w:val="P68B1DB1Normal15"/>
        <w:rPr>
          <w:b/>
          <w:b/>
        </w:rPr>
      </w:pPr>
      <w:r>
        <w:rPr/>
        <w:t xml:space="preserve">34. Συνιστούμε στην ΕΕ να μειώσει την ποσότητα των εισαγόμενων αγαθών που δεν πληρούν τα πρότυπα περιβαλλοντικού αποτυπώματος της ΕΕ. </w:t>
      </w:r>
    </w:p>
    <w:p>
      <w:pPr>
        <w:pStyle w:val="Normal"/>
        <w:rPr/>
      </w:pPr>
      <w:r>
        <w:rPr/>
        <w:t xml:space="preserve"> </w:t>
      </w:r>
    </w:p>
    <w:p>
      <w:pPr>
        <w:pStyle w:val="Normal"/>
        <w:rPr/>
      </w:pPr>
      <w:r>
        <w:rPr/>
        <w:t xml:space="preserve">Με τον τρόπο αυτό, διασφαλίζουμε ότι τα εμπορεύματα που εισάγονται στην ΕΕ έχουν πιο πράσινο αποτύπωμα. Στόχος είναι η μείωση της ρύπανσης σε παγκόσμιο επίπεδο. Είναι επίσης σημαντικό να παρουσιαστούν τα πρότυπα στις χώρες εάν επιθυμούν να εξάγουν αγαθά στην ΕΕ. </w:t>
      </w:r>
    </w:p>
    <w:p>
      <w:pPr>
        <w:pStyle w:val="Normal"/>
        <w:rPr/>
      </w:pPr>
      <w:r>
        <w:rPr/>
        <w:t xml:space="preserve"> </w:t>
      </w:r>
    </w:p>
    <w:p>
      <w:pPr>
        <w:pStyle w:val="P68B1DB1Normal15"/>
        <w:rPr>
          <w:b/>
          <w:b/>
        </w:rPr>
      </w:pPr>
      <w:r>
        <w:rPr/>
        <w:t xml:space="preserve">35. Συνιστούμε στην ΕΕ να ενθαρρύνει, να προωθήσει και να διευκολύνει τον διάλογο για την κλιματική αλλαγή μεταξύ όλων των επιπέδων λήψης αποφάσεων, από πολύ τοπικούς (πολίτες) έως παγκόσμιους (εθνικούς, διεθνείς και διηπειρωτικούς), προκειμένου να αντιμετωπιστούν οι ανησυχίες όλων των ενδιαφερόμενων μερών. </w:t>
      </w:r>
    </w:p>
    <w:p>
      <w:pPr>
        <w:pStyle w:val="Normal"/>
        <w:rPr/>
      </w:pPr>
      <w:r>
        <w:rPr/>
        <w:t xml:space="preserve"> </w:t>
      </w:r>
    </w:p>
    <w:p>
      <w:pPr>
        <w:pStyle w:val="Normal"/>
        <w:rPr/>
      </w:pPr>
      <w:r>
        <w:rPr/>
        <w:t xml:space="preserve">Επειδή ο διάλογος και η συναίνεση είναι ο καλύτερος τρόπος για την αντιμετώπιση των προκλήσεων της κλιματικής αλλαγής: εάν τα μέρη κατανοούν ο ένας τον άλλον, υπάρχει μεγαλύτερη προθυμία να βρουν κοινό έδαφος. </w:t>
      </w:r>
    </w:p>
    <w:p>
      <w:pPr>
        <w:pStyle w:val="Normal"/>
        <w:rPr/>
      </w:pPr>
      <w:r>
        <w:rPr/>
        <w:t xml:space="preserve"> </w:t>
      </w:r>
    </w:p>
    <w:p>
      <w:pPr>
        <w:pStyle w:val="Titre4"/>
        <w:numPr>
          <w:ilvl w:val="3"/>
          <w:numId w:val="2"/>
        </w:numPr>
        <w:rPr/>
      </w:pPr>
      <w:bookmarkStart w:id="170" w:name="__RefHeading___Toc297275_1346298689"/>
      <w:bookmarkEnd w:id="170"/>
      <w:r>
        <w:rPr/>
        <w:t xml:space="preserve">Υποάξονας 4.3 Φιλικές προς το περιβάλλον μεταφορές </w:t>
      </w:r>
    </w:p>
    <w:p>
      <w:pPr>
        <w:pStyle w:val="Normal"/>
        <w:rPr/>
      </w:pPr>
      <w:r>
        <w:rPr>
          <w:b/>
        </w:rPr>
        <w:t>36. Συνιστούμε στην ΕΕ να στηρίξει οικονομικά τα ευρωπαϊκά κράτη μέλη για τη βελτίωση της συνδεσιμότητας στις αγροτικές περιοχές. Αυτό απαιτεί την ανάπτυξη ενός ευρωπαϊκού δικτύου δημόσιων μεταφορών με βάση προσιτές τιμές (προτεραιότητα των σιδηροδρόμων) και κίνητρα για τη χρήση των δημόσιων μεταφορών. Για τον σκοπό αυτό, η συνδεσιμότητα στο διαδίκτυο θα πρέπει επίσης να αναπτυχθεί σε σύντομο και ρεαλιστικό χρονικό πλαίσιο στις αγροτικές περιοχές.</w:t>
      </w:r>
      <w:r>
        <w:rPr/>
        <w:t xml:space="preserve"> </w:t>
      </w:r>
    </w:p>
    <w:p>
      <w:pPr>
        <w:pStyle w:val="Normal"/>
        <w:rPr/>
      </w:pPr>
      <w:r>
        <w:rPr/>
        <w:t xml:space="preserve"> </w:t>
      </w:r>
    </w:p>
    <w:p>
      <w:pPr>
        <w:pStyle w:val="Normal"/>
        <w:rPr/>
      </w:pPr>
      <w:r>
        <w:rPr/>
        <w:t xml:space="preserve">Κάνουμε αυτή τη σύσταση επειδή δεν υπάρχει ισότιμη πρόσβαση στις δημόσιες συγκοινωνίες και τη συνδεσιμότητα στο διαδίκτυο μεταξύ αγροτικών και αστικών περιοχών. Ένα κοινό ευρωπαϊκό σχέδιο θα ενισχυθεί καθώς όλοι οι πολίτες θα αισθανθούν ότι έχουν τα ίδια δικαιώματα. Η ενίσχυση του δικτύου δημόσιων μεταφορών και της συνδεσιμότητας στο διαδίκτυο θα ενθάρρυνε τους ανθρώπους να εγκατασταθούν σε αγροτικές περιοχές. Αυτή η διαδικασία θα μειώσει τη ρύπανση, καθώς λιγότεροι άνθρωποι θα ζουν σε υπερπλήρεις πόλεις. </w:t>
      </w:r>
    </w:p>
    <w:p>
      <w:pPr>
        <w:pStyle w:val="Normal"/>
        <w:rPr/>
      </w:pPr>
      <w:r>
        <w:rPr/>
        <w:t xml:space="preserve"> </w:t>
      </w:r>
    </w:p>
    <w:p>
      <w:pPr>
        <w:pStyle w:val="P68B1DB1Normal15"/>
        <w:rPr>
          <w:b/>
          <w:b/>
        </w:rPr>
      </w:pPr>
      <w:r>
        <w:rPr/>
        <w:t xml:space="preserve">37. Συνιστούμε τη βελτίωση των υφιστάμενων υποδομών μεταφορών που έχουν περιέλθει σε αχρηστία ή μπορούν να βελτιωθούν περαιτέρω από οικολογική άποψη (δημιουργία ηλεκτρικών αμαξοστοιχιών). Η διαδικασία αυτή πρέπει να διεξάγεται με την επιφύλαξη των περιβαλλοντικά προστατευόμενων περιοχών. </w:t>
      </w:r>
    </w:p>
    <w:p>
      <w:pPr>
        <w:pStyle w:val="Normal"/>
        <w:rPr/>
      </w:pPr>
      <w:r>
        <w:rPr/>
        <w:t xml:space="preserve"> </w:t>
      </w:r>
    </w:p>
    <w:p>
      <w:pPr>
        <w:pStyle w:val="Normal"/>
        <w:rPr/>
      </w:pPr>
      <w:r>
        <w:rPr/>
        <w:t>Η βελτίωση των υφιστάμενων υποδομών θα απέτρεπε την υπερβολική δαπάνη πόρων και θα έβλαπτε σημαντικές προστατευόμενες περιοχές για τη διατήρηση της βιοποικιλότητας. Η αύξηση των σιδηροδρομικών υποδομών θα μειώσει τις εκπομπές CO2 και θα</w:t>
      </w:r>
      <w:r>
        <w:rPr>
          <w:vertAlign w:val="subscript"/>
        </w:rPr>
        <w:t>προωθήσει</w:t>
      </w:r>
      <w:r>
        <w:rPr/>
        <w:t xml:space="preserve"> την κινητικότητα των ανθρώπων από τις αστικές προς τις αγροτικές περιοχές. </w:t>
      </w:r>
    </w:p>
    <w:p>
      <w:pPr>
        <w:pStyle w:val="Normal"/>
        <w:rPr/>
      </w:pPr>
      <w:r>
        <w:rPr/>
        <w:t xml:space="preserve"> </w:t>
      </w:r>
    </w:p>
    <w:p>
      <w:pPr>
        <w:pStyle w:val="P68B1DB1Normal15"/>
        <w:rPr>
          <w:b/>
          <w:b/>
        </w:rPr>
      </w:pPr>
      <w:r>
        <w:rPr/>
        <w:t xml:space="preserve">38. Συνιστούμε στην ΕΕ να ενθαρρύνει την αγορά ηλεκτρικών οχημάτων που πληρούν τα πρότυπα καλής διάρκειας ζωής των μπαταριών. Για τον σκοπό αυτό, η ΕΕ θα μπορούσε να λάβει κίνητρα για όλα τα κράτη μέλη και να βελτιώσει τις υποδομές ηλεκτρικής ενέργειας. Ταυτόχρονα, η ΕΕ θα πρέπει να επενδύσει στην ανάπτυξη άλλων καθαρών τεχνολογιών, όπως τα βιοκαύσιμα και το υδρογόνο για οχήματα των οποίων η ηλεκτροκίνηση είναι δύσκολο να επιτευχθεί, όπως τα σκάφη και τα φορτηγά. </w:t>
      </w:r>
    </w:p>
    <w:p>
      <w:pPr>
        <w:pStyle w:val="Normal"/>
        <w:rPr/>
      </w:pPr>
      <w:r>
        <w:rPr/>
        <w:t xml:space="preserve"> </w:t>
      </w:r>
    </w:p>
    <w:p>
      <w:pPr>
        <w:pStyle w:val="Normal"/>
        <w:rPr/>
      </w:pPr>
      <w:r>
        <w:rPr/>
        <w:t xml:space="preserve">Κάνουμε αυτή τη σύσταση επειδή η ηλεκτρική ενέργεια είναι ο γρηγορότερος τρόπος για τη μείωση των εκπομπών των οχημάτων, με άλλες πηγές ενέργειας, όπως το υδρογόνο και τα βιοκαύσιμα. Πράγματι, η ταχύτερη, οικονομική και εφικτή λύση είναι η ηλεκτρική ενέργεια, ακολουθούμενη από τα βιοκαύσιμα. Μακροπρόθεσμα, το πράσινο υδρογόνο θα πρέπει να διαδραματίσει συμπληρωματικό ρόλο στην κάλυψη των τρόπων μεταφοράς που δεν μπορούν να ηλεκτροδοτηθούν. </w:t>
      </w:r>
    </w:p>
    <w:p>
      <w:pPr>
        <w:pStyle w:val="Normal"/>
        <w:rPr/>
      </w:pPr>
      <w:r>
        <w:rPr/>
        <w:t xml:space="preserve"> </w:t>
      </w:r>
    </w:p>
    <w:p>
      <w:pPr>
        <w:pStyle w:val="Titre3"/>
        <w:numPr>
          <w:ilvl w:val="2"/>
          <w:numId w:val="2"/>
        </w:numPr>
        <w:rPr/>
      </w:pPr>
      <w:bookmarkStart w:id="171" w:name="__RefHeading___Toc297277_1346298689"/>
      <w:bookmarkEnd w:id="171"/>
      <w:r>
        <w:rPr/>
        <w:t xml:space="preserve">Άξονας 5 Φροντίδα για όλους </w:t>
      </w:r>
    </w:p>
    <w:p>
      <w:pPr>
        <w:pStyle w:val="Titre4"/>
        <w:numPr>
          <w:ilvl w:val="3"/>
          <w:numId w:val="2"/>
        </w:numPr>
        <w:rPr/>
      </w:pPr>
      <w:bookmarkStart w:id="172" w:name="__RefHeading___Toc297279_1346298689"/>
      <w:bookmarkEnd w:id="172"/>
      <w:r>
        <w:rPr/>
        <w:t xml:space="preserve">Υποάξονας 5.1 Ενίσχυση του συστήματος υγειονομικής περίθαλψης </w:t>
      </w:r>
    </w:p>
    <w:p>
      <w:pPr>
        <w:pStyle w:val="P68B1DB1Normal15"/>
        <w:rPr>
          <w:b/>
          <w:b/>
        </w:rPr>
      </w:pPr>
      <w:r>
        <w:rPr/>
        <w:t xml:space="preserve">39. Συνιστούμε η Ευρωπαϊκή Ένωση να εγγυηθεί κοινά πρότυπα υγείας, αλλά και να υποστηρίξει αξιοπρεπείς κατώτατους μισθούς, μέγιστο ωράριο εργασίας και τα ίδια πρότυπα κατάρτισης, για τα ίδια προσόντα, για τους επαγγελματίες του τομέα της υγείας σε ολόκληρη την Ευρωπαϊκή Ένωση. </w:t>
      </w:r>
    </w:p>
    <w:p>
      <w:pPr>
        <w:pStyle w:val="Normal"/>
        <w:rPr/>
      </w:pPr>
      <w:r>
        <w:rPr/>
        <w:t xml:space="preserve"> </w:t>
      </w:r>
    </w:p>
    <w:p>
      <w:pPr>
        <w:pStyle w:val="Normal"/>
        <w:rPr/>
      </w:pPr>
      <w:r>
        <w:rPr/>
        <w:t xml:space="preserve">Εάν δεν έχουμε κοινά πρότυπα για την υγειονομική περίθαλψη, τους μισθούς και την κοινή κατάρτιση των επαγγελματιών του τομέα της υγείας, οι διαφορές μεταξύ των κρατών μελών θα μπορούσαν να οδηγήσουν σε ανισόρροπες καταστάσεις σε ολόκληρη την Ευρωπαϊκή Ένωση. Η τυποποίηση της υγειονομικής περίθαλψης θα μπορούσε να συμβάλει σε ένα ισχυρότερο, αποτελεσματικότερο και ανθεκτικότερο σύστημα (π.χ. η κρίση COVID-19 όσον αφορά τη σταθερότητα των συστημάτων μας). Θα διευκολύνει επίσης την ανταλλαγή γνώσεων και πληροφοριών στον τομέα των επαγγελματιών του τομέα της υγείας. </w:t>
      </w:r>
    </w:p>
    <w:p>
      <w:pPr>
        <w:pStyle w:val="Normal"/>
        <w:rPr/>
      </w:pPr>
      <w:r>
        <w:rPr/>
        <w:t xml:space="preserve"> </w:t>
      </w:r>
    </w:p>
    <w:p>
      <w:pPr>
        <w:pStyle w:val="P68B1DB1Normal15"/>
        <w:rPr>
          <w:b/>
          <w:b/>
        </w:rPr>
      </w:pPr>
      <w:r>
        <w:rPr/>
        <w:t xml:space="preserve">40. Συνιστούμε στην Ευρωπαϊκή Ένωση να διασφαλίσει ότι οι θεραπείες σε ολόκληρη την ΕΕ είναι ίσης ποιότητας και με δίκαιο τοπικό κόστος. Αυτό θα μπορούσε να διασφαλιστεί, για παράδειγμα μέσω της επέκτασης των αρμοδιοτήτων του Ευρωπαϊκού Οργανισμού Φαρμάκων (EMA) ή της δημιουργίας ενός νέου ευρωπαϊκού οργανισμού δημόσιων συμβάσεων, ο οποίος θα είναι αρμόδιος να διαπραγματεύεται και να επιτυγχάνει καταλληλότερες τιμές για τα φάρμακα για όλα τα κράτη μέλη. Ο κίνδυνος των μονοπωλίων στη φαρμακευτική βιομηχανία πρέπει να ελαχιστοποιηθεί. </w:t>
      </w:r>
    </w:p>
    <w:p>
      <w:pPr>
        <w:pStyle w:val="Normal"/>
        <w:rPr/>
      </w:pPr>
      <w:r>
        <w:rPr/>
        <w:t xml:space="preserve"> </w:t>
      </w:r>
    </w:p>
    <w:p>
      <w:pPr>
        <w:pStyle w:val="Normal"/>
        <w:rPr/>
      </w:pPr>
      <w:r>
        <w:rPr/>
        <w:t xml:space="preserve">Η ισότητα των ιατρικών διατάξεων και της μεταχείρισης στην ΕΕ εγγυάται ίσα δικαιώματα υγείας για όλους τους ευρωπαίους πολίτες. Η αύξηση της αγοραστικής ικανότητας εξασφαλίζει καλύτερες συνθήκες αγοράς. Ωστόσο, αυτό δεν θα πρέπει να οδηγήσει σε μονοπωλιακές δομές και φαρμακευτικές ομάδες συμφερόντων. Η διαχείριση της κρίσης COVID-19 αποτέλεσε καλό παράδειγμα συνεργατικής διαχείρισης της υγείας από την Ευρωπαϊκή Ένωση στο σύνολό της. </w:t>
      </w:r>
    </w:p>
    <w:p>
      <w:pPr>
        <w:pStyle w:val="Normal"/>
        <w:rPr/>
      </w:pPr>
      <w:r>
        <w:rPr/>
        <w:t xml:space="preserve"> </w:t>
      </w:r>
    </w:p>
    <w:p>
      <w:pPr>
        <w:pStyle w:val="P68B1DB1Normal15"/>
        <w:rPr>
          <w:b/>
          <w:b/>
        </w:rPr>
      </w:pPr>
      <w:r>
        <w:rPr/>
        <w:t xml:space="preserve">41. Συνιστούμε τη δημιουργία μιας ευρωπαϊκής βάσης δεδομένων για την υγειονομική περίθαλψη, στην οποία θα υπάρχει πρόσβαση στα ιατρικά αρχεία σε περίπτωση έκτακτης ανάγκης ή ασθένειας. Η συμμετοχή θα πρέπει να είναι προαιρετική και θα πρέπει να διασφαλίζεται η προστασία των δεδομένων προσωπικού χαρακτήρα. </w:t>
      </w:r>
    </w:p>
    <w:p>
      <w:pPr>
        <w:pStyle w:val="Normal"/>
        <w:rPr/>
      </w:pPr>
      <w:r>
        <w:rPr/>
        <w:t xml:space="preserve"> </w:t>
      </w:r>
    </w:p>
    <w:p>
      <w:pPr>
        <w:pStyle w:val="Normal"/>
        <w:rPr/>
      </w:pPr>
      <w:r>
        <w:rPr/>
        <w:t xml:space="preserve">Η πρόσβαση στα δεδομένα και η χρήση των δεδομένων καθιστούν δυνατή την ταχεία αντίδραση σε περιπτώσεις όπου η ζωή βρίσκεται σε κίνδυνο. Η πειρατεία ή η κατάχρηση αποτελούν μείζονες απειλές για ένα τέτοιο ευρωπαϊκό σύστημα βάσεων δεδομένων υγειονομικής περίθαλψης, εξ ου και η ανάγκη για διασφάλιση των δεδομένων, ενώ η συμμετοχή παραμένει προαιρετική, και φυσικά για την πρόληψη απειλών που σχετίζονται με την ασφάλεια. </w:t>
      </w:r>
    </w:p>
    <w:p>
      <w:pPr>
        <w:pStyle w:val="Normal"/>
        <w:rPr/>
      </w:pPr>
      <w:r>
        <w:rPr/>
        <w:t xml:space="preserve"> </w:t>
      </w:r>
    </w:p>
    <w:p>
      <w:pPr>
        <w:pStyle w:val="P68B1DB1Normal15"/>
        <w:rPr>
          <w:b/>
          <w:b/>
        </w:rPr>
      </w:pPr>
      <w:r>
        <w:rPr/>
        <w:t xml:space="preserve">42. Συνιστούμε στην Ευρωπαϊκή Ένωση να συνεχίσει να αναπτύσσει και να συγχρονίζει τα υφιστάμενα προγράμματα έρευνας και καινοτομίας στον τομέα της υγείας, όπως συμβαίνει στο πλαίσιο του υφιστάμενου προγράμματος «Ορίζων Ευρώπη». Τα αποτελέσματα των μελετών θα πρέπει να είναι ελεύθερα διαθέσιμα σε όλα τα κράτη μέλη. </w:t>
      </w:r>
    </w:p>
    <w:p>
      <w:pPr>
        <w:pStyle w:val="Normal"/>
        <w:rPr/>
      </w:pPr>
      <w:r>
        <w:rPr/>
        <w:t xml:space="preserve"> </w:t>
      </w:r>
    </w:p>
    <w:p>
      <w:pPr>
        <w:pStyle w:val="Normal"/>
        <w:rPr/>
      </w:pPr>
      <w:r>
        <w:rPr/>
        <w:t xml:space="preserve">Η επιστημονική συνεργασία σε επίπεδο ΕΕ θα μπορούσε να εμπλουτίσει τις επιστημονικές ικανότητες και τις γνώσεις μεμονωμένων ερευνητών. Η ανταλλαγή γνώσεων θα μπορούσε, για παράδειγμα, να οδηγήσει σε έγκαιρη διάγνωση και καλύτερες θεραπείες για τη μείωση των σοβαρών και θανατηφόρων ασθενειών σε ολόκληρη την Ευρώπη. Θα προωθήσει επίσης την ευρωπαϊκή αυτάρκεια στον τομέα των φαρμάκων και του εξοπλισμού. </w:t>
      </w:r>
    </w:p>
    <w:p>
      <w:pPr>
        <w:pStyle w:val="Normal"/>
        <w:rPr/>
      </w:pPr>
      <w:r>
        <w:rPr/>
        <w:t xml:space="preserve"> </w:t>
      </w:r>
    </w:p>
    <w:p>
      <w:pPr>
        <w:pStyle w:val="P68B1DB1Normal15"/>
        <w:rPr>
          <w:b/>
          <w:b/>
        </w:rPr>
      </w:pPr>
      <w:r>
        <w:rPr/>
        <w:t xml:space="preserve">43. Συνιστούμε στην ΕΕ να αυξήσει τον προϋπολογισμό της για κοινά έργα έρευνας και καινοτομίας στον τομέα της υγείας (χωρίς περικοπές στον προϋπολογισμό σε άλλα προγράμματα της ΕΕ στον τομέα της υγείας). Αυτό θα ενισχύσει επίσης τα ευρωπαϊκά επιστημονικά και ερευνητικά ιδρύματα στο σύνολό τους. </w:t>
      </w:r>
    </w:p>
    <w:p>
      <w:pPr>
        <w:pStyle w:val="Normal"/>
        <w:rPr/>
      </w:pPr>
      <w:r>
        <w:rPr/>
        <w:t xml:space="preserve"> </w:t>
      </w:r>
    </w:p>
    <w:p>
      <w:pPr>
        <w:pStyle w:val="Normal"/>
        <w:rPr/>
      </w:pPr>
      <w:r>
        <w:rPr/>
        <w:t xml:space="preserve">Η έρευνα και οι επενδύσεις στον τομέα της υγείας θα ενισχύσουν μακροπρόθεσμα την προληπτική ιατρική και θα μειώσουν το κόστος που σχετίζεται με την υγεία. Η αύξηση της χρηματοδότησης θα μπορούσε να αποτρέψει την ευρωπαϊκή διαρροή εγκεφάλων σε άλλες ανεπτυγμένες χώρες με υψηλότερους προϋπολογισμούς Ε &amp; Α για την υγεία. Η χρηματοδότηση αυτή δεν θα πρέπει να προέρχεται από τους υφιστάμενους οικονομικούς πόρους για την υγειονομική περίθαλψη. </w:t>
      </w:r>
    </w:p>
    <w:p>
      <w:pPr>
        <w:pStyle w:val="Normal"/>
        <w:rPr/>
      </w:pPr>
      <w:r>
        <w:rPr/>
        <w:t xml:space="preserve"> </w:t>
      </w:r>
    </w:p>
    <w:p>
      <w:pPr>
        <w:pStyle w:val="Titre4"/>
        <w:numPr>
          <w:ilvl w:val="3"/>
          <w:numId w:val="2"/>
        </w:numPr>
        <w:rPr/>
      </w:pPr>
      <w:bookmarkStart w:id="173" w:name="__RefHeading___Toc297281_1346298689"/>
      <w:bookmarkEnd w:id="173"/>
      <w:r>
        <w:rPr/>
        <w:t xml:space="preserve">Υποάξονας 5.2 Μια ευρύτερη άποψη της υγείας </w:t>
      </w:r>
    </w:p>
    <w:p>
      <w:pPr>
        <w:pStyle w:val="P68B1DB1Normal15"/>
        <w:rPr>
          <w:b/>
          <w:b/>
        </w:rPr>
      </w:pPr>
      <w:r>
        <w:rPr/>
        <w:t xml:space="preserve">44. Συνιστούμε τη θέσπιση μιας Εβδομάδας Υγείας ως πρωτοβουλίας της ΕΕ σε όλα τα κράτη μέλη, την ίδια εβδομάδα, αφιερωμένη σε όλα τα θέματα υγείας, με έμφαση στην ψυχική υγεία. Κατά τη διάρκεια αυτής της εβδομάδας, όλα τα σημαντικά θέματα ψυχικής υγείας θα καλυφθούν και θα προωθηθούν συλλογικά, καθώς και άλλες ήδη υπάρχουσες πρωτοβουλίες, όπως αυτές της Ψυχικής Υγείας Ευρώπης. </w:t>
      </w:r>
    </w:p>
    <w:p>
      <w:pPr>
        <w:pStyle w:val="Normal"/>
        <w:rPr/>
      </w:pPr>
      <w:r>
        <w:rPr/>
        <w:t xml:space="preserve"> </w:t>
      </w:r>
    </w:p>
    <w:p>
      <w:pPr>
        <w:pStyle w:val="Normal"/>
        <w:rPr/>
      </w:pPr>
      <w:r>
        <w:rPr/>
        <w:t xml:space="preserve">Κάνουμε αυτή τη σύσταση, διότι όλοι οι ευρωπαίοι πολίτες πρέπει να αισθάνονται αποδεκτοί και συμπεριλαμβανόμενοι, ιδίως εάν πάσχουν από προβλήματα ψυχικής υγείας. Επιπλέον, υπάρχει ανάγκη τυποποίησης και βελτίωσης της ευαισθητοποίησης σχετικά με τα προβλήματα ψυχικής υγείας, καθώς και πρόληψης συναφών κοινωνικών προβλημάτων, όπως οι διακρίσεις. Επιπλέον, καθώς τα προβλήματα ψυχικής υγείας έχουν αυξηθεί με την πανδημία και είναι πιθανό να συνεχιστούν, η πρωτοβουλία αυτή είναι ακόμη πιο σημαντική. </w:t>
      </w:r>
    </w:p>
    <w:p>
      <w:pPr>
        <w:pStyle w:val="Normal"/>
        <w:rPr/>
      </w:pPr>
      <w:r>
        <w:rPr/>
        <w:t xml:space="preserve"> </w:t>
      </w:r>
    </w:p>
    <w:p>
      <w:pPr>
        <w:pStyle w:val="P68B1DB1Normal15"/>
        <w:rPr>
          <w:b/>
          <w:b/>
        </w:rPr>
      </w:pPr>
      <w:r>
        <w:rPr/>
        <w:t xml:space="preserve">45. Συνιστούμε τα προϊόντα υγιεινής των γυναικών να παύσουν να θεωρούνται είδη πολυτελείας από την άποψη της φορολογίας, καθώς είναι βασικά προϊόντα. Συνιστούμε επίσης τα ορμονικά αντισυλληπτικά προϊόντα που χρησιμοποιούνται για ιατρικούς λόγους, όπως η ινομυαλγία και η ενδομητρίωση, να φορολογούνται ως τακτική ιατρική θεραπεία. Συνιστούμε επίσης στην Ευρωπαϊκή Ένωση να ενθαρρύνει την εναρμόνιση της ιατρικώς υποβοηθούμενης αναπαραγωγής για όλες τις γυναίκες (ενιαίες ή έγγαμες) σε όλα τα κράτη μέλη. </w:t>
      </w:r>
    </w:p>
    <w:p>
      <w:pPr>
        <w:pStyle w:val="Normal"/>
        <w:rPr/>
      </w:pPr>
      <w:r>
        <w:rPr/>
        <w:t xml:space="preserve"> </w:t>
      </w:r>
    </w:p>
    <w:p>
      <w:pPr>
        <w:pStyle w:val="Normal"/>
        <w:rPr/>
      </w:pPr>
      <w:r>
        <w:rPr/>
        <w:t xml:space="preserve">Σε ορισμένες ευρωπαϊκές χώρες, τα προϊόντα υγιεινής των γυναικών φορολογούνται ως αγαθά πολυτελείας, πράγμα που είναι άδικο. Ορισμένα ορμονικά αντισυλληπτικά χρησιμοποιούνται για ιατρικούς σκοπούς και ως εκ τούτου θα πρέπει να φορολογούνται αναλόγως. Επειδή οι αναπαραγωγικές θεραπείες για τις γυναίκες, όπως η εξωσωματική γονιμοποίηση και οι μέθοδοι κατάψυξης ωαρίων, έχουν διαφορετικούς όρους επιλεξιμότητας μεταξύ των κρατών μελών, και η Ευρωπαϊκή Ένωση πρέπει να καταβάλει προσπάθειες για την εναρμόνισή τους. </w:t>
      </w:r>
    </w:p>
    <w:p>
      <w:pPr>
        <w:pStyle w:val="Normal"/>
        <w:rPr/>
      </w:pPr>
      <w:r>
        <w:rPr/>
        <w:t xml:space="preserve"> </w:t>
      </w:r>
    </w:p>
    <w:p>
      <w:pPr>
        <w:pStyle w:val="P68B1DB1Normal15"/>
        <w:rPr>
          <w:b/>
          <w:b/>
        </w:rPr>
      </w:pPr>
      <w:r>
        <w:rPr/>
        <w:t xml:space="preserve">46. Συνιστούμε στην Ευρωπαϊκή Ένωση να υιοθετήσει μια σταθερή θέση για να ενθαρρύνει όλα τα κράτη μέλη να συμπεριλάβουν στα σχολικά τους προγράμματα, κατά περίπτωση, θέματα σχετικά με την ψυχική υγεία και τη σεξουαλική διαπαιδαγώγηση. Για να βοηθήσει τα κράτη μέλη να υιοθετήσουν αυτά τα θέματα στα σχολικά προγράμματα, η Ευρωπαϊκή Ένωση θα πρέπει να αναπτύξει και να διαθέσει ένα τυποποιημένο πρόγραμμα για την ψυχική υγεία και τα σεξουαλικά θέματα. </w:t>
      </w:r>
    </w:p>
    <w:p>
      <w:pPr>
        <w:pStyle w:val="Normal"/>
        <w:rPr/>
      </w:pPr>
      <w:r>
        <w:rPr/>
        <w:t xml:space="preserve"> </w:t>
      </w:r>
    </w:p>
    <w:p>
      <w:pPr>
        <w:pStyle w:val="Normal"/>
        <w:rPr/>
      </w:pPr>
      <w:r>
        <w:rPr/>
        <w:t xml:space="preserve">Υπάρχει ανάγκη να μειωθούν οι διακρίσεις και τα ταμπού όσον αφορά τα προβλήματα ψυχικής υγείας. Η παραπληροφόρηση και οι μη επιστημονικές προσεγγίσεις πρέπει επίσης να αποφεύγονται. Επιπλέον, η σεξουαλική διαπαιδαγώγηση είναι θεμελιώδης για μια υγιή ζωή και κοινότητα και αποτρέπει προβλήματα όπως οι εφηβικές εγκυμοσύνες. </w:t>
      </w:r>
    </w:p>
    <w:p>
      <w:pPr>
        <w:pStyle w:val="Normal"/>
        <w:rPr/>
      </w:pPr>
      <w:r>
        <w:rPr/>
        <w:t xml:space="preserve"> </w:t>
      </w:r>
    </w:p>
    <w:p>
      <w:pPr>
        <w:pStyle w:val="P68B1DB1Normal15"/>
        <w:rPr>
          <w:b/>
          <w:b/>
        </w:rPr>
      </w:pPr>
      <w:r>
        <w:rPr/>
        <w:t xml:space="preserve">47. Συνιστούμε στην Ευρωπαϊκή Ένωση να αναπτύξει ένα καλύτερο σύστημα επικοινωνίας για όλες τις πρωτοβουλίες της στον τομέα της ψυχικής υγείας, δηλαδή τη διαδικτυακή πύλη για τη δημόσια υγεία σχετικά με τις βέλτιστες πρακτικές, εντός των κρατών μελών και για όλους τους πολίτες. Οι ευρωβουλευτές θα μπορούσαν να παρουσιάσουν αυτές τις βέλτιστες πρακτικές μεταξύ τους προκειμένου να τις καταστήσουν περισσότερο γνωστές σε όλα τα κράτη μέλη. </w:t>
      </w:r>
    </w:p>
    <w:p>
      <w:pPr>
        <w:pStyle w:val="Normal"/>
        <w:rPr/>
      </w:pPr>
      <w:r>
        <w:rPr/>
        <w:t xml:space="preserve"> </w:t>
      </w:r>
    </w:p>
    <w:p>
      <w:pPr>
        <w:pStyle w:val="Normal"/>
        <w:rPr/>
      </w:pPr>
      <w:r>
        <w:rPr/>
        <w:t xml:space="preserve">Οι πολίτες δεν είναι καλά ενημερωμένοι σχετικά με τις πρωτοβουλίες της ΕΕ και η ανταλλαγή βέλτιστων πρακτικών μας επιτρέπει να διδαχθούμε ο ένας από τον άλλον. </w:t>
      </w:r>
    </w:p>
    <w:p>
      <w:pPr>
        <w:pStyle w:val="Normal"/>
        <w:rPr/>
      </w:pPr>
      <w:r>
        <w:rPr/>
        <w:t xml:space="preserve"> </w:t>
      </w:r>
    </w:p>
    <w:p>
      <w:pPr>
        <w:pStyle w:val="Titre4"/>
        <w:numPr>
          <w:ilvl w:val="3"/>
          <w:numId w:val="2"/>
        </w:numPr>
        <w:rPr/>
      </w:pPr>
      <w:bookmarkStart w:id="174" w:name="__RefHeading___Toc297283_1346298689"/>
      <w:bookmarkEnd w:id="174"/>
      <w:r>
        <w:rPr/>
        <w:t xml:space="preserve">Υποάξονας 5.3 Ίση πρόσβαση στην υγεία για όλους </w:t>
      </w:r>
    </w:p>
    <w:p>
      <w:pPr>
        <w:pStyle w:val="P68B1DB1Normal15"/>
        <w:rPr>
          <w:b/>
          <w:b/>
        </w:rPr>
      </w:pPr>
      <w:r>
        <w:rPr/>
        <w:t xml:space="preserve">48. Συνιστούμε στην ΕΕ να θεσπίσει και να προωθήσει ελάχιστα πρότυπα για την ποιοτική οδοντιατρική περίθαλψη, συμπεριλαμβανομένης της προφύλαξης, για όλα τα κράτη μέλη της ΕΕ. Τα παιδιά, οι ομάδες χαμηλού εισοδήματος και άλλες ευάλωτες ομάδες θα πρέπει να λαμβάνουν δωρεάν οδοντιατρική περίθαλψη. Εντός 15-20 ετών, η ΕΕ θα πρέπει να διασφαλίσει ότι η προσιτή οδοντιατρική περίθαλψη είναι προσβάσιμη σε όλους. </w:t>
      </w:r>
    </w:p>
    <w:p>
      <w:pPr>
        <w:pStyle w:val="Normal"/>
        <w:rPr/>
      </w:pPr>
      <w:r>
        <w:rPr/>
        <w:t xml:space="preserve"> </w:t>
      </w:r>
    </w:p>
    <w:p>
      <w:pPr>
        <w:pStyle w:val="Normal"/>
        <w:rPr/>
      </w:pPr>
      <w:r>
        <w:rPr/>
        <w:t xml:space="preserve">Κάνουμε αυτή τη σύσταση, διότι η οδοντιατρική περίθαλψη δεν είναι επί του παρόντος προσιτή για πολλούς ανθρώπους που ζουν στην ΕΕ. Η απουσία οδοντιατρικής περίθαλψης και οδοντιατρικής προφύλαξης είναι επιζήμια για την υγεία και τις προοπτικές ζωής τους. Η ΕΕ θα πρέπει να ξεκινήσει θεσπίζοντας ένα ελάχιστο πρότυπο για την οδοντιατρική περίθαλψη και να απαιτήσει δωρεάν οδοντιατρική περίθαλψη για τα παιδιά και τις ομάδες χαμηλού εισοδήματος. Τελικά, όλοι θα πρέπει να δικαιούνται ποιοτική οδοντιατρική περίθαλψη. </w:t>
      </w:r>
    </w:p>
    <w:p>
      <w:pPr>
        <w:pStyle w:val="Normal"/>
        <w:rPr/>
      </w:pPr>
      <w:r>
        <w:rPr/>
        <w:t xml:space="preserve"> </w:t>
      </w:r>
    </w:p>
    <w:p>
      <w:pPr>
        <w:pStyle w:val="P68B1DB1Normal15"/>
        <w:rPr>
          <w:b/>
          <w:b/>
        </w:rPr>
      </w:pPr>
      <w:r>
        <w:rPr/>
        <w:t xml:space="preserve">49. Συνιστούμε τη συμπερίληψη της υγείας και της υγειονομικής περίθαλψης στις κοινές αρμοδιότητες μεταξύ της ΕΕ και των κρατών μελών της. Για να συμπεριληφθεί αυτή η νέα συντρέχουσα αρμοδιότητα, είναι αναγκαίο να τροποποιηθεί το άρθρο 4 της Συνθήκης για τη λειτουργία της Ευρωπαϊκής Ένωσης (ΣΛΕΕ). </w:t>
      </w:r>
    </w:p>
    <w:p>
      <w:pPr>
        <w:pStyle w:val="Normal"/>
        <w:rPr/>
      </w:pPr>
      <w:r>
        <w:rPr/>
        <w:t xml:space="preserve"> </w:t>
      </w:r>
    </w:p>
    <w:p>
      <w:pPr>
        <w:pStyle w:val="Normal"/>
        <w:rPr/>
      </w:pPr>
      <w:r>
        <w:rPr/>
        <w:t xml:space="preserve">Κάνουμε αυτή τη σύσταση, διότι η Ευρωπαϊκή Ένωση δεν διαθέτει επί του παρόντος επαρκείς εξουσίες για να νομοθετήσει στον τομέα της υγειονομικής περίθαλψης. Η πανδημία COVID-19 κατέδειξε την ανάγκη για αυξημένη παρουσία της ΕΕ στις πολιτικές για την υγεία. Αυτή η τροποποίηση της Συνθήκης θα επιτρέψει στην ΕΕ να κάνει περισσότερα για να διασφαλίσει την υγειονομική περίθαλψη για όλους τους πολίτες της ΕΕ και να εκδώσει δεσμευτικούς κανονισμούς και αποφάσεις. </w:t>
      </w:r>
    </w:p>
    <w:p>
      <w:pPr>
        <w:pStyle w:val="Normal"/>
        <w:rPr/>
      </w:pPr>
      <w:r>
        <w:rPr/>
        <w:t xml:space="preserve"> </w:t>
      </w:r>
    </w:p>
    <w:p>
      <w:pPr>
        <w:pStyle w:val="P68B1DB1Normal15"/>
        <w:rPr>
          <w:b/>
          <w:b/>
        </w:rPr>
      </w:pPr>
      <w:r>
        <w:rPr/>
        <w:t xml:space="preserve">50. Συνιστούμε στην ΕΕ να προσφέρει δωρεάν μαθήματα πρώτων βοηθειών σε όλους τους πολίτες της ΕΕ. Η ΕΕ θα μπορούσε να εξετάσει το ενδεχόμενο να καταστήσει τα μαθήματα αυτά υποχρεωτικά για τους φοιτητές και τον χώρο εργασίας (τόσο στον δημόσιο όσο και στον ιδιωτικό τομέα). Τα μαθήματα αυτά πρέπει επίσης να είναι πρακτικά, επαναλαμβανόμενα και προσαρμοσμένα στην ηλικία των μαθητών. Ένας ελάχιστος αριθμός απινιδωτών θα πρέπει επίσης να είναι διαθέσιμος σε δημόσιους χώρους σε όλα τα κράτη μέλη της ΕΕ. </w:t>
      </w:r>
    </w:p>
    <w:p>
      <w:pPr>
        <w:pStyle w:val="Normal"/>
        <w:rPr/>
      </w:pPr>
      <w:r>
        <w:rPr/>
        <w:t xml:space="preserve"> </w:t>
      </w:r>
    </w:p>
    <w:p>
      <w:pPr>
        <w:pStyle w:val="Normal"/>
        <w:rPr/>
      </w:pPr>
      <w:r>
        <w:rPr/>
        <w:t xml:space="preserve">Το συνιστούμε επειδή πολλοί στην Ευρωπαϊκή Ένωση δεν είναι διατεθειμένοι να δράσουν όταν ένα άτομο χρειάζεται βοήθεια και επειδή δεν γνωρίζει τεχνικές πρώτων βοηθειών. Γι’ αυτό χάνονται πολλές ζωές. Σε ορισμένους δημόσιους χώρους, δεν υπάρχει απινιδωτής. </w:t>
      </w:r>
    </w:p>
    <w:p>
      <w:pPr>
        <w:pStyle w:val="Normal"/>
        <w:rPr/>
      </w:pPr>
      <w:r>
        <w:rPr/>
        <w:t xml:space="preserve"> </w:t>
      </w:r>
    </w:p>
    <w:p>
      <w:pPr>
        <w:pStyle w:val="P68B1DB1Normal15"/>
        <w:rPr>
          <w:b/>
          <w:b/>
        </w:rPr>
      </w:pPr>
      <w:r>
        <w:rPr/>
        <w:t xml:space="preserve">51. Συνιστούμε στην Ευρωπαϊκή Ένωση να διασφαλίσει ότι οι ιδιωτικοί πάροχοι υγειονομικής περίθαλψης δεν επωφελούνται αδικαιολόγητα από δημόσιους πόρους και δεν αξιοποιούν τους πόρους των δημόσιων συστημάτων υγείας. Η Ευρωπαϊκή Ένωση θα πρέπει να προβεί σε αυστηρές συστάσεις προς τα κράτη μέλη για αύξηση της χρηματοδότησης για τη δημόσια υγειονομική περίθαλψη. </w:t>
      </w:r>
    </w:p>
    <w:p>
      <w:pPr>
        <w:pStyle w:val="Normal"/>
        <w:rPr/>
      </w:pPr>
      <w:r>
        <w:rPr/>
        <w:t xml:space="preserve"> </w:t>
      </w:r>
    </w:p>
    <w:p>
      <w:pPr>
        <w:pStyle w:val="Normal"/>
        <w:rPr/>
      </w:pPr>
      <w:r>
        <w:rPr/>
        <w:t xml:space="preserve">Κάνουμε αυτή τη σύσταση, διότι η Ευρωπαϊκή Ένωση και τα κράτη μέλη της έχουν την υποχρέωση να διασφαλίσουν την πρόσβαση στην υγειονομική περίθαλψη για όλους τους πολίτες τους. Επιπλέον, ένα ισχυρότερο σύστημα δημόσιας υγείας απαιτεί επίσης καλύτερη ετοιμότητα για μελλοντικές πανδημίες. </w:t>
      </w:r>
    </w:p>
    <w:p>
      <w:pPr>
        <w:pStyle w:val="Normal"/>
        <w:rPr/>
      </w:pPr>
      <w:r>
        <w:rPr/>
        <w:t xml:space="preserve"> </w:t>
      </w:r>
    </w:p>
    <w:p>
      <w:pPr>
        <w:pStyle w:val="Titre3"/>
        <w:numPr>
          <w:ilvl w:val="2"/>
          <w:numId w:val="2"/>
        </w:numPr>
        <w:rPr/>
      </w:pPr>
      <w:bookmarkStart w:id="175" w:name="__RefHeading___Toc297285_1346298689"/>
      <w:bookmarkEnd w:id="175"/>
      <w:r>
        <w:rPr/>
        <w:t xml:space="preserve">Παράρτημα: ΆΛΛΕΣ ΣΥΣΤΆΣΕΙΣ ΠΟΥ ΕΞΕΤΆΣΤΗΚΑΝ ΑΠΌ ΤΗΝ ΕΠΙΤΡΟΠΉ ΚΑΙ ΟΙ ΟΠΟΊΕΣ ΔΕΝ ΕΓΚΡΊΘΗΚΑΝ </w:t>
      </w:r>
    </w:p>
    <w:p>
      <w:pPr>
        <w:pStyle w:val="Titre4"/>
        <w:numPr>
          <w:ilvl w:val="3"/>
          <w:numId w:val="2"/>
        </w:numPr>
        <w:rPr/>
      </w:pPr>
      <w:bookmarkStart w:id="176" w:name="__RefHeading___Toc297287_1346298689"/>
      <w:bookmarkEnd w:id="176"/>
      <w:r>
        <w:rPr/>
        <w:t xml:space="preserve">Άξονας 1: Καλύτεροι τρόποι ζωής </w:t>
      </w:r>
    </w:p>
    <w:p>
      <w:pPr>
        <w:pStyle w:val="Normal"/>
        <w:rPr/>
      </w:pPr>
      <w:r>
        <w:rPr/>
        <w:t xml:space="preserve">Υποάξονας 1.1 Υγιής τρόπος ζωής </w:t>
      </w:r>
    </w:p>
    <w:p>
      <w:pPr>
        <w:pStyle w:val="P68B1DB1Normal15"/>
        <w:rPr>
          <w:b/>
          <w:b/>
        </w:rPr>
      </w:pPr>
      <w:r>
        <w:rPr/>
        <w:t xml:space="preserve">Συνιστούμε στην ΕΕ να αποστείλει σύσταση σε όλα τα κράτη μέλη σχετικά με τις βέλτιστες πρακτικές για την απαγόρευση ή τον περιορισμό της διαφήμισης οινοπνεύματος και καπνού σε όλες τις μορφές μέσων ενημέρωσης και για όλες τις ηλικιακές ομάδες, αλλά με ιδιαίτερη προσοχή στο νεανικό κοινό. Η ΕΕ θα πρέπει να διασφαλίσει την επιβολή της νομοθεσίας που περιορίζει την πώληση των προϊόντων αυτών σε ανηλίκους. Όλα τα κράτη μέλη θα πρέπει να διασφαλίσουν την εφαρμογή, με κυρώσεις, των νομικών διατάξεων για το κάπνισμα στους δημόσιους χώρους, ιδίως στα σχολεία, και να δημιουργήσουν χώρους που προορίζονται για τους καπνιστές. </w:t>
      </w:r>
    </w:p>
    <w:p>
      <w:pPr>
        <w:pStyle w:val="Normal"/>
        <w:rPr/>
      </w:pPr>
      <w:r>
        <w:rPr/>
        <w:t xml:space="preserve"> </w:t>
      </w:r>
    </w:p>
    <w:p>
      <w:pPr>
        <w:pStyle w:val="Normal"/>
        <w:rPr/>
      </w:pPr>
      <w:r>
        <w:rPr/>
        <w:t xml:space="preserve">Ο τρόπος ζωής που είναι επιβλαβής για την υγεία δεν μπορεί να εμφανιστεί στη διαφήμιση και θα πρέπει να είναι λιγότερο ορατός στη δημόσια ζωή. Επιπλέον, δεδομένου ότι το οινόπνευμα και ο καπνός συγκαταλέγονται μεταξύ των πλέον χρησιμοποιούμενων επιβλαβών ουσιών, η σύσταση αυτή θα αποτρέψει την κατάχρηση τους. </w:t>
      </w:r>
    </w:p>
    <w:p>
      <w:pPr>
        <w:pStyle w:val="Normal"/>
        <w:rPr/>
      </w:pPr>
      <w:r>
        <w:rPr/>
        <w:t xml:space="preserve"> </w:t>
      </w:r>
    </w:p>
    <w:p>
      <w:pPr>
        <w:pStyle w:val="P68B1DB1Normal15"/>
        <w:rPr>
          <w:b/>
          <w:b/>
        </w:rPr>
      </w:pPr>
      <w:r>
        <w:rPr/>
        <w:t xml:space="preserve">Συνιστούμε στην ΕΕ να ενθαρρύνει τα κράτη μέλη να συμπεριλάβουν μαθήματα στα εθνικά σχολικά προγράμματα σπουδών για να μάθουν πώς να μαγειρεύουν με βιώσιμο, υγιεινό και γευστικό τρόπο. Για τον σκοπό αυτό, η ΕΕ μπορεί να καταστήσει διαθέσιμους οδηγούς υγιεινής μαγειρικής τόσο στο διαδίκτυο όσο και σε έντυπη μορφή. Η προσέγγιση των νέων θα πρέπει να γίνεται μέσω της ενεργού διαφήμισης στα παραδοσιακά και στα μέσα κοινωνικής δικτύωσης. Θα πρέπει επίσης να εκπαιδεύσουμε τους γονείς να μάθουν πώς να χρησιμοποιούν καλύτερα τα τρόφιμα για να υιοθετήσουν έναν υγιεινό τρόπο ζωής. Η έρευνα σε αυτόν τον τομέα θα πρέπει να προωθηθεί και να εμπλουτιστεί. </w:t>
      </w:r>
    </w:p>
    <w:p>
      <w:pPr>
        <w:pStyle w:val="Normal"/>
        <w:rPr/>
      </w:pPr>
      <w:r>
        <w:rPr/>
        <w:t xml:space="preserve"> </w:t>
      </w:r>
    </w:p>
    <w:p>
      <w:pPr>
        <w:pStyle w:val="Normal"/>
        <w:rPr/>
      </w:pPr>
      <w:r>
        <w:rPr/>
        <w:t xml:space="preserve">Η διοργάνωση μαθημάτων μαγειρικής και διατροφής στο σχολείο θα βελτιώσει την υγεία των νέων και θα αποθαρρύνει την κατανάλωση γρήγορου φαγητού. Η εκπαίδευση των νέων θα τους επέτρεπε να εξηγήσουν στους γονείς τους τι έμαθαν. Επιπλέον, η εκπαίδευση των γονέων σχετικά με τον υγιεινό τρόπο ζωής θα τους επέτρεπε να δώσουν το παράδειγμα στα παιδιά τους. </w:t>
      </w:r>
    </w:p>
    <w:p>
      <w:pPr>
        <w:pStyle w:val="Normal"/>
        <w:rPr/>
      </w:pPr>
      <w:r>
        <w:rPr/>
      </w:r>
    </w:p>
    <w:p>
      <w:pPr>
        <w:pStyle w:val="P68B1DB1Normal15"/>
        <w:rPr>
          <w:b/>
          <w:b/>
        </w:rPr>
      </w:pPr>
      <w:r>
        <w:rPr/>
        <w:t xml:space="preserve">Συνιστούμε την ενίσχυση της δημόσιας εκστρατείας της Ευρωπαϊκής Επιτροπής για υγιεινούς τρόπους ζωής, HealthyLifestyle4All, και τον θετικό αντίκτυπο της κοινωνικής δραστηριότητας μέσω συγκεκριμένων παραδειγμάτων και μιας ολοκληρωμένης στρατηγικής. Θα πρέπει να καθοριστούν ενημερωτικές εκστρατείες για καλά διαρθρωμένες ομάδες-στόχους και θα πρέπει να επιλέγονται κατάλληλα μέσα επικοινωνίας για καθεμία από αυτές τις ομάδες. Επιπλέον, είναι σημαντικό να τεθούν σε εφαρμογή συστήματα επιβράβευσης και παροχής κινήτρων για την προώθηση θετικής συμπεριφοράς. Οι εκστρατείες θα πρέπει να περιλαμβάνουν παράγοντες επιρροής, διασημότητες ή αρχές. Πρέπει να τονιστούν τα διπλά οφέλη για την υγεία, το περιβάλλον και το κλίμα. Επιπλέον, θα πρέπει να διατίθενται επιχορηγήσεις σε όλα τα κράτη μέλη για την προώθηση δωρεάν δημόσιων αθλητικών υποδομών. </w:t>
      </w:r>
    </w:p>
    <w:p>
      <w:pPr>
        <w:pStyle w:val="Normal"/>
        <w:rPr/>
      </w:pPr>
      <w:r>
        <w:rPr/>
        <w:t xml:space="preserve"> </w:t>
      </w:r>
    </w:p>
    <w:p>
      <w:pPr>
        <w:pStyle w:val="Normal"/>
        <w:rPr/>
      </w:pPr>
      <w:r>
        <w:rPr/>
        <w:t xml:space="preserve">Οι υγιέστεροι τρόποι ζωής έχουν θετική επίδραση στο σύστημα υγειονομικής περίθαλψης, επειδή μειώνουν τα προβλήματα υγείας. Η σωματική υγεία επηρεάζει την ψυχική υγεία και την ευτυχία. Οι τρέχουσες εκστρατείες δεν είναι επαρκώς γνωστές. Είναι πιο αποτελεσματικοί και παρακινητικοί όταν οι προσωπικότητες και οι επιρροές συνδέονται με αυτό. </w:t>
      </w:r>
    </w:p>
    <w:p>
      <w:pPr>
        <w:pStyle w:val="Normal"/>
        <w:rPr/>
      </w:pPr>
      <w:r>
        <w:rPr/>
        <w:t xml:space="preserve"> </w:t>
      </w:r>
    </w:p>
    <w:p>
      <w:pPr>
        <w:pStyle w:val="P68B1DB1Normal15"/>
        <w:rPr>
          <w:b/>
          <w:b/>
        </w:rPr>
      </w:pPr>
      <w:r>
        <w:rPr/>
        <w:t xml:space="preserve">Προτείνουμε μια ενημερωτική εκστρατεία για την υγιεινή διατροφή και τη διατροφή. Η ΕΕ θα πρέπει να ενθαρρύνει την αύξηση της φορολόγησης του κρέατος και της ζάχαρης στα κράτη μέλη. Θα πρέπει να εξετάζει τις δυνατότητες διάκρισης μεταξύ υγιεινών και επιβλαβών τροφίμων και να εφαρμόζει διαφοροποιημένο ΦΠΑ σε αυτά. Συνιστούμε να τοποθετήσετε πολύ σαφή προειδοποιητικά σήματα σε προϊόντα που είναι πολύ επιβλαβή για την υγεία (όπως τα προϊόντα καπνού). Επιπλέον, συνιστούμε ένα πανευρωπαϊκό σύστημα διατροφικής βαθμολογίας, το οποίο θα παρέχει σχετικές πληροφορίες και κωδικό QR που θα επιτρέπει στους καταναλωτές να λαμβάνουν καλύτερα τεκμηριωμένες αποφάσεις. Εξερευνήστε ευκαιρίες για να κάνετε τα υγιεινά τρόφιμα φθηνότερα από τα πρόχειρα τρόφιμα και ενθαρρύνετε περαιτέρω τους αγρότες να παράγουν υγιεινά προϊόντα. </w:t>
      </w:r>
    </w:p>
    <w:p>
      <w:pPr>
        <w:pStyle w:val="Normal"/>
        <w:rPr/>
      </w:pPr>
      <w:r>
        <w:rPr/>
        <w:t xml:space="preserve"> </w:t>
      </w:r>
    </w:p>
    <w:p>
      <w:pPr>
        <w:pStyle w:val="Normal"/>
        <w:rPr/>
      </w:pPr>
      <w:r>
        <w:rPr/>
        <w:t xml:space="preserve">Η υγιεινή διατροφή είναι η βάση μιας υγιούς ζωής. Είναι απαραίτητο να παρέμβει τόσο από την πλευρά του παραγωγού όσο και από την πλευρά του καταναλωτή. Η παραγωγή υγιεινών προϊόντων έχει επίσης θετικές επιπτώσεις στο περιβάλλον και μπορεί να βοηθήσει στη στήριξη των τοπικών γεωργών. Εάν αυξηθεί η παραγωγή υγιεινών τροφίμων, οι τιμές μειώνονται και η ζήτηση αυξάνεται. </w:t>
      </w:r>
    </w:p>
    <w:p>
      <w:pPr>
        <w:pStyle w:val="Normal"/>
        <w:rPr/>
      </w:pPr>
      <w:r>
        <w:rPr/>
        <w:t xml:space="preserve"> </w:t>
      </w:r>
    </w:p>
    <w:p>
      <w:pPr>
        <w:pStyle w:val="Normal"/>
        <w:rPr/>
      </w:pPr>
      <w:r>
        <w:rPr/>
        <w:t xml:space="preserve">Υποάξονας 1.2 Περιβαλλοντική εκπαίδευση </w:t>
      </w:r>
    </w:p>
    <w:p>
      <w:pPr>
        <w:pStyle w:val="P68B1DB1Normal15"/>
        <w:rPr>
          <w:b/>
          <w:b/>
        </w:rPr>
      </w:pPr>
      <w:r>
        <w:rPr/>
        <w:t xml:space="preserve">Συνιστούμε στην ΕΕ να δημιουργήσει έναν μηχανισμό χρηματοδότησης για την προώθηση της ενσωμάτωσης ενός μακροπρόθεσμου προγράμματος περιβαλλοντικής εκπαίδευσης στα εθνικά εκπαιδευτικά συστήματα για τα παιδιά της πρωτοβάθμιας και δευτεροβάθμιας εκπαίδευσης. Αυτός ο μηχανισμός χρηματοδότησης θα πρέπει να περιλαμβάνει χρηματοδότηση για γονείς που χρειάζονται οικονομική βοήθεια. </w:t>
      </w:r>
    </w:p>
    <w:p>
      <w:pPr>
        <w:pStyle w:val="Normal"/>
        <w:rPr/>
      </w:pPr>
      <w:r>
        <w:rPr/>
        <w:t xml:space="preserve"> </w:t>
      </w:r>
    </w:p>
    <w:p>
      <w:pPr>
        <w:pStyle w:val="Normal"/>
        <w:rPr/>
      </w:pPr>
      <w:r>
        <w:rPr/>
        <w:t xml:space="preserve">Τα τρέχοντα εκπαιδευτικά συστήματα δεν περιέχουν αρκετά πρακτικά στοιχεία που διευκολύνουν τις άμεσες και βαθιές αλληλεπιδράσεις μεταξύ των παιδιών και του περιβάλλοντος. Τα υφιστάμενα προγράμματα, σχεδιασμένα από βραχυπρόθεσμη σκοπιά, είναι ετερογενή και δεν προωθούν την αναγκαία αλλαγή στάσης. Οι γονείς θα πρέπει να υποστηρίζονται ώστε να διασφαλίζεται ότι όλα τα παιδιά μπορούν να επωφεληθούν εξίσου από το πρόγραμμα και ότι κανένα δεν αποκλείεται για οικονομικούς λόγους. </w:t>
      </w:r>
    </w:p>
    <w:p>
      <w:pPr>
        <w:pStyle w:val="Normal"/>
        <w:rPr/>
      </w:pPr>
      <w:r>
        <w:rPr/>
        <w:t xml:space="preserve"> </w:t>
      </w:r>
    </w:p>
    <w:p>
      <w:pPr>
        <w:pStyle w:val="Titre4"/>
        <w:numPr>
          <w:ilvl w:val="3"/>
          <w:numId w:val="2"/>
        </w:numPr>
        <w:rPr/>
      </w:pPr>
      <w:bookmarkStart w:id="177" w:name="__RefHeading___Toc297289_1346298689"/>
      <w:bookmarkEnd w:id="177"/>
      <w:r>
        <w:rPr/>
        <w:t xml:space="preserve">Άξονας 2: Προστασία του περιβάλλοντος και της υγείας μας </w:t>
      </w:r>
    </w:p>
    <w:p>
      <w:pPr>
        <w:pStyle w:val="Normal"/>
        <w:rPr/>
      </w:pPr>
      <w:r>
        <w:rPr/>
        <w:t xml:space="preserve">Υποάξονας 2.1 Ένα υγιές φυσικό περιβάλλον </w:t>
      </w:r>
    </w:p>
    <w:p>
      <w:pPr>
        <w:pStyle w:val="P68B1DB1Normal15"/>
        <w:rPr>
          <w:b/>
          <w:b/>
        </w:rPr>
      </w:pPr>
      <w:r>
        <w:rPr/>
        <w:t xml:space="preserve">Συνιστούμε την άμεση εφαρμογή του υψηλότερου δυνατού προτύπου ποιότητας των υδάτων σε ολόκληρη την ΕΕ. Για να εξοικονομήσουμε νερό, προσφέρουμε ένα σύστημα ανταμοιβής που βασίζεται στην τιμολόγηση του νερού για να ενθαρρύνουμε και να ενθαρρύνουμε τη λιγότερη κατανάλωση, για παράδειγμα: 1) με τη δημιουργία ενός δυναμικού συστήματος που αποθαρρύνει τους καταναλωτές από την υπέρβαση της μέσης κατανάλωσης νερού (για παράδειγμα, η αύξηση της κατανάλωσης νερού κατά 10 % οδηγεί σε αύξηση της τιμής κατά 11 %), 2) με τη δημιουργία ενός συστήματος αγοράς για τις ποσοστώσεις για το νερό που ρυπαίνεται από τις μεταποιητικές εταιρείες, το οποίο θα ήταν παρόμοιο με την αγορά αδειών άνθρακα που ισχύουν ήδη. </w:t>
      </w:r>
    </w:p>
    <w:p>
      <w:pPr>
        <w:pStyle w:val="Normal"/>
        <w:rPr/>
      </w:pPr>
      <w:r>
        <w:rPr/>
        <w:t xml:space="preserve"> </w:t>
      </w:r>
    </w:p>
    <w:p>
      <w:pPr>
        <w:pStyle w:val="Normal"/>
        <w:rPr/>
      </w:pPr>
      <w:r>
        <w:rPr/>
        <w:t xml:space="preserve">Η σύσταση αυτή δικαιολογείται από το γεγονός ότι οι αυξήσεις των τιμών ενθαρρύνουν όλους τους χρήστες να λαμβάνουν καλύτερα τεκμηριωμένες αποφάσεις. Δεδομένης της διαφορετικής πραγματικότητας των χωρών της ΕΕ και προκειμένου να επιτευχθεί ένα κοινωνικά δίκαιο σύστημα, μπορούμε να στηρίξουμε τους φτωχότερους ανθρώπους στη διαχείριση των υδάτων τους μέσω της συνεπένδυσης σε υποδομές ύδρευσης και έρευνας. </w:t>
      </w:r>
    </w:p>
    <w:p>
      <w:pPr>
        <w:pStyle w:val="Normal"/>
        <w:rPr/>
      </w:pPr>
      <w:r>
        <w:rPr/>
        <w:t xml:space="preserve"> </w:t>
      </w:r>
    </w:p>
    <w:p>
      <w:pPr>
        <w:pStyle w:val="Titre4"/>
        <w:numPr>
          <w:ilvl w:val="3"/>
          <w:numId w:val="2"/>
        </w:numPr>
        <w:rPr/>
      </w:pPr>
      <w:bookmarkStart w:id="178" w:name="__RefHeading___Toc297291_1346298689"/>
      <w:bookmarkEnd w:id="178"/>
      <w:r>
        <w:rPr/>
        <w:t xml:space="preserve">Άξονας 3: αναπροσανατολισμός της οικονομίας και της κατανάλωσης </w:t>
      </w:r>
    </w:p>
    <w:p>
      <w:pPr>
        <w:pStyle w:val="Normal"/>
        <w:rPr/>
      </w:pPr>
      <w:r>
        <w:rPr/>
        <w:t xml:space="preserve">Υποάξονας 3.1 Ρύθμιση της υπερπαραγωγής και της υπερκατανάλωσης </w:t>
      </w:r>
    </w:p>
    <w:p>
      <w:pPr>
        <w:pStyle w:val="P68B1DB1Normal15"/>
        <w:rPr>
          <w:b/>
          <w:b/>
        </w:rPr>
      </w:pPr>
      <w:r>
        <w:rPr/>
        <w:t xml:space="preserve">Συνιστούμε στην ΕΕ να επιβάλει πρόστιμα σε εταιρείες που εξαλείφουν τα απούλητα προϊόντα που παράγονται από την υπερπαραγωγή. </w:t>
      </w:r>
    </w:p>
    <w:p>
      <w:pPr>
        <w:pStyle w:val="Normal"/>
        <w:rPr/>
      </w:pPr>
      <w:r>
        <w:rPr/>
        <w:t xml:space="preserve"> </w:t>
      </w:r>
    </w:p>
    <w:p>
      <w:pPr>
        <w:pStyle w:val="Normal"/>
        <w:rPr/>
      </w:pPr>
      <w:r>
        <w:rPr/>
        <w:t xml:space="preserve">Σε ορισμένες περιπτώσεις, οι εταιρείες πιστεύουν ότι είναι πιο οικονομικά αποδοτικό να απορρίπτονται απούλητα αγαθά αντί να τα ανακυκλώνουν ή να τα επαναχρησιμοποιούν. Ως εκ τούτου, είναι σημαντικό να αποθαρρύνεται η υπερπαραγωγή μέσω της επιβολής προστίμων, έτσι ώστε η πρακτική αυτή να μην είναι πλέον κερδοφόρα για τους παραγωγούς. </w:t>
      </w:r>
    </w:p>
    <w:p>
      <w:pPr>
        <w:pStyle w:val="Normal"/>
        <w:rPr/>
      </w:pPr>
      <w:r>
        <w:rPr/>
        <w:t xml:space="preserve"> </w:t>
      </w:r>
    </w:p>
    <w:p>
      <w:pPr>
        <w:pStyle w:val="Normal"/>
        <w:rPr/>
      </w:pPr>
      <w:r>
        <w:rPr/>
        <w:t xml:space="preserve">Υποάξονας 3.2 Μείωση των αποβλήτων </w:t>
      </w:r>
    </w:p>
    <w:p>
      <w:pPr>
        <w:pStyle w:val="P68B1DB1Normal15"/>
        <w:rPr>
          <w:b/>
          <w:b/>
        </w:rPr>
      </w:pPr>
      <w:r>
        <w:rPr/>
        <w:t xml:space="preserve">Συνιστούμε στην ΕΕ να σχεδιάσει και να εφαρμόσει πολιτική διαχείρισης αποβλήτων για τα νοικοκυριά και τους πολίτες, εφιστώντας την προσοχή στην πραγματική ποσότητα αποβλήτων που παράγουν και συμπληρώνοντάς την με τα αναγκαία μέτρα για την ευαισθητοποίηση των πολιτών σχετικά με τα οφέλη της μείωσης της παραγωγής αποβλήτων και της επιλεκτικής συλλογής αποβλήτων. Θα πρέπει επίσης να εφαρμοστούν μέτρα που στοχεύουν κοινωνικά μειονεκτούσες οικογένειες (π.χ. νεαρές οικογένειες με παιδιά, ηλικιωμένους κ.λπ.), τηρώντας παράλληλα την αρχή της «μη αφήνετε κανέναν πίσω». </w:t>
      </w:r>
    </w:p>
    <w:p>
      <w:pPr>
        <w:pStyle w:val="Normal"/>
        <w:rPr/>
      </w:pPr>
      <w:r>
        <w:rPr/>
        <w:t xml:space="preserve"> </w:t>
      </w:r>
    </w:p>
    <w:p>
      <w:pPr>
        <w:pStyle w:val="Normal"/>
        <w:rPr/>
      </w:pPr>
      <w:r>
        <w:rPr/>
        <w:t xml:space="preserve">Στόχος μιας τέτοιας πολιτικής είναι η ανάπτυξη ενιαίας προσέγγισης για τη διαχείριση των αποβλήτων εντός των νοικοκυριών· διευκολύνει επίσης την προστασία του περιβάλλοντος μέσω της μείωσης των αποβλήτων, τονώνει περαιτέρω την κυκλική οικονομία και αυξάνει την αποτελεσματικότητα της συλλογής αποβλήτων. Τέλος, κάτι που δεν είναι αμελητέο, αυξάνει την ευαισθητοποίηση των πολιτών και ενισχύει την αίσθηση της περιβαλλοντικής ευθύνης. </w:t>
      </w:r>
    </w:p>
    <w:p>
      <w:pPr>
        <w:pStyle w:val="Normal"/>
        <w:rPr/>
      </w:pPr>
      <w:r>
        <w:rPr/>
        <w:t xml:space="preserve"> </w:t>
      </w:r>
    </w:p>
    <w:p>
      <w:pPr>
        <w:pStyle w:val="P68B1DB1Normal15"/>
        <w:rPr>
          <w:b/>
          <w:b/>
        </w:rPr>
      </w:pPr>
      <w:r>
        <w:rPr/>
        <w:t xml:space="preserve">Συνιστούμε στην ΕΕ να ενθαρρύνει τον ελεύθερο ανταγωνισμό και να ενθαρρύνει τον ιδιωτικό τομέα να συμβάλει πιο ενεργά στην επεξεργασία αποβλήτων, συμπεριλαμβανομένων των λυμάτων, και στις δραστηριότητες ανακύκλωσης και ανάκτησης αποβλήτων. </w:t>
      </w:r>
    </w:p>
    <w:p>
      <w:pPr>
        <w:pStyle w:val="Normal"/>
        <w:rPr/>
      </w:pPr>
      <w:r>
        <w:rPr/>
        <w:t xml:space="preserve"> </w:t>
      </w:r>
    </w:p>
    <w:p>
      <w:pPr>
        <w:pStyle w:val="Normal"/>
        <w:rPr/>
      </w:pPr>
      <w:r>
        <w:rPr/>
        <w:t xml:space="preserve">Η ΕΕ είναι το κατάλληλο επίπεδο για την εφαρμογή της παρούσας σύστασης, δεδομένου ότι συμπληρώνει την οδηγία πλαίσιο για τα απόβλητα και το σχέδιο δράσης για την κυκλική οικονομία. Επιπλέον, η εφαρμογή της σύστασης θα ενισχύσει καινοτόμες λύσεις διαχείρισης αποβλήτων, θα βελτιώσει την ποιότητα της διαχείρισης των αποβλήτων και θα αυξήσει τον όγκο των αποβλήτων που υποβάλλονται σε επεξεργασία, καθώς περισσότερες εταιρείες θα συμμετέχουν σε αυτές τις δραστηριότητες. </w:t>
      </w:r>
    </w:p>
    <w:p>
      <w:pPr>
        <w:pStyle w:val="Normal"/>
        <w:rPr/>
      </w:pPr>
      <w:r>
        <w:rPr/>
        <w:t xml:space="preserve"> </w:t>
      </w:r>
    </w:p>
    <w:p>
      <w:pPr>
        <w:pStyle w:val="Normal"/>
        <w:rPr/>
      </w:pPr>
      <w:r>
        <w:rPr/>
        <w:t xml:space="preserve">Υποάξονας 3.3 Δίκαια προϊόντα, ισότιμη πρόσβαση και δίκαιη κατανάλωση </w:t>
      </w:r>
    </w:p>
    <w:p>
      <w:pPr>
        <w:pStyle w:val="P68B1DB1Normal15"/>
        <w:rPr>
          <w:b/>
          <w:b/>
        </w:rPr>
      </w:pPr>
      <w:r>
        <w:rPr/>
        <w:t xml:space="preserve">Συνιστούμε τη μετεγκατάσταση βιομηχανιών στην Ευρωπαϊκή Ένωση προκειμένου να παρασχεθούν υψηλής ποιότητας δίκαια προϊόντα και να επηρεαστούν τα κλιματικά ζητήματα. </w:t>
      </w:r>
    </w:p>
    <w:p>
      <w:pPr>
        <w:pStyle w:val="Normal"/>
        <w:rPr/>
      </w:pPr>
      <w:r>
        <w:rPr/>
        <w:t xml:space="preserve"> </w:t>
      </w:r>
    </w:p>
    <w:p>
      <w:pPr>
        <w:pStyle w:val="Normal"/>
        <w:rPr/>
      </w:pPr>
      <w:r>
        <w:rPr/>
        <w:t xml:space="preserve">Η Ευρωπαϊκή Ένωση διαθέτει τεχνογνωσία που πρέπει να προωθηθεί στη δική της αγορά. </w:t>
      </w:r>
    </w:p>
    <w:p>
      <w:pPr>
        <w:pStyle w:val="Normal"/>
        <w:rPr/>
      </w:pPr>
      <w:r>
        <w:rPr/>
        <w:t xml:space="preserve">Λόγω της μετεγκατάστασης βιομηχανιών εκτός της ΕΕ, ιδίως στην Ασία, μετεγκαταστάθηκαν επίσης ορισμένες επαγγελματικές δεξιότητες. Η σύσταση αυτή αφορά την επαγγελματική κατάρτιση των ευρωπαίων εργαζομένων. Τονίζουμε την ανάγκη να αποφευχθεί η μετεγκατάσταση μεταξύ των διαφόρων κρατών μελών, προκειμένου να αποφευχθεί ο αθέμιτος ανταγωνισμός. </w:t>
      </w:r>
    </w:p>
    <w:p>
      <w:pPr>
        <w:pStyle w:val="Normal"/>
        <w:rPr/>
      </w:pPr>
      <w:r>
        <w:rPr/>
        <w:t xml:space="preserve">Παρατηρήσαμε ότι η μαζική μετεγκατάσταση βιομηχανιών σε όλο τον κόσμο έχει αντίκτυπο στις ευρωπαϊκές βιομηχανίες. Ως εκ τούτου, η τοπική παραγωγή θα βελτιώσει την υγεία των πολιτών και του περιβάλλοντος. </w:t>
      </w:r>
    </w:p>
    <w:p>
      <w:pPr>
        <w:pStyle w:val="Normal"/>
        <w:rPr/>
      </w:pPr>
      <w:r>
        <w:rPr/>
      </w:r>
    </w:p>
    <w:p>
      <w:pPr>
        <w:pStyle w:val="Titre4"/>
        <w:numPr>
          <w:ilvl w:val="3"/>
          <w:numId w:val="2"/>
        </w:numPr>
        <w:rPr/>
      </w:pPr>
      <w:bookmarkStart w:id="179" w:name="__RefHeading___Toc297293_1346298689"/>
      <w:bookmarkEnd w:id="179"/>
      <w:r>
        <w:rPr/>
        <w:t xml:space="preserve">Άξονας 4: προς μια βιώσιμη κοινωνία </w:t>
      </w:r>
    </w:p>
    <w:p>
      <w:pPr>
        <w:pStyle w:val="Normal"/>
        <w:rPr/>
      </w:pPr>
      <w:r>
        <w:rPr/>
        <w:t xml:space="preserve">Υποάξονας 4.3 Φιλικές προς το περιβάλλον μεταφορές </w:t>
      </w:r>
    </w:p>
    <w:p>
      <w:pPr>
        <w:pStyle w:val="P68B1DB1Normal15"/>
        <w:rPr>
          <w:b/>
          <w:b/>
        </w:rPr>
      </w:pPr>
      <w:r>
        <w:rPr/>
        <w:t xml:space="preserve">Συνιστούμε στις μεγάλες πόλεις να επιβάλλονται πρόστιμα ή να επιδοτούνται ανάλογα με τις περιβαλλοντικές επιδόσεις και τις επιδόσεις ρύπανσης των δημόσιων συγκοινωνιών τους (ηλεκτρικά οχήματα, πράσινες δημόσιες συγκοινωνίες, δημιουργία πεζών, προώθηση της χρήσης ποδηλάτων κ.λπ.). Ειδικότερα, τα πρόστιμα ή οι επιδοτήσεις που εφαρμόζονται στις τοπικές αρχές μιας πόλης θα πρέπει να καθορίζονται με βάση τις αλλαγές στις πράσινες μεταφορές σε σύγκριση με την αρχική κατάσταση στην εν λόγω πόλη. Η Ευρωπαϊκή Ένωση είναι αυτή που, μέσω της νομοθεσίας της, θα πρέπει να καθορίσει δείκτες επιδόσεων για τα μέτρα που σχετίζονται με τη ρύπανση και να καθορίσει την αναλογική μείωση. Στο πλαίσιο αυτό, θα πρέπει να ληφθεί υπόψη το σημείο εκκίνησης κάθε πόλης. </w:t>
      </w:r>
    </w:p>
    <w:p>
      <w:pPr>
        <w:pStyle w:val="Normal"/>
        <w:rPr/>
      </w:pPr>
      <w:r>
        <w:rPr/>
        <w:t xml:space="preserve"> </w:t>
      </w:r>
    </w:p>
    <w:p>
      <w:pPr>
        <w:pStyle w:val="Normal"/>
        <w:rPr/>
      </w:pPr>
      <w:r>
        <w:rPr/>
        <w:t xml:space="preserve">Κάνουμε αυτή τη σύσταση επειδή οι πόλεις έχουν πληγεί από την ατμοσφαιρική ρύπανση, η οποία έχει προκαλέσει προβλήματα υγείας. Η ανάπτυξη πράσινων μεταφορών θα βελτιώσει τη ζωή και την υγεία των ανθρώπων και θα μειώσει το φαινόμενο του θερμοκηπίου. Οι επιδοτήσεις και οι κυρώσεις είναι αποτελεσματικά μέτρα για την προώθηση της αλλαγής και τη διευκόλυνση της προσαρμογής σε διαφορετικές καταστάσεις στις διάφορες πόλεις. </w:t>
      </w:r>
    </w:p>
    <w:p>
      <w:pPr>
        <w:pStyle w:val="Normal"/>
        <w:rPr/>
      </w:pPr>
      <w:r>
        <w:rPr/>
        <w:t xml:space="preserve"> </w:t>
      </w:r>
    </w:p>
    <w:p>
      <w:pPr>
        <w:pStyle w:val="P68B1DB1Normal15"/>
        <w:rPr>
          <w:b/>
          <w:b/>
        </w:rPr>
      </w:pPr>
      <w:r>
        <w:rPr/>
        <w:t xml:space="preserve">Συνιστούμε η νομοθεσία της ΕΕ να περιορίσει και να ρυθμίσει τη χρήση πτήσεων μικρών αποστάσεων και κρουαζιερόπλοιων. Θα πρέπει να προσφέρονται στους πολίτες εναλλακτικές λύσεις μεταφοράς φιλικές προς το περιβάλλον. Μια τέτοια εναλλακτική λύση θα πρέπει να είναι η τυποποίηση των σιδηροδρόμων προκειμένου να συνδεθούν οι ευρωπαϊκές πρωτεύουσες. Συνιστούμε επίσης στην ΕΕ να χορηγήσει επιδοτήσεις για να καταστήσει τις μεταφορές αγαθών πιο φιλικές προς το περιβάλλον, συμπεριλαμβανομένων των σιδηροδρομικών και των πλωτών μεταφορών (για σύντομες διαδρομές). </w:t>
      </w:r>
    </w:p>
    <w:p>
      <w:pPr>
        <w:pStyle w:val="Normal"/>
        <w:rPr/>
      </w:pPr>
      <w:r>
        <w:rPr/>
        <w:t xml:space="preserve"> </w:t>
      </w:r>
    </w:p>
    <w:p>
      <w:pPr>
        <w:pStyle w:val="Normal"/>
        <w:rPr/>
      </w:pPr>
      <w:r>
        <w:rPr/>
        <w:t xml:space="preserve">Κάνουμε αυτή τη σύσταση, επειδή τα ταξίδια μικρών αποστάσεων είναι πολύ συχνά, ρυπογόνα και εύκολα στην αντικατάστασή τους. Ο περιορισμός των κρουαζιερόπλοιων θα μειώσει τη θαλάσσια ρύπανση (μείζον περιβαλλοντικό πρόβλημα), καθώς και τις αρνητικές επιπτώσεις στις παράκτιες πόλεις. Αυτός είναι ο λόγος για τον οποίο πρέπει να θέσουμε σε εφαρμογή πιο προσιτές εναλλακτικές λύσεις για πιο ρυπογόνους λύσεις. Το ενιαίο εύρος των σιδηροδρόμων θα βελτιώσει τις σιδηροδρομικές συνδέσεις μεταξύ των ευρωπαϊκών πρωτευουσών. </w:t>
      </w:r>
    </w:p>
    <w:p>
      <w:pPr>
        <w:pStyle w:val="Normal"/>
        <w:rPr/>
      </w:pPr>
      <w:r>
        <w:rPr/>
        <w:t xml:space="preserve"> </w:t>
      </w:r>
    </w:p>
    <w:p>
      <w:pPr>
        <w:pStyle w:val="Titre4"/>
        <w:numPr>
          <w:ilvl w:val="3"/>
          <w:numId w:val="2"/>
        </w:numPr>
        <w:rPr/>
      </w:pPr>
      <w:bookmarkStart w:id="180" w:name="__RefHeading___Toc297295_1346298689"/>
      <w:bookmarkEnd w:id="180"/>
      <w:r>
        <w:rPr/>
        <w:t xml:space="preserve">Άξονας 5: Φροντίδα για όλους </w:t>
      </w:r>
    </w:p>
    <w:p>
      <w:pPr>
        <w:pStyle w:val="Normal"/>
        <w:rPr/>
      </w:pPr>
      <w:r>
        <w:rPr/>
        <w:t xml:space="preserve">Υποάξονας 5.2 Μια ευρύτερη άποψη της υγείας </w:t>
      </w:r>
    </w:p>
    <w:p>
      <w:pPr>
        <w:pStyle w:val="Normal"/>
        <w:rPr>
          <w:b/>
          <w:b/>
        </w:rPr>
      </w:pPr>
      <w:r>
        <w:rPr>
          <w:b/>
        </w:rPr>
        <w:t>Συνιστούμε στην Ευρωπαϊκή Ένωση, σύμφωνα με την</w:t>
      </w:r>
      <w:r>
        <w:rPr>
          <w:b/>
        </w:rPr>
        <w:commentReference w:id="5"/>
      </w:r>
      <w:r>
        <w:rPr>
          <w:b/>
        </w:rPr>
        <w:t xml:space="preserve"> εκστρατεία HealthyLife4All, να ενθαρρύνει επίσης πρωτοβουλίες όπως κοινωνικές αθλητικές εκδηλώσεις, σχολικές αθλητικές δραστηριότητες, εξαμηνιαίες Ολυμπιακοί Αγώνες ανοιχτοί σε όλες τις ηλικίες και όλα τα αθλήματα [όχι για επαγγελματίες]. Συνιστούμε επίσης την ανάπτυξη μιας δωρεάν ευρωπαϊκής αθλητικής εφαρμογής που θα ενθαρρύνει τις συλλογικές αθλητικές δραστηριότητες. Αυτή η εφαρμογή θα πρέπει να βοηθήσει τους ανθρώπους να συναντηθούν μέσω του αθλητισμού. Επιπλέον, οι πρωτοβουλίες αυτές θα πρέπει να είναι ευρέως γνωστές και να διαδίδονται. </w:t>
      </w:r>
    </w:p>
    <w:p>
      <w:pPr>
        <w:pStyle w:val="Normal"/>
        <w:rPr/>
      </w:pPr>
      <w:r>
        <w:rPr/>
        <w:t xml:space="preserve"> </w:t>
      </w:r>
    </w:p>
    <w:p>
      <w:pPr>
        <w:pStyle w:val="Normal"/>
        <w:rPr/>
      </w:pPr>
      <w:r>
        <w:rPr/>
        <w:t xml:space="preserve">Για να βελτιωθεί η υγεία του ευρωπαϊκού πληθυσμού, η Ευρωπαϊκή Ένωση πρέπει να προωθήσει τον αθλητισμό και τον υγιεινό τρόπο ζωής. Επιπλέον, ο πληθυσμός πολύ συχνά δεν γνωρίζει τη σχέση μεταξύ του αθλητισμού και ενός υγιεινού τρόπου ζωής. Η εφαρμογή είναι σημαντική, επειδή οι άνθρωποι είναι πιο πρόθυμοι να κάνουν αθλήματα αν το κάνουν μαζί.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Ομάδα Ευρωπαίων Πολιτών 4: «Η ΕΕ στον κόσμο/Μετανάστευση» </w:t>
      </w:r>
    </w:p>
    <w:p>
      <w:pPr>
        <w:pStyle w:val="Normal"/>
        <w:rPr/>
      </w:pPr>
      <w:r>
        <w:rPr/>
        <w:t xml:space="preserve">ΣΥΣΤΆΣΕΙΣ ΠΟΥ ΕΓΚΡΊΘΗΚΑΝ ΑΠΌ ΤΗΝ ΕΠΙΤΡΟΠΉ (ΠΡΟΣ ΥΠΟΒΟΛΉ ΣΤΗΝ ΟΛΟΜΈΛΕΙΑ) </w:t>
      </w:r>
    </w:p>
    <w:p>
      <w:pPr>
        <w:pStyle w:val="Normal"/>
        <w:rPr/>
      </w:pPr>
      <w:r>
        <w:rPr/>
      </w:r>
    </w:p>
    <w:p>
      <w:pPr>
        <w:pStyle w:val="Titre3"/>
        <w:numPr>
          <w:ilvl w:val="2"/>
          <w:numId w:val="2"/>
        </w:numPr>
        <w:rPr/>
      </w:pPr>
      <w:bookmarkStart w:id="182" w:name="__RefHeading___Toc297299_1346298689"/>
      <w:bookmarkEnd w:id="182"/>
      <w:r>
        <w:rPr/>
        <w:t xml:space="preserve">Άξονας 1: Αυτάρκεια και σταθερότητα </w:t>
      </w:r>
    </w:p>
    <w:p>
      <w:pPr>
        <w:pStyle w:val="Titre4"/>
        <w:numPr>
          <w:ilvl w:val="3"/>
          <w:numId w:val="2"/>
        </w:numPr>
        <w:rPr/>
      </w:pPr>
      <w:bookmarkStart w:id="183" w:name="__RefHeading___Toc297301_1346298689"/>
      <w:bookmarkEnd w:id="183"/>
      <w:r>
        <w:rPr/>
        <w:t xml:space="preserve">Υποάξονας 1.1 — Αυτονομία της ΕΕ </w:t>
      </w:r>
    </w:p>
    <w:p>
      <w:pPr>
        <w:pStyle w:val="Normal"/>
        <w:rPr>
          <w:b/>
          <w:b/>
        </w:rPr>
      </w:pPr>
      <w:r>
        <w:rPr>
          <w:b/>
        </w:rPr>
        <w:t>1. Συνιστούμε να ενθαρρυνθούν περαιτέρω και να υποστηριχθούν περαιτέρω τα στρατηγικά ευρωπαϊκά μεταποιητικά προϊόντα (όπως τα γεωργικά προϊόντα, οι ημιαγωγοί, τα ιατρικά προϊόντα ή οι καινοτόμες ψηφιακές και περιβαλλοντικές τεχνολογίες), προκειμένου να είναι διαθέσιμα και προσβάσιμα στους ευρωπαίους καταναλωτές και να μειωθούν, στο μέτρο του δυνατού, οι εξαρτήσεις από μη ευρωπαίους προμηθευτές. Η στήριξη αυτή θα μπορούσε να περιλαμβάνει διαρθρωτικά και περιφερειακά μέτρα, στήριξη για τη διατήρηση των βιομηχανιών και των αλυσίδων εφοδιασμού εντός της Ένωσης,</w:t>
      </w:r>
      <w:r>
        <w:rPr>
          <w:b/>
        </w:rPr>
        <w:commentReference w:id="6"/>
      </w:r>
      <w:r>
        <w:rPr>
          <w:b/>
        </w:rPr>
        <w:t xml:space="preserve"> φορολογικέςελαφρύνσεις, επιδοτήσεις, ενεργό πολιτική για τις ΜΜΕ ή εκπαιδευτικά προγράμματα για τη διασφάλιση των σχετικών δεξιοτήτων και θέσεων εργασίας στην Ευρώπη. Ωστόσο, μια ενεργός βιομηχανική πολιτική θα πρέπει να είναι επιλεκτική και να επικεντρώνεται σε καινοτόμα προϊόντα ή προϊόντα που είναι απαραίτητα για την εγγύηση βασικών αγαθών και υπηρεσιών. </w:t>
      </w:r>
    </w:p>
    <w:p>
      <w:pPr>
        <w:pStyle w:val="Normal"/>
        <w:rPr/>
      </w:pPr>
      <w:r>
        <w:rPr/>
        <w:t xml:space="preserve"> </w:t>
      </w:r>
    </w:p>
    <w:p>
      <w:pPr>
        <w:pStyle w:val="Normal"/>
        <w:rPr/>
      </w:pPr>
      <w:r>
        <w:rPr/>
        <w:t xml:space="preserve">Συνιστούμε τα μέτρα αυτά, διότι η Ευρώπη είναι υπερβολικά εξαρτημένη από </w:t>
      </w:r>
      <w:commentRangeStart w:id="7"/>
      <w:r>
        <w:rPr/>
        <w:t>μη ευρωπαίους προμηθευτές</w:t>
      </w:r>
      <w:r>
        <w:rPr/>
      </w:r>
      <w:commentRangeEnd w:id="7"/>
      <w:r>
        <w:commentReference w:id="7"/>
      </w:r>
      <w:r>
        <w:rPr/>
        <w:t xml:space="preserve"> σε βασικούς τομείς που κινδυνεύουν να προκαλέσουν διπλωματικές συγκρούσεις και να οδηγήσουν σε έλλειψη βασικών προϊόντων ή υπηρεσιών ή στρατηγικής σημασίας. Δεδομένου ότι το κόστος παραγωγής είναι γενικά υψηλότερο στην ΕΕ από ό,τι αλλού στον κόσμο, μια πολιτική ενεργού ενθάρρυνσης και στήριξης για τα προϊόντα αυτά θα επιτρέψει στους Ευρωπαίους να αγοράζουν ανταγωνιστικά ευρωπαϊκά προϊόντα και να ενθαρρύνονται να το πράξουν. Η πολιτική αυτή θα ενισχύσει επίσης την ευρωπαϊκή ανταγωνιστικότητα και θα διατηρήσει τις μελλοντικές βιομηχανίες και θέσεις εργασίας στην Ευρώπη. Επιπλέον, η μεγαλύτερη περιφερειοποίηση της παραγωγής θα μειώσει το κόστος μεταφοράς και θα αποφύγει την υποβάθμιση του περιβάλλοντος. </w:t>
      </w:r>
    </w:p>
    <w:p>
      <w:pPr>
        <w:pStyle w:val="Normal"/>
        <w:rPr/>
      </w:pPr>
      <w:r>
        <w:rPr/>
        <w:t xml:space="preserve"> </w:t>
      </w:r>
    </w:p>
    <w:p>
      <w:pPr>
        <w:pStyle w:val="P68B1DB1Normal15"/>
        <w:rPr>
          <w:b/>
          <w:b/>
        </w:rPr>
      </w:pPr>
      <w:r>
        <w:rPr/>
        <w:t>2. Συνιστούμε στην ΕΕ να μειώσει την εξάρτησή της από τις εισαγωγές πετρελαίου και φυσικού αερίου. Αυτό θα απαιτούσε ενεργό στήριξη για έργα δημόσιων μεταφορών και ενεργειακής απόδοσης, για ένα ευρωπαϊκό σιδηροδρομικό δίκτυο υψηλής ταχύτητας, για την επέκταση του εφοδιασμού καθαρής και ανανεώσιμης ενέργειας (συμπεριλαμβανομένης της ηλιακής και της αιολικής ενέργειας) και για εναλλακτικές τεχνολογίες (όπως το υδρογόνο ή η ανάκτηση ενέργειας από απόβλητα). Η Ευρωπαϊκή Ένωση θα πρέπει επίσης να ενθαρρύνει την αλλαγή νοοτροπίας και να ενθαρρύνει την εγκατάλειψη των ιδιωτικών αυτοκινήτων προς όφελος των δημόσιων μεταφορών, της κοινής χρήσης αυτοκινήτων με ηλεκτρικά οχήματα και ποδήλατα.</w:t>
      </w:r>
    </w:p>
    <w:p>
      <w:pPr>
        <w:pStyle w:val="Normal"/>
        <w:rPr/>
      </w:pPr>
      <w:r>
        <w:rPr/>
      </w:r>
    </w:p>
    <w:p>
      <w:pPr>
        <w:pStyle w:val="Normal"/>
        <w:rPr/>
      </w:pPr>
      <w:r>
        <w:rPr/>
        <w:t>Συνιστούμε τα μέτρα αυτά διότι δημιουργούν μια κατάσταση που προάγει τόσο την αυτονομία της Ευρώπης μειώνοντας τις εξωτερικές εξαρτήσεις της όσο και την επίτευξη φιλόδοξων στόχων για το κλίμα και τη μείωση των εκπομπών</w:t>
      </w:r>
      <w:r>
        <w:rPr>
          <w:vertAlign w:val="subscript"/>
        </w:rPr>
        <w:t>CO2</w:t>
      </w:r>
      <w:r>
        <w:rPr/>
        <w:t xml:space="preserve">. Θα επιτρέψουν επίσης στην Ευρώπη να καταστεί σημαντικός παράγοντας στις μελλοντικές τεχνολογίες, να ενισχύσει την οικονομία της και να δημιουργήσει θέσεις εργασίας. </w:t>
      </w:r>
    </w:p>
    <w:p>
      <w:pPr>
        <w:pStyle w:val="Normal"/>
        <w:rPr/>
      </w:pPr>
      <w:r>
        <w:rPr/>
        <w:t xml:space="preserve"> </w:t>
      </w:r>
    </w:p>
    <w:p>
      <w:pPr>
        <w:pStyle w:val="P68B1DB1Normal15"/>
        <w:rPr>
          <w:b/>
          <w:b/>
        </w:rPr>
      </w:pPr>
      <w:r>
        <w:rPr/>
        <w:t xml:space="preserve">3. Συνιστούμε να θεσπιστεί νόμος σε επίπεδο ΕΕ για να διασφαλιστεί ότι όλες οι διαδικασίες παραγωγής και εφοδιασμού της ΕΕ και τα εισαγόμενα αγαθά συμμορφώνονται με τα ευρωπαϊκά πρότυπα ποιότητας, δεοντολογίας και βιωσιμότητας, καθώς και με όλα τα ισχύοντα ευρωπαϊκά πρότυπα για τα ανθρώπινα δικαιώματα, και ότι τα προϊόντα που συμμορφώνονται με αυτά τα κριτήρια είναι πιστοποιημένα. </w:t>
      </w:r>
    </w:p>
    <w:p>
      <w:pPr>
        <w:pStyle w:val="Normal"/>
        <w:rPr/>
      </w:pPr>
      <w:r>
        <w:rPr/>
        <w:t xml:space="preserve"> </w:t>
      </w:r>
    </w:p>
    <w:p>
      <w:pPr>
        <w:pStyle w:val="Normal"/>
        <w:rPr/>
      </w:pPr>
      <w:r>
        <w:rPr/>
        <w:t xml:space="preserve">Συνιστούμε τα μέτρα αυτά, διότι επιτρέπουν στους καταναλωτές και τους εμπόρους να έχουν εύκολη πρόσβαση σε πληροφορίες σχετικά με τα προϊόντα που αγοράζουν ή πωλούν. Για να γίνει αυτό, απλά συμβουλευτείτε το σύστημα πιστοποίησης. Η πιστοποίηση μειώνει επίσης το χάσμα μεταξύ φθηνών και ακριβών προϊόντων που διατίθενται στην αγορά. Τα φθηνά προϊόντα δεν θα πληρούν τα απαιτούμενα κριτήρια και, ως εκ τούτου, δεν θα είναι σε θέση να παρουσιαστούν ως καλής ποιότητας. Με την τήρηση των κριτηρίων πιστοποίησης, το περιβάλλον θα προστατεύεται, θα εξοικονομούνται πόροι και θα ενθαρρύνεται η υπεύθυνη κατανάλωση. </w:t>
      </w:r>
    </w:p>
    <w:p>
      <w:pPr>
        <w:pStyle w:val="Normal"/>
        <w:rPr/>
      </w:pPr>
      <w:r>
        <w:rPr/>
        <w:t xml:space="preserve"> </w:t>
      </w:r>
    </w:p>
    <w:p>
      <w:pPr>
        <w:pStyle w:val="P68B1DB1Normal15"/>
        <w:rPr>
          <w:b/>
          <w:b/>
        </w:rPr>
      </w:pPr>
      <w:r>
        <w:rPr/>
        <w:t xml:space="preserve">4. Συνιστούμε την εφαρμογή ενός ευρωπαϊκού προγράμματος για τη στήριξη των μικρών τοπικών παραγωγών σε στρατηγικούς τομείς σε όλα τα κράτη μέλη. Οι εν λόγω παραγωγοί θα επωφεληθούν από την επαγγελματική κατάρτιση, τη χρηματοδοτική στήριξη μέσω επιδοτήσεων και (όταν υπάρχουν πρώτες ύλες στην Ένωση) ένα κίνητρο για την παραγωγή πιο επιλέξιμων αγαθών εις βάρος των εισαγωγών. </w:t>
      </w:r>
    </w:p>
    <w:p>
      <w:pPr>
        <w:pStyle w:val="Normal"/>
        <w:rPr/>
      </w:pPr>
      <w:r>
        <w:rPr/>
        <w:t xml:space="preserve"> </w:t>
      </w:r>
    </w:p>
    <w:p>
      <w:pPr>
        <w:pStyle w:val="Normal"/>
        <w:rPr/>
      </w:pPr>
      <w:r>
        <w:rPr/>
        <w:t xml:space="preserve">Συνιστούμε τα μέτρα αυτά, διότι με τη στήριξη των παραγωγών σε στρατηγικούς τομείς που βρίσκονται στην Ένωση, η Ένωση είναι σε θέση να αποκτήσει την οικονομική της ανεξαρτησία στους εν λόγω τομείς. Αυτό μπορεί μόνο να ενθαρρύνει την ενίσχυση ολόκληρης της παραγωγικής διαδικασίας και, ως εκ τούτου, να ενθαρρύνει την καινοτομία. Αυτό θα οδηγήσει σε μια πιο βιώσιμη παραγωγή πρώτων υλών στην ΕΕ, η οποία θα μειώσει το κόστος μεταφοράς και θα προστατεύσει το περιβάλλον. </w:t>
      </w:r>
    </w:p>
    <w:p>
      <w:pPr>
        <w:pStyle w:val="Normal"/>
        <w:rPr/>
      </w:pPr>
      <w:r>
        <w:rPr/>
        <w:t xml:space="preserve"> </w:t>
      </w:r>
    </w:p>
    <w:p>
      <w:pPr>
        <w:pStyle w:val="P68B1DB1Normal15"/>
        <w:rPr>
          <w:b/>
          <w:b/>
        </w:rPr>
      </w:pPr>
      <w:r>
        <w:rPr/>
        <w:t xml:space="preserve">5. Συνιστούμε τη βελτίωση της εφαρμογής των ανθρωπίνων δικαιωμάτων σε ευρωπαϊκό επίπεδο ως εξής: ευαισθητοποίηση των χωρών που δεν συμμορφώνονται, στον βαθμό που ενδείκνυται, με την Ευρωπαϊκή Σύμβαση Δικαιωμάτων του Ανθρώπου (ΕΣΔΑ) ή τη Σύμβαση για την Προάσπιση των Δικαιωμάτων του Ανθρώπου και των Θεμελιωδών Ελευθεριών· διασφάλιση της αυστηρής παρακολούθησης, υπό τον συντονισμό της Ευρωπαϊκής Ένωσης και του πίνακα αποτελεσμάτων στον τομέα της δικαιοσύνης, του βαθμού στον οποίο γίνονται σεβαστά τα ανθρώπινα δικαιώματα στα διάφορα κράτη μέλη και διασφάλιση της αυστηρής συμμόρφωσής τους με διάφορες μορφές κυρώσεων. </w:t>
      </w:r>
    </w:p>
    <w:p>
      <w:pPr>
        <w:pStyle w:val="Normal"/>
        <w:rPr/>
      </w:pPr>
      <w:r>
        <w:rPr/>
        <w:t xml:space="preserve"> </w:t>
      </w:r>
    </w:p>
    <w:p>
      <w:pPr>
        <w:pStyle w:val="Normal"/>
        <w:rPr/>
      </w:pPr>
      <w:r>
        <w:rPr/>
        <w:t xml:space="preserve">Συνιστούμε τα μέτρα αυτά επειδή τα ανθρώπινα δικαιώματα έχουν ήδη γίνει αποδεκτά από τα κράτη μέλη όταν επικύρωσαν την Ευρωπαϊκή Σύμβαση Δικαιωμάτων του Ανθρώπου, αλλά είναι πλέον αναγκαίο να βελτιωθεί η αποδοχή τους σε κάθε κράτος μέλος, έτσι ώστε τα ανθρώπινα δικαιώματα να είναι γνωστά και να εφαρμόζονται ενεργά σε αυτά τα κράτη μέλη. </w:t>
      </w:r>
    </w:p>
    <w:p>
      <w:pPr>
        <w:pStyle w:val="Normal"/>
        <w:rPr/>
      </w:pPr>
      <w:r>
        <w:rPr/>
        <w:t xml:space="preserve"> </w:t>
      </w:r>
    </w:p>
    <w:p>
      <w:pPr>
        <w:pStyle w:val="P68B1DB1Normal15"/>
        <w:rPr>
          <w:b/>
          <w:b/>
        </w:rPr>
      </w:pPr>
      <w:r>
        <w:rPr/>
        <w:t xml:space="preserve">6. Συνιστούμε να δρομολογηθεί επανεξέταση και διοργάνωση εντατικής επικοινωνιακής εκστρατείας σε ευρωπαϊκό επίπεδο, ώστε να διασφαλιστεί ότι το EURES (το ευρωπαϊκό δίκτυο υπηρεσιών απασχόλησης), η πύλη της ΕΕ για τη μετανάστευση και το ευρωπαϊκό εργαλείο προφίλ δεξιοτήτων για υπηκόους τρίτων χωρών είναι περισσότερο γνωστά στους ευρωπαίους πολίτες και χρησιμοποιούνται συχνότερα από τις εταιρείες της ΕΕ για τη δημοσίευση και τη διαφήμιση των προσφορών εργασίας τους. </w:t>
      </w:r>
    </w:p>
    <w:p>
      <w:pPr>
        <w:pStyle w:val="Normal"/>
        <w:rPr/>
      </w:pPr>
      <w:r>
        <w:rPr/>
        <w:t xml:space="preserve"> </w:t>
      </w:r>
    </w:p>
    <w:p>
      <w:pPr>
        <w:pStyle w:val="Normal"/>
        <w:rPr/>
      </w:pPr>
      <w:r>
        <w:rPr/>
        <w:t xml:space="preserve">Συνιστούμε να μην δημιουργηθεί μια νέα διαδικτυακή πλατφόρμα για τη δημοσίευση προσφορών εργασίας για νέους Ευρωπαίους. Υπάρχουν ήδη περισσότερες από αρκετές πρωτοβουλίες αυτού του είδους σε ευρωπαϊκό επίπεδο. Πιστεύουμε ότι, προκειμένου να αυξηθεί η ευαισθητοποίηση σχετικά με το υπάρχον εργατικό δυναμικό και τις ευκαιρίες απασχόλησης σε ευρωπαϊκό επίπεδο, είναι προτιμότερο να βελτιωθεί αυτό που ήδη υπάρχει. </w:t>
      </w:r>
    </w:p>
    <w:p>
      <w:pPr>
        <w:pStyle w:val="Normal"/>
        <w:rPr/>
      </w:pPr>
      <w:r>
        <w:rPr/>
        <w:t xml:space="preserve"> </w:t>
      </w:r>
    </w:p>
    <w:p>
      <w:pPr>
        <w:pStyle w:val="Titre4"/>
        <w:numPr>
          <w:ilvl w:val="3"/>
          <w:numId w:val="2"/>
        </w:numPr>
        <w:rPr/>
      </w:pPr>
      <w:bookmarkStart w:id="184" w:name="__RefHeading___Toc297303_1346298689"/>
      <w:bookmarkEnd w:id="184"/>
      <w:r>
        <w:rPr/>
        <w:t xml:space="preserve">Υποάξονας 1.2 — Σύνορα </w:t>
      </w:r>
    </w:p>
    <w:p>
      <w:pPr>
        <w:pStyle w:val="P68B1DB1Normal15"/>
        <w:rPr>
          <w:b/>
          <w:b/>
        </w:rPr>
      </w:pPr>
      <w:r>
        <w:rPr/>
        <w:t xml:space="preserve">7. Συνιστούμε τη δημιουργία ενός μηχανισμού μετανάστευσης εργατικού δυναμικού στην ΕΕ με βάση τις πραγματικές ανάγκες των ευρωπαϊκών αγορών εργασίας. Θα πρέπει να υπάρχει ένα ενιαίο σύστημα για την αναγνώριση των επαγγελματικών και ακαδημαϊκών διπλωμάτων που υπάρχουν εντός της Ευρωπαϊκής Ένωσης και σε τρίτες χώρες. Θα πρέπει να υπάρχουν προσφορές επαγγελματικών προσόντων καθώς και προσφορές πολιτιστικής και γλωσσικής ένταξης για ειδικευμένους μετανάστες. Οι αιτούντες άσυλο με τα κατάλληλα προσόντα θα πρέπει να έχουν πρόσβαση στην αγορά εργασίας. Θα πρέπει να υπάρχει ένας ολοκληρωμένος οργανισμός για τον οποίο θα μπορούσε να αποτελέσει τη βάση το ευρωπαϊκό δίκτυο υπηρεσιών απασχόλησης. </w:t>
      </w:r>
    </w:p>
    <w:p>
      <w:pPr>
        <w:pStyle w:val="Normal"/>
        <w:rPr/>
      </w:pPr>
      <w:r>
        <w:rPr/>
        <w:t xml:space="preserve"> </w:t>
      </w:r>
    </w:p>
    <w:p>
      <w:pPr>
        <w:pStyle w:val="Normal"/>
        <w:rPr/>
      </w:pPr>
      <w:r>
        <w:rPr/>
        <w:t xml:space="preserve">Συνιστούμε τα μέτρα αυτά, διότι η Ευρώπη χρειάζεται ειδικευμένο εργατικό δυναμικό σε ορισμένους τομείς όπου δεν είναι δυνατόν να καλυφθεί πλήρως η ζήτηση των εργαζομένων της ΕΕ. Επί του παρόντος, δεν υπάρχουν αρκετοί βιώσιμοι τρόποι για τη νόμιμη υποβολή αίτησης για άδεια εργασίας στην ΕΕ. Ένα ευρωπαϊκό σύστημα αναγνώρισης των επαγγελματικών και ακαδημαϊκών διπλωμάτων θα διευκολύνει την κάλυψη αυτών των αναγκών και θα απλουστεύσει τη μετανάστευση εργατικού δυναμικού εντός της Ένωσης και τη μετανάστευση εργατικού δυναμικού από χώρες εκτός της Ένωσης. Ως εκ τούτου, η ζήτηση εργατικού δυναμικού θα μπορούσε να καλυφθεί καλύτερα και η παράνομη μετανάστευση θα μπορούσε να αντιμετωπιστεί καλύτερα. Το άνοιγμα του μηχανισμού μετανάστευσης εργατικού δυναμικού στους αιτούντες άσυλο θα επιταχύνει την ένταξή τους στις ευρωπαϊκές οικονομίες και κοινωνίες. </w:t>
      </w:r>
    </w:p>
    <w:p>
      <w:pPr>
        <w:pStyle w:val="Normal"/>
        <w:rPr/>
      </w:pPr>
      <w:r>
        <w:rPr/>
        <w:t xml:space="preserve"> </w:t>
      </w:r>
    </w:p>
    <w:p>
      <w:pPr>
        <w:pStyle w:val="P68B1DB1Normal15"/>
        <w:rPr>
          <w:b/>
          <w:b/>
        </w:rPr>
      </w:pPr>
      <w:r>
        <w:rPr/>
        <w:t xml:space="preserve">8. Συνιστούμε στην Ευρωπαϊκή Ένωση να ενισχύσει τη νομοθεσία της προκειμένου να δώσει στον Frontex περισσότερη εξουσία και ανεξαρτησία. Ως εκ τούτου, θα είναι σε θέση να παρεμβαίνει σε όλα τα κράτη μέλη για να διασφαλίσει την προστασία όλων των εξωτερικών συνόρων της Ένωσης. Ωστόσο, η Ένωση θα πρέπει να διενεργεί ελέγχους των οργανωτικών διαδικασιών του Frontex, δεδομένου ότι πρέπει να λειτουργεί με διαφάνεια προκειμένου να αποφεύγεται κάθε είδους κατάχρηση. </w:t>
      </w:r>
    </w:p>
    <w:p>
      <w:pPr>
        <w:pStyle w:val="Normal"/>
        <w:rPr/>
      </w:pPr>
      <w:r>
        <w:rPr/>
        <w:t xml:space="preserve"> </w:t>
      </w:r>
    </w:p>
    <w:p>
      <w:pPr>
        <w:pStyle w:val="Normal"/>
        <w:rPr/>
      </w:pPr>
      <w:r>
        <w:rPr/>
        <w:t xml:space="preserve">Συνιστούμε τα μέτρα αυτά, διότι είναι απαράδεκτο, κατά την άποψή μας, να απαγορεύεται στον Frontex η πρόσβαση στα σύνορα, ιδίως όταν υπάρχει παραβίαση των ανθρωπίνων δικαιωμάτων. Θέλουμε να είμαστε βέβαιοι ότι ο Frontex εφαρμόζει την ευρωπαϊκή νομοθεσία. Ο ίδιος ο Frontex πρέπει να υπόκειται σε ελέγχους και επαληθεύσεις προκειμένου να αποφεύγεται οποιαδήποτε ακατάλληλη συμπεριφορά στο εσωτερικό του. </w:t>
      </w:r>
    </w:p>
    <w:p>
      <w:pPr>
        <w:pStyle w:val="Normal"/>
        <w:rPr/>
      </w:pPr>
      <w:r>
        <w:rPr/>
        <w:t xml:space="preserve"> </w:t>
      </w:r>
    </w:p>
    <w:p>
      <w:pPr>
        <w:pStyle w:val="P68B1DB1Normal15"/>
        <w:rPr>
          <w:b/>
          <w:b/>
        </w:rPr>
      </w:pPr>
      <w:r>
        <w:rPr/>
        <w:t xml:space="preserve">9. Συνιστούμε στην Ευρωπαϊκή Ένωση να οργανώσει, ιδίως για τους οικονομικούς μετανάστες, τη δυνατότητα επιλογής των πολιτών στη χώρα καταγωγής (με βάση τις αποδεδειγμένες δεξιότητές τους, το ιστορικό τους κ.λπ.), προκειμένου να καθοριστεί ποιος θα μπορούσε να έρθει να εργαστεί στην ΕΕ ανάλογα με τις ανάγκες της οικονομίας και τις κενές θέσεις εργασίας της χώρας υποδοχής. Αυτά τα κριτήρια επιλογής πρέπει να είναι δημόσια και προσβάσιμα σε όλους. Για τον σκοπό αυτό, θα πρέπει να συσταθεί ένας Ευρωπαϊκός Οργανισμός Μετανάστευσης (online). </w:t>
      </w:r>
    </w:p>
    <w:p>
      <w:pPr>
        <w:pStyle w:val="Normal"/>
        <w:rPr/>
      </w:pPr>
      <w:r>
        <w:rPr/>
        <w:t xml:space="preserve"> </w:t>
      </w:r>
    </w:p>
    <w:p>
      <w:pPr>
        <w:pStyle w:val="Normal"/>
        <w:rPr/>
      </w:pPr>
      <w:r>
        <w:rPr/>
        <w:t xml:space="preserve">Συνιστούμε τα μέτρα αυτά, διότι, κατ’ αυτόν τον τρόπο, δεν θα υπάρχει πλέον ανάγκη παράνομης διέλευσης των συνόρων. Η ροή των ανθρώπων που εισέρχονται στην ΕΕ θα ελέγχεται, γεγονός που θα μείωνε την πίεση στα σύνορα, ενώ θα διευκόλυνε την κάλυψη των εργασιακών αναγκών των χωρών υποδοχής. </w:t>
      </w:r>
    </w:p>
    <w:p>
      <w:pPr>
        <w:pStyle w:val="Normal"/>
        <w:rPr/>
      </w:pPr>
      <w:r>
        <w:rPr/>
        <w:t xml:space="preserve"> </w:t>
      </w:r>
    </w:p>
    <w:p>
      <w:pPr>
        <w:pStyle w:val="P68B1DB1Normal15"/>
        <w:rPr>
          <w:b/>
          <w:b/>
        </w:rPr>
      </w:pPr>
      <w:r>
        <w:rPr/>
        <w:t xml:space="preserve">10. Συνιστούμε στην Ευρωπαϊκή Ένωση να διασφαλίσει ότι η πολιτική υποδοχής και οι εγκαταστάσεις είναι πανομοιότυπες σε όλα τα σύνορα, σέβονται τα ανθρώπινα δικαιώματα και διασφαλίζουν την ασφάλεια και την υγεία όλων των μεταναστών (συμπεριλαμβανομένων, για παράδειγμα, των εγκύων και των παιδιών). </w:t>
      </w:r>
    </w:p>
    <w:p>
      <w:pPr>
        <w:pStyle w:val="Normal"/>
        <w:rPr/>
      </w:pPr>
      <w:r>
        <w:rPr/>
        <w:t xml:space="preserve"> </w:t>
      </w:r>
    </w:p>
    <w:p>
      <w:pPr>
        <w:pStyle w:val="Normal"/>
        <w:rPr/>
      </w:pPr>
      <w:r>
        <w:rPr/>
        <w:t xml:space="preserve">Προτείνουμε αυτά τα μέτρα, διότι δίνουμε μεγάλη σημασία στην ίση μεταχείριση των μεταναστών σε όλα τα σύνορα. Θέλουμε να διασφαλίσουμε ότι οι μετανάστες δεν θα παραμείνουν για πολύ στα σύνορα και ότι τα κράτη μέλη θα κατακλύζονται από τη ροή των μεταναστών. Τα κράτη μέλη πρέπει να είναι καλά εξοπλισμένα για να τις φιλοξενήσουν. </w:t>
      </w:r>
    </w:p>
    <w:p>
      <w:pPr>
        <w:pStyle w:val="Normal"/>
        <w:rPr/>
      </w:pPr>
      <w:r>
        <w:rPr/>
        <w:t xml:space="preserve"> </w:t>
      </w:r>
    </w:p>
    <w:p>
      <w:pPr>
        <w:pStyle w:val="Titre3"/>
        <w:numPr>
          <w:ilvl w:val="2"/>
          <w:numId w:val="2"/>
        </w:numPr>
        <w:rPr/>
      </w:pPr>
      <w:bookmarkStart w:id="185" w:name="__RefHeading___Toc297305_1346298689"/>
      <w:bookmarkEnd w:id="185"/>
      <w:r>
        <w:rPr/>
        <w:t xml:space="preserve">Άξονας 2: Η ΕΕ ως διεθνής εταίρος </w:t>
      </w:r>
    </w:p>
    <w:p>
      <w:pPr>
        <w:pStyle w:val="Titre4"/>
        <w:numPr>
          <w:ilvl w:val="3"/>
          <w:numId w:val="2"/>
        </w:numPr>
        <w:rPr/>
      </w:pPr>
      <w:bookmarkStart w:id="186" w:name="__RefHeading___Toc297307_1346298689"/>
      <w:bookmarkEnd w:id="186"/>
      <w:r>
        <w:rPr/>
        <w:t xml:space="preserve">Υποάξονας 2.1 — Εμπόριο και σχέσεις από δεοντολογική άποψη </w:t>
      </w:r>
    </w:p>
    <w:p>
      <w:pPr>
        <w:pStyle w:val="P68B1DB1Normal15"/>
        <w:rPr>
          <w:b/>
          <w:b/>
        </w:rPr>
      </w:pPr>
      <w:r>
        <w:rPr/>
        <w:t xml:space="preserve">11. Συνιστούμε στην ΕΕ να επιβάλει περιορισμούς στις εισαγωγές προϊόντων από χώρες που επιτρέπουν την παιδική εργασία. Για τον σκοπό αυτό, θα πρέπει να καταρτιστεί μαύρη λίστα εταιρειών, η οποία θα ενημερώνεται τακτικά σύμφωνα με τις εξελίξεις. Συνιστούμε επίσης τη διασφάλιση σταδιακής πρόσβασης στην εκπαίδευση για τα παιδιά που παύουν να εργάζονται, καθώς και την ευαισθητοποίηση των καταναλωτών σχετικά με την παιδική εργασία μέσω πληροφοριών που διαδίδονται επίσημα από την Ευρωπαϊκή Ένωση, για παράδειγμα μέσω εκστρατειών ή αφήγησης. </w:t>
      </w:r>
    </w:p>
    <w:p>
      <w:pPr>
        <w:pStyle w:val="Normal"/>
        <w:rPr/>
      </w:pPr>
      <w:r>
        <w:rPr/>
        <w:t xml:space="preserve"> </w:t>
      </w:r>
    </w:p>
    <w:p>
      <w:pPr>
        <w:pStyle w:val="Normal"/>
        <w:rPr/>
      </w:pPr>
      <w:r>
        <w:rPr/>
        <w:t xml:space="preserve">Συνιστούμε αυτά τα μέτρα επειδή πιστεύουμε ότι υπάρχει σχέση μεταξύ της έλλειψης σχολικής εκπαίδευσης και της παιδικής εργασίας. Με αυτή τη σύσταση, θέλουμε να αυξήσουμε την ευαισθητοποίηση των καταναλωτών και να μειώσουμε τη ζήτηση για προϊόντα που παράγονται από παιδιά, έτσι ώστε αυτή η πρακτική να καταλήξει να εξαφανιστεί. </w:t>
      </w:r>
    </w:p>
    <w:p>
      <w:pPr>
        <w:pStyle w:val="Normal"/>
        <w:rPr/>
      </w:pPr>
      <w:r>
        <w:rPr/>
        <w:t xml:space="preserve"> </w:t>
      </w:r>
    </w:p>
    <w:p>
      <w:pPr>
        <w:pStyle w:val="P68B1DB1Normal15"/>
        <w:rPr>
          <w:b/>
          <w:b/>
        </w:rPr>
      </w:pPr>
      <w:r>
        <w:rPr/>
        <w:t xml:space="preserve">12. Συνιστούμε στην Ευρωπαϊκή Ένωση να αναπτύξει εταιρικές σχέσεις με αναπτυσσόμενες χώρες για τη στήριξη των υποδομών τους και την ανταλλαγή εμπειρογνωσίας με αντάλλαγμα αμοιβαία επωφελείς εμπορικές συμφωνίες που θα τις συνοδεύουν κατά τη μετάβαση σε πράσινες πηγές ενέργειας. </w:t>
      </w:r>
    </w:p>
    <w:p>
      <w:pPr>
        <w:pStyle w:val="Normal"/>
        <w:rPr/>
      </w:pPr>
      <w:r>
        <w:rPr/>
        <w:t xml:space="preserve"> </w:t>
      </w:r>
    </w:p>
    <w:p>
      <w:pPr>
        <w:pStyle w:val="Normal"/>
        <w:rPr/>
      </w:pPr>
      <w:r>
        <w:rPr/>
        <w:t xml:space="preserve">Προτείνουμε τα μέτρα αυτά για τη διευκόλυνση της μετάβασης των αναπτυσσόμενων χωρών στις ανανεώσιμες πηγές ενέργειας μέσω εμπορικών εταιρικών σχέσεων και διπλωματικών συμφωνιών. Έτσι, η Ευρωπαϊκή Ένωση και οι αναπτυσσόμενες χώρες θα αναπτύξουν καλές μακροχρόνιες σχέσεις, οι οποίες θα συμβάλουν στην καταπολέμηση της κλιματικής αλλαγής. </w:t>
      </w:r>
    </w:p>
    <w:p>
      <w:pPr>
        <w:pStyle w:val="Normal"/>
        <w:rPr/>
      </w:pPr>
      <w:r>
        <w:rPr/>
        <w:t xml:space="preserve"> </w:t>
      </w:r>
    </w:p>
    <w:p>
      <w:pPr>
        <w:pStyle w:val="P68B1DB1Normal15"/>
        <w:rPr>
          <w:b/>
          <w:b/>
        </w:rPr>
      </w:pPr>
      <w:r>
        <w:rPr/>
        <w:t xml:space="preserve">13. Συνιστούμε στην Ευρωπαϊκή Ένωση να επιβάλει έναν ευρωπαϊκό δείκτη περιβαλλοντικών επιπτώσεων (ecoscore) σε όλα τα καταναλωτικά προϊόντα. Ο οικολογικός δείκτης θα υπολογίζεται με βάση τις εκπομπές από την παραγωγή και τις μεταφορές, καθώς και με βάση τον επιβλαβή χαρακτήρα του περιεχομένου, βάσει καταλόγου επικίνδυνων προϊόντων. Η διαχείριση και ο έλεγχος του Ecoscore θα πρέπει να γίνεται από μια ευρωπαϊκή αρχή. </w:t>
      </w:r>
    </w:p>
    <w:p>
      <w:pPr>
        <w:pStyle w:val="Normal"/>
        <w:rPr/>
      </w:pPr>
      <w:r>
        <w:rPr/>
        <w:t xml:space="preserve"> </w:t>
      </w:r>
    </w:p>
    <w:p>
      <w:pPr>
        <w:pStyle w:val="Normal"/>
        <w:rPr/>
      </w:pPr>
      <w:r>
        <w:rPr/>
        <w:t xml:space="preserve">Συνιστούμε τα μέτρα αυτά ώστε οι ευρωπαίοι καταναλωτές να γνωρίζουν καλύτερα το περιβαλλοντικό αποτύπωμα των προϊόντων που αγοράζουν. Το Ecoscore θα διευκόλυνε τον προσδιορισμό του βαθμού στον οποίο ένα προϊόν σέβεται το περιβάλλον μέσω μιας κοινής κλίμακας σε ολόκληρη την Ευρώπη. Το Ecoscore θα πρέπει να έχει κωδικό QR στο πίσω μέρος του προϊόντος, ώστε να είναι σε θέση να συμβουλεύεται πρόσθετες πληροφορίες σχετικά με το περιβαλλοντικό του αποτύπωμα. </w:t>
      </w:r>
    </w:p>
    <w:p>
      <w:pPr>
        <w:pStyle w:val="Normal"/>
        <w:rPr/>
      </w:pPr>
      <w:r>
        <w:rPr/>
        <w:t xml:space="preserve"> </w:t>
      </w:r>
    </w:p>
    <w:p>
      <w:pPr>
        <w:pStyle w:val="Titre4"/>
        <w:numPr>
          <w:ilvl w:val="3"/>
          <w:numId w:val="2"/>
        </w:numPr>
        <w:rPr/>
      </w:pPr>
      <w:bookmarkStart w:id="187" w:name="__RefHeading___Toc297309_1346298689"/>
      <w:bookmarkEnd w:id="187"/>
      <w:r>
        <w:rPr/>
        <w:t xml:space="preserve">Υποάξονας 2.2 — Διεθνής δράση για το κλίμα </w:t>
      </w:r>
    </w:p>
    <w:p>
      <w:pPr>
        <w:pStyle w:val="P68B1DB1Normal15"/>
        <w:rPr>
          <w:b/>
          <w:b/>
        </w:rPr>
      </w:pPr>
      <w:r>
        <w:rPr/>
        <w:t xml:space="preserve">14. Συνιστούμε στην Ευρωπαϊκή Ένωση να υιοθετήσει μια στρατηγική που θα την καταστήσει πιο αυτόνομη στην παραγωγή ενέργειας. Ένας ευρωπαϊκός οργανισμός που θα συγκεντρώνει τους υφιστάμενους ευρωπαϊκούς ενεργειακούς θεσμούς θα πρέπει να συντονίζει την ανάπτυξη των ανανεώσιμων πηγών ενέργειας ανάλογα με τις ανάγκες, τις ικανότητες και τους πόρους των κρατών μελών, με παράλληλο σεβασμό της κυριαρχίας τους. Τα θεσμικά όργανα θα ενθαρρύνουν την ανταλλαγή γνώσεων μεταξύ τους για την εφαρμογή αυτής της στρατηγικής. </w:t>
      </w:r>
    </w:p>
    <w:p>
      <w:pPr>
        <w:pStyle w:val="Normal"/>
        <w:rPr/>
      </w:pPr>
      <w:r>
        <w:rPr/>
        <w:t xml:space="preserve"> </w:t>
      </w:r>
    </w:p>
    <w:p>
      <w:pPr>
        <w:pStyle w:val="Normal"/>
        <w:rPr/>
      </w:pPr>
      <w:r>
        <w:rPr/>
        <w:t xml:space="preserve">Προτείνουμε αυτά τα μέτρα επειδή η τρέχουσα εξάρτησή μας μας καθιστά ευάλωτους σε περίπτωση πολιτικών εντάσεων με τις χώρες που εισάγουμε την ενέργειά μας. Το βλέπουμε τώρα με την κρίση της ηλεκτρικής ενέργειας. Ωστόσο, ο συντονισμός αυτός θα πρέπει να σέβεται την κυριαρχία κάθε χώρας. </w:t>
      </w:r>
    </w:p>
    <w:p>
      <w:pPr>
        <w:pStyle w:val="Normal"/>
        <w:rPr/>
      </w:pPr>
      <w:r>
        <w:rPr/>
        <w:t xml:space="preserve"> </w:t>
      </w:r>
    </w:p>
    <w:p>
      <w:pPr>
        <w:pStyle w:val="P68B1DB1Normal15"/>
        <w:rPr>
          <w:b/>
          <w:b/>
        </w:rPr>
      </w:pPr>
      <w:r>
        <w:rPr/>
        <w:t xml:space="preserve">15. Συνιστούμε την ενίσχυση των περιβαλλοντικών προτύπων για την εξαγωγή αποβλήτων εντός και εκτός της ΕΕ, καθώς και αυστηρότερους ελέγχους και κυρώσεις για την παύση των παράνομων εξαγωγών. Η ΕΕ θα πρέπει να ενθαρρύνει τα κράτη μέλη να ανακυκλώνουν περαιτέρω τα δικά τους απόβλητα και να τα χρησιμοποιούν για την παραγωγή ενέργειας. </w:t>
      </w:r>
    </w:p>
    <w:p>
      <w:pPr>
        <w:pStyle w:val="Normal"/>
        <w:rPr/>
      </w:pPr>
      <w:r>
        <w:rPr/>
        <w:t xml:space="preserve"> </w:t>
      </w:r>
    </w:p>
    <w:p>
      <w:pPr>
        <w:pStyle w:val="Normal"/>
        <w:rPr/>
      </w:pPr>
      <w:r>
        <w:rPr/>
        <w:t xml:space="preserve">Συστήνουμε αυτά τα μέτρα για τον τερματισμό της περιβαλλοντικής ζημίας από χώρες που διαθέτουν τα απόβλητά τους εις βάρος άλλων χωρών, ιδίως όταν υπάρχει πλήρης έλλειψη συμμόρφωσης με τα περιβαλλοντικά πρότυπα. </w:t>
      </w:r>
    </w:p>
    <w:p>
      <w:pPr>
        <w:pStyle w:val="Normal"/>
        <w:rPr/>
      </w:pPr>
      <w:r>
        <w:rPr/>
        <w:t xml:space="preserve"> </w:t>
      </w:r>
    </w:p>
    <w:p>
      <w:pPr>
        <w:pStyle w:val="P68B1DB1Normal15"/>
        <w:rPr>
          <w:b/>
          <w:b/>
        </w:rPr>
      </w:pPr>
      <w:r>
        <w:rPr/>
        <w:t xml:space="preserve">16. Συνιστούμε στην ΕΕ να ενθαρρύνει πιο αποφασιστικά τη συνεχιζόμενη οικολογική μετάβαση, με στόχο την εξάλειψη των ρυπογόνων συσκευασιών. Αυτό θα πρέπει να γίνει με την ενθάρρυνση της μείωσης των συσκευασιών ή με την προώθηση πιο πράσινων συσκευασιών. Για να προσαρμοστούν οι μικρές επιχειρήσεις, θα πρέπει να λάβουν στήριξη και προσαρμογές. </w:t>
      </w:r>
    </w:p>
    <w:p>
      <w:pPr>
        <w:pStyle w:val="Normal"/>
        <w:rPr/>
      </w:pPr>
      <w:r>
        <w:rPr/>
        <w:t xml:space="preserve"> </w:t>
      </w:r>
    </w:p>
    <w:p>
      <w:pPr>
        <w:pStyle w:val="Normal"/>
        <w:rPr/>
      </w:pPr>
      <w:r>
        <w:rPr/>
        <w:t xml:space="preserve">Συνιστούμε τα μέτρα αυτά, διότι πρέπει να μειώσουμε τη χρήση των φυσικών πόρων, συμπεριλαμβανομένων των πρώτων υλών από χώρες εκτός της ΕΕ. Πρέπει επίσης να μειώσουμε τις ζημίες που προκαλούν οι Ευρωπαίοι στον πλανήτη μας και το κλίμα του. Είναι σημαντικό να στηριχθούν καλύτερα οι μικρές επιχειρήσεις ώστε να μπορούν να προσαρμοστούν χωρίς να χρειάζεται να αυξήσουν τις τιμές τους. </w:t>
      </w:r>
    </w:p>
    <w:p>
      <w:pPr>
        <w:pStyle w:val="Normal"/>
        <w:rPr/>
      </w:pPr>
      <w:r>
        <w:rPr/>
        <w:t xml:space="preserve"> </w:t>
      </w:r>
    </w:p>
    <w:p>
      <w:pPr>
        <w:pStyle w:val="P68B1DB1Normal15"/>
        <w:rPr>
          <w:b/>
          <w:b/>
        </w:rPr>
      </w:pPr>
      <w:r>
        <w:rPr/>
        <w:t xml:space="preserve">17. Συνιστούμε στις χώρες της Ευρωπαϊκής Ένωσης να εξετάσουν πιο σοβαρά το ζήτημα της πυρηνικής ενέργειας από κοινού. Θα πρέπει να ενισχυθεί η συνεργασία για την αξιολόγηση της χρήσης της πυρηνικής ενέργειας και του ρόλου της στην πράσινη ενεργειακή μετάβαση της Ευρώπης. </w:t>
      </w:r>
    </w:p>
    <w:p>
      <w:pPr>
        <w:pStyle w:val="Normal"/>
        <w:rPr/>
      </w:pPr>
      <w:r>
        <w:rPr/>
        <w:t xml:space="preserve"> </w:t>
      </w:r>
    </w:p>
    <w:p>
      <w:pPr>
        <w:pStyle w:val="Normal"/>
        <w:rPr/>
      </w:pPr>
      <w:r>
        <w:rPr/>
        <w:t xml:space="preserve">Προτείνουμε αυτά τα μέτρα, διότι το πυρηνικό ζήτημα δεν μπορεί να επιλυθεί από μια χώρα μεμονωμένα. Υπάρχουν πλέον περισσότεροι από 100 αντιδραστήρες στα μισά κράτη μέλη και νέοι αντιδραστήρες βρίσκονται υπό κατασκευή. Καθώς μοιραζόμαστε ένα κοινό δίκτυο ηλεκτρικής ενέργειας, η ηλεκτρική ενέργεια χαμηλών εκπομπών διοξειδίου του άνθρακα που παράγουν ωφελεί όλους τους Ευρωπαίους και αυξάνει την ενεργειακή αυτονομία της ηπείρου μας. Επιπλέον, η εγκατάλειψη πυρηνικών αποβλήτων ή ατυχήματος θα επηρέαζε πολλές χώρες. Είτε αποφασιστεί η χρήση της πυρηνικής ενέργειας είτε όχι, οι Ευρωπαίοι πρέπει να το συζητήσουν από κοινού και να καθορίσουν πιο συγκλίνουσες στρατηγικές, σεβόμενοι παράλληλα την εθνική κυριαρχία. </w:t>
      </w:r>
    </w:p>
    <w:p>
      <w:pPr>
        <w:pStyle w:val="Normal"/>
        <w:rPr/>
      </w:pPr>
      <w:r>
        <w:rPr/>
        <w:t xml:space="preserve"> </w:t>
      </w:r>
    </w:p>
    <w:p>
      <w:pPr>
        <w:pStyle w:val="Titre4"/>
        <w:numPr>
          <w:ilvl w:val="3"/>
          <w:numId w:val="2"/>
        </w:numPr>
        <w:rPr/>
      </w:pPr>
      <w:bookmarkStart w:id="188" w:name="__RefHeading___Toc297311_1346298689"/>
      <w:bookmarkEnd w:id="188"/>
      <w:r>
        <w:rPr/>
        <w:t xml:space="preserve">Υποάξονας 2.3 — Προώθηση των ευρωπαϊκών αξιών </w:t>
      </w:r>
    </w:p>
    <w:p>
      <w:pPr>
        <w:pStyle w:val="P68B1DB1Normal15"/>
        <w:rPr>
          <w:b/>
          <w:b/>
        </w:rPr>
      </w:pPr>
      <w:r>
        <w:rPr/>
        <w:t xml:space="preserve">18. Η ΕΕ πρέπει να είναι πιο κοντά στους πολίτες. Συνιστούμε στην ΕΕ να δημιουργήσει και να ενισχύσει τους δεσμούς με τους πολίτες και τους τοπικούς φορείς, όπως οι τοπικές αρχές, τα σχολεία και οι δήμοι. Στόχος είναι η βελτίωση της διαφάνειας, η προσέγγιση των πολιτών, η καλύτερη ενημέρωσή τους για συγκεκριμένες πρωτοβουλίες της ΕΕ και η καλύτερη κοινοποίηση των γενικών πληροφοριών της ΕΕ. </w:t>
      </w:r>
    </w:p>
    <w:p>
      <w:pPr>
        <w:pStyle w:val="Normal"/>
        <w:rPr/>
      </w:pPr>
      <w:r>
        <w:rPr/>
        <w:t xml:space="preserve"> </w:t>
      </w:r>
    </w:p>
    <w:p>
      <w:pPr>
        <w:pStyle w:val="Normal"/>
        <w:rPr/>
      </w:pPr>
      <w:r>
        <w:rPr/>
        <w:t xml:space="preserve">Συνιστούμε τα μέτρα αυτά, διότι οι τρέχουσες πληροφορίες για την ΕΕ δεν είναι επαρκώς προσβάσιμες σε όλες τις κοινωνικές ομάδες και δεν επηρεάζουν τους απλούς πολίτες. Είναι συχνά βαρετά, δύσκολα κατανοητά και μη φιλικά. Η κατάσταση αυτή πρέπει να αλλάξει ώστε οι πολίτες να έχουν σαφή εικόνα των δράσεων και του ρόλου της ΕΕ. Για να προσελκύσει το ενδιαφέρον του κοινού, οι σχετικές με την ΕΕ πληροφορίες πρέπει να είναι εύκολες, να παρέχουν κίνητρα, να είναι ενδιαφέρουσες και να γράφονται σε κοινή γλώσσα. Εδώ είναι οι προτάσεις μας: διοργάνωση επισκέψεων ευρωπαίων πολιτικών σε σχολεία, ραδιοφωνικών εκστρατειών υπό μορφή podcast, επιστολών, άρθρων στον Τύπο, διαφημιστικών λεωφορείων και μέσων κοινωνικής δικτύωσης, συνελεύσεων τοπικών πολιτών και δημιουργίας ομάδας εργασίας ειδικά για τη βελτίωση της επικοινωνίας της ΕΕ. Τα μέτρα αυτά θα επιτρέψουν στους πολίτες να λαμβάνουν πληροφορίες σχετικά με την ΕΕ που δεν φιλτράρονται από τα εθνικά μέσα ενημέρωσης. </w:t>
      </w:r>
    </w:p>
    <w:p>
      <w:pPr>
        <w:pStyle w:val="Normal"/>
        <w:rPr/>
      </w:pPr>
      <w:r>
        <w:rPr/>
        <w:t xml:space="preserve"> </w:t>
      </w:r>
    </w:p>
    <w:p>
      <w:pPr>
        <w:pStyle w:val="P68B1DB1Normal15"/>
        <w:rPr>
          <w:b/>
          <w:b/>
        </w:rPr>
      </w:pPr>
      <w:r>
        <w:rPr/>
        <w:t xml:space="preserve">19. Συνιστούμε μεγαλύτερη συμμετοχή των πολιτών στις πολιτικές της ΕΕ. Προτείνουμε τη διοργάνωση εκδηλώσεων με άμεση συμμετοχή των πολιτών σύμφωνα με το πρότυπο της Διάσκεψης για το Μέλλον της Ευρώπης. Θα πρέπει να οργανώνονται σε εθνικό, τοπικό και ευρωπαϊκό επίπεδο. Η ΕΕ θα πρέπει να καθορίσει μια συνεκτική στρατηγική και μια κεντρική καθοδήγηση για τα γεγονότα αυτά. </w:t>
      </w:r>
    </w:p>
    <w:p>
      <w:pPr>
        <w:pStyle w:val="Normal"/>
        <w:rPr/>
      </w:pPr>
      <w:r>
        <w:rPr/>
        <w:t xml:space="preserve"> </w:t>
      </w:r>
    </w:p>
    <w:p>
      <w:pPr>
        <w:pStyle w:val="Normal"/>
        <w:rPr/>
      </w:pPr>
      <w:r>
        <w:rPr/>
        <w:t xml:space="preserve">Συνιστούμε τα μέτρα αυτά, διότι αυτές οι ασκήσεις συμμετοχικής δημοκρατίας θα παράσχουν σωστές πληροφορίες σχετικά με την ΕΕ και θα βελτιώσουν την ποιότητα των πολιτικών της ΕΕ. Οι εκδηλώσεις θα πρέπει να διοργανώνονται κατά τρόπο που να προωθεί τις θεμελιώδεις αξίες της Ένωσης — τη δημοκρατία και τη συμμετοχή των πολιτών. Οι εκδηλώσεις αυτές θα δώσουν την ευκαιρία στους πολιτικούς να αποδείξουν στους πολίτες ότι είναι σημαντικό οι πολίτες να ενημερώνονται για τα τρέχοντα γεγονότα και να συνδέονται με τον ορισμό τους. Η κεντρική καθοδήγηση θα εξασφαλίσει τη συνέπεια και τη συνέπεια των εθνικών και τοπικών διασκέψεων. </w:t>
      </w:r>
    </w:p>
    <w:p>
      <w:pPr>
        <w:pStyle w:val="Normal"/>
        <w:rPr/>
      </w:pPr>
      <w:r>
        <w:rPr/>
        <w:t xml:space="preserve"> </w:t>
      </w:r>
    </w:p>
    <w:p>
      <w:pPr>
        <w:pStyle w:val="Titre3"/>
        <w:numPr>
          <w:ilvl w:val="2"/>
          <w:numId w:val="2"/>
        </w:numPr>
        <w:rPr/>
      </w:pPr>
      <w:bookmarkStart w:id="189" w:name="__RefHeading___Toc297313_1346298689"/>
      <w:bookmarkEnd w:id="189"/>
      <w:r>
        <w:rPr/>
        <w:t xml:space="preserve">Άξονας 3: Μια ισχυρή ΕΕ σε έναν ειρηνικό κόσμο </w:t>
      </w:r>
    </w:p>
    <w:p>
      <w:pPr>
        <w:pStyle w:val="Titre4"/>
        <w:numPr>
          <w:ilvl w:val="3"/>
          <w:numId w:val="2"/>
        </w:numPr>
        <w:rPr/>
      </w:pPr>
      <w:bookmarkStart w:id="190" w:name="__RefHeading___Toc297315_1346298689"/>
      <w:bookmarkEnd w:id="190"/>
      <w:r>
        <w:rPr/>
        <w:t xml:space="preserve">Υποάξονας 3.1 — Ασφάλεια και άμυνα </w:t>
      </w:r>
    </w:p>
    <w:p>
      <w:pPr>
        <w:pStyle w:val="P68B1DB1Normal15"/>
        <w:rPr>
          <w:b/>
          <w:b/>
        </w:rPr>
      </w:pPr>
      <w:r>
        <w:rPr/>
        <w:t xml:space="preserve">20. Συνιστούμε οι μελλοντικές «Κοινές Ένοπλες Δυνάμεις της Ευρωπαϊκής Ένωσης» να χρησιμοποιούνται κυρίως για αμυντικούς σκοπούς. Κάθε επιθετική στρατιωτική δράση, όποια και αν είναι η φύση της, αποκλείεται. Στην Ευρώπη, αυτό θα παρείχε τα μέσα για την παροχή βοήθειας σε περίπτωση κρίσης, ιδίως σε περίπτωση φυσικής καταστροφής. Εκτός των ευρωπαϊκών συνόρων, αυτό θα επιτρέψει την ανάπτυξη πόρων σε εδάφη με εξαιρετικές περιστάσεις, αποκλειστικά στο πλαίσιο νομικής εντολής του Συμβουλίου Ασφαλείας των Ηνωμένων Εθνών και, ως εκ τούτου, σύμφωνα με το διεθνές δίκαιο. </w:t>
      </w:r>
    </w:p>
    <w:p>
      <w:pPr>
        <w:pStyle w:val="Normal"/>
        <w:rPr/>
      </w:pPr>
      <w:r>
        <w:rPr/>
        <w:t xml:space="preserve"> </w:t>
      </w:r>
    </w:p>
    <w:p>
      <w:pPr>
        <w:pStyle w:val="Normal"/>
        <w:rPr/>
      </w:pPr>
      <w:r>
        <w:rPr/>
        <w:t xml:space="preserve">Εάν εφαρμοστεί, θα επιτρέψει στην Ευρωπαϊκή Ένωση να θεωρηθεί αξιόπιστος, υπεύθυνος, ισχυρός και ειρηνικός εταίρος στη διεθνή σκηνή. Ως εκ τούτου, η ενισχυμένη ικανότητά της να ανταποκρίνεται σε καταστάσεις κρίσης στο εσωτερικό και στο εξωτερικό θα πρέπει να προστατεύει τις βασικές της αξίες. </w:t>
      </w:r>
    </w:p>
    <w:p>
      <w:pPr>
        <w:pStyle w:val="Normal"/>
        <w:rPr/>
      </w:pPr>
      <w:r>
        <w:rPr/>
        <w:t xml:space="preserve"> </w:t>
      </w:r>
    </w:p>
    <w:p>
      <w:pPr>
        <w:pStyle w:val="Titre4"/>
        <w:numPr>
          <w:ilvl w:val="3"/>
          <w:numId w:val="2"/>
        </w:numPr>
        <w:rPr/>
      </w:pPr>
      <w:bookmarkStart w:id="191" w:name="__RefHeading___Toc297317_1346298689"/>
      <w:bookmarkEnd w:id="191"/>
      <w:r>
        <w:rPr/>
        <w:t xml:space="preserve">Υποάξονας 3.2 — Λήψη αποφάσεων και εξωτερική πολιτική της ΕΕ </w:t>
      </w:r>
    </w:p>
    <w:p>
      <w:pPr>
        <w:pStyle w:val="P68B1DB1Normal15"/>
        <w:rPr>
          <w:b/>
          <w:b/>
        </w:rPr>
      </w:pPr>
      <w:r>
        <w:rPr/>
        <w:t xml:space="preserve">21. Συνιστούμε όλοι οι τομείς στους οποίους οι αποφάσεις λαμβάνονται με ομοφωνία να λαμβάνονται τώρα με ειδική πλειοψηφία. Οι μόνες εξαιρέσεις θα πρέπει να είναι η ένταξη νέων κρατών μελών στην Ένωση και η τροποποίηση των θεμελιωδών αρχών της Ένωσης που κατοχυρώνονται στο άρθρο 2 της Συνθήκης της Λισαβόνας και στον Χάρτη των Θεμελιωδών Δικαιωμάτων της Ευρωπαϊκής Ένωσης. </w:t>
      </w:r>
    </w:p>
    <w:p>
      <w:pPr>
        <w:pStyle w:val="Normal"/>
        <w:rPr/>
      </w:pPr>
      <w:r>
        <w:rPr/>
        <w:t xml:space="preserve"> </w:t>
      </w:r>
    </w:p>
    <w:p>
      <w:pPr>
        <w:pStyle w:val="Normal"/>
        <w:rPr/>
      </w:pPr>
      <w:r>
        <w:rPr/>
        <w:t xml:space="preserve">Αυτό θα ενισχύσει τη θέση της ΕΕ στον κόσμο με την παρουσίαση ενός ενιαίου μετώπου έναντι τρίτων χωρών και θα διευκολύνει τη συνολική της ικανότητα αντίδρασης, συμπεριλαμβανομένης της αντιμετώπισης κρίσεων. </w:t>
      </w:r>
    </w:p>
    <w:p>
      <w:pPr>
        <w:pStyle w:val="Normal"/>
        <w:rPr/>
      </w:pPr>
      <w:r>
        <w:rPr/>
        <w:t xml:space="preserve"> </w:t>
      </w:r>
    </w:p>
    <w:p>
      <w:pPr>
        <w:pStyle w:val="P68B1DB1Normal15"/>
        <w:rPr>
          <w:b/>
          <w:b/>
        </w:rPr>
      </w:pPr>
      <w:r>
        <w:rPr/>
        <w:t xml:space="preserve">22. Συνιστούμε στην Ευρωπαϊκή Ένωση να ενισχύσει την ικανότητά της να επιβάλλει κυρώσεις σε κράτη μέλη, κυβερνήσεις, οντότητες, ομάδες ή οργανισμούς και άτομα που δεν τηρούν τις θεμελιώδεις αρχές, συμφωνίες και νόμους της. Είναι επιτακτική ανάγκη οι ήδη υπάρχουσες κυρώσεις να εφαρμόζονται ταχέως και να τηρούνται αποτελεσματικά. Οι κυρώσεις που επιβάλλονται σε τρίτες χώρες θα πρέπει να είναι ανάλογες προς τη δράση που τις ενεργοποίησε, να είναι αποτελεσματικές και να εφαρμόζονται εγκαίρως. </w:t>
      </w:r>
    </w:p>
    <w:p>
      <w:pPr>
        <w:pStyle w:val="Normal"/>
        <w:rPr/>
      </w:pPr>
      <w:r>
        <w:rPr/>
        <w:t xml:space="preserve"> </w:t>
      </w:r>
    </w:p>
    <w:p>
      <w:pPr>
        <w:pStyle w:val="Normal"/>
        <w:rPr/>
      </w:pPr>
      <w:r>
        <w:rPr/>
        <w:t xml:space="preserve">Για να είναι αξιόπιστη και αξιόπιστη η ΕΕ, πρέπει να επιβάλει κυρώσεις σε όσους παραβιάζουν τις αρχές της. Οι κυρώσεις αυτές θα πρέπει να εφαρμόζονται αποτελεσματικά και ταχέως και θα πρέπει να υπόκεινται σε ελέγχους. </w:t>
      </w:r>
    </w:p>
    <w:p>
      <w:pPr>
        <w:pStyle w:val="Normal"/>
        <w:rPr/>
      </w:pPr>
      <w:r>
        <w:rPr/>
        <w:t xml:space="preserve"> </w:t>
      </w:r>
    </w:p>
    <w:p>
      <w:pPr>
        <w:pStyle w:val="Titre4"/>
        <w:numPr>
          <w:ilvl w:val="3"/>
          <w:numId w:val="2"/>
        </w:numPr>
        <w:rPr/>
      </w:pPr>
      <w:bookmarkStart w:id="192" w:name="__RefHeading___Toc297319_1346298689"/>
      <w:bookmarkEnd w:id="192"/>
      <w:r>
        <w:rPr/>
        <w:t xml:space="preserve">Υποάξονας 3.3 — Γειτονικές χώρες και διεύρυνση </w:t>
      </w:r>
    </w:p>
    <w:p>
      <w:pPr>
        <w:pStyle w:val="P68B1DB1Normal15"/>
        <w:rPr>
          <w:b/>
          <w:b/>
        </w:rPr>
      </w:pPr>
      <w:r>
        <w:rPr/>
        <w:t xml:space="preserve">23. Συνιστούμε στην Ευρωπαϊκή Ένωση να διαθέσει ειδικό προϋπολογισμό για την ανάπτυξη εκπαιδευτικών προγραμμάτων αφιερωμένων στη λειτουργία της ΕΕ και τις αξίες της. Στη συνέχεια, τα προγράμματα αυτά θα προσφερθούν στα κράτη μέλη, εφόσον το επιθυμούν, να τα ενσωματώσουν στα σχολικά τους προγράμματα (πρωτοβάθμια και δευτεροβάθμια εκπαίδευση και πανεπιστήμια). Επιπλέον, ένα συγκεκριμένο μάθημα σχετικά με την ΕΕ και τη λειτουργία της θα μπορούσε να προσφερθεί σε φοιτητές που επιθυμούν να σπουδάσουν σε άλλη ευρωπαϊκή χώρα μέσω του προγράμματος Erasmus. Οι φοιτητές που επιλέγουν αυτό το μάθημα θα έχουν προτεραιότητα για να επωφεληθούν από αυτά τα προγράμματα Erasmus. </w:t>
      </w:r>
    </w:p>
    <w:p>
      <w:pPr>
        <w:pStyle w:val="Normal"/>
        <w:rPr/>
      </w:pPr>
      <w:r>
        <w:rPr/>
        <w:t xml:space="preserve"> </w:t>
      </w:r>
    </w:p>
    <w:p>
      <w:pPr>
        <w:pStyle w:val="Normal"/>
        <w:rPr/>
      </w:pPr>
      <w:r>
        <w:rPr/>
        <w:t xml:space="preserve">Συνιστούμε τα μέτρα αυτά προκειμένου να αυξηθεί η αίσθηση του ανήκειν στην ΕΕ. Με τον τρόπο αυτό, οι πολίτες θα ταυτιστούν καλύτερα με την Ένωση και θα μεταδώσουν τις αξίες της. Επιπλέον, τα μέτρα αυτά θα βελτιώσουν τη διαφάνεια όσον αφορά τη λειτουργία της ΕΕ και τα οφέλη της συμμετοχής σε αυτήν, καθώς και την καταπολέμηση των αντιευρωπαϊκών κινημάτων. Τα μέτρα αυτά θα πρέπει να αποτρέψουν τα κράτη μέλη από την έξοδο από την ΕΕ. </w:t>
      </w:r>
    </w:p>
    <w:p>
      <w:pPr>
        <w:pStyle w:val="Normal"/>
        <w:rPr/>
      </w:pPr>
      <w:r>
        <w:rPr/>
        <w:t xml:space="preserve"> </w:t>
      </w:r>
    </w:p>
    <w:p>
      <w:pPr>
        <w:pStyle w:val="P68B1DB1Normal15"/>
        <w:rPr>
          <w:b/>
          <w:b/>
        </w:rPr>
      </w:pPr>
      <w:r>
        <w:rPr/>
        <w:t xml:space="preserve">24. Συνιστούμε στην ΕΕ να αξιοποιήσει περισσότερο την πολιτική και οικονομική της βαρύτητα στις σχέσεις της με άλλες χώρες, προκειμένου να αποτρέψει την άσκηση διμερών οικονομικών, πολιτικών και κοινωνικών πιέσεων σε ορισμένα κράτη μέλη. </w:t>
      </w:r>
    </w:p>
    <w:p>
      <w:pPr>
        <w:pStyle w:val="Normal"/>
        <w:rPr/>
      </w:pPr>
      <w:r>
        <w:rPr/>
        <w:t xml:space="preserve"> </w:t>
      </w:r>
    </w:p>
    <w:p>
      <w:pPr>
        <w:pStyle w:val="Normal"/>
        <w:rPr/>
      </w:pPr>
      <w:r>
        <w:rPr/>
        <w:t xml:space="preserve">Συνιστούμε τα μέτρα αυτά για τρεις λόγους. Πρώτα απ’ όλα, θα ενισχύσουν το αίσθημα ενότητας εντός της ΕΕ. Δεύτερον, μια μονομερής αντίδραση θα είναι μια σαφής, ισχυρή και ταχεία απάντηση για να αποφευχθεί οποιαδήποτε προσπάθεια από τρίτες χώρες να εκφοβίσουν ή να καταπολεμήσουν τις χώρες μέλη της ΕΕ. Τέλος, θα ενισχύσουν την ασφάλεια της Ένωσης και θα διασφαλίσουν ότι κανένα κράτος μέλος δεν αισθάνεται εγκαταλελειμμένο ή αγνοημένο. Οι διμερείς αντιδράσεις χωρίζουν την ΕΕ και αποτελούν αδυναμία που χρησιμοποιούν τρίτες χώρες εναντίον μας. </w:t>
      </w:r>
    </w:p>
    <w:p>
      <w:pPr>
        <w:pStyle w:val="Normal"/>
        <w:rPr/>
      </w:pPr>
      <w:r>
        <w:rPr/>
        <w:t xml:space="preserve"> </w:t>
      </w:r>
    </w:p>
    <w:p>
      <w:pPr>
        <w:pStyle w:val="P68B1DB1Normal15"/>
        <w:rPr>
          <w:b/>
          <w:b/>
        </w:rPr>
      </w:pPr>
      <w:r>
        <w:rPr/>
        <w:t xml:space="preserve">25. «Συνιστούμε στην Ένωση να βελτιώσει την επικοινωνιακή της στρατηγική». Αφενός, η ΕΕ θα πρέπει να αυξήσει την προβολή της στα κοινωνικά δίκτυα και να προωθήσει ενεργά το περιεχόμενό της. Από την άλλη πλευρά, θα πρέπει να συνεχίσει να διοργανώνει συνέδρια όπως η Διάσκεψη για το Μέλλον της Ευρώπης κάθε χρόνο. Συνιστούμε επίσης να συνεχίσει να ενθαρρύνει την καινοτομία μέσω της προώθησης ενός προσβάσιμου ευρωπαϊκού κοινωνικού δικτύου. </w:t>
      </w:r>
    </w:p>
    <w:p>
      <w:pPr>
        <w:pStyle w:val="Normal"/>
        <w:rPr/>
      </w:pPr>
      <w:r>
        <w:rPr/>
        <w:t xml:space="preserve"> </w:t>
      </w:r>
    </w:p>
    <w:p>
      <w:pPr>
        <w:pStyle w:val="Normal"/>
        <w:rPr/>
      </w:pPr>
      <w:r>
        <w:rPr/>
        <w:t xml:space="preserve">Οι προτάσεις αυτές δεν θα απευθύνονται μόνο στους νέους, αλλά θα αυξήσουν επίσης το ενδιαφέρον και τη συμμετοχή των ευρωπαίων πολιτών μέσω ενός πιο ελκυστικού και αποτελεσματικού εργαλείου επικοινωνίας. Η διοργάνωση εκδηλώσεων, όπως η Διάσκεψη για το Μέλλον της Ευρώπης, θα πρέπει να δώσει τη δυνατότητα στους πολίτες να συμμετέχουν περισσότερο στη διαδικασία λήψης αποφάσεων και να διασφαλίζουν την ακρόαση της φωνής τους. </w:t>
      </w:r>
    </w:p>
    <w:p>
      <w:pPr>
        <w:pStyle w:val="Normal"/>
        <w:rPr/>
      </w:pPr>
      <w:r>
        <w:rPr/>
        <w:t xml:space="preserve"> </w:t>
      </w:r>
    </w:p>
    <w:p>
      <w:pPr>
        <w:pStyle w:val="P68B1DB1Normal15"/>
        <w:rPr>
          <w:b/>
          <w:b/>
        </w:rPr>
      </w:pPr>
      <w:r>
        <w:rPr/>
        <w:t xml:space="preserve">26. Συνιστούμε στα κράτη μέλη να υιοθετήσουν ένα ισχυρό όραμα και μια κοινή στρατηγική για την εναρμόνιση και την εδραίωση της ευρωπαϊκής ταυτότητας και ενότητας πριν από την περαιτέρω διεύρυνση της Ένωσης. </w:t>
      </w:r>
    </w:p>
    <w:p>
      <w:pPr>
        <w:pStyle w:val="Normal"/>
        <w:rPr/>
      </w:pPr>
      <w:r>
        <w:rPr/>
        <w:t xml:space="preserve"> </w:t>
      </w:r>
    </w:p>
    <w:p>
      <w:pPr>
        <w:pStyle w:val="Normal"/>
        <w:rPr/>
      </w:pPr>
      <w:r>
        <w:rPr/>
        <w:t xml:space="preserve">Πιστεύουμε ότι είναι σημαντικό να ενισχυθεί η ΕΕ και να ενισχυθούν οι σχέσεις μεταξύ των κρατών μελών πριν εξεταστεί η ένταξη άλλων χωρών. Όσο περισσότερα κράτη μέλη της ΕΕ, τόσο πιο περίπλοκη είναι η διαδικασία λήψης αποφάσεων· εξ ου και η σημασία της αναθεώρησης της ομόφωνης ψηφοφορίας στις διαδικασίες λήψης αποφάσεων. </w:t>
      </w:r>
    </w:p>
    <w:p>
      <w:pPr>
        <w:pStyle w:val="Normal"/>
        <w:rPr/>
      </w:pPr>
      <w:r>
        <w:rPr/>
        <w:t xml:space="preserve"> </w:t>
      </w:r>
    </w:p>
    <w:p>
      <w:pPr>
        <w:pStyle w:val="Titre3"/>
        <w:numPr>
          <w:ilvl w:val="2"/>
          <w:numId w:val="2"/>
        </w:numPr>
        <w:rPr/>
      </w:pPr>
      <w:bookmarkStart w:id="193" w:name="__RefHeading___Toc297321_1346298689"/>
      <w:bookmarkEnd w:id="193"/>
      <w:r>
        <w:rPr/>
        <w:t xml:space="preserve">Άξονας 4: Μετανάστευση από ανθρώπινη άποψη </w:t>
      </w:r>
    </w:p>
    <w:p>
      <w:pPr>
        <w:pStyle w:val="Titre4"/>
        <w:numPr>
          <w:ilvl w:val="3"/>
          <w:numId w:val="2"/>
        </w:numPr>
        <w:rPr/>
      </w:pPr>
      <w:bookmarkStart w:id="194" w:name="__RefHeading___Toc297323_1346298689"/>
      <w:bookmarkEnd w:id="194"/>
      <w:r>
        <w:rPr/>
        <w:t xml:space="preserve">Υποάξονας 4.1 — Αντιμετώπιση των αιτίων της μετανάστευσης </w:t>
      </w:r>
    </w:p>
    <w:p>
      <w:pPr>
        <w:pStyle w:val="P68B1DB1Normal15"/>
        <w:rPr>
          <w:b/>
          <w:b/>
        </w:rPr>
      </w:pPr>
      <w:r>
        <w:rPr/>
        <w:t xml:space="preserve">27. Συνιστούμε στην Ευρωπαϊκή Ένωση να συμμετάσχει ενεργά στην οικονομική ανάπτυξη τρίτων χωρών και χωρών από τις οποίες προέρχονται οι μεγαλύτερες ροές μεταναστών. Με τη βοήθεια των αρμόδιων φορέων (τοπικές ΜΚΟ και τοπικοί πολιτικοί, εξειδικευμένοι εργαζόμενοι κ.λπ.), η ΕΕ θα πρέπει να αναζητήσει τρόπους ειρηνικής και αποτελεσματικής παρέμβασης σε χώρες από τις οποίες προέρχονται οι μεγαλύτερες ροές μεταναστών και οι οποίες έχουν συμφωνήσει στις λεπτομέρειες της συνεργασίας. Οι παρεμβάσεις αυτές θα πρέπει να έχουν απτά και μετρήσιμα αποτελέσματα, τα οποία θα πρέπει να υπογραμμιστούν σαφώς, ώστε οι ευρωπαίοι πολίτες να μπορούν να κατανοήσουν την πολιτική αναπτυξιακής βοήθειας της Ένωσης. Ως εκ τούτου, οι δράσεις αναπτυξιακής βοήθειας της ΕΕ θα πρέπει να γίνουν πιο ορατές. </w:t>
      </w:r>
    </w:p>
    <w:p>
      <w:pPr>
        <w:pStyle w:val="Normal"/>
        <w:rPr/>
      </w:pPr>
      <w:r>
        <w:rPr/>
        <w:t xml:space="preserve"> </w:t>
      </w:r>
    </w:p>
    <w:p>
      <w:pPr>
        <w:pStyle w:val="Normal"/>
        <w:rPr/>
      </w:pPr>
      <w:r>
        <w:rPr/>
        <w:t xml:space="preserve">Ακόμη και αν η ΕΕ εργάζεται για τη διεθνή ανάπτυξη, πρέπει να συνεχίσει τη δράση της και να επενδύσει στη διαφάνεια και την προβολή της πολιτικής της σε αυτόν τον τομέα. </w:t>
      </w:r>
    </w:p>
    <w:p>
      <w:pPr>
        <w:pStyle w:val="Normal"/>
        <w:rPr/>
      </w:pPr>
      <w:r>
        <w:rPr/>
        <w:t xml:space="preserve"> </w:t>
      </w:r>
    </w:p>
    <w:p>
      <w:pPr>
        <w:pStyle w:val="P68B1DB1Normal15"/>
        <w:rPr>
          <w:b/>
          <w:b/>
        </w:rPr>
      </w:pPr>
      <w:r>
        <w:rPr/>
        <w:t xml:space="preserve">28. Συνιστούμε τη θέσπιση κοινού ευρωπαϊκού πλαισίου για την εναρμόνιση των συνθηκών εργασίας σε ολόκληρη την Ένωση (ελάχιστος μισθός, χρόνος εργασίας κ.λπ.). Η ΕΕ θα πρέπει να καταβάλει προσπάθειες για τη δημιουργία κοινών βασικών προτύπων εργασίας για να αποτρέψει τους πολίτες από το να εγκαταλείψουν τη χώρα τους για να αναζητήσουν καλύτερες συνθήκες εργασίας αλλού. Στο πλαίσιο αυτών των προτύπων, η ΕΕ θα πρέπει να ενισχύσει τον ρόλο των συνδικαλιστικών οργανώσεων σε διακρατικό επίπεδο. Με τον τρόπο αυτό, η ΕΕ θα αναγνωρίσει ότι η εσωτερική οικονομική μετανάστευση (μετανάστευση των πολιτών της ΕΕ) αποτελεί σοβαρό πρόβλημα. </w:t>
      </w:r>
    </w:p>
    <w:p>
      <w:pPr>
        <w:pStyle w:val="Normal"/>
        <w:rPr/>
      </w:pPr>
      <w:r>
        <w:rPr/>
        <w:t xml:space="preserve"> </w:t>
      </w:r>
    </w:p>
    <w:p>
      <w:pPr>
        <w:pStyle w:val="Normal"/>
        <w:rPr/>
      </w:pPr>
      <w:r>
        <w:rPr/>
        <w:t xml:space="preserve">Η σύσταση αυτή απορρέει από τη διαπίστωση ότι μεγάλος αριθμός ατόμων στην ΕΕ μεταναστεύουν για οικονομικούς λόγους, λόγω των διαφορών στις συνθήκες εργασίας μεταξύ των κρατών μελών. Είναι απαραίτητο να αποφευχθεί αυτή η διαρροή εγκεφάλων, έτσι ώστε τα κράτη μέλη να διατηρήσουν τα ταλέντα τους και το εργατικό δυναμικό τους Στηρίζουμε την ελεύθερη κυκλοφορία των πολιτών, αλλά πιστεύουμε ότι η μετανάστευση των πολιτών της ΕΕ μεταξύ των διαφόρων κρατών μελών, όταν δεν είναι επιθυμητή, οφείλεται σε οικονομικούς λόγους. Αυτός είναι ο λόγος για τον οποίο είναι σημαντικό να δημιουργηθεί ένα κοινό πλαίσιο εργασίας. </w:t>
      </w:r>
    </w:p>
    <w:p>
      <w:pPr>
        <w:pStyle w:val="Normal"/>
        <w:rPr/>
      </w:pPr>
      <w:r>
        <w:rPr/>
        <w:t xml:space="preserve"> </w:t>
      </w:r>
    </w:p>
    <w:p>
      <w:pPr>
        <w:pStyle w:val="Titre4"/>
        <w:numPr>
          <w:ilvl w:val="3"/>
          <w:numId w:val="2"/>
        </w:numPr>
        <w:rPr/>
      </w:pPr>
      <w:bookmarkStart w:id="195" w:name="__RefHeading___Toc297325_1346298689"/>
      <w:bookmarkEnd w:id="195"/>
      <w:r>
        <w:rPr/>
        <w:t xml:space="preserve">Υποάξονας 4.2 — Ανθρώπινες εκτιμήσεις </w:t>
      </w:r>
    </w:p>
    <w:p>
      <w:pPr>
        <w:pStyle w:val="P68B1DB1Normal15"/>
        <w:rPr>
          <w:b/>
          <w:b/>
        </w:rPr>
      </w:pPr>
      <w:r>
        <w:rPr/>
        <w:t xml:space="preserve">29. Συνιστούμε την εφαρμογή μιας κοινής μεταναστευτικής πολιτικής που θα βασίζεται στην αρχή της αλληλεγγύης. Θέλουμε να εστιάσουμε στο προσφυγικό πρόβλημα. Μια κοινή διαδικασία για όλα τα κράτη μέλη της ΕΕ θα πρέπει να βασίζεται στις πλέον αποτελεσματικές πρακτικές σε όλες τις χώρες της ΕΕ. Η διαδικασία αυτή θα πρέπει να εφαρμόζεται προορατικά από τις εθνικές αρχές και από τη διοίκηση της ΕΕ. </w:t>
      </w:r>
    </w:p>
    <w:p>
      <w:pPr>
        <w:pStyle w:val="Normal"/>
        <w:rPr/>
      </w:pPr>
      <w:r>
        <w:rPr/>
        <w:t xml:space="preserve"> </w:t>
      </w:r>
    </w:p>
    <w:p>
      <w:pPr>
        <w:pStyle w:val="Normal"/>
        <w:rPr/>
      </w:pPr>
      <w:r>
        <w:rPr/>
        <w:t xml:space="preserve">Το προσφυγικό πρόβλημα επηρεάζει όλες τις χώρες μέλη. Επί του παρόντος, τα κράτη αυτά έχουν πολύ διαφορετικές πρακτικές, με αρνητικές επιπτώσεις στους πρόσφυγες και τους πολίτες της ΕΕ. Ως εκ τούτου, είναι αναγκαίο να υιοθετηθεί μια συνεκτική και συνεκτική προσέγγιση. </w:t>
      </w:r>
    </w:p>
    <w:p>
      <w:pPr>
        <w:pStyle w:val="Normal"/>
        <w:rPr/>
      </w:pPr>
      <w:r>
        <w:rPr/>
        <w:t xml:space="preserve"> </w:t>
      </w:r>
    </w:p>
    <w:p>
      <w:pPr>
        <w:pStyle w:val="P68B1DB1Normal15"/>
        <w:rPr>
          <w:b/>
          <w:b/>
        </w:rPr>
      </w:pPr>
      <w:r>
        <w:rPr/>
        <w:t xml:space="preserve">30. Συνιστούμε στην ΕΕ να εντείνει τις προσπάθειές της για την ενημέρωση και την εκπαίδευση των πολιτών των κρατών μελών σε θέματα που σχετίζονται με τη μετανάστευση. Αυτό θα πρέπει να επιτευχθεί με την εκπαίδευση των παιδιών όσο το δυνατόν νωρίτερα από την έναρξη του δημοτικού σχολείου σε θέματα όπως η μετανάστευση και η ένταξη. Εάν συνδυάσουμε αυτή την προσχολική εκπαίδευση με τις δραστηριότητες ΜΚΟ και οργανώσεων νεολαίας, καθώς και με μεγάλης κλίμακας εκστρατείες στα μέσα ενημέρωσης, θα μπορούσαμε να επιτύχουμε πλήρως τον στόχο μας. Επιπλέον, θα μπορούσαν να χρησιμοποιηθούν πολλά μέσα επικοινωνίας: φυλλάδια, τηλεοπτικά και κοινωνικά δίκτυα, μεταξύ άλλων. </w:t>
      </w:r>
    </w:p>
    <w:p>
      <w:pPr>
        <w:pStyle w:val="Normal"/>
        <w:rPr/>
      </w:pPr>
      <w:r>
        <w:rPr/>
        <w:t xml:space="preserve"> </w:t>
      </w:r>
    </w:p>
    <w:p>
      <w:pPr>
        <w:pStyle w:val="Normal"/>
        <w:rPr/>
      </w:pPr>
      <w:r>
        <w:rPr/>
        <w:t xml:space="preserve">Είναι σημαντικό να καταδειχθεί ότι η μετανάστευση έχει επίσης πολλές θετικές πτυχές, όπως το πρόσθετο εργατικό δυναμικό. Θα θέλαμε να τονίσουμε τη σημασία της ευαισθητοποίησης και των δύο διαδικασιών, έτσι ώστε οι πολίτες να κατανοήσουν τους λόγους και τις συνέπειες της μετανάστευσης για να εξαλείψουν το στίγμα που προκύπτει από την εκτίμησή τους ως μετανάστη. </w:t>
      </w:r>
    </w:p>
    <w:p>
      <w:pPr>
        <w:pStyle w:val="Normal"/>
        <w:rPr/>
      </w:pPr>
      <w:r>
        <w:rPr/>
        <w:t xml:space="preserve"> </w:t>
      </w:r>
    </w:p>
    <w:p>
      <w:pPr>
        <w:pStyle w:val="Titre4"/>
        <w:numPr>
          <w:ilvl w:val="3"/>
          <w:numId w:val="2"/>
        </w:numPr>
        <w:rPr/>
      </w:pPr>
      <w:bookmarkStart w:id="196" w:name="__RefHeading___Toc297327_1346298689"/>
      <w:bookmarkEnd w:id="196"/>
      <w:r>
        <w:rPr/>
        <w:t xml:space="preserve">Υποάξονας 4.3 — Σύνορα </w:t>
      </w:r>
    </w:p>
    <w:p>
      <w:pPr>
        <w:pStyle w:val="P68B1DB1Normal15"/>
        <w:rPr>
          <w:b/>
          <w:b/>
        </w:rPr>
      </w:pPr>
      <w:r>
        <w:rPr/>
        <w:t xml:space="preserve">31. Συνιστούμε η οδηγία 2013/33/ΕΕ σχετικά με τις ελάχιστες απαιτήσεις για την υποδοχή των αιτούντων άσυλο στα κράτη μέλη να αντικατασταθεί από έναν υποχρεωτικό κανονισμό της ΕΕ, ο οποίος θα εφαρμόζεται ομοιόμορφα σε όλα τα κράτη μέλη. Θα πρέπει να δοθεί προτεραιότητα στη βελτίωση των εγκαταστάσεων υποδοχής και στέγασης. Συνιστούμε τη δημιουργία ενός ειδικού φορέα παρακολούθησης της ΕΕ για την εφαρμογή του κανονισμού. </w:t>
      </w:r>
    </w:p>
    <w:p>
      <w:pPr>
        <w:pStyle w:val="Normal"/>
        <w:rPr/>
      </w:pPr>
      <w:r>
        <w:rPr/>
        <w:t xml:space="preserve"> </w:t>
      </w:r>
    </w:p>
    <w:p>
      <w:pPr>
        <w:pStyle w:val="Normal"/>
        <w:rPr/>
      </w:pPr>
      <w:r>
        <w:rPr/>
        <w:t xml:space="preserve">Πράγματι, η οδηγία δεν εφαρμόζεται ομοιόμορφα σε όλα τα κράτη μέλη. Πρέπει να αποφύγουμε να επαναλάβουμε τις συνθήκες που παρατηρήθηκαν στον προσφυγικό καταυλισμό της Μόριας. Ως εκ τούτου, ο συνιστώμενος κανονισμός θα πρέπει να εφαρμοστεί και να περιλαμβάνει υποχρεωτικές κυρώσεις. Ο φορέας παρακολούθησης πρέπει να είναι εύρωστος και αξιόπιστος. </w:t>
      </w:r>
    </w:p>
    <w:p>
      <w:pPr>
        <w:pStyle w:val="Normal"/>
        <w:rPr/>
      </w:pPr>
      <w:r>
        <w:rPr/>
        <w:t xml:space="preserve"> </w:t>
      </w:r>
    </w:p>
    <w:p>
      <w:pPr>
        <w:pStyle w:val="P68B1DB1Normal15"/>
        <w:rPr>
          <w:b/>
          <w:b/>
        </w:rPr>
      </w:pPr>
      <w:r>
        <w:rPr/>
        <w:t xml:space="preserve">32. Συνιστούμε στην ΕΕ να διασφαλίσει ότι όλοι οι αιτούντες άσυλο και οι πρόσφυγες παρακολουθούν μαθήματα γλώσσας και ένταξης κατά την εξέταση της αίτησής τους για διαμονή. Τα μαθήματα θα πρέπει να είναι υποχρεωτικά, δωρεάν και να περιλαμβάνουν προσωπική βοήθεια για την αρχική ένταξη. Θα πρέπει να αρχίσουν εντός δύο εβδομάδων από την υποβολή της αίτησης διαμονής. Θα πρέπει επίσης να θεσπιστούν μηχανισμοί παροχής κινήτρων και κυρώσεων. </w:t>
      </w:r>
    </w:p>
    <w:p>
      <w:pPr>
        <w:pStyle w:val="Normal"/>
        <w:rPr/>
      </w:pPr>
      <w:r>
        <w:rPr/>
        <w:t xml:space="preserve"> </w:t>
      </w:r>
    </w:p>
    <w:p>
      <w:pPr>
        <w:pStyle w:val="Normal"/>
        <w:rPr/>
      </w:pPr>
      <w:r>
        <w:rPr/>
        <w:t xml:space="preserve">Η εκμάθηση της γλώσσας και η κατανόηση του πολιτισμού, της ιστορίας και της ηθικής της χώρας άφιξης είναι ένα ουσιαστικό βήμα για την ολοκλήρωση. Η διάρκεια της καθυστέρησης πριν από την έναρξη της αρχικής διαδικασίας ένταξης έχει αρνητικό αντίκτυπο στην κοινωνική αφομοίωση των μεταναστών. Οι μηχανισμοί κυρώσεων μπορούν να βοηθήσουν στον εντοπισμό της προθυμίας των μεταναστών να ενταχθούν. </w:t>
      </w:r>
    </w:p>
    <w:p>
      <w:pPr>
        <w:pStyle w:val="Normal"/>
        <w:rPr/>
      </w:pPr>
      <w:r>
        <w:rPr/>
        <w:t xml:space="preserve"> </w:t>
      </w:r>
    </w:p>
    <w:p>
      <w:pPr>
        <w:pStyle w:val="Titre3"/>
        <w:numPr>
          <w:ilvl w:val="2"/>
          <w:numId w:val="2"/>
        </w:numPr>
        <w:rPr/>
      </w:pPr>
      <w:bookmarkStart w:id="197" w:name="__RefHeading___Toc297329_1346298689"/>
      <w:bookmarkEnd w:id="197"/>
      <w:r>
        <w:rPr/>
        <w:t xml:space="preserve">Άξονας 5: Υπευθυνότητα και αλληλεγγύη στην ΕΕ </w:t>
      </w:r>
    </w:p>
    <w:p>
      <w:pPr>
        <w:pStyle w:val="Titre4"/>
        <w:numPr>
          <w:ilvl w:val="3"/>
          <w:numId w:val="2"/>
        </w:numPr>
        <w:rPr/>
      </w:pPr>
      <w:bookmarkStart w:id="198" w:name="__RefHeading___Toc297331_1346298689"/>
      <w:bookmarkEnd w:id="198"/>
      <w:r>
        <w:rPr/>
        <w:t xml:space="preserve">Υποάξονας 5.1 — Κατανομή μεταναστών </w:t>
      </w:r>
    </w:p>
    <w:p>
      <w:pPr>
        <w:pStyle w:val="P68B1DB1Normal15"/>
        <w:rPr>
          <w:b/>
          <w:b/>
        </w:rPr>
      </w:pPr>
      <w:r>
        <w:rPr/>
        <w:t xml:space="preserve">33. Συνιστούμε την αντικατάσταση του συστήματος του Δουβλίνου με μια νομικά δεσμευτική συνθήκη για τη διασφάλιση δίκαιης, ισορροπημένης και αναλογικής κατανομής των αιτούντων άσυλο στην ΕΕ με βάση την αλληλεγγύη και τη δικαιοσύνη. Επί του παρόντος, οι πρόσφυγες υποχρεούνται να υποβάλουν αίτηση ασύλου στο πρώτο κράτος μέλος άφιξης. Αυτή η αλλαγή του συστήματος πρέπει να είναι όσο το δυνατόν ταχύτερη. Η πρόταση της Ευρωπαϊκής Επιτροπής για ένα νέο σύμφωνο της ΕΕ για τη μετανάστευση και το άσυλο από το 2020 είναι μια καλή αρχή και θα πρέπει να λάβει νομική μορφή, καθώς προβλέπει ποσοστώσεις για την κατανομή των προσφύγων μεταξύ των κρατών μελών της ΕΕ. </w:t>
      </w:r>
    </w:p>
    <w:p>
      <w:pPr>
        <w:pStyle w:val="Normal"/>
        <w:rPr/>
      </w:pPr>
      <w:r>
        <w:rPr/>
        <w:t xml:space="preserve"> </w:t>
      </w:r>
    </w:p>
    <w:p>
      <w:pPr>
        <w:pStyle w:val="Normal"/>
        <w:rPr/>
      </w:pPr>
      <w:r>
        <w:rPr/>
        <w:t xml:space="preserve">Το συνιστούμε αυτό διότι το ισχύον σύστημα του Δουβλίνου δεν σέβεται τις αρχές της αλληλεγγύης και της δικαιοσύνης. Επιβαρύνει σοβαρά τα κράτη μέλη που βρίσκονται κοντά στα εξωτερικά σύνορα της ΕΕ, τα οποία διέρχονται οι αιτούντες άσυλο για να εισέλθουν στο έδαφός της. Όλα τα κράτη μέλη πρέπει να αναλάβουν την ευθύνη για τη διαχείριση των προσφυγικών ροών προς την ΕΕ. Η ΕΕ είναι μια κοινότητα κοινών αξιών και πρέπει να ενεργήσει αναλόγως. </w:t>
      </w:r>
    </w:p>
    <w:p>
      <w:pPr>
        <w:pStyle w:val="Normal"/>
        <w:rPr/>
      </w:pPr>
      <w:r>
        <w:rPr/>
        <w:t xml:space="preserve"> </w:t>
      </w:r>
    </w:p>
    <w:p>
      <w:pPr>
        <w:pStyle w:val="P68B1DB1Normal15"/>
        <w:rPr>
          <w:b/>
          <w:b/>
        </w:rPr>
      </w:pPr>
      <w:r>
        <w:rPr/>
        <w:t xml:space="preserve">34. Συνιστούμε στην ΕΕ να συνδράμει τα κράτη μέλη της στη διεκπεραίωση των αιτήσεων ασύλου με ταχύτερο ρυθμό και σύμφωνα με κοινά πρότυπα. Επιπλέον, θα πρέπει να παρέχεται ανθρωπιστική στέγαση στους πρόσφυγες. Προκειμένου να εκφορτωθούν οι χώρες άφιξης και να είναι σε θέση να διεκπεραιώνουν τις αιτήσεις ασύλου τους αλλού, συνιστούμε να μετεγκατασταθούν γρήγορα και αποτελεσματικά οι πρόσφυγες στα διάφορα κράτη μέλη μετά την πρώτη άφιξή τους στην ΕΕ. Για τον σκοπό αυτό, απαιτείται χρηματοδοτική στήριξη της ΕΕ και οργανωτική στήριξη από τον Οργανισμό της ΕΕ για το Άσυλο. Τα άτομα των οποίων η αίτηση ασύλου έχει απορριφθεί πρέπει να επιστρέφονται αποτελεσματικά στη χώρα καταγωγής τους, υπό την προϋπόθεση ότι η χώρα καταγωγής τους θεωρείται ασφαλής. </w:t>
      </w:r>
    </w:p>
    <w:p>
      <w:pPr>
        <w:pStyle w:val="Normal"/>
        <w:rPr/>
      </w:pPr>
      <w:r>
        <w:rPr/>
        <w:t xml:space="preserve"> </w:t>
      </w:r>
    </w:p>
    <w:p>
      <w:pPr>
        <w:pStyle w:val="Normal"/>
        <w:rPr/>
      </w:pPr>
      <w:r>
        <w:rPr/>
        <w:t xml:space="preserve">Το συνιστούμε αυτό, διότι οι διαδικασίες ασύλου είναι επί του παρόντος υπερβολικά χρονοβόρες και ενδέχεται να διαφέρουν από το ένα κράτος μέλος στο άλλο. Επιταχύνοντας τις διαδικασίες ασύλου, οι πρόσφυγες αφιερώνουν λιγότερο χρόνο περιμένοντας την τελική απόφαση σε εγκαταστάσεις προσωρινής στέγασης. Οι αιτούντες άσυλο μπορούν να ενταχθούν ταχύτερα. </w:t>
      </w:r>
    </w:p>
    <w:p>
      <w:pPr>
        <w:pStyle w:val="Normal"/>
        <w:rPr/>
      </w:pPr>
      <w:r>
        <w:rPr/>
        <w:t xml:space="preserve"> </w:t>
      </w:r>
    </w:p>
    <w:p>
      <w:pPr>
        <w:pStyle w:val="P68B1DB1Normal15"/>
        <w:rPr>
          <w:b/>
          <w:b/>
        </w:rPr>
      </w:pPr>
      <w:r>
        <w:rPr/>
        <w:t xml:space="preserve">35. Συνιστούμε ισχυρή χρηματοδοτική, υλικοτεχνική και επιχειρησιακή στήριξη της ΕΕ για τη διαχείριση της πρώτης υποδοχής, η οποία ενδεχομένως οδηγεί στην ένταξη ή τον επαναπατρισμό παράτυπων μεταναστών. Δικαιούχοι αυτής της στήριξης είναι τα παραμεθόρια κράτη της ΕΕ που φέρουν το βάρος της εισροής μεταναστών. </w:t>
      </w:r>
    </w:p>
    <w:p>
      <w:pPr>
        <w:pStyle w:val="Normal"/>
        <w:rPr/>
      </w:pPr>
      <w:r>
        <w:rPr/>
        <w:t xml:space="preserve"> </w:t>
      </w:r>
    </w:p>
    <w:p>
      <w:pPr>
        <w:pStyle w:val="Normal"/>
        <w:rPr/>
      </w:pPr>
      <w:r>
        <w:rPr/>
        <w:t xml:space="preserve">Λόγω της γεωγραφικής τους θέσης, ορισμένα </w:t>
      </w:r>
      <w:r>
        <w:rPr/>
        <w:commentReference w:id="8"/>
      </w:r>
      <w:r>
        <w:rPr/>
        <w:t xml:space="preserve"> κράτη μέλη πλήττονται περισσότερο από την εισροή μεταναστών. </w:t>
      </w:r>
    </w:p>
    <w:p>
      <w:pPr>
        <w:pStyle w:val="Normal"/>
        <w:rPr/>
      </w:pPr>
      <w:r>
        <w:rPr/>
        <w:t xml:space="preserve"> </w:t>
      </w:r>
    </w:p>
    <w:p>
      <w:pPr>
        <w:pStyle w:val="P68B1DB1Normal15"/>
        <w:rPr>
          <w:b/>
          <w:b/>
        </w:rPr>
      </w:pPr>
      <w:r>
        <w:rPr/>
        <w:t xml:space="preserve">36. Συνιστούμε την ενίσχυση της εντολής του Οργανισμού της ΕΕ για το Άσυλο, προκειμένου να επιτευχθεί δίκαιη κατανομή των αιτούντων άσυλο μεταξύ των κρατών μελών. Για να επιτευχθεί αυτό, θα πρέπει να ληφθούν υπόψη οι ανάγκες των εν λόγω αιτούντων άσυλο, καθώς και οι υλικοτεχνικές και οικονομικές ικανότητες των κρατών μελών και οι ανάγκες τους στην αγορά εργασίας. </w:t>
      </w:r>
    </w:p>
    <w:p>
      <w:pPr>
        <w:pStyle w:val="Normal"/>
        <w:rPr/>
      </w:pPr>
      <w:r>
        <w:rPr/>
        <w:t xml:space="preserve"> </w:t>
      </w:r>
    </w:p>
    <w:p>
      <w:pPr>
        <w:pStyle w:val="Normal"/>
        <w:rPr/>
      </w:pPr>
      <w:r>
        <w:rPr/>
        <w:t xml:space="preserve">Η συντονισμένη και συγκεντρωτική κατανομή των αιτούντων άσυλο, η οποία θεωρείται δίκαιη από τα κράτη μέλη και τους πολίτες τους, αποφεύγει τις χαοτικές καταστάσεις και τις κοινωνικές εντάσεις και ενισχύει την αλληλεγγύη μεταξύ των κρατών μελών. </w:t>
      </w:r>
    </w:p>
    <w:p>
      <w:pPr>
        <w:pStyle w:val="Normal"/>
        <w:rPr/>
      </w:pPr>
      <w:r>
        <w:rPr/>
        <w:t xml:space="preserve"> </w:t>
      </w:r>
    </w:p>
    <w:p>
      <w:pPr>
        <w:pStyle w:val="Titre4"/>
        <w:numPr>
          <w:ilvl w:val="3"/>
          <w:numId w:val="2"/>
        </w:numPr>
        <w:rPr/>
      </w:pPr>
      <w:bookmarkStart w:id="199" w:name="__RefHeading___Toc297333_1346298689"/>
      <w:bookmarkEnd w:id="199"/>
      <w:r>
        <w:rPr/>
        <w:t xml:space="preserve">Υποάξονας 5.2 — Κοινή προσέγγιση για το άσυλο </w:t>
      </w:r>
    </w:p>
    <w:p>
      <w:pPr>
        <w:pStyle w:val="P68B1DB1Normal15"/>
        <w:rPr>
          <w:b/>
          <w:b/>
        </w:rPr>
      </w:pPr>
      <w:r>
        <w:rPr/>
        <w:t xml:space="preserve">37. Συνιστούμε είτε τη δημιουργία ενός ολοκληρωμένου ευρωπαϊκού θεσμικού οργάνου είτε την ενίσχυση του Οργανισμού της ΕΕ για το Άσυλο, ώστε να μπορεί να διεκπεραιώνει τις αιτήσεις ασύλου για το σύνολο της Ευρωπαϊκής Ένωσης και να ενεργεί βάσει ενιαίων προτύπων. Ο οργανισμός θα πρέπει επίσης να είναι υπεύθυνος για τη δίκαιη κατανομή των προσφύγων. Θα πρέπει επίσης να ορίζει ασφαλείς και μη ασφαλείς χώρες καταγωγής και να είναι υπεύθυνη για την επιστροφή των αιτούντων άσυλο των οποίων οι αιτήσεις απορρίφθηκαν. </w:t>
      </w:r>
    </w:p>
    <w:p>
      <w:pPr>
        <w:pStyle w:val="Normal"/>
        <w:rPr/>
      </w:pPr>
      <w:r>
        <w:rPr/>
        <w:t xml:space="preserve"> </w:t>
      </w:r>
    </w:p>
    <w:p>
      <w:pPr>
        <w:pStyle w:val="Normal"/>
        <w:rPr/>
      </w:pPr>
      <w:r>
        <w:rPr/>
        <w:t xml:space="preserve">Η τρέχουσα πολιτική ασύλου χαρακτηρίζεται από ασαφείς αρμοδιότητες και διαφορετικά πρότυπα μεταξύ των κρατών μελών της ΕΕ. Επομένως, η μεταχείριση των διαδικασιών ασύλου δεν είναι η ίδια στα διάφορα κράτη μέλη. Επιπλέον, ο Οργανισμός της Ευρωπαϊκής Ένωσης για το Άσυλο έχει επί του παρόντος μόνο εξουσία επιρροής. Μπορεί να συμβουλεύει μόνο τα κράτη μέλη για θέματα ασύλου. </w:t>
      </w:r>
    </w:p>
    <w:p>
      <w:pPr>
        <w:pStyle w:val="Normal"/>
        <w:rPr/>
      </w:pPr>
      <w:r>
        <w:rPr/>
        <w:t xml:space="preserve"> </w:t>
      </w:r>
    </w:p>
    <w:p>
      <w:pPr>
        <w:pStyle w:val="P68B1DB1Normal15"/>
        <w:rPr>
          <w:b/>
          <w:b/>
        </w:rPr>
      </w:pPr>
      <w:r>
        <w:rPr/>
        <w:t xml:space="preserve">38. Συνιστούμε τη δημιουργία, χωρίς καθυστέρηση, εξειδικευμένων κέντρων ασύλου για ασυνόδευτους ανηλίκους σε όλα τα κράτη μέλη της ΕΕ. Στόχος είναι να καλωσορίσουμε και να φροντίσουμε τους ανηλίκους σύμφωνα με τις ειδικές ανάγκες τους και το συντομότερο δυνατό. </w:t>
      </w:r>
    </w:p>
    <w:p>
      <w:pPr>
        <w:pStyle w:val="Normal"/>
        <w:rPr/>
      </w:pPr>
      <w:r>
        <w:rPr/>
        <w:t xml:space="preserve"> </w:t>
      </w:r>
    </w:p>
    <w:p>
      <w:pPr>
        <w:pStyle w:val="Normal"/>
        <w:rPr/>
      </w:pPr>
      <w:r>
        <w:rPr/>
        <w:t xml:space="preserve">Κάνουμε αυτή τη σύσταση επειδή: </w:t>
      </w:r>
    </w:p>
    <w:p>
      <w:pPr>
        <w:pStyle w:val="Normal"/>
        <w:rPr/>
      </w:pPr>
      <w:r>
        <w:rPr/>
        <w:t xml:space="preserve">1) Πολλοί ανήλικοι είναι πιθανό να υποστούν τραυματισμό (επειδή προέρχονται από εμπόλεμες ζώνες). </w:t>
      </w:r>
    </w:p>
    <w:p>
      <w:pPr>
        <w:pStyle w:val="Normal"/>
        <w:rPr/>
      </w:pPr>
      <w:r>
        <w:rPr/>
        <w:t xml:space="preserve">2) Τα διαφορετικά παιδιά έχουν διαφορετικές ανάγκες (ανάλογα με την ηλικία, την υγεία, κ.λπ.) </w:t>
      </w:r>
    </w:p>
    <w:p>
      <w:pPr>
        <w:pStyle w:val="Normal"/>
        <w:rPr/>
      </w:pPr>
      <w:r>
        <w:rPr/>
        <w:t xml:space="preserve">(3) εάν εφαρμοστεί, θα διασφαλίσει ότι οι ευάλωτοι και τραυματισμένοι ανήλικοι λαμβάνουν όλη την απαραίτητη φροντίδα το συντομότερο δυνατόν· </w:t>
      </w:r>
    </w:p>
    <w:p>
      <w:pPr>
        <w:pStyle w:val="Normal"/>
        <w:rPr/>
      </w:pPr>
      <w:r>
        <w:rPr/>
        <w:t xml:space="preserve">4) αυτοί οι ανήλικοι είναι μελλοντικοί ευρωπαίοι πολίτες και, ως εκ τούτου, εάν αντιμετωπίζονται σωστά, θα πρέπει να συμβάλουν θετικά στο μέλλον της Ευρώπης. </w:t>
      </w:r>
    </w:p>
    <w:p>
      <w:pPr>
        <w:pStyle w:val="Normal"/>
        <w:rPr/>
      </w:pPr>
      <w:r>
        <w:rPr/>
        <w:t xml:space="preserve"> </w:t>
      </w:r>
    </w:p>
    <w:p>
      <w:pPr>
        <w:pStyle w:val="P68B1DB1Normal15"/>
        <w:rPr>
          <w:b/>
          <w:b/>
        </w:rPr>
      </w:pPr>
      <w:r>
        <w:rPr/>
        <w:t xml:space="preserve">39. Συνιστούμε τη δημιουργία ενός κοινού, γρήγορου και διαφανούς συστήματος για την επεξεργασία των αιτήσεων ασύλου. Η διαδικασία αυτή θα πρέπει να προβλέπει ελάχιστα πρότυπα και να εφαρμόζεται με τον ίδιο τρόπο σε όλα τα κράτη μέλη. </w:t>
      </w:r>
    </w:p>
    <w:p>
      <w:pPr>
        <w:pStyle w:val="Normal"/>
        <w:rPr/>
      </w:pPr>
      <w:r>
        <w:rPr/>
        <w:t xml:space="preserve"> </w:t>
      </w:r>
    </w:p>
    <w:p>
      <w:pPr>
        <w:pStyle w:val="Normal"/>
        <w:rPr/>
      </w:pPr>
      <w:r>
        <w:rPr/>
        <w:t xml:space="preserve">Κάνουμε αυτή τη σύσταση επειδή: </w:t>
      </w:r>
    </w:p>
    <w:p>
      <w:pPr>
        <w:pStyle w:val="Normal"/>
        <w:rPr/>
      </w:pPr>
      <w:r>
        <w:rPr/>
        <w:t xml:space="preserve">(1) εάν εφαρμοζόταν η εν λόγω σύσταση, η επεξεργασία των αιτήσεων ασύλου θα ήταν ταχύτερη και πιο διαφανής· </w:t>
      </w:r>
    </w:p>
    <w:p>
      <w:pPr>
        <w:pStyle w:val="Normal"/>
        <w:rPr/>
      </w:pPr>
      <w:r>
        <w:rPr/>
        <w:t xml:space="preserve">2) η βραδύτητα των ισχυουσών διαδικασιών οδηγεί σε παρανομία και εγκληματικότητα· </w:t>
      </w:r>
    </w:p>
    <w:p>
      <w:pPr>
        <w:pStyle w:val="Normal"/>
        <w:rPr/>
      </w:pPr>
      <w:r>
        <w:rPr/>
        <w:t xml:space="preserve">3) Τα ελάχιστα πρότυπα που προβλέπονται στη σύστασή μας θα πρέπει να περιλαμβάνουν τον σεβασμό των ανθρωπίνων δικαιωμάτων, της υγείας και των εκπαιδευτικών αναγκών των αιτούντων άσυλο. </w:t>
      </w:r>
    </w:p>
    <w:p>
      <w:pPr>
        <w:pStyle w:val="Normal"/>
        <w:rPr/>
      </w:pPr>
      <w:r>
        <w:rPr/>
        <w:t xml:space="preserve">4) η εφαρμογή της παρούσας σύστασης θα έχει ως αποτέλεσμα την καλύτερη πρόσβαση στην απασχόληση και την αυτάρκεια, γεγονός που θα επιτρέψει τη θετική συμβολή στην ευρωπαϊκή κοινωνία· οι αιτούντες άσυλο των οποίων το επαγγελματικό καθεστώς νομιμοποιείται είναι λιγότερο πιθανό να υποστούν κατάχρηση στο εργασιακό τους περιβάλλον· αυτό θα μπορούσε να προωθήσει μόνο την ενσωμάτωση όλων των ενδιαφερομένων· </w:t>
      </w:r>
    </w:p>
    <w:p>
      <w:pPr>
        <w:pStyle w:val="Normal"/>
        <w:rPr/>
      </w:pPr>
      <w:r>
        <w:rPr/>
        <w:t xml:space="preserve">5) οι παρατεταμένες διαμονές στα κέντρα ασύλου έχουν δυσμενείς επιπτώσεις στην ψυχική υγεία και την ευημερία των ενοίκων. </w:t>
      </w:r>
    </w:p>
    <w:p>
      <w:pPr>
        <w:pStyle w:val="Normal"/>
        <w:rPr/>
      </w:pPr>
      <w:r>
        <w:rPr/>
        <w:t xml:space="preserve"> </w:t>
      </w:r>
    </w:p>
    <w:p>
      <w:pPr>
        <w:pStyle w:val="P68B1DB1Normal15"/>
        <w:rPr>
          <w:b/>
          <w:b/>
        </w:rPr>
      </w:pPr>
      <w:r>
        <w:rPr/>
        <w:t xml:space="preserve">40. Συνιστούμε θερμά μια συνολική επανεξέταση όλων των συμφωνιών και της νομοθεσίας που διέπουν το άσυλο και τη μετανάστευση στην Ευρώπη. Συνιστούμε να υιοθετηθεί μια προσέγγιση για ολόκληρη την Ευρώπη. </w:t>
      </w:r>
    </w:p>
    <w:p>
      <w:pPr>
        <w:pStyle w:val="Normal"/>
        <w:rPr/>
      </w:pPr>
      <w:r>
        <w:rPr/>
        <w:t xml:space="preserve"> </w:t>
      </w:r>
    </w:p>
    <w:p>
      <w:pPr>
        <w:pStyle w:val="Normal"/>
        <w:rPr/>
      </w:pPr>
      <w:r>
        <w:rPr/>
        <w:t xml:space="preserve">Κάνουμε αυτή τη σύσταση επειδή: </w:t>
      </w:r>
    </w:p>
    <w:p>
      <w:pPr>
        <w:pStyle w:val="Normal"/>
        <w:rPr/>
      </w:pPr>
      <w:r>
        <w:rPr/>
        <w:t xml:space="preserve">1) από το 2015, όλες οι ισχύουσες συμφωνίες είναι ανεφάρμοστες, μη πρακτικές και ακατάλληλες· </w:t>
      </w:r>
    </w:p>
    <w:p>
      <w:pPr>
        <w:pStyle w:val="Normal"/>
        <w:rPr/>
      </w:pPr>
      <w:r>
        <w:rPr/>
        <w:t xml:space="preserve">2) Η ΕΕ θα πρέπει να θεωρείται ως η κύρια «υπηρεσία», η οποία επιβλέπει όλες τις άλλες υπηρεσίες και ΜΚΟ που έχουν ως αποστολή να ασχολούνται άμεσα με θέματα ασύλου· </w:t>
      </w:r>
    </w:p>
    <w:p>
      <w:pPr>
        <w:pStyle w:val="Normal"/>
        <w:rPr/>
      </w:pPr>
      <w:r>
        <w:rPr/>
        <w:t xml:space="preserve">(3) τα κράτη μέλη που πλήττονται περισσότερο από την κατάσταση είναι εκείνα που αφήνονται σε μεγάλο βαθμό να αντιμετωπίσουν το πρόβλημα από μόνα τους· οι επιλογές «à la carte» ορισμένων κρατών μελών δεν δίνουν εικόνα ενότητας· </w:t>
      </w:r>
    </w:p>
    <w:p>
      <w:pPr>
        <w:pStyle w:val="Normal"/>
        <w:rPr/>
      </w:pPr>
      <w:r>
        <w:rPr/>
        <w:t xml:space="preserve">4) η νέα στοχευμένη νομοθεσία θα βελτιώσει το μέλλον όλων των αιτούντων άσυλο και θα ενισχύσει την ενότητα της Ευρώπης· </w:t>
      </w:r>
    </w:p>
    <w:p>
      <w:pPr>
        <w:pStyle w:val="Normal"/>
        <w:rPr/>
      </w:pPr>
      <w:r>
        <w:rPr/>
        <w:t xml:space="preserve">5) Οι ελλείψεις της ισχύουσας νομοθεσίας προκαλούν συγκρούσεις και έλλειψη εναρμόνισης σε ολόκληρη την Ευρώπη και οδηγούν σε αυξημένη μισαλλοδοξία μεταξύ των ευρωπαίων πολιτών έναντι των μεταναστών. </w:t>
      </w:r>
    </w:p>
    <w:p>
      <w:pPr>
        <w:pStyle w:val="Normal"/>
        <w:rPr/>
      </w:pPr>
      <w:r>
        <w:rPr/>
        <w:t>6) αυστηρότερη και σχετική νομοθεσία θα μείωνε την εγκληματικότητα και την κατάχρηση του ισχύοντος συστήματος ασύλου.</w:t>
      </w:r>
    </w:p>
    <w:p>
      <w:pPr>
        <w:pStyle w:val="Normal"/>
        <w:rPr/>
      </w:pPr>
      <w:r>
        <w:rPr/>
        <w:t xml:space="preserve"> </w:t>
      </w:r>
    </w:p>
    <w:p>
      <w:pPr>
        <w:pStyle w:val="Titre3"/>
        <w:numPr>
          <w:ilvl w:val="2"/>
          <w:numId w:val="2"/>
        </w:numPr>
        <w:rPr/>
      </w:pPr>
      <w:bookmarkStart w:id="200" w:name="__RefHeading___Toc297335_1346298689"/>
      <w:bookmarkEnd w:id="200"/>
      <w:r>
        <w:rPr/>
        <w:t xml:space="preserve">Παράρτημα: ΆΛΛΕΣ ΣΥΣΤΆΣΕΙΣ ΠΟΥ ΕΞΕΤΆΣΤΗΚΑΝ ΑΠΌ ΤΗΝ ΕΙΔΙΚΉ ΟΜΆΔΑ ΑΛΛΆ ΔΕΝ ΕΓΚΡΊΘΗΚΑΝ </w:t>
      </w:r>
    </w:p>
    <w:p>
      <w:pPr>
        <w:pStyle w:val="Titre4"/>
        <w:numPr>
          <w:ilvl w:val="3"/>
          <w:numId w:val="2"/>
        </w:numPr>
        <w:rPr/>
      </w:pPr>
      <w:bookmarkStart w:id="201" w:name="__RefHeading___Toc297337_1346298689"/>
      <w:bookmarkEnd w:id="201"/>
      <w:r>
        <w:rPr/>
        <w:t xml:space="preserve">Άξονας 1: Αυτάρκεια και σταθερότητα </w:t>
      </w:r>
    </w:p>
    <w:p>
      <w:pPr>
        <w:pStyle w:val="Normal"/>
        <w:rPr/>
      </w:pPr>
      <w:r>
        <w:rPr/>
        <w:t xml:space="preserve">Υποάξονας 1.1 — Αυτονομία της ΕΕ </w:t>
      </w:r>
    </w:p>
    <w:p>
      <w:pPr>
        <w:pStyle w:val="P68B1DB1Normal15"/>
        <w:rPr>
          <w:b/>
          <w:b/>
        </w:rPr>
      </w:pPr>
      <w:r>
        <w:rPr/>
        <w:t xml:space="preserve">Εάν ζητηθεί από τις αναπτυσσόμενες χώρες, συνιστούμε να αναπτυχθούν προγράμματα παρέμβασης για την οικονομική ανάπτυξη βάσει εταιρικών σχέσεων προσαρμοσμένων στις ανάγκες κάθε χώρας ή/και βάσει εμπορικών συμφωνιών. Αυτό απαιτεί πρώτα την αξιολόγηση του οικονομικού δυναμικού των εν λόγω χωρών και στη συνέχεια την παροχή της απαραίτητης οικονομικής στήριξης και επαγγελματικής κατάρτισης. </w:t>
      </w:r>
    </w:p>
    <w:p>
      <w:pPr>
        <w:pStyle w:val="Normal"/>
        <w:rPr/>
      </w:pPr>
      <w:r>
        <w:rPr/>
        <w:t xml:space="preserve">Αυτό θα οδηγήσει σε μεγαλύτερη βιομηχανική ανεξαρτησία και θα βελτιώσει τη συνολική κατάσταση της μετανάστευσης με τη δημιουργία θέσεων εργασίας· θα οδηγήσει επίσης σε καλύτερες εμπορικές συμφωνίες στις αναπτυσσόμενες χώρες. </w:t>
      </w:r>
    </w:p>
    <w:p>
      <w:pPr>
        <w:pStyle w:val="Normal"/>
        <w:rPr/>
      </w:pPr>
      <w:r>
        <w:rPr/>
        <w:t xml:space="preserve"> </w:t>
      </w:r>
    </w:p>
    <w:p>
      <w:pPr>
        <w:pStyle w:val="Titre4"/>
        <w:numPr>
          <w:ilvl w:val="3"/>
          <w:numId w:val="2"/>
        </w:numPr>
        <w:rPr/>
      </w:pPr>
      <w:bookmarkStart w:id="202" w:name="__RefHeading___Toc297339_1346298689"/>
      <w:bookmarkEnd w:id="202"/>
      <w:r>
        <w:rPr/>
        <w:t xml:space="preserve">Άξονας 2: Η ΕΕ ως διεθνής εταίρος </w:t>
      </w:r>
    </w:p>
    <w:p>
      <w:pPr>
        <w:pStyle w:val="Normal"/>
        <w:rPr/>
      </w:pPr>
      <w:r>
        <w:rPr/>
        <w:t xml:space="preserve">Υποάξονας 2.1 — Ηθική προοπτική για τις εμπορικές σχέσεις </w:t>
      </w:r>
    </w:p>
    <w:p>
      <w:pPr>
        <w:pStyle w:val="P68B1DB1Normal15"/>
        <w:rPr>
          <w:b/>
          <w:b/>
        </w:rPr>
      </w:pPr>
      <w:r>
        <w:rPr/>
        <w:t xml:space="preserve">Συνιστούμε στην ΕΕ να θεσπίσει κανόνες που θα απαιτούν από τις εταιρείες να ελέγχουν την αλυσίδα εφοδιασμού τους και να υποβάλλουν τακτικά ολοκληρωμένη έκθεση ελέγχου, καθώς και διατάξεις για την ανταμοιβή ή τον περιορισμό των εισαγωγών βάσει δεοντολογικών κριτηρίων. Οι εταιρείες θα πρέπει να υποβάλλουν έκθεση εσωτερικού ή/και εξωτερικού ελέγχου με βάση το μέγεθός τους. </w:t>
      </w:r>
    </w:p>
    <w:p>
      <w:pPr>
        <w:pStyle w:val="Normal"/>
        <w:rPr/>
      </w:pPr>
      <w:r>
        <w:rPr/>
        <w:t xml:space="preserve"> </w:t>
      </w:r>
    </w:p>
    <w:p>
      <w:pPr>
        <w:pStyle w:val="Normal"/>
        <w:rPr/>
      </w:pPr>
      <w:r>
        <w:rPr/>
        <w:t xml:space="preserve">Πρέπει να αναπτυχθεί η δεοντολογική πτυχή του εμπορίου με την ΕΕ. Αυτό μπορεί να επιτευχθεί με την παρακολούθηση των επιχειρηματικών δραστηριοτήτων στις διεθνείς αλυσίδες εφοδιασμού και την ενθάρρυνση των επιχειρήσεων να συμπεριφέρονται σύμφωνα με δεοντολογικά κριτήρια, όπως επικίνδυνα προϊόντα, εργασιακά δικαιώματα και συνθήκες, παιδική εργασία και προστασία του περιβάλλοντος. Η σύσταση αυτή δεν θα ισχύει για τα διαδικτυακά προϊόντα που αγοράζονται απευθείας από τον καταναλωτή. </w:t>
      </w:r>
    </w:p>
    <w:p>
      <w:pPr>
        <w:pStyle w:val="Normal"/>
        <w:rPr/>
      </w:pPr>
      <w:r>
        <w:rPr/>
        <w:t xml:space="preserve"> </w:t>
      </w:r>
    </w:p>
    <w:p>
      <w:pPr>
        <w:pStyle w:val="Titre4"/>
        <w:numPr>
          <w:ilvl w:val="3"/>
          <w:numId w:val="2"/>
        </w:numPr>
        <w:rPr/>
      </w:pPr>
      <w:bookmarkStart w:id="203" w:name="__RefHeading___Toc297341_1346298689"/>
      <w:bookmarkEnd w:id="203"/>
      <w:r>
        <w:rPr/>
        <w:t xml:space="preserve">Άξονας 3: Μια ισχυρή ΕΕ σε έναν ειρηνικό κόσμο </w:t>
      </w:r>
    </w:p>
    <w:p>
      <w:pPr>
        <w:pStyle w:val="Normal"/>
        <w:rPr/>
      </w:pPr>
      <w:r>
        <w:rPr/>
        <w:t xml:space="preserve">Υποάξονας 3.1 — Ασφάλεια και άμυνα </w:t>
      </w:r>
    </w:p>
    <w:p>
      <w:pPr>
        <w:pStyle w:val="P68B1DB1Normal15"/>
        <w:rPr>
          <w:b/>
          <w:b/>
        </w:rPr>
      </w:pPr>
      <w:r>
        <w:rPr/>
        <w:t xml:space="preserve">Συνιστούμε την επανεξέταση της σημερινής ευρωπαϊκής αρχιτεκτονικής ασφάλειας ώστε να καταστεί μια πιο αποτελεσματική και αποτελεσματική υπερεθνική δομή, με αυξημένες δυνατότητες, με σκοπό τη δημιουργία ενός κοινού στρατού της Ευρωπαϊκής Ένωσης. Για το σκοπό αυτό, οι εθνικές ένοπλες δυνάμεις θα πρέπει σταδιακά να συγχωνευθούν και να μεταμορφωθούν. Στόχος είναι αυτή η συγχώνευση στρατιωτικών δυνατοτήτων σε ολόκληρη την Ευρωπαϊκή Ένωση να προωθήσει επίσης την ευρωπαϊκή ολοκλήρωση μακροπρόθεσμα. Η δημιουργία κοινού στρατού της ΕΕ θα απαιτήσει επίσης μια νέα συμφωνία συνεργασίας με τα κράτη μέλη της ΕΕ και τα μη ευρωπαϊκά μέλη του ΝΑΤΟ. </w:t>
      </w:r>
    </w:p>
    <w:p>
      <w:pPr>
        <w:pStyle w:val="Normal"/>
        <w:rPr/>
      </w:pPr>
      <w:r>
        <w:rPr/>
        <w:t xml:space="preserve"> </w:t>
      </w:r>
    </w:p>
    <w:p>
      <w:pPr>
        <w:pStyle w:val="Normal"/>
        <w:rPr/>
      </w:pPr>
      <w:r>
        <w:rPr/>
        <w:t xml:space="preserve">Εάν εφαρμοστεί αυτή η σύσταση, πιστεύουμε ότι οι στρατιωτικές δομές εντός της Ευρωπαϊκής Ένωσης θα καταστούν πιο αποδοτικές ως προς το κόστος και θα είναι σε θέση να ανταποκριθούν και να δράσουν καλύτερα όταν χρειαστεί. Αυτή η ολοκληρωμένη προσέγγιση θα ενισχύσει την ικανότητα της ΕΕ να ενεργεί αποφασιστικά και με συντονισμένο τρόπο σε κρίσιμες καταστάσεις. </w:t>
      </w:r>
    </w:p>
    <w:p>
      <w:pPr>
        <w:pStyle w:val="Normal"/>
        <w:rPr/>
      </w:pPr>
      <w:r>
        <w:rPr/>
        <w:t xml:space="preserve"> </w:t>
      </w:r>
    </w:p>
    <w:p>
      <w:pPr>
        <w:pStyle w:val="Titre4"/>
        <w:numPr>
          <w:ilvl w:val="3"/>
          <w:numId w:val="2"/>
        </w:numPr>
        <w:rPr/>
      </w:pPr>
      <w:bookmarkStart w:id="204" w:name="__RefHeading___Toc297343_1346298689"/>
      <w:bookmarkEnd w:id="204"/>
      <w:r>
        <w:rPr/>
        <w:t xml:space="preserve">Άξονας 4: Μετανάστευση από ανθρώπινη άποψη </w:t>
      </w:r>
    </w:p>
    <w:p>
      <w:pPr>
        <w:pStyle w:val="Normal"/>
        <w:rPr/>
      </w:pPr>
      <w:r>
        <w:rPr/>
        <w:t xml:space="preserve">Υποάξονας 4.1 — Αντιμετώπιση των αιτίων της μετανάστευσης </w:t>
      </w:r>
    </w:p>
    <w:p>
      <w:pPr>
        <w:pStyle w:val="P68B1DB1Normal15"/>
        <w:rPr>
          <w:b/>
          <w:b/>
        </w:rPr>
      </w:pPr>
      <w:r>
        <w:rPr/>
        <w:t xml:space="preserve">Συνιστούμε στην ΕΕ να θέσει σε εφαρμογή ένα πρωτόκολλο δράσης για την προετοιμασία της επόμενης μεταναστευτικής κρίσης, αυτής των κλιματικών προσφύγων. Στο πλαίσιο αυτού του πρωτοκόλλου, η ΕΕ πρέπει να διευρύνει τον ορισμό των προσφύγων και των αιτούντων άσυλο ώστε να συμπεριλάβει εκείνους που πλήττονται από την κλιματική αλλαγή. Δεδομένου ότι η χώρα καταγωγής πολλών μεταναστών θα έχει καταστεί ακατοίκητη, το πρωτόκολλο πρέπει επίσης να διασφαλίζει την εξεύρεση νέων χρήσεων για περιοχές που πλήττονται από την κλιματική αλλαγή, με στόχο τη στήριξη όσων εγκατέλειψαν αυτές τις περιοχές. Για παράδειγμα, οι πλημμυρισμένες περιοχές θα μπορούσαν να χρησιμοποιηθούν για τη δημιουργία αιολικών πάρκων. </w:t>
      </w:r>
    </w:p>
    <w:p>
      <w:pPr>
        <w:pStyle w:val="Normal"/>
        <w:rPr/>
      </w:pPr>
      <w:r>
        <w:rPr/>
        <w:t xml:space="preserve"> </w:t>
      </w:r>
    </w:p>
    <w:p>
      <w:pPr>
        <w:pStyle w:val="Normal"/>
        <w:rPr/>
      </w:pPr>
      <w:r>
        <w:rPr/>
        <w:t xml:space="preserve">Κάνουμε αυτή τη σύσταση επειδή είμαστε όλοι υπεύθυνοι για την κλιματική κρίση. Έχουμε ευθύνη απέναντι σε αυτούς που πλήττονται περισσότερο. Ακόμη και αν δεν έχουμε ούτε προβλέψεις ούτε συγκεκριμένα δεδομένα για τους μελλοντικούς πρόσφυγες, η κλιματική αλλαγή θα επηρεάσει αναμφίβολα εκατομμύρια ανθρώπους. </w:t>
      </w:r>
    </w:p>
    <w:p>
      <w:pPr>
        <w:pStyle w:val="Normal"/>
        <w:rPr/>
      </w:pPr>
      <w:r>
        <w:rPr/>
        <w:t xml:space="preserve"> </w:t>
      </w:r>
    </w:p>
    <w:p>
      <w:pPr>
        <w:pStyle w:val="Normal"/>
        <w:rPr/>
      </w:pPr>
      <w:r>
        <w:rPr/>
        <w:t xml:space="preserve">Υποάξονας 4.2 — Ανθρώπινες εκτιμήσεις </w:t>
      </w:r>
    </w:p>
    <w:p>
      <w:pPr>
        <w:pStyle w:val="P68B1DB1Normal15"/>
        <w:rPr>
          <w:b/>
          <w:b/>
        </w:rPr>
      </w:pPr>
      <w:r>
        <w:rPr/>
        <w:t xml:space="preserve">Συνιστούμε να ενισχυθούν και να χρηματοδοτηθούν χωρίς καθυστέρηση οι νομικοί και ανθρωπιστικοί δρόμοι και τα μέσα μεταφοράς, ώστε οι πρόσφυγες να μπορούν να μετακινούνται από περιοχές κρίσης με οργανωμένο τρόπο. Θα πρέπει να δημιουργηθεί ειδικό σύστημα ασφαλείας για τις ευρωπαϊκές λωρίδες κυκλοφορίας και να ρυθμιστεί από τον οργανισμό που έχει συσταθεί ειδικά για το σκοπό αυτό. Ο οργανισμός αυτός πρέπει να συσταθεί σύμφωνα με τη νομοθετική διαδικασία και να διαθέτει ειδικές αρμοδιότητες που προβλέπονται στον εσωτερικό κανονισμό του. </w:t>
      </w:r>
    </w:p>
    <w:p>
      <w:pPr>
        <w:pStyle w:val="Normal"/>
        <w:rPr/>
      </w:pPr>
      <w:r>
        <w:rPr/>
        <w:t xml:space="preserve"> </w:t>
      </w:r>
    </w:p>
    <w:p>
      <w:pPr>
        <w:pStyle w:val="Normal"/>
        <w:rPr/>
      </w:pPr>
      <w:r>
        <w:rPr/>
        <w:t xml:space="preserve">Η εμπορία ανθρώπων και η παράνομη διακίνηση μεταναστών είναι σοβαρά ζητήματα που πρέπει να αντιμετωπιστούν. Η σύστασή μας σίγουρα θα μείωνε αυτές τις ανησυχίες. </w:t>
      </w:r>
    </w:p>
    <w:p>
      <w:pPr>
        <w:pStyle w:val="Normal"/>
        <w:rPr/>
      </w:pPr>
      <w:r>
        <w:rPr/>
        <w:t xml:space="preserve"> </w:t>
      </w:r>
    </w:p>
    <w:p>
      <w:pPr>
        <w:pStyle w:val="Normal"/>
        <w:rPr/>
      </w:pPr>
      <w:r>
        <w:rPr/>
        <w:t xml:space="preserve">Υποάξονας 4.3 — Σύνορα </w:t>
      </w:r>
    </w:p>
    <w:p>
      <w:pPr>
        <w:pStyle w:val="P68B1DB1Normal15"/>
        <w:rPr>
          <w:b/>
          <w:b/>
        </w:rPr>
      </w:pPr>
      <w:r>
        <w:rPr/>
        <w:t xml:space="preserve">Συνιστούμε μια ευρωπαϊκή οδηγία να διασφαλίζει ότι κάθε χώρος διαβίωσης σε κάθε κράτος μέλος δεν έχει πληθυσμό άνω του 30 % των κατοίκων τρίτων χωρών. Ο στόχος αυτός αναμένεται να επιτευχθεί έως το 2030 και τα κράτη μέλη της ΕΕ πρέπει να λάβουν στήριξη για την υλοποίηση αυτού του στόχου. </w:t>
      </w:r>
    </w:p>
    <w:p>
      <w:pPr>
        <w:pStyle w:val="Normal"/>
        <w:rPr/>
      </w:pPr>
      <w:r>
        <w:rPr/>
        <w:t xml:space="preserve"> </w:t>
      </w:r>
    </w:p>
    <w:p>
      <w:pPr>
        <w:pStyle w:val="Normal"/>
        <w:rPr/>
      </w:pPr>
      <w:r>
        <w:rPr/>
        <w:t xml:space="preserve">Κάνουμε αυτή τη σύσταση, διότι μια πιο δίκαιη γεωγραφική κατανομή θα έχει ως αποτέλεσμα την καλύτερη αποδοχή των μεταναστών από τον τοπικό πληθυσμό και, ως εκ τούτου, θα τους επιτρέψει την καλύτερη ένταξή τους. Το ποσοστό αυτό βασίζεται σε πρόσφατη πολιτική συμφωνία στη Δανία. </w:t>
      </w:r>
      <w:r>
        <w:br w:type="page"/>
      </w:r>
    </w:p>
    <w:p>
      <w:pPr>
        <w:pStyle w:val="Titre1"/>
        <w:numPr>
          <w:ilvl w:val="0"/>
          <w:numId w:val="2"/>
        </w:numPr>
        <w:rPr/>
      </w:pPr>
      <w:bookmarkStart w:id="205" w:name="__RefHeading___Toc297345_1346298689"/>
      <w:bookmarkEnd w:id="205"/>
      <w:r>
        <w:rPr/>
        <w:t xml:space="preserve">II A — Εθνικές ομάδες: Βέλγιο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ΕΙΚΟΝΑ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ΕΙΚΟΝΑ32" descr=""/>
                    <pic:cNvPicPr>
                      <a:picLocks noChangeAspect="1" noChangeArrowheads="1"/>
                    </pic:cNvPicPr>
                  </pic:nvPicPr>
                  <pic:blipFill>
                    <a:blip r:embed="rId86"/>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Εδώ μπορούμε να βρούμε όλες τις συστάσεις που διατυπώθηκαν από τους 50 πολίτες της ομάδας πολιτών που οργανώθηκε υπό την αιγίδα της Αντιπροέδρου της Κυβέρνησης και Υπουργού Εξωτερικών και Ευρωπαϊκών Υποθέσεων Sophie Wilmès ως συμβολή της βελγικής ομοσπονδιακής κυβέρνησης στη Διάσκεψη για το Μέλλον της Ευρώπης. Το θέμα αυτής της ομάδας ήταν «Πώς να εμπλέξουμε περισσότερο τους πολίτες στην ευρωπαϊκή δημοκρατία». Παρόλο που γνωρίζει καλά ότι η Διάσκεψη έχει ευρύτερο πεδίο εφαρμογής από τις υποθέσεις της ΕΕ και μόνο, το θέμα αυτής της ομάδας διευκρινίζει τους λόγους για τους οποίους γίνονται τόσες πολλές ρητές αναφορές στην ΕΕ και τα θεσμικά της όργανα. Κατά περίπτωση, γίνεται αναφορά στην Ευρώπη εν γένει.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Για να ληφθούν υπόψη όλες οι συμβολές των πολιτών, η παρούσα έκθεση παρουσιάζει όλες τις συστάσεις, συμπεριλαμβανομένων εκείνων που δεν έλαβαν απλή πλειοψηφία κατά την τελική ψηφοφορία για όλες τις συστάσεις. Είναι σαφώς αναγνωρίσιμες λόγω του ποσοστού </w:t>
      </w:r>
      <w:r>
        <w:rPr>
          <w:b/>
          <w:color w:val="FF0000"/>
        </w:rPr>
        <w:t>με κόκκινο και έντονο χρώμα.</w:t>
      </w:r>
      <w:r>
        <w:rPr>
          <w:color w:val="000000"/>
        </w:rPr>
        <w:t xml:space="preserve"> Επιπλέον, ορισμένες συστάσεις αντιφάσκουν μεταξύ τους και ακόμη και στις τελικές συζητήσεις, οι πολίτες παρέμειναν ασαφείς σχετικά με αυτές. Αυτές οι συστάσεις είναι αναγνωρίσιμες επειδή είναι </w:t>
      </w:r>
      <w:r>
        <w:rPr>
          <w:i/>
          <w:color w:val="000000"/>
        </w:rPr>
        <w:t>με πλάγιους χαρακτήρες.</w:t>
      </w:r>
      <w:r>
        <w:rPr>
          <w:color w:val="000000"/>
        </w:rPr>
        <w:t xml:space="preserve"> Για μία μόνο σύσταση, η διαίρεση ήταν τόσο σαφής ώστε η ψηφοφορία έληξε με </w:t>
      </w:r>
      <w:r>
        <w:rPr>
          <w:i/>
          <w:color w:val="000000"/>
        </w:rPr>
        <w:t xml:space="preserve">ex-aequo, </w:t>
      </w:r>
      <w:r>
        <w:rPr>
          <w:color w:val="000000"/>
        </w:rPr>
        <w:t xml:space="preserve">αυτό δηλώνεται με </w:t>
      </w:r>
      <w:r>
        <w:rPr>
          <w:b/>
          <w:color w:val="FF9900"/>
        </w:rPr>
        <w:t>πορτοκαλί και έντονους χαρακτήρες</w:t>
      </w:r>
      <w:r>
        <w:rPr>
          <w:color w:val="000000"/>
        </w:rPr>
        <w:t xml:space="preserve">. Οι πολίτες συμμερίζονται το γεγονός ότι οι απόψεις σχετικά με αυτές τις συστάσεις διέφεραν. Ως εκ τούτου, προτείνουν να επαγρυπνούν οι οργανισμοί της CoFE και τα θεσμικά όργανα της ΕΕ κατά την εφαρμογή αυτών των συστάσεων, καθώς υπάρχει μια μορφή διαίρεσης που βασίζεται στην ψηφοφορία. </w:t>
      </w:r>
    </w:p>
    <w:p>
      <w:pPr>
        <w:pStyle w:val="Normal"/>
        <w:rPr/>
      </w:pPr>
      <w:r>
        <w:rPr/>
      </w:r>
      <w:r>
        <w:br w:type="page"/>
      </w:r>
    </w:p>
    <w:p>
      <w:pPr>
        <w:pStyle w:val="Normal"/>
        <w:rPr/>
      </w:pPr>
      <w:r>
        <w:rPr/>
        <w:t>1. Επικοινωνία</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Προβλήματα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ΣΥΣΤΑΣΕΙΣ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Υποστηρίζεται από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Η ανακοίνωση για την ΕΕ δεν είναι ικανοποιητική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Προτεινόμαστε να συμπεριλάβουμε μαθήματα για την Ευρωπαϊκή Ένωση από το τρίτο επίπεδο του δημοτικού σχολείου. Στόχος είναι η προσέγγιση όλων των πολιτών και η βελτίωση των γνώσεων σχετικά με την Ευρωπαϊκή Ένωση.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Η Ευρωπαϊκή Ένωση, και ιδίως η Επιτροπή, θα πρέπει να θέσει στη διάθεση των Υπουργείων Παιδείας των διαφόρων κρατών μελών ένα εκπαιδευτικό υλικό σχετικά με τη λειτουργία της Ευρώπης. Εκτός από την εξήγηση της λειτουργίας, της σύνθεσης και των αρμοδιοτήτων των θεσμικών οργάνων, οι εν λόγω σχηματισμοί θα πρέπει επίσης να παρέχουν μια σύντομη επισκόπηση της ιστορίας της ευρωπαϊκής ολοκλήρωσης. Ιδιαίτερη προσοχή θα πρέπει να δοθεί στη χρήση σαφούς και κατανοητής, προσβάσιμης γλώσσας, καθώς και εκπαιδευτικών εργαλείων, όπως ντοκιμαντέρ, αποσπάσματα ή σχολικά τηλεοπτικά προγράμματα, και στις 24 γλώσσες.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Το ευρωπαϊκό εγχείρημα παραμένει ξένο για τους πολίτες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Προτείνουμε στα ευρωπαϊκά θεσμικά όργανα να διασφαλίσουν στην ανακοίνωσή τους ότι εξηγούν καλύτερα τι εμπίπτει στην αρμοδιότητα της ΕΕ, αλλά και τι δεν εμπίπτει στην αρμοδιότητά της.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Η Ευρωπαϊκή Ένωση θα πρέπει να συμπεριλάβει στην ανακοίνωσή της γνωστά παραδείγματα από την καθημερινή ζωή των Ευρωπαίων. Οι εξηγήσεις αυτές θα πρέπει να αναμεταδοθούν εντός των κρατών μελών μέσω συμφωνιών μεταξύ των ευρωπαϊκών θεσμικών οργάνων και των εθνικών δημόσιων τηλεοπτικών σταθμών, προκειμένου να προσεγγίσουν ένα ευρύ κοινό.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Επιπλέον, οι υπήκοοι των κρατών μελών θα πρέπει να ενημερώνονται τακτικά — π.χ. μέσω βιντεοκλίπ — σχετικά με τον ρόλο της Ευρωπαϊκής Ένωσης σε άλλα κράτη μέλη. Έτσι, τα πλεονεκτήματα και τα μειονεκτήματα της Ευρώπης θα μπορούσαν να τεθούν καλύτερα στις συζητήσεις για το μέλλον της Ευρώπης.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Προκειμένου να ενισχυθεί η ευρωπαϊκή ταυτότητα, προτείνουμε να ανακαλούνται τακτικά και να καθίστανται προσβάσιμες πληροφορίες σχετικά με το πώς θα ήταν η ζωή των Ευρωπαίων χωρίς την ΕΕ και τα συγκεκριμένα επιτεύγματά της.</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Προτείνουμε επίσης να καταστεί η Ημέρα της Ευρώπης (9 Μαΐου) ευρωπαϊκή αργία για όλους τους πολίτες της ΕΕ.</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Συνιστά στα ευρωπαϊκά θεσμικά όργανα να δώσουν ακόμη μεγαλύτερη προσοχή στην απλούστευση, την κατανόηση και την προσβασιμότητα των πληροφοριών σχετικά με τα θέματα προτεραιότητας που εξετάζονται σε ευρωπαϊκό επίπεδο</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Συνιστούμε στην Ευρωπαϊκή Ένωση να παράσχει έναν </w:t>
            </w:r>
            <w:commentRangeStart w:id="10"/>
            <w:r>
              <w:rPr/>
              <w:t>πίνακα αποτελεσμάτων στον</w:t>
            </w:r>
            <w:r>
              <w:rPr/>
            </w:r>
            <w:commentRangeEnd w:id="10"/>
            <w:r>
              <w:commentReference w:id="10"/>
            </w:r>
            <w:r>
              <w:rPr/>
              <w:t xml:space="preserve"> οποίο θα παρουσιάζονται για κάθε χώρα οι πόροι που διατίθενται από την ΕΕ για κάθε θέμα προτεραιότητας. Όλες αυτές οι πληροφορίες θα πρέπει να είναι προσβάσιμες από τον ιστότοπο της Ευρωπαϊκής Ένωσης.</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Συνιστούμε στην Ευρωπαϊκή Ένωση να παρουσιάσει με σαφήνεια τις εν εξελίξει νομοθετικές εργασίες. Όλες αυτές οι πληροφορίες θα πρέπει να είναι προσβάσιμες από τον ιστότοπο της Ευρωπαϊκής Ένωσης.</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Θέλουμε τα ευρωπαϊκά θεσμικά όργανα να είναι πιο προσιτά στους </w:t>
            </w:r>
            <w:commentRangeStart w:id="11"/>
            <w:r>
              <w:rPr/>
              <w:t>Ευρωπαίους</w:t>
            </w:r>
            <w:r>
              <w:rPr/>
            </w:r>
            <w:commentRangeEnd w:id="11"/>
            <w:r>
              <w:commentReference w:id="11"/>
            </w:r>
            <w:r>
              <w:rPr/>
              <w:t>. Θα πρέπει να διευκολυνθεί η συμμετοχή τους σε συζητήσεις στις συνόδους του Ευρωπαϊκού Κοινοβουλίου.</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Συνιστούμε την επέκταση της συμμετοχής στο πρόγραμμα Erasmus σε όλους τους φοιτητές, ανεξάρτητα από την εκπαιδευτική τους πορεία (επαγγελματική τεχνολογία, εναλλαγή). Όλοι θα πρέπει να μπορούν να συμμετέχουν σε ευρωπαϊκές ανταλλαγές.</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Συνιστάται να επιτραπεί στον εργαζόμενο πληθυσμό να επωφεληθεί από τα ευρωπαϊκά προγράμματα ανταλλαγών, ανεξάρτητα από τον τομέα δραστηριότητας, και για τις τοπικές επιχειρήσεις. Όλοι θα πρέπει να μπορούν να συμμετέχουν σε ευρωπαϊκές ανταλλαγές.</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Συνιστούμε τη δημιουργία μαθημάτων ευρωπαϊκής ιθαγένειας για όλους τους ευρωπαίους πολίτες.</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Η νομοθεσία της ΕΕ δεν εφαρμόζεται με τον ίδιο τρόπο στα κράτη μέλη.</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Συνιστάται η Ευρωπαϊκή Ένωση να κάνει μεγαλύτερη χρήση της άμεσα εφαρμοστέας νομοθεσίας στα κράτη μέλη. Αυτό θα μειώσει τις εθνικές διαφορές στην εφαρμογή της νομοθεσίας της ΕΕ, γεγονός που αποδυναμώνει το ευρωπαϊκό εγχείρημα. Αυτό θα ενισχύσει επίσης τα σημαντικότερα ευρωπαϊκά επιτεύγματα, όπως η εσωτερική αγορά, το ευρώ και ο χώρος Σένγκεν.</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Η ευρωπαϊκή δημοκρατία απειλείται.</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Συνιστάμε η ανακοίνωση της ΕΕ για την ευρωπαϊκή δημοκρατία να υπενθυμίζει αδιάκοπα και αδιαμφισβήτητα τι σημαίνει στην Ευρώπη για τους Ευρωπαίους.</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Οι αξίες και οι αρχές των Συνθηκών της Ευρωπαϊκής Ένωσης στις οποίες προσχώρησαν τα κράτη μέλη κατά την προσχώρηση είναι μη αναστρέψιμες. Η προστασία τους πρέπει να εξακολουθήσει να διασφαλίζεται.</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Η προστασία των αξιών και των αρχών των Συνθηκών διασφαλίζεται</w:t>
            </w:r>
            <w:r>
              <w:rPr/>
              <w:commentReference w:id="12"/>
            </w:r>
            <w:r>
              <w:rPr/>
              <w:t xml:space="preserve"> από το Ευρωπαϊκό Δικαστήριο και δεν μπορεί να αμφισβητηθεί από τα κράτη μέλη.</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Οι πληροφορίες για την ΕΕ δεν είναι εύκολα προσβάσιμες και δυσνόητες</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Συνιστούμε την ενίσχυση της επαλήθευσης των πληροφοριών για ευρωπαϊκά θέματα. Οι πληροφορίες αυτές που διαδίδονται και επαληθεύονται από τα θεσμικά όργανα πρέπει να είναι εύκολα προσβάσιμες στο ευρωπαϊκό κοινό και στα εθνικά μέσα ενημέρωσης κάθε κράτους μέλους.</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Τα εθνικά μέσα ενημέρωσης συχνά μεταδίδουν αρνητική εικόνα της ΕΕ</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Η ΕΕ πρέπει επίσης να είναι περισσότερο παρούσα στην καθημερινή ζωή των Ευρωπαίων, επικοινωνώντας πιο ενεργά. (Π.χ. χορηγώντας, για παράδειγμα, πολιτιστικές εκδηλώσεις που φέρνουν κοντά τους πολίτες και τους καθιστούν υπερήφανους που είναι πολίτες της ΕΕ. Η υποβολή εκθέσεων και τα teasers θα επιτρέψουν επίσης στους Ευρωπαίους να έχουν πρόσβαση</w:t>
            </w:r>
            <w:r>
              <w:rPr/>
              <w:commentReference w:id="13"/>
            </w:r>
            <w:r>
              <w:rPr/>
              <w:t xml:space="preserve"> σε πληροφορίες σχετικά με το πλαίσιο της ΕΕ.</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Οι πολίτες δεν γνωρίζουν εκείνους που τους εκπροσωπούν στο Ευρωπαϊκό Κοινοβούλιο.</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Προτείνουμε στους βουλευτές να είναι περισσότερο γνωστοί στις χώρες καταγωγής τους, ειδικά εκτός των εκλογικών περιόδων. Πρέπει να είναι πιο προσιτά. Οι λόγοι για τους οποίους ψηφίζουν στο Ευρωπαϊκό Κοινοβούλιο πρέπει να καταστούν ευκολότερα προσβάσιμοι στους ευρωπαίους πολίτες μέσω του δικτυακού τόπου της Ευρωπαϊκής Ένωσης.</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Συνιστούμε στα εθνικά πολιτικά κόμματα να εξασφαλίσουν την ανανέωση των υποψηφίων στους καταλόγους που παρουσιάζονται στις εκλογές του Ευρωπαϊκού Κοινοβουλίου. Μια τέτοια εντολή δεν θα πρέπει να θεωρείται ανταμοιβή για τις καλές και πιστές υπηρεσίες που παρέχονται στο πλαίσιο της εθνικής πολιτικής.</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Η ανακοίνωση της ΕΕ είναι υπερβολικά ομοιόμορφη· δεν λαμβάνει υπόψη την ποικιλομορφία του πληθυσμού</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Προκειμένου να επιτευχθεί ένα επαρκώς ευρύ και ποικίλο κοινό, συνιστούμε στην ΕΕ να λάβει υπόψη, μέσω επικοινωνίας χωρίς αποκλεισμούς από το στάδιο της σύλληψης, τον βαθμό εκπαίδευσης των ενδιαφερομένων ατόμων, τις πιθανές αναπηρίες τους. Επιπλέον, συνιστούμε επίσης τη συμμετοχή ατόμων και οργανώσεων (εκπαιδευτικών οδών, πρακτόρων γειτονίας, ΔΚΚΔ, κοινωνίας των πολιτών) στη διαβίβαση της παρούσας ανακοίνωσης.</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Προκειμένου να επιτευχθεί το εργατικό δυναμικό, συνιστούμε περισσότερες επενδύσεις στη χρήση των υφιστάμενων διαύλων επικοινωνίας για την περιοδική παροχή κατάλληλων πληροφοριών σχετικά με την ΕΕ, για παράδειγμα μέσω επεξηγηματικών προγραμμάτων. Επιπλέον, συνιστούμε να βασιστείτε σε πρεσβευτές (τόσο σε άτομα όσο και σε οργανισμούς) που προωθούν το έργο της ΕΕ.</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Προκειμένου να προσεγγίσουν τους νέους και τους σπουδαστές, συνιστούμε, παράλληλα με τους υφιστάμενους διαύλους, όπως η εκπαίδευση και τα σχετικά κινήματα νεολαίας, να προσκληθούν πρεσβευτές, ιδίως για τους παράγοντες επιρροής που μπορούν να προσεγγίσουν τους νέους μέσω των μέσων κοινωνικής δικτύωσης. Μια άλλη σύσταση θα ήταν η διοργάνωση ενός πανευρωπαϊκού διαγωνισμού για τη δημιουργία ενός χαρακτήρα κινουμένων σχεδίων που θα απευθύνεται στους νέους και θα τους στέλνει ευρωπαϊκά μηνύματα.</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Για τους ηλικιωμένους, συνιστούμε να χρησιμοποιείτε τα ίδια κανάλια με αυτά που προσφέρονται για το εργατικό δυναμικό. Επιπλέον, συνιστούμε να αναζητήσετε τη σωστή ισορροπία μεταξύ ψηφιακής και μη ψηφιακής επικοινωνίας (γραπτός τύπος, ραδιόφωνο, δια ζώσης εκδηλώσεις) για την κάλυψη των αναγκών όλων, συμπεριλαμβανομένων εκείνων που είναι λιγότερο άνετα σε ένα ψηφιακό περιβάλλον, καθώς και εκείνων που είναι λιγότερο κινητοί στην κοινωνία.</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Συνιστούμε, μέσω των μαθημάτων ένταξης που υπάρχουν ήδη σε πολλά κράτη μέλη, η ΕΕ να δεσμευτεί να συμπεριλάβει «νέους Ευρωπαίους» (άτομα που μέσω μιας ή άλλης νόμιμης διαδικασίας μετανάστευσης διαμένουν στην ΕΕ) και να τους ενημερώσει για τους άλλους παραδοσιακούς διαύλους μέσω των οποίων επικοινωνεί η ΕΕ. Τέλος, προτείνουμε επίσης να δοθεί μια θέση στον τοπικό συνεταιριστικό κόσμο.</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Συνιστάται επίσης να βγει η ΕΕ στους δρόμους με επικοινωνία χωρίς αποκλεισμούς. Για παράδειγμα, θα μπορούσαν να χρησιμοποιηθούν (ψηφιακοί) πίνακες διαφημίσεων, καθώς και νέα μέσα επικοινωνίας, όπως κωδικοί QR και παραδοσιακά μέσα.</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Άλλες συστάσεις θα ήταν να καταστεί η ΕΕ πιο οπτική (μέσω μικρών ταινιών ή infographics), να δημιουργηθεί ένα ευρωπαϊκό αθλητικό κίνημα για να δημιουργηθεί μια σύνδεση/μια αίσθηση του ανήκειν και να γίνει περισσότερο γνωστός ο ευρωπαϊκός ύμνος.</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Η παραπληροφόρηση</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Προβλήματα</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ΣΥΣΤΑΣΕΙΣ</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Υποστηρίζεται από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Ο κίνδυνος παραπληροφόρησης εμφανίζεται όλο και περισσότερο στα μέσα ενημέρωσης</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Συνιστούμε την αναθεώρηση του μοντέλου χρηματοδότησης των μέσων ενημέρωσης, καθώς και την υποχρεωτική δημοσίευση των πηγών εσόδων, με σαφή και προσβάσιμο τρόπο. Το μοντέλο χρηματοδότησης των μέσων ενημέρωσης τα οδηγεί στον εντυπωσιασμό και, ως εκ τούτου, στη δημοσίευση πληροφοριών εκτός πλαισίου, μετατρέποντάς τις σε παραπληροφόρηση.</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Συνιστούμε την υποχρεωτική παραπομπή των πηγών από τα μέσα ενημέρωσης, παρέχοντας συνδέσμους για την επαλήθευση τους. Διαφορετικά, οι πληροφορίες θα πρέπει να επισημαίνονται ως μη επαληθευμένες.</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Συνιστάται η ευρωπαϊκή ρυθμιστική αρχή για την καταπολέμηση της παραπληροφόρησης (βλ. σημείο 2) να είναι επίσης υπεύθυνη για τη διαπίστευση των οργανισμών επαλήθευσης πληροφοριών («ελεγκτές γεγονότων»)</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Συνιστούμε τη σύσταση, σε κάθε κράτος μέλος, μιας ανεξάρτητης αρχής υπεύθυνης για την επαλήθευση της ουδετερότητας των μέσων ενημέρωσης. Η αρχή αυτή θα πρέπει να χρηματοδοτείται και να παρακολουθείται από την Ευρωπαϊκή Ένωση.</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Συνιστούμε τη διάδοση πληροφοριών σχετικά με τις διευθύνσεις URL των επίσημων δικτυακών τόπων της ΕΕ, προκειμένου να καθησυχαστούν οι πολίτες σχετικά με την προέλευση των πληροφοριών.</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Πολλοί πολίτες αμφιβάλλουν για την ουδετερότητα των μέσων ενημέρωσης</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Συνιστούμε τη δημιουργία μιας ευρωπαϊκής ρυθμιστικής αρχής για την καταπολέμηση της παραπληροφόρησης. Ειδικότερα, το καθήκον της εν λόγω ρυθμιστικής αρχής είναι να καθορίσει τα κριτήρια για το σήμα ουδετερότητας και να θεσπίσει, κατά περίπτωση, ένα σύστημα κυρώσεων ή κινήτρων που θα συνδέονται με την τήρηση των προτύπων ουδετερότητας. Εναλλακτικά, θα μπορούσε να εξεταστεί η τήρηση ενός χάρτη δεοντολογίας. Το σήμα θα χορηγείται από την ανεξάρτητη εθνική αρχή και θα λαμβάνει υπόψη τα μέτρα που λαμβάνονται από τα μέσα ενημέρωσης για την καταπολέμηση της παραπληροφόρησης.</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Συνιστάται η δημιουργία μιας ευρωπαϊκής ανοικτής τηλεφωνικής γραμμής που θα επιτρέπει στους πολίτες να καταγγέλλουν την παραπληροφόρηση σχετικά με ευρωπαϊκές (πολιτικές και οικονομικές) αρμοδιότητες.</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Οι πολίτες δεν γνωρίζουν τους κινδύνους παραπληροφόρησης στους οποίους εκτίθενται.</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Συνιστάται οι πλατφόρμες να υποχρεούνται να δημοσιεύουν σαφείς και κατανοητές πληροφορίες σχετικά με τους κινδύνους παραπληροφόρησης στους οποίους εκτίθενται οι χρήστες τους. Οι πληροφορίες αυτές θα πρέπει να κοινοποιούνται αυτόματα μόλις ανοίξει ένας λογαριασμός.</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Συνιστάται η υποχρεωτική κατάρτιση στη χρήση των μέσων ενημέρωσης, από μικρή ηλικία και προσαρμοσμένη στα διάφορα επίπεδα του εκπαιδευτικού συστήματος.</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Συνιστούμε στην Ευρωπαϊκή Ένωση να δρομολογήσει επανειλημμένες εκστρατείες για την παραπληροφόρηση. Οι εκστρατείες αυτές θα μπορούσαν να αναγνωριστούν με λογότυπο ή μασκότ. Η Ευρωπαϊκή Ένωση θα μπορούσε να αναγκάσει τα κοινωνικά δίκτυα να τα μεταδώσουν μέσω της διάδοσης σημείων.</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Τα μέσα για την καταπολέμηση της παραπληροφόρησης είναι ανεπαρκή.</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Συνιστούμε τη δημοσίευση σε απλή και κατανοητή γλώσσα πληροφοριών σχετικά με αλγορίθμους που οργανώνουν τα μηνύματα που λαμβάνουν οι χρήστες της πλατφόρμας.</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Συνιστάμε οι χρήστες να είναι σε θέση να απενεργοποιήσουν τους αλγόριθμους βελτίωσης της συμπεριφοράς με απλό τρόπο. Θα μπορούσε επίσης να εξεταστεί η υποχρέωση παροχής στους χρήστες πρόσβασης σε άλλες πηγές που υπερασπίζονται διαφορετικές θέσεις για το ίδιο θέμα.</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Συνιστούμε στην Ευρωπαϊκή Ένωση να στηρίξει τη δημιουργία μιας πλατφόρμας μέσων κοινωνικής δικτύωσης που να ανταποκρίνεται στα δικά της πρότυπα όσον αφορά την ουδετερότητα και την καταπολέμηση της παραπληροφόρησης. Εναλλακτικά, η πολυγλωσσική πλατφόρμα που δημιουργήθηκε για την υποστήριξη της Διάσκεψης για το Μέλλον της Ευρώπης θα μπορούσε να προστεθεί με νέα χαρακτηριστικά.</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Επιτροπές πολιτών</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Προβλήματα</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ΣΥΣΤΑΣΕΙΣ</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Υποστηρίζεται από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Δυσκολία στην εξασφάλιση της αντιπροσωπευτικότητας μιας ομάδας πολιτών. Τελικά, μόνο ένα μικρό μέρος του πληθυσμού εμπλέκεται.</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Συνιστάται να παρακολουθούμε τι προτείνει η πιο πρόσφατη επιστημονική εργασία σχετικά με τη διαβουλευτική δημοκρατία όσον αφορά τη δειγματοληψία, την ανάπτυξη και την επιστημονική επικύρωση της μεθόδου επιλογής, προκειμένου να εξασφαλιστεί η καλύτερη δυνατή αντιπροσωπευτικότητα.</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Συνιστάται να υπάρχει επαρκής αριθμός ατόμων γύρω από το τραπέζι για να εξασφαλιστεί η ποικιλομορφία των απόψεων και των προφίλ, συμπεριλαμβανομένων — αλλά όχι μόνο — ατόμων που ασχολούνται άμεσα με το θέμα.</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Συνιστάται να προστεθεί, στα κριτήρια που διέπουν τη δειγματοληψία, το κριτήριο της γονικής ιδιότητας (δηλαδή αν το άτομο έχει ή όχι παιδιά;), εκτός από πιο παραδοσιακά κριτήρια όπως το φύλο, η ηλικία, ο τόπος διαμονής ή το επίπεδο εκπαίδευσης.</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Συνιστάται να καθοριστούν ποσοστώσεις ανά γεωγραφική περιοχή, δηλαδή να καθοριστεί ότι μια ομάδα ευρωπαίων πολιτών πρέπει να αποτελείται από Χ άτομα ανά ευρωπαϊκή γεωγραφική περιοχή (θα καθοριστεί) έτσι ώστε αυτή η ομάδα να μπορεί πραγματικά να χαρακτηριστεί ευρωπαϊκή και σκόπιμη.</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Προτείνουμε τα μητρώα πληθυσμού (ή τα ισοδύναμά τους, ανάλογα με τη χώρα) να χρησιμοποιούνται ως οι κύριες βάσεις δεδομένων για την κλήρωση, προκειμένου να δώσουν σε όλους την ίδια ευκαιρία να είναι σε θέση να επιλεγούν και να δημιουργήσουν ενδιαφέρον για ένα θέμα εντός του πληθυσμού.</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Συνιστάμε οι συμμετέχοντες να αποζημιώνονται για να εκτιμήσουν την επένδυσή τους και να προσελκύσουν άτομα που δεν θα συμμετείχαν αν δεν αποζημιωθούν.</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Σας συνιστούμε να ενημερώσετε — αρκετά ελάχιστα: ούτε πάρα πολλές πληροφορίες ούτε πολύ περίπλοκες πληροφορίες — οι πρώτοι συμμετέχοντες μέσω παρουσιάσεων από ειδικούς για να εξασφαλίσουν ότι ακόμη και άτομα χωρίς προηγούμενη γνώση αισθάνονται άνετα να συμμετέχουν στις συζητήσεις.</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Συνιστάμε να κοινοποιείται εκ των προτέρων το θέμα της Ομάδας Πολιτών, ώστε οι πολίτες να μπορούν να γνωρίζουν ποιο θέμα δεσμεύονται να συζητήσουν.</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Συνιστάμε να μην απαιτούμε από τους πολίτες να συμμετέχουν.</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Δυσκολία στη διοργάνωση πάνελ σε ευρωπαϊκό επίπεδο.</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Συνιστάται να επιτραπεί η διεξαγωγή συνεδριάσεων της ομάδας ευρωπαίων πολιτών σε υβριδική μορφή (παρουσιαστική/ουσιαστική). Άτομα που δεν μπορούν να μετακινηθούν σωματικά μπορούν επίσης να συμμετάσχουν.</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Συνιστάται η Ευρωπαϊκή Ένωση, για μεγαλύτερη ευκολία πρόσβασης και οργάνωσης, να αναθέτει την οργάνωση ομάδων πολιτών (σχετικά με ευρωπαϊκά θέματα) σε διάφορα επίπεδα εξουσίας, σε εθνικό επίπεδο.</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Συνιστάται να επιλέγεται ένα μόνο θέμα ανά ομάδα που διοργανώνεται σε ευρωπαϊκό επίπεδο. Αυτό θα επιτρέψει σε όλους τους συμμετέχοντες να συζητήσουν το ίδιο θέμα, ανεξάρτητα από το πού προέρχονται από την Ευρώπη.</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Αποφύγετε το πάνελ </w:t>
              <w:br/>
              <w:t>οι πολίτες δεν εκτρέπονται για σκοπούς άλλους από εκείνους που δηλώνονται.</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Συνιστάμε κάθε πολίτης να μπορεί να υποβάλει ένα θέμα προς συζήτηση, και έτσι ώστε αυτό το δικαίωμα να μην περιορίζεται στον πολιτικό κόσμο ή στον κόσμο των ομάδων συμφερόντων.</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Συνιστάται να κατοχυρωθεί το δικαίωμα πρωτοβουλίας στο Ευρωπαϊκό Κοινοβούλιο, ούτως ώστε το Ευρωπαϊκό Κοινοβούλιο να καθορίσει το θέμα που θα συζητηθεί και στη συνέχεια να εγκρίνει τα κείμενα που είναι αναγκαία για την παρακολούθηση των συστάσεων που προκύπτουν από τις συζητήσεις.</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Δυσκολία να αποφασιστεί ο καλύτερος τρόπος οργάνωσης της διαδικασίας για την καλύτερη εκπροσώπηση των πολιτών.</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Συνιστάται η σύσταση μόνιμης ομάδας πολιτών, παράλληλα με το κοινοβούλιο, η οποία αναλαμβάνει συγκεκριμένα καθήκοντα. Θα ανανεώνεται τακτικά. Αυτό θα επιτρέψει τη μακροπρόθεσμη προσέγγιση των πολιτών και θα αφιερώσει τον απαραίτητο χρόνο για συζητήσεις. Ο χρόνος επιτρέπει τη διακύμανση των συζητήσεων και της συναίνεσης. Παράλληλα με αυτή τη μόνιμη ομάδα, οι ad hoc ομάδες πολιτών συζητούν θέματα που επιλέγονται από τη μόνιμη ομάδα. Προτείνουμε να ακολουθήσουμε το πρότυπο της γερμανόφωνης κοινότητας.</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Συνιστάται να συγκροτηθεί μόνο μία ή περισσότερες μη μόνιμες ομάδες ευρωπαίων πολιτών, οι οποίες θα συνεδριάζουν και θα συζητούν ένα συγκεκριμένο θέμα μόνο για μια δεδομένη χρονική περίοδο.</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Συνιστάται να μην διοργανώνονται ομάδες ευρωπαίων πολιτών για επείγοντα ζητήματα, καθώς απαιτείται επαρκής χρόνος για τη διασφάλιση της ποιότητας των συζητήσεων.</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Πολύ συχνά, οι πολίτες που συμμετέχουν σε πρωτοβουλίες συμμετοχικής δημοκρατίας, όπως οι ομάδες πολιτών, δεν λαμβάνουν ανατροφοδότηση σχετικά με τη συνέχεια που δίνεται στο έργο τους, είτε βραχυπρόθεσμα είτε μακροπρόθεσμα.</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Συνιστάται η ενημέρωση των πολιτών σχετικά με τη συνέχεια που δόθηκε (ή όχι) στις συστάσεις που εκδόθηκαν μετά τις ομάδες ευρωπαίων πολιτών. Εάν δεν ακολουθηθούν οι συστάσεις, τα εμπλεκόμενα ευρωπαϊκά θεσμικά όργανα πρέπει να αιτιολογήσουν την απόφασή τους (π.χ. έλλειψη αρμοδιότητας). Για το σκοπό αυτό, συνιστούμε τη σύνταξη τακτικών περιλήψεων καθ’ όλη τη διάρκεια της διαδικασίας μετά από ένα πάνελ.</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Συνιστούμε τη διοργάνωση επιτροπών πολιτών, επίσης με παιδιά από μικρή ηλικία (π.χ. 10-16 ετών) για την ευαισθητοποίηση σχετικά με τη συμμετοχή και τη συζήτηση. Αυτό μπορεί να οργανωθεί στα σχολεία.</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Δημοψηφίσματα</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Προβλήματα</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ΣΥΣΤΑΣΕΙΣ</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Υποστηρίζεται από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Συνιστούμε τη διεξαγωγή δημοψηφισμάτων σε ευρωπαϊκό επίπεδο για τις ευρωπαϊκές υποθέσεις.</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Η νοοτροπία του δημοψηφίσματος ποικίλλει σημαντικά από το ένα κράτος μέλος στο άλλο</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Προτείνουμε την ανάθεση έρευνας σχετικά με το πώς να δημιουργηθεί μια κοινή κουλτούρα δημοψηφίσματος στην Ευρώπη.</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Προτείνουμε έρευνα (από ανεξάρτητους εμπειρογνώμονες) σχετικά με την αναγκαιότητα και τη δυνατότητα διεξαγωγής δημοψηφίσματος για ένα συγκεκριμένο θέμα σε ευρωπαϊκό επίπεδο</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Η διατύπωση του ερωτήματος που τίθεται σε ένα δημοψήφισμα μπορεί να έχει αρνητικές επιπτώσεις, όπως και η ικανότητα απάντησης μόνο με «ναι» ή «όχι», που συχνά πολώνει τις συζητήσεις και τις κοινωνίες.</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Συνιστάται η σύσταση μιας επιστημονικής επιτροπής για να σκεφτεί πώς να θέσει ερωτήματα που θα αποτελέσουν το αντικείμενο ενός ευρωπαϊκού δημοψηφίσματος με τον πιο αντικειμενικό τρόπο.</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Συνιστάται να κάνετε ερωτήσεις πολλαπλής επιλογής, υπερβαίνοντας την απλή εναλλακτική λύση μεταξύ «ναι» και «όχι» προκειμένου να προσδώσετε αποχρώσεις ή ακόμη και να επισυνάψετε όρους στο «ναι» και στο «όχι» (δηλαδή «ναι αν», «όχι αν»).</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Συνιστάται οι λευκές ψήφοι να μην λαμβάνονται υπόψη κατά τον υπολογισμό οποιασδήποτε πλειοψηφίας (απλή πλειοψηφία ή απόλυτη πλειοψηφία). Πρέπει να υπάρχουν αρκετές ψηφοφορίες (πρέπει να γίνεται σεβαστή η απαρτία).</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Η επιλογή του θέματος είναι επίσης λεπτή.</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Προτείνουμε ότι ένα ζήτημα που τίθεται σε ευρωπαϊκό δημοψήφισμα θα πρέπει να εμπίπτει στο πεδίο εφαρμογής κάθε ευρωπαϊκού θέματος που εμπίπτει στις αρμοδιότητες της Ευρωπαϊκής Ένωσης.</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Συνιστάται να εξαιρεθούν θέματα που θα μπορούσαν να αποτελέσουν πηγή συγκρούσεων μεταξύ των κρατών μελών.</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Συνιστάται επίσης να τεθούν τεχνικές και δύσκολες ερωτήσεις, με σαφή διατύπωση, επειδή οι άνθρωποι έχουν τη δυνατότητα να είναι επαρκώς ενημερωμένοι.</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Το δημοψήφισμα δεν είναι ένα δημοκρατικό εργαλείο αν μόνο ο πολιτικός κόσμος μπορεί να αποφασίσει να οργανώσει ένα.</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Συνιστάται στο Ευρωπαϊκό Κοινοβούλιο να έχει δικαίωμα πρωτοβουλίας για τη διεξαγωγή</w:t>
            </w:r>
            <w:r>
              <w:rPr/>
              <w:commentReference w:id="14"/>
            </w:r>
            <w:r>
              <w:rPr/>
              <w:t xml:space="preserve"> ευρωπαϊκών δημοψηφισμάτων και να είναι στη συνέχεια σε θέση να υλοποιήσει τα αποτελέσματά του (η Ευρωπαϊκή Επιτροπή και το Συμβούλιο θα πρέπει να ακολουθήσουν χωρίς δυνατότητα παρεμπόδισης).</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Συνιστάται η πρωτοβουλία να μπορεί να προέρχεται και από τους ίδιους τους πολίτες (π.χ. ακολουθώντας κανόνες παρόμοιους με εκείνους που ισχύουν για την Ευρωπαϊκή Πρωτοβουλία Πολιτών).</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Συνιστάμε η πρακτική οργάνωση ενός ευρωπαϊκού δημοψηφίσματος να είναι ένα ουδέτερο όργανο.</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Η συμβουλευτική ή δεσμευτική πτυχή του δημοψηφίσματος πρέπει να είναι </w:t>
              <w:br/>
              <w:t>σαφώς καθορισμένο.</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Συνιστούμε το αποτέλεσμα ενός ευρωπαϊκού δημοψηφίσματος να είναι δεσμευτικό μόνο όταν πληρούνται ορισμένες προϋποθέσεις όσον αφορά την προσέλευση.</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Συνιστάμε τα αποτελέσματα του δημοψηφίσματος να είναι δεσμευτικά μόνο εάν έχουν επιτευχθεί ορισμένες πλειοψηφίες (51/49, 70/30). Αυτές οι συνθήκες καθορίζονται πριν από κάθε δημοψήφισμα.</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Προτείνουμε το αποτέλεσμα ενός ευρωπαϊκού δημοψηφίσματος να είναι δεσμευτικό εάν η πρωτοβουλία της οργάνωσής του ληφθεί από πολίτες (οι οποίοι θα κατόρθωσαν να συγκεντρώσουν μια σειρά υπογραφών για το σκοπό αυτό), αλλά ενδεικτικό εάν η πρωτοβουλία αναλήφθηκε από ένα πολιτικό όργανο.</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Συνιστάμε να καταστεί το αποτέλεσμα ενός ευρωπαϊκού δημοψηφίσματος δεσμευτικό μόνο για ορισμένα θέματα, αλλά όχι για εκείνα για τα οποία οι συνέπειες της ψηφοφορίας θα μπορούσαν να είναι πολύ σοβαρές.</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Ο πληθυσμός συχνά είναι ανεπαρκώς ενημερωμένος πριν κληθεί να ψηφίσει σε δημοψήφισμα. Ταυτόχρονα, είναι ζωτικής σημασίας να ελέγχονται οι πληροφορίες που κοινοποιούνται προκειμένου να αποφεύγονται επιβλαβείς επιδράσεις (εσωτερικές ή αλλοδαπές) στην ψηφοφορία.</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Συνιστούμε, πριν από οποιοδήποτε ευρωπαϊκό δημοψήφισμα, το κοινό να ενημερώνεται σαφώς για τον αντίκτυπο της ψηφοφορίας στην καθημερινή του ζωή, μέσω φυλλαδίων, όπως γίνεται στην Ελβετία, ή/και ενημερωτικών συνεδριάσεων.</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Συνιστάται η σύσταση, για κάθε ευρωπαϊκό δημοψήφισμα, μιας επιστημονικής επιτροπής που θα εγγυάται την ουδετερότητα των πληροφοριών που κοινοποιούνται.</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Αν και ένα δημοψήφισμα καλεί ολόκληρο τον πληθυσμό να ψηφίσει άμεσα (σε αντίθεση με το πάνελ των πολιτών), υπάρχει πάντα μια συγκεκριμένη απουσία, λίγο-πολύ σημαντική.</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Συνιστούμε να είναι υποχρεωτική η συμμετοχή στην ψηφοφορία σε ευρωπαϊκό δημοψήφισμα.</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Συνιστάμε η ψηφοφορία σε ευρωπαϊκό δημοψήφισμα να είναι εθελοντική.</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Συνιστάμε, προκειμένου να μειωθούν οι απουσιές, να επιτραπεί η ηλεκτρονική ψηφοφορία εκτός από την έντυπη ψηφοφορία (ή εκτός από άλλα μέσα ψηφοφορίας, όπως η ψηφοφορία μέσω ταχυδρομείου). Η ηλεκτρονική ψηφοφορία είναι ιδιαίτερα ενδιαφέρουσα για τους ανθρώπους που πηγαίνουν διακοπές και ενθαρρύνει επίσης τους ανθρώπους που ενδιαφέρονται λιγότερο να ψηφίσουν, επειδή ο εξαναγκασμός των ταξιδιών δεν υπάρχει πλέον.</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Πολύ συχνά, οι πολίτες που συμμετέχουν σε πρωτοβουλίες συμμετοχικής δημοκρατίας, όπως τα δημοψηφίσματα,</w:t>
            </w:r>
            <w:r>
              <w:rPr/>
              <w:commentReference w:id="15"/>
            </w:r>
            <w:r>
              <w:rPr/>
              <w:t xml:space="preserve"> δεν λαμβάνουν επιστροφή στη συνέχεια που δόθηκε στην ψήφο τους, είτε βραχυπρόθεσμα είτε μακροπρόθεσμα.</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Συνιστούμε την ενημέρωση των πολιτών σχετικά με τη συνέχεια που δόθηκε (ή όχι) στην απόφαση που έλαβαν οι πολίτες μέσω ευρωπαϊκού δημοψηφίσματος.</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Υφιστάμενα εργαλεία</w:t>
      </w:r>
    </w:p>
    <w:p>
      <w:pPr>
        <w:pStyle w:val="Normal"/>
        <w:rPr/>
      </w:pPr>
      <w:r>
        <w:rPr/>
        <w:t>5.1. Ευρωεκλογές.</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Προβλήματα</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ΣΥΣΤΑΣΕΙΣ</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Υποστηρίζεται από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Υπάρχει διαφορά στους κανονισμούς στα διάφορα κράτη μέλη</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Προτείνουμε την υποχρεωτική συμμετοχή του Ευρωπαϊκού Κοινοβουλίου στην ψηφοφορία, αλλά με επαρκείς πληροφορίες ώστε οι πολίτες να κατανοούν τους λόγους.</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Η σύστασή μας είναι να γίνουν οι εκλογικοί κανόνες για το Ευρωπαϊκό Κοινοβούλιο όσο το δυνατόν περισσότερο σε όλες τις χώρες, συμπεριλαμβανομένης της ελάχιστης ηλικίας.</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Δεν υπάρχει επαρκής ποικιλομορφία όσον αφορά την ηλικία, την καταγωγή και τα κριτήρια φύλου των βουλευτών του ΕΚ.</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Προτεινόμαστε οι βουλευτές να είναι όλων των ηλικιών και υποβάθρου.</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Προτεινόμαστε οι βουλευτές του ΕΚ να επιλέξουν σκόπιμα για μια ευρωπαϊκή σταδιοδρομία και όχι μόνο επειδή βρίσκονται στο τέλος της σταδιοδρομίας τους.</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Προτεινόμαστε να επιλέξουμε μια ισόρροπη κατανομή των φύλων, για παράδειγμα με την εναλλαγή των φύλων στους εκλογικούς καταλόγους</w:t>
            </w:r>
            <w:r>
              <w:rPr/>
              <w:commentReference w:id="16"/>
            </w:r>
            <w:r>
              <w:rPr/>
              <w:t>. Η ΕΕ πρέπει να καθορίσει αυτά τα κριτήρια και να επαληθεύσει εάν πληρούνται στη σύνθεση των ποσοστώσεων. Εάν ένας υποψήφιος αρνηθεί τη θητεία του, ο επόμενος υποψήφιος κατά σειρά προτίμησης και με το ίδιο φύλο θα λάβει τη θέση του.</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Συνιστάμε οι υποψήφιοι στους ευρωπαϊκούς καταλόγους να ασκούν τη θητεία τους, εφόσον εκλεγούν.</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Ψηφίζουμε υπέρ του Ευρωπαϊκού Κοινοβουλίου και δεν έχουμε λόγο στη σύνθεση της επιτροπής</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Προτεινόμαστε να υπάρξει τροποποίηση της Συνθήκης με την οποία το μεγαλύτερο κόμμα στο Ευρωπαϊκό Κοινοβούλιο θα μπορεί να διορίζει τον Πρόεδρο της Ευρωπαϊκής Επιτροπής.</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Συνιστάται να καταστεί η σύνθεση της Ευρωπαϊκής Επιτροπής πιο διαφανής, σύμφωνα με ορισμένους βασικούς κανόνες, έτσι ώστε η σύνθεση να αντικατοπτρίζει τη φωνή του πολίτη και να γνωρίζει ο πολίτης πώς πραγματοποιήθηκε η επιλογή.</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Δεν υπάρχουν πολλές πληροφορίες σχετικά με τους υποψηφίους, δεν γνωρίζουμε πολλά γι’ αυτούς και το πρόγραμμά τους, καθώς και το πολιτικό τμήμα που θα εκπροσωπήσουν στο Ευρωπαϊκό Κοινοβούλιο.</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Προτεινόμαστε οι ευρωπαίοι υποψήφιοι να παρουσιάζονται σε τοπικό επίπεδο με πιο συγκεκριμένο τρόπο με τους στόχους και τα προγράμματά τους μέσω διαφορετικών διαύλων (επικοινωνία).</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Ευρωπαίος Διαμεσολαβητής</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Προβλήματα</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ΣΥΣΤΑΣΕΙΣ</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Υποστηρίζεται από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Ο ιστότοπος σε γλώσσες διαφορετικές από τα αγγλικά περιλαμβάνει μόνο πληροφορίες στα αγγλικά στις δύο πρώτες σελίδες. Αυτό δημιουργεί ένα εμπόδιο για τους πολίτες που δεν κατέχουν αγγλικά</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Προτείνουμε να τοποθετήσουμε τις πληροφορίες στην αρχική σελίδα στη γλώσσα του κάθε πολίτη και να δημοσιεύσουμε, εάν δεν είναι δυνατόν να τις μεταφράσουμε, τις ειδήσεις στα αγγλικά αλλού στον ιστότοπο.</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Ο Διαμεσολαβητής δεν είναι μέρος της ποινής και οποιασδήποτε αποζημίωσης για τον καταγγέλλοντα</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Προτεινόμαστε ο Συνήγορος του Πολίτη να είναι μέρος της διαδικασίας εξεύρεσης και εφαρμογής της λύσης/κυρώσεως/αποζημίωσης και να έχει φωνή επί του θέματος.</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Η προθεσμία είναι μερικές φορές πολύ μεγάλη για την επικύρωση της εγγραφής στην ιστοσελίδα (επικύρωση ηλεκτρονικού ταχυδρομείου) Μερικές φορές διαρκεί 24 ώρες και υποβιβάζει τον πολίτη που κινείται σε κάτι άλλο.</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Προτείνουμε την εισαγωγή ενός συστήματος άμεσης επικύρωσης.</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Όταν υποβάλλουμε μια καταγγελία, τίθεται το ερώτημα: έχετε χρησιμοποιήσει όλες τις πιθανές διαδικασίες; Ο πολίτης δεν γνωρίζει πάντα όλες τις διαδικασίες και δεν μπορεί να απαντήσει στην ερώτηση.</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Προτεινόμαστε να συμπεριλάβουμε έναν σύνδεσμο για μια απλή παρουσίαση/εξήγηση άλλων διαδικασιών</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Ο ιστότοπος του Διαμεσολαβητή είναι καλά κατασκευασμένος, αλλά δεν έχει σαφή ευρωπαϊκή εικόνα, οπότε αυτό οδηγεί σε ερωτήσεις για τον πολίτη (είμαι στον σωστό ιστότοπο, είναι αξιόπιστος;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Προτεινόμαστε να αναθεωρήσουμε τον γραφικό χάρτη του ιστότοπου και να τον ευθυγραμμίσουμε περισσότερο με αυτόν της ΕΕ (πρώτη συμβουλή: υψώστε την ευρωπαϊκή σημαία στην κορυφή της σελίδας). Πρέπει να είναι σαφές με το πρώτο «κλικ» ότι ο πολίτης βρίσκεται στην ιστοσελίδα του Διαμεσολαβητή των θεσμικών οργάνων.</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Δημόσια διαβούλευση</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Προβλήματα</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ΣΥΣΤΑΣΕΙΣ</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Υποστηρίζεται από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Ο δικτυακός τόπος των διαβουλεύσεων έχει αλλάξει και ο πολίτης αποστέλλεται σε πρώτο βαθμό σε παρωχημένο δικτυακό τόπο. Πρέπει να ψάξετε για να βρείτε τη διεύθυνση του νέου ιστότοπου.</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Προτείνουμε να διαγραφεί ο παλιός ιστότοπος και να αναφερθεί πρώτα ο νέος ιστότοπος.</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Ο χάρτης πορείας (αγγλικά) και οι γνωμοδοτήσεις (γλώσσα του συντάκτη του πολίτη) μιας διαβούλευσης δεν μεταφράζονται στη γλώσσα του αναγνώστη πολίτη</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Συνιστούμε θερμά τη μετάφραση του χάρτη πορείας στη γλώσσα των πολιτών. Ο οδικός χάρτης στα αγγλικά αποκλείει κάθε πολίτη που δεν κατέχει</w:t>
            </w:r>
            <w:commentRangeStart w:id="19"/>
            <w:r>
              <w:rPr/>
              <w:t>αγγλικά</w:t>
            </w:r>
            <w:r>
              <w:rPr/>
            </w:r>
            <w:commentRangeEnd w:id="19"/>
            <w:r>
              <w:commentReference w:id="19"/>
            </w:r>
            <w:r>
              <w:rPr/>
              <w:t xml:space="preserve"> στη συμμετοχή του.</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Προτείνουμε να τοποθετήσετε μια καρτέλα/εικονικό «αυτοματοποιημένη μετάφραση» σε κάθε κριτική, η οποία συνδέεται με μια μηχανή μετάφρασης ανοιχτού κώδικα όπως το </w:t>
            </w:r>
            <w:commentRangeStart w:id="20"/>
            <w:r>
              <w:rPr/>
              <w:t>Google Translate ή το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Πρέπει να εγγραφείτε για να παρακολουθήσετε τη διαβούλευση</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Προτείνουμε να στείλετε την παρακολούθηση της διαδικασίας αυτόματα σε όποιον έχει αντιδράσει, με τη δυνατότητα να διαγραφεί.</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Δεν γνωρίζουμε αν ο αριθμός των γνωμοδοτήσεων κατά μία έννοια επηρεάζει την επιτροπή ή αν παρόμοιες γνωμοδοτήσεις λαμβάνονται ως ενιαία γνωμοδότηση (στάθμιση ή όχι). Εάν ο αριθμός των γνωμοδοτήσεων κατά μία έννοια μετράει για το βάρος των εκπροσώπων ομάδων συμφερόντων/ακτιβιστών/μεγάλων εταιρειών στις διαβουλεύσεις και εκ των πραγμάτων στις δράσεις που έχει αναλάβει η ΕΕ έναντι των πολιτών και του συνεταιριστικού κόσμου</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Σας συνιστούμε να τοποθετήσετε σαφείς πληροφορίες στην ιστοσελίδα σχετικά με αυτό.</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Εάν ο αριθμός των απόψεων προς μία κατεύθυνση έχει αντίκτυπο, συνιστούμε να δημιουργηθεί ένα σύστημα ικανό να φιλτράρει τους εκπροσώπους συμφερόντων/ακτιβιστές/μεγάλες εταιρείες κ.λπ., ώστε να μην τους δοθεί δυσανάλογο βάρος.</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Συνιστούμε τη δημιουργία λογισμικού τεχνητής νοημοσύνης που κατατάσσει διαφορετικές κριτικές και μετράει αντίθετα ή ευνοϊκά σχόλια.</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Προτείνουμε να οργανωθούν αναμεταδόσεις μεταξύ πολιτών και ενώσεων (στρατιωτικοί): υπάρχουν μέρη όπου οι πολίτες θα μπορούσαν να έρθουν και να εκφράσουν τις απόψεις τους, με τη μορφή «σπιτιών της Ευρώπης» που θα μπορούσαν να συμβάλουν στη διάδοση των απόψεων των πολιτών σε ευρωπαϊκό επίπεδο. Οι θέσεις αυτές θα πρέπει να δημιουργηθούν σε διαφορετικές τοποθεσίες, σε τοπικό επίπεδο, και να μετεγκατασταθούν.</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5.Η φόρμα ειδοποίησης δεν είναι σαφής: υπάρχει μια ανοιχτή ερώτηση και ένα ερωτηματολόγιο. Ποιος είναι ο ρόλος του κάθε εγγράφου, τι πρέπει να συμπληρωθεί;</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Διευκρινίστε αυτές τις πληροφορίες στην ιστοσελίδα.</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Υπάρχουν πάρα πολλά επίπεδα δεξιοτήτων όσον αφορά τα εργαλεία</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Προτείνουμε τη δημιουργία ενός κέντρου αποστολής που θα επιτρέπει την υποβολή αιτήσεων στο αρμόδιο επίπεδο αρχής.</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Ευρωπαϊκή Πρωτοβουλία Πολιτών</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Προβλήματα</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ΣΥΣΤΑΣΕΙΣ</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Υποστηρίζεται από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Οι πολίτες που δεν έχουν το διαδίκτυο είναι πιο δύσκολο να προσεγγιστούν.</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Προτεινόμαστε οι τοπικές αρχές ή οι βιβλιοθήκες, οι οποίες είναι ανεξάρτητες από την κυβέρνηση, να συμμετέχουν στη διάδοση αυτής της πρωτοβουλίας και στη συλλογή υπογραφών. Τόσο ηλεκτρονικά όσο και σε χαρτί. Η ΕΕ θα πρέπει να προβεί σε απολογισμό αυτού του δικτύου ανά χώρα και να το καταστήσει διαθέσιμο στους εμπνευστές.</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Ο αριθμός των χωρών που πρέπει να συμμετάσχουν είναι πολύ μικρός για να έχει επαρκή στήριξη.</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Προτείνουμε να αυξηθεί ο αριθμός των χωρών από τις οποίες συλλέγονται υπογραφές σε 13 χώρες προκειμένου να υπάρξει μεγαλύτερη υποστήριξη για την πρόταση. Ο αριθμός των υπογραφών πρέπει να τηρείται ανάλογα με τον αριθμό των κατοίκων.</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Το κόστος και η προσπάθεια συλλογής υπογραφών είναι υψηλό</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Προτεινόμαστε να υπάρξει χρηματοδότηση από την ΕΕ για τη στήριξη αυτών των πρωτοβουλιών.</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Προτείνουμε τη σύσταση ενός φορέα για τη διευκόλυνση του συντονισμού μεταξύ των διαφόρων χωρών.</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Η διαδικασία είναι πολύπλοκη για τους πολίτες.</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Προτεινόμαστε να δημιουργηθεί ένα γραφείο υποστήριξης για να βοηθήσει τους πολίτες να ολοκληρώσουν τη διαδικασία.</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Το αποτέλεσμα της πρωτοβουλίας πολιτών είναι ασαφές.</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Προτείνουμε να υποχρεωθεί η Ευρωπαϊκή Επιτροπή να συζητήσει και να εργαστεί για την παρακολούθηση της πρότασης και όχι απλώς να απαντήσει και να επιβεβαιώσει την παραλαβή της. Εάν η Επιτροπή αποφασίσει να μην δώσει συνέχεια στην πρόταση, πρέπει να την αιτιολογήσει.</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Προτεινόμαστε να οργανώσουμε διαβούλευση με τους πολίτες κατά τη λήψη μιας Ευρωπαϊκής Πρωτοβουλίας Πολιτών για να τους ζητήσουμε τη γνώμη τους πριν την παρακολουθήσει η επιτροπή. Αυτό θα απέτρεπε να έχουν μόνο ακραίες απόψεις/ψηφοφορία για την πρωτοβουλία και να έχουν τη γνώμη ατόμων που δεν έχουν υπογράψει. Επιπλέον, εάν όλοι οι πολίτες εκφράσουν τη γνώμη τους, η πρόταση θα έχει μεγαλύτερη βαρύτητα σε επίπεδο ΕΕ και την επακολούθησή της.</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Δικαίωμα αναφοράς</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Προβλήματα</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ΣΥΣΤΑΣΕΙΣ</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Υποστηρίζεται από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Η Ευρωπαϊκή Επιτροπή έχει την τελική απόφαση, δεν υπάρχει καμία βεβαιότητα για το αποτέλεσμα</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Προτείνουμε την τήρηση της σύστασης του Ευρωπαϊκού Κοινοβουλίου από την επιτροπή.</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Υπάρχει ελάχιστη διαφάνεια όσον αφορά τη διαδικασία και τα κίνητρα της απόφασης.</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Προτεινόμαστε να κρατάμε το άτομο που υποβάλλει την αναφορά ενήμερο για την πρόοδο και τις αποφάσεις σε τακτά χρονικά διαστήματα. Το τελικό συμπέρασμα πρέπει επίσης να είναι αιτιολογημένο.</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Είναι δύσκολο για τους πολίτες να αποδείξουν την ανάγκη για νέα νομοθεσία.</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Η σύστασή μας είναι ότι μια αναφορά θα πρέπει επίσης να χρησιμοποιείται ως εργαλείο για να καταδειχθεί η ανάγκη για νέα νομοθεσία.</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ΙΙ Β Εθνικές επιτροπές: Γαλλία</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ΠΛΑΙΣΙΟ 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Το παρόν έγγραφο αποτελεί σύνοψη της έκθεσης με τίτλο «Η συμβολή των πολιτών στη Διάσκεψη για το Μέλλον της Ευρώπης» που διοργάνωσε η Γαλλία. Η πλήρης έκδοση της έκθεσης στα γαλλικά διατίθεται στον ακόλουθο σύνδεσμο: </w:t>
                            </w:r>
                          </w:p>
                          <w:p>
                            <w:pPr>
                              <w:pStyle w:val="Contenudecadre"/>
                              <w:spacing w:before="57" w:after="57"/>
                              <w:rPr/>
                            </w:pPr>
                            <w:hyperlink r:id="rId87">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ΠΛΑΙΣΙΟ 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Το παρόν έγγραφο αποτελεί σύνοψη της έκθεσης με τίτλο «Η συμβολή των πολιτών στη Διάσκεψη για το Μέλλον της Ευρώπης» που διοργάνωσε η Γαλλία. Η πλήρης έκδοση της έκθεσης στα γαλλικά διατίθεται στον ακόλουθο σύνδεσμο: </w:t>
                      </w:r>
                    </w:p>
                    <w:p>
                      <w:pPr>
                        <w:pStyle w:val="Contenudecadre"/>
                        <w:spacing w:before="57" w:after="57"/>
                        <w:rPr/>
                      </w:pPr>
                      <w:hyperlink r:id="rId88">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ΕΙΚΟΝΑ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ΕΙΚΟΝΑ 33" descr=""/>
                    <pic:cNvPicPr>
                      <a:picLocks noChangeAspect="1" noChangeArrowheads="1"/>
                    </pic:cNvPicPr>
                  </pic:nvPicPr>
                  <pic:blipFill>
                    <a:blip r:embed="rId89"/>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ΕΙΚΟΝΑ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ΕΙΚΟΝΑ38" descr=""/>
                    <pic:cNvPicPr>
                      <a:picLocks noChangeAspect="1" noChangeArrowheads="1"/>
                    </pic:cNvPicPr>
                  </pic:nvPicPr>
                  <pic:blipFill>
                    <a:blip r:embed="rId90"/>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ΕΙΚΟΝΑ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ΕΙΚΟΝΑ37" descr=""/>
                    <pic:cNvPicPr>
                      <a:picLocks noChangeAspect="1" noChangeArrowheads="1"/>
                    </pic:cNvPicPr>
                  </pic:nvPicPr>
                  <pic:blipFill>
                    <a:blip r:embed="rId91"/>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ΕΙΚΟΝΑ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ΕΙΚΟΝΑ 36" descr=""/>
                    <pic:cNvPicPr>
                      <a:picLocks noChangeAspect="1" noChangeArrowheads="1"/>
                    </pic:cNvPicPr>
                  </pic:nvPicPr>
                  <pic:blipFill>
                    <a:blip r:embed="rId92"/>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ΕΙΚΟΝΑ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ΕΙΚΟΝΑ34" descr=""/>
                    <pic:cNvPicPr>
                      <a:picLocks noChangeAspect="1" noChangeArrowheads="1"/>
                    </pic:cNvPicPr>
                  </pic:nvPicPr>
                  <pic:blipFill>
                    <a:blip r:embed="rId93"/>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ΕΙΚΟΝΑ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ΕΙΚΟΝΑ35" descr=""/>
                    <pic:cNvPicPr>
                      <a:picLocks noChangeAspect="1" noChangeArrowheads="1"/>
                    </pic:cNvPicPr>
                  </pic:nvPicPr>
                  <pic:blipFill>
                    <a:blip r:embed="rId94"/>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ΠΕΡΙΛΗΨΗ</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Εισαγωγή </w:t>
      </w:r>
    </w:p>
    <w:p>
      <w:pPr>
        <w:pStyle w:val="P68B1DB1Normal19"/>
        <w:widowControl w:val="false"/>
        <w:spacing w:lineRule="auto" w:line="240" w:before="156" w:after="0"/>
        <w:ind w:left="0" w:right="0" w:hanging="0"/>
        <w:jc w:val="both"/>
        <w:rPr/>
      </w:pPr>
      <w:r>
        <w:rPr/>
        <w:t xml:space="preserve">Η Διάσκεψη για το Μέλλον της Ευρώπης είναι μια άνευ προηγουμένου άσκηση συμμετοχής των πολιτών για τη διαβούλευση με τους πολίτες των 27 κρατών μελών της Ευρωπαϊκής Ένωσης, προκειμένου να τεθούν στο επίκεντρο των αποφάσεων που θα ληφθούν για τα επόμενα χρόνια και δεκαετίες. Ως εκ τούτου, οι πολίτες της ΕΕ καλούνται να ακούσουν τη φωνή τους, προτείνοντας αλλαγές και συγκεκριμένους τρόπους δράσης που θα επιτρέψουν στην Ευρώπη να θέσει νέα φιλοδοξία και να αντιμετωπίσει τις παγκόσμιες προκλήσεις που αντιμετωπίζει σήμερα. </w:t>
      </w:r>
    </w:p>
    <w:p>
      <w:pPr>
        <w:pStyle w:val="P68B1DB1Normal19"/>
        <w:widowControl w:val="false"/>
        <w:spacing w:lineRule="auto" w:line="240" w:before="156" w:after="0"/>
        <w:ind w:left="0" w:right="0" w:hanging="0"/>
        <w:jc w:val="both"/>
        <w:rPr/>
      </w:pPr>
      <w:r>
        <w:rPr/>
        <w:t xml:space="preserve">Η γαλλική κυβέρνηση υποστηρίζει τις πρωτοβουλίες των Προεδριών των Τριών Προεδριών της Διάσκεψης για το Μέλλον της Ευρώπης, ενθαρρύνοντας ιδίως τους πολίτες της να συμβάλουν σημαντικά στην διαδικτυακή πλατφόρμα και να διοργανώσουν εκδηλώσεις σε ολόκληρη τη χώρα. </w:t>
      </w:r>
    </w:p>
    <w:p>
      <w:pPr>
        <w:pStyle w:val="P68B1DB1Normal19"/>
        <w:widowControl w:val="false"/>
        <w:spacing w:lineRule="auto" w:line="240" w:before="156" w:after="0"/>
        <w:ind w:left="0" w:right="0" w:hanging="0"/>
        <w:jc w:val="left"/>
        <w:rPr/>
      </w:pPr>
      <w:r>
        <w:rPr/>
        <w:t xml:space="preserve">Παράλληλα με αυτές τις ευρωπαϊκές πρωτοβουλίες, η κυβέρνηση επιθυμούσε να διεξαγάγει μια συμμετοχική άσκηση σε εθνικό επίπεδο. </w:t>
      </w:r>
    </w:p>
    <w:p>
      <w:pPr>
        <w:pStyle w:val="P68B1DB1Normal19"/>
        <w:widowControl w:val="false"/>
        <w:spacing w:lineRule="auto" w:line="240" w:before="156" w:after="0"/>
        <w:ind w:left="0" w:right="0" w:hanging="0"/>
        <w:jc w:val="both"/>
        <w:rPr/>
      </w:pPr>
      <w:r>
        <w:rPr/>
        <w:t xml:space="preserve">Με την υποστήριξη του Υπουργείου Σχέσεων με το Κοινοβούλιο και τη Συμμετοχή των Πολιτών (MRPCC) και την εμπειρογνωσία του Διυπουργικού Κέντρου Συμμετοχής των Πολιτών (ICPC), το Υπουργείο Ευρώπης και Εξωτερικών (MEAE) διοργάνωσε άσκηση πολιτών με βάση ισχυρές μεθοδολογικές προκαταλήψεις (βλ. παρακάτω «Μεθοδολογικές δεσμεύσεις και προκαταλήψεις»). Η MEAE στηρίχθηκε σε κοινοπραξία προμηθευτών αποτελούμενη από τους Roland Berger, Wavestone, Missions Publiques και Harris Interactive. Οι περιφερειακές νομαρχίες διαδραμάτισαν τελικά καθοριστικό ρόλο στη διοργάνωση των 18 συνεδρίων σε όλη τη χώρα. </w:t>
      </w:r>
    </w:p>
    <w:p>
      <w:pPr>
        <w:pStyle w:val="P68B1DB1Normal19"/>
        <w:widowControl w:val="false"/>
        <w:spacing w:lineRule="auto" w:line="240" w:before="156" w:after="0"/>
        <w:ind w:left="0" w:right="0" w:hanging="0"/>
        <w:jc w:val="both"/>
        <w:rPr/>
      </w:pPr>
      <w:r>
        <w:rPr/>
        <w:t xml:space="preserve">Στο πλαίσιο αυτής της διαβούλευσης, υποβλήθηκε μία μόνο ερώτηση στους συμμετέχοντες: </w:t>
      </w:r>
      <w:r>
        <w:rPr>
          <w:b/>
          <w:i/>
        </w:rPr>
        <w:t>Ως Γάλλοι πολίτες, ποιες αλλαγές θέλετε για την Ευρώπη;</w:t>
      </w:r>
      <w:r>
        <w:rPr/>
        <w:t xml:space="preserve"> (Βλέπε παράρτημα IV «εντολή συμμετοχής»). </w:t>
      </w:r>
    </w:p>
    <w:p>
      <w:pPr>
        <w:pStyle w:val="P68B1DB1Normal19"/>
        <w:widowControl w:val="false"/>
        <w:spacing w:lineRule="auto" w:line="240" w:before="156" w:after="0"/>
        <w:ind w:left="0" w:right="0" w:hanging="0"/>
        <w:jc w:val="both"/>
        <w:rPr/>
      </w:pPr>
      <w:r>
        <w:rPr/>
        <w:t xml:space="preserve">Η εν λόγω εθνική άσκηση έλαβε τη μορφή 18 περιφερειακών διασκέψεων, στις 13 μητροπολιτικές περιφέρειες και στις 5 γαλλικές υπερθαλάσσιες περιφέρειες, οι οποίες πραγματοποιήθηκαν κατά τη διάρκεια τριών Σαββατοκύριακων τον Σεπτέμβριο και τον Οκτώβριο του 2021 και η καθεμία συγκέντρωσε 30 έως 50 πολίτες με κλήρωση (746 συνολικά). Η σύνθεση αυτών των 18 περιφερειακών ομάδων πραγματοποιήθηκε στη συνέχεια σε εθνική διάσκεψη που πραγματοποιήθηκε από τις 15 έως τις 17 Οκτωβρίου 2021 στο Οικονομικό, Κοινωνικό και Περιβαλλοντικό Συμβούλιο (ΕΟΚΕ στο Παρίσι) και στην οποία συμμετείχαν 98 εθελοντές πολίτες μεταξύ των συμμετεχόντων στις περιφερειακές διασκέψεις. </w:t>
      </w:r>
    </w:p>
    <w:p>
      <w:pPr>
        <w:pStyle w:val="P68B1DB1Normal19"/>
        <w:widowControl w:val="false"/>
        <w:spacing w:lineRule="auto" w:line="240" w:before="156" w:after="0"/>
        <w:ind w:left="0" w:right="0" w:hanging="0"/>
        <w:jc w:val="both"/>
        <w:rPr/>
      </w:pPr>
      <w:r>
        <w:rPr/>
        <w:t xml:space="preserve">Επιπλέον, και προκειμένου να αναδειχθούν τα λόγια των νέων Γάλλων ενόψει του Ευρωπαϊκού Έτους Νεολαίας το 2022, διοργανώθηκε διαδικτυακή διαβούλευση με τίτλο « </w:t>
      </w:r>
      <w:r>
        <w:rPr>
          <w:i/>
        </w:rPr>
        <w:t>Speak to Youth</w:t>
      </w:r>
      <w:r>
        <w:rPr/>
        <w:t xml:space="preserve">» από το Υπουργείο Ευρώπης και Εξωτερικών σε συνεργασία με τη Make.org. Περισσότεροι από 50.000 νέοι ηλικίας 15 έως 35 ετών εξέφρασαν τις ιδέες και τις προτεραιότητές τους για την Ευρώπη του 2035.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Η παρούσα έκθεση παρουσιάζει τα κύρια αποτελέσματα των δύο διαβουλεύσεων που διεξήγαγε η κυβέρνηση.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ΜΕΘΟΔΟΛΟΓΙΑ ΔΙΑΒΟΥΛ </w:t>
      </w:r>
    </w:p>
    <w:p>
      <w:pPr>
        <w:pStyle w:val="P68B1DB1Normal19"/>
        <w:widowControl w:val="false"/>
        <w:spacing w:lineRule="auto" w:line="240" w:before="156" w:after="0"/>
        <w:ind w:left="0" w:right="0" w:hanging="0"/>
        <w:jc w:val="both"/>
        <w:rPr/>
      </w:pPr>
      <w:r>
        <w:rPr/>
        <w:t xml:space="preserve">Η πρόσληψη των πολιτών που συμμετέχουν σε περιφερειακές διασκέψεις συνδύασε μια τυχαία επιλογή των συμμετεχόντων με τυχαία κλήρωση των τηλεφωνικών τους αριθμών και μια στοχευμένη επιλογή των προφίλ που θα απευθυνθούν σε μια επιτροπή που θα είναι όσο το δυνατόν αντιπροσωπευτική της ποικιλομορφίας κάθε περιοχής. </w:t>
      </w:r>
    </w:p>
    <w:p>
      <w:pPr>
        <w:pStyle w:val="P68B1DB1Normal19"/>
        <w:widowControl w:val="false"/>
        <w:spacing w:lineRule="auto" w:line="240" w:before="156" w:after="0"/>
        <w:ind w:left="0" w:right="0" w:hanging="0"/>
        <w:jc w:val="both"/>
        <w:rPr/>
      </w:pPr>
      <w:r>
        <w:rPr/>
        <w:t xml:space="preserve">Κατά τη διάρκεια των περιφερειακών ομάδων, οι συμμετέχοντες μίλησαν εναλλάσσοντας τον χρόνο εργασίας σε ομάδες, ανά πίνακα 6 έως 8 πολιτών, συνοδευόμενους από μεσολαβητή και ώρες παρουσίασης στην ολομέλεια. Εμπειρογνώμονες ήταν παρόντες κατά τη διάρκεια της περιόδου προβληματισμού για να απαντήσουν σε ερωτήσεις των πολιτών και να ρίξουν φως, διατηρώντας παράλληλα μια θέση ουδετερότητας. </w:t>
      </w:r>
    </w:p>
    <w:p>
      <w:pPr>
        <w:pStyle w:val="P68B1DB1Normal19"/>
        <w:widowControl w:val="false"/>
        <w:spacing w:lineRule="auto" w:line="240" w:before="156" w:after="0"/>
        <w:ind w:left="0" w:right="0" w:hanging="0"/>
        <w:jc w:val="both"/>
        <w:rPr/>
      </w:pPr>
      <w:r>
        <w:rPr/>
        <w:t xml:space="preserve">Οι πολίτες κλήθηκαν πρώτα να συζητήσουν την τρέχουσα αντίληψή τους για την Ευρώπη. Στη συνέχεια, εξέφρασαν τις </w:t>
      </w:r>
      <w:r>
        <w:rPr>
          <w:b/>
        </w:rPr>
        <w:t>επιθυμίες τους για την Ευρώπη του 2035</w:t>
      </w:r>
      <w:r>
        <w:rPr/>
        <w:t xml:space="preserve">, ως ομάδα και στη συνέχεια στην ολομέλεια. Οι συζητήσεις αυτές κατέστησαν δυνατό τον προσδιορισμό μεταξύ 3 και 8 επιθυμιών ανά περιφέρεια. Για κάθε μία από αυτές τις επιθυμίες, οι πολίτες διατύπωσαν στη συνέχεια </w:t>
      </w:r>
      <w:r>
        <w:rPr>
          <w:b/>
        </w:rPr>
        <w:t>τις αλλαγές</w:t>
      </w:r>
      <w:r>
        <w:rPr/>
        <w:t xml:space="preserve"> που θεώρησαν αναγκαίες για την επίτευξη της επιθυμητής Ευρώπης και στη συνέχεια τις απεικονίζουν με συγκεκριμένες προτάσεις προς εφαρμογή. Η διαδικασία αυτή είχε ως αποτέλεσμα συνολικά 515 αλλαγές και 1.301 συγκεκριμένες προτάσεις σε εθνικό επίπεδο. </w:t>
      </w:r>
    </w:p>
    <w:p>
      <w:pPr>
        <w:pStyle w:val="P68B1DB1Normal19"/>
        <w:widowControl w:val="false"/>
        <w:spacing w:lineRule="auto" w:line="240" w:before="156" w:after="0"/>
        <w:ind w:left="0" w:right="0" w:hanging="0"/>
        <w:jc w:val="left"/>
        <w:rPr/>
      </w:pPr>
      <w:r>
        <w:rPr/>
        <w:t xml:space="preserve">Κάθε περιφερειακή διάσκεψη είχε ως αποτέλεσμα τη σύνταξη μιας περιφερειακής συγκεφαλαιωτικής έκθεσης που παραδόθηκε σε όλους τους συμμετέχοντες πριν από το εθνικό συνέδριο. </w:t>
      </w:r>
    </w:p>
    <w:p>
      <w:pPr>
        <w:pStyle w:val="P68B1DB1Normal19"/>
        <w:widowControl w:val="false"/>
        <w:spacing w:lineRule="auto" w:line="240" w:before="156" w:after="0"/>
        <w:ind w:left="0" w:right="0" w:hanging="0"/>
        <w:jc w:val="both"/>
        <w:rPr/>
      </w:pPr>
      <w:r>
        <w:rPr/>
        <w:t xml:space="preserve">Η Εθνική Συνθετική Διάσκεψη συγκέντρωσε 98 πολίτες που συμμετείχαν σε 18 περιφερειακά συνέδρια. Για να εξασφαλιστεί η ποικιλομορφία της εθνικής ομάδας, 6 πολίτες συγκεντρώθηκαν με κλήρωση μεταξύ των εθελοντών των περιφερειακών διασκέψεων στη μητροπολιτική Γαλλία και της Ρεϋνιόν και 4 πολίτες για τις υπερθαλάσσιες διασκέψεις, με σεβασμό στην ισότητα και την ποικιλομορφία της ηλικίας σε κάθε περιφερειακή κλήρωση (βλ. παράρτημα II). </w:t>
      </w:r>
    </w:p>
    <w:p>
      <w:pPr>
        <w:pStyle w:val="Normal"/>
        <w:widowControl w:val="false"/>
        <w:spacing w:lineRule="auto" w:line="240" w:before="156" w:after="0"/>
        <w:ind w:left="0" w:right="0" w:hanging="0"/>
        <w:jc w:val="both"/>
        <w:rPr/>
      </w:pPr>
      <w:r>
        <w:rPr>
          <w:rFonts w:ascii="Times New Roman" w:hAnsi="Times New Roman"/>
          <w:color w:val="000000"/>
          <w:sz w:val="24"/>
        </w:rPr>
        <w:t>Στο πλαίσιο της προετοιμασίας της εθνικής διάσκεψης, οι 515 αλλαγές που εντοπίστηκαν στις περιφερειακές διασκέψεις αναλύθηκαν και συμβιβάστηκαν όταν η υποκείμενη πρόθεσή τους φαινόταν παρόμοια ή κοντά, έτσι ώστε να αποτελέσουν 14 ομάδες</w:t>
      </w:r>
      <w:r>
        <w:rPr>
          <w:rFonts w:ascii="Times New Roman" w:hAnsi="Times New Roman"/>
          <w:b/>
          <w:color w:val="000000"/>
          <w:sz w:val="24"/>
        </w:rPr>
        <w:t xml:space="preserve"> </w:t>
      </w:r>
      <w:r>
        <w:rPr>
          <w:rFonts w:ascii="Times New Roman" w:hAnsi="Times New Roman"/>
          <w:color w:val="000000"/>
          <w:sz w:val="24"/>
        </w:rPr>
        <w:t>αλλαγών που αντικατοπτρίζουν μια κοινή επιθυμία για την Ευρώπη (βλ. μέρος 6). Αυτές οι 14 ευρωπαϊκές επιθυμίες αποτέλεσαν τη βάση για το έργο των 98 συμμετεχόντων στην εθνική διάσκεψη, αποστολή των οποίων ήταν να εμπλουτίσουν το έργο που επιτελείται στις περιφέρειες και να αντιμετωπίσουν τις επιθυμίες της Ευρώπης, τις αλλαγές και τις προτάσεις με τη βοήθεια είκοσι εμπειρογνωμόνων για την κατάρτιση καταλόγου αλλαγών προτεραιότητας. Κάθε ομάδα επέλεξε τελικά 3 βασικές αλλαγές, η πρώτη από τις</w:t>
      </w:r>
      <w:r>
        <w:rPr>
          <w:rFonts w:ascii="Times New Roman" w:hAnsi="Times New Roman"/>
          <w:b/>
          <w:color w:val="000000"/>
          <w:sz w:val="24"/>
        </w:rPr>
        <w:t xml:space="preserve"> </w:t>
      </w:r>
      <w:r>
        <w:rPr>
          <w:rFonts w:ascii="Times New Roman" w:hAnsi="Times New Roman"/>
          <w:color w:val="000000"/>
          <w:sz w:val="24"/>
        </w:rPr>
        <w:t xml:space="preserve">οποίες ψηφίστηκε από τους 98 πολίτες, καθιερώνοντας την τελική κατάταξη των 14 αλλαγών προτεραιότητας. Μια συγκεφαλαιωτική έκθεση εδραιώνει όλες τις εργασίες αυτής της διάσκεψης. </w:t>
      </w:r>
      <w:r>
        <w:br w:type="page"/>
      </w:r>
    </w:p>
    <w:p>
      <w:pPr>
        <w:pStyle w:val="P68B1DB1Normal19"/>
        <w:spacing w:lineRule="auto" w:line="240" w:before="156" w:after="0"/>
        <w:ind w:left="0" w:right="0" w:hanging="0"/>
        <w:rPr/>
      </w:pPr>
      <w:r>
        <w:rPr/>
        <w:t xml:space="preserve">Η διαδικτυακή διαβούλευση «Parole aux Jeunes» που πραγματοποιήθηκε σε συνεργασία με τη Make.org πραγματοποιήθηκε από τον Μάιο έως τον Ιούλιο του 2021. Περισσότεροι από 50.000 συμμετέχοντες έλαβαν μέρος και υπέβαλαν περίπου 3.000 προτάσεις για την Ευρώπη. Με βάση όλες τις αντιδράσεις των νέων πολιτών, εντοπίστηκαν 35 σημαντικές ιδέες, εκ των οποίων 22 αναγνωρίστηκαν ευρέως και 13 αποτέλεσαν αντικείμενο διαμάχης μεταξύ των συμμετεχόντων (βλ. μέρος 11). </w:t>
      </w:r>
    </w:p>
    <w:p>
      <w:pPr>
        <w:pStyle w:val="P68B1DB1Normal19"/>
        <w:widowControl w:val="false"/>
        <w:spacing w:lineRule="auto" w:line="240" w:before="156" w:after="0"/>
        <w:ind w:left="0" w:right="0" w:hanging="0"/>
        <w:jc w:val="left"/>
        <w:rPr/>
      </w:pPr>
      <w:r>
        <w:rPr>
          <w:u w:val="single"/>
        </w:rPr>
        <w:t>Σημείο εξόδου και καθήκον αμέσως</w:t>
      </w:r>
      <w:r>
        <w:rPr/>
        <w:t xml:space="preserve"> </w:t>
      </w:r>
    </w:p>
    <w:p>
      <w:pPr>
        <w:pStyle w:val="P68B1DB1Normal19"/>
        <w:widowControl w:val="false"/>
        <w:spacing w:lineRule="auto" w:line="240" w:before="156" w:after="0"/>
        <w:ind w:left="0" w:right="0" w:hanging="0"/>
        <w:jc w:val="both"/>
        <w:rPr/>
      </w:pPr>
      <w:r>
        <w:rPr/>
        <w:t xml:space="preserve">Η έκθεση αυτή θα υποβληθεί στην κυβέρνηση από τους πολίτες στις 29 Νοεμβρίου 2021, παρουσία των εκλεγμένων από τη Γαλλία μελών της Ολομέλειας της Διάσκεψης για το Μέλλον της Ευρώπης. Θα παρουσιαστεί στις τρεις Προεδρίες της Διάσκεψης κατά τη διάρκεια της Γαλλικής Προεδρίας του Συμβουλίου της Ευρωπαϊκής Ένωσης (PFUE). </w:t>
      </w:r>
    </w:p>
    <w:p>
      <w:pPr>
        <w:pStyle w:val="P68B1DB1Normal19"/>
        <w:widowControl w:val="false"/>
        <w:spacing w:lineRule="auto" w:line="240" w:before="156" w:after="0"/>
        <w:ind w:left="0" w:right="0" w:hanging="0"/>
        <w:jc w:val="both"/>
        <w:rPr/>
      </w:pPr>
      <w:r>
        <w:rPr/>
        <w:t xml:space="preserve">Μετά το πέρας της Εθνικής Συνθετικής Διάσκεψης της ΕΟΚΕ, και προκειμένου να ικανοποιηθούν οι υψηλές προσδοκίες των πολιτών με κλήρωση, συγκροτήθηκε επιτροπή παρακολούθησης πολιτών που ενσωματώνει το δικαίωμα παρακολούθησης των συμμετεχόντων. Η επιτροπή αυτή, αποτελούμενη από 15 μέλη — 14 εκπροσώπους περιφερειακών διασκέψεων και έναν εκπρόσωπο της διαβούλευσης «Parole aux Jeunes» — θα έχει το καθήκον να ενημερώνει τους πολίτες σχετικά με το μέλλον των προτάσεών τους. Σε κάθε συνεδρίαση της Ολομέλειας της Διάσκεψης, ένα ή ένα από τα μέλη της επιτροπής παρακολούθησης θα συμμετέχει ως εκπρόσωπος της γαλλικής άσκησης για να υπογραμμίσει τις προτάσεις που διατυπώνονται στην παρούσα έκθεση, ενώ παράλληλα θα διαμορφώσει μια κοινή θέση με όλους τους Ευρωπαίους πολίτες που εκπροσωπούνται. </w:t>
      </w:r>
    </w:p>
    <w:p>
      <w:pPr>
        <w:pStyle w:val="P68B1DB1Normal19"/>
        <w:widowControl w:val="false"/>
        <w:spacing w:lineRule="auto" w:line="240" w:before="156" w:after="0"/>
        <w:ind w:left="0" w:right="0" w:hanging="0"/>
        <w:jc w:val="both"/>
        <w:rPr/>
      </w:pPr>
      <w:r>
        <w:rPr/>
        <w:t xml:space="preserve">Όλα τα έγγραφα της γαλλικής διαβούλευσης θα είναι δημόσια και προσβάσιμα σε όλους μέσω της πλατφόρμας συμμετοχής των πολιτών του γαλλικού κράτους: εντολή συμμετοχής, περιφερειακές περιλήψεις, εθνική σύνθεση, έκθεση εγγυητών και τελική έκθεση.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ΠΛΑΙΣΙΟ 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Επισκόπηση της συμβολής της Γαλλίας στη Διάσκεψη για το Μέλλον της Ευρώπης</w:t>
                            </w:r>
                          </w:p>
                          <w:p>
                            <w:pPr>
                              <w:pStyle w:val="Contenudecadre"/>
                              <w:rPr>
                                <w:color w:val="auto"/>
                              </w:rPr>
                            </w:pPr>
                            <w:r>
                              <w:rPr>
                                <w:color w:val="auto"/>
                              </w:rPr>
                            </w:r>
                          </w:p>
                          <w:p>
                            <w:pPr>
                              <w:pStyle w:val="Contenudecadre"/>
                              <w:rPr>
                                <w:color w:val="auto"/>
                              </w:rPr>
                            </w:pPr>
                            <w:r>
                              <w:rPr>
                                <w:color w:val="auto"/>
                              </w:rPr>
                              <w:t>Οι πολίτες με κλήρωση έπρεπε να απαντήσουν στην ερώτηση: «Ως Γάλλοι πολίτες, τι αλλαγές θέλετε για την Ευρώπη;»</w:t>
                            </w:r>
                          </w:p>
                          <w:p>
                            <w:pPr>
                              <w:pStyle w:val="Contenudecadre"/>
                              <w:rPr>
                                <w:color w:val="auto"/>
                              </w:rPr>
                            </w:pPr>
                            <w:r>
                              <w:rPr>
                                <w:color w:val="auto"/>
                              </w:rPr>
                            </w:r>
                          </w:p>
                          <w:p>
                            <w:pPr>
                              <w:pStyle w:val="Contenudecadre"/>
                              <w:rPr>
                                <w:color w:val="auto"/>
                              </w:rPr>
                            </w:pPr>
                            <w:r>
                              <w:rPr>
                                <w:color w:val="auto"/>
                              </w:rPr>
                              <w:t xml:space="preserve">Οι 10 κορυφαίες αλλαγές προτεραιότητας για την Ευρώπη του 2035 </w:t>
                            </w:r>
                          </w:p>
                          <w:p>
                            <w:pPr>
                              <w:pStyle w:val="Contenudecadre"/>
                              <w:rPr>
                                <w:color w:val="auto"/>
                              </w:rPr>
                            </w:pPr>
                            <w:r>
                              <w:rPr>
                                <w:color w:val="auto"/>
                              </w:rPr>
                            </w:r>
                          </w:p>
                          <w:p>
                            <w:pPr>
                              <w:pStyle w:val="Contenudecadre"/>
                              <w:rPr>
                                <w:color w:val="auto"/>
                              </w:rPr>
                            </w:pPr>
                            <w:r>
                              <w:rPr>
                                <w:color w:val="auto"/>
                              </w:rPr>
                              <w:t xml:space="preserve">1. Αναπτύξτε </w:t>
                            </w:r>
                            <w:r>
                              <w:rPr>
                                <w:b/>
                                <w:color w:val="auto"/>
                              </w:rPr>
                              <w:t>την ενεργειακή νηφαλιότητα</w:t>
                            </w:r>
                            <w:r>
                              <w:rPr>
                                <w:color w:val="auto"/>
                              </w:rPr>
                              <w:t xml:space="preserve"> για να καταναλώνετε λιγότερο, σταματώντας το περιττό</w:t>
                            </w:r>
                          </w:p>
                          <w:p>
                            <w:pPr>
                              <w:pStyle w:val="Contenudecadre"/>
                              <w:rPr>
                                <w:b w:val="false"/>
                                <w:b w:val="false"/>
                                <w:color w:val="auto"/>
                              </w:rPr>
                            </w:pPr>
                            <w:r>
                              <w:rPr>
                                <w:b w:val="false"/>
                                <w:color w:val="auto"/>
                              </w:rPr>
                            </w:r>
                          </w:p>
                          <w:p>
                            <w:pPr>
                              <w:pStyle w:val="Contenudecadre"/>
                              <w:rPr>
                                <w:color w:val="auto"/>
                              </w:rPr>
                            </w:pPr>
                            <w:r>
                              <w:rPr>
                                <w:color w:val="auto"/>
                              </w:rPr>
                              <w:t>2. Ενίσχυση της</w:t>
                            </w:r>
                            <w:r>
                              <w:rPr>
                                <w:b/>
                                <w:color w:val="auto"/>
                              </w:rPr>
                              <w:t>κοινής άμυνας και ασφάλειας της</w:t>
                            </w:r>
                            <w:r>
                              <w:rPr>
                                <w:color w:val="auto"/>
                              </w:rPr>
                              <w:t>Ευρωπαϊκής Ένωσης</w:t>
                            </w:r>
                          </w:p>
                          <w:p>
                            <w:pPr>
                              <w:pStyle w:val="Contenudecadre"/>
                              <w:rPr>
                                <w:b w:val="false"/>
                                <w:b w:val="false"/>
                                <w:color w:val="auto"/>
                              </w:rPr>
                            </w:pPr>
                            <w:r>
                              <w:rPr>
                                <w:b w:val="false"/>
                                <w:color w:val="auto"/>
                              </w:rPr>
                            </w:r>
                          </w:p>
                          <w:p>
                            <w:pPr>
                              <w:pStyle w:val="Contenudecadre"/>
                              <w:rPr>
                                <w:color w:val="auto"/>
                              </w:rPr>
                            </w:pPr>
                            <w:r>
                              <w:rPr>
                                <w:color w:val="auto"/>
                              </w:rPr>
                              <w:t xml:space="preserve">3. Προώθηση των </w:t>
                            </w:r>
                            <w:r>
                              <w:rPr>
                                <w:b/>
                                <w:color w:val="auto"/>
                              </w:rPr>
                              <w:t>συλλογικών οικονομικών επιδόσεων</w:t>
                            </w:r>
                            <w:r>
                              <w:rPr>
                                <w:color w:val="auto"/>
                              </w:rPr>
                              <w:t xml:space="preserve"> μέσω μιας αυτόνομης, ανταγωνιστικής και αξιόλογης βιομηχανίας από την ΕΕ</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Ενδυνάμωση των πολιτών</w:t>
                            </w:r>
                            <w:r>
                              <w:rPr>
                                <w:color w:val="auto"/>
                              </w:rPr>
                              <w:t xml:space="preserve"> σε διάφορα επίπεδα: συμμετοχή, απόφαση, έλεγχος</w:t>
                            </w:r>
                          </w:p>
                          <w:p>
                            <w:pPr>
                              <w:pStyle w:val="Contenudecadre"/>
                              <w:rPr>
                                <w:b w:val="false"/>
                                <w:b w:val="false"/>
                                <w:color w:val="auto"/>
                              </w:rPr>
                            </w:pPr>
                            <w:r>
                              <w:rPr>
                                <w:b w:val="false"/>
                                <w:color w:val="auto"/>
                              </w:rPr>
                            </w:r>
                          </w:p>
                          <w:p>
                            <w:pPr>
                              <w:pStyle w:val="Contenudecadre"/>
                              <w:rPr>
                                <w:color w:val="auto"/>
                              </w:rPr>
                            </w:pPr>
                            <w:r>
                              <w:rPr>
                                <w:color w:val="auto"/>
                              </w:rPr>
                              <w:t xml:space="preserve">5. Μετάβαση προς μια </w:t>
                            </w:r>
                            <w:r>
                              <w:rPr>
                                <w:b/>
                                <w:color w:val="auto"/>
                              </w:rPr>
                              <w:t>ομοσπονδία ευρωπαϊκών κρατών</w:t>
                            </w:r>
                            <w:r>
                              <w:rPr>
                                <w:color w:val="auto"/>
                              </w:rPr>
                              <w:t xml:space="preserve"> με ισχυρές αρμοδιότητες σε τομείς κοινού ενδιαφέροντος</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Προσφορά </w:t>
                            </w:r>
                            <w:r>
                              <w:rPr>
                                <w:b/>
                                <w:color w:val="auto"/>
                              </w:rPr>
                              <w:t>προγραμμάτων δια βίου ανταλλαγών</w:t>
                            </w:r>
                          </w:p>
                        </w:txbxContent>
                      </wps:txbx>
                      <wps:bodyPr lIns="54000" rIns="54000" tIns="54000" bIns="54000">
                        <a:noAutofit/>
                      </wps:bodyPr>
                    </wps:wsp>
                  </a:graphicData>
                </a:graphic>
              </wp:anchor>
            </w:drawing>
          </mc:Choice>
          <mc:Fallback>
            <w:pict>
              <v:rect id="shape_0" ID="ΠΛΑΙΣΙΟ 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Επισκόπηση της συμβολής της Γαλλίας στη Διάσκεψη για το Μέλλον της Ευρώπης</w:t>
                      </w:r>
                    </w:p>
                    <w:p>
                      <w:pPr>
                        <w:pStyle w:val="Contenudecadre"/>
                        <w:rPr>
                          <w:color w:val="auto"/>
                        </w:rPr>
                      </w:pPr>
                      <w:r>
                        <w:rPr>
                          <w:color w:val="auto"/>
                        </w:rPr>
                      </w:r>
                    </w:p>
                    <w:p>
                      <w:pPr>
                        <w:pStyle w:val="Contenudecadre"/>
                        <w:rPr>
                          <w:color w:val="auto"/>
                        </w:rPr>
                      </w:pPr>
                      <w:r>
                        <w:rPr>
                          <w:color w:val="auto"/>
                        </w:rPr>
                        <w:t>Οι πολίτες με κλήρωση έπρεπε να απαντήσουν στην ερώτηση: «Ως Γάλλοι πολίτες, τι αλλαγές θέλετε για την Ευρώπη;»</w:t>
                      </w:r>
                    </w:p>
                    <w:p>
                      <w:pPr>
                        <w:pStyle w:val="Contenudecadre"/>
                        <w:rPr>
                          <w:color w:val="auto"/>
                        </w:rPr>
                      </w:pPr>
                      <w:r>
                        <w:rPr>
                          <w:color w:val="auto"/>
                        </w:rPr>
                      </w:r>
                    </w:p>
                    <w:p>
                      <w:pPr>
                        <w:pStyle w:val="Contenudecadre"/>
                        <w:rPr>
                          <w:color w:val="auto"/>
                        </w:rPr>
                      </w:pPr>
                      <w:r>
                        <w:rPr>
                          <w:color w:val="auto"/>
                        </w:rPr>
                        <w:t xml:space="preserve">Οι 10 κορυφαίες αλλαγές προτεραιότητας για την Ευρώπη του 2035 </w:t>
                      </w:r>
                    </w:p>
                    <w:p>
                      <w:pPr>
                        <w:pStyle w:val="Contenudecadre"/>
                        <w:rPr>
                          <w:color w:val="auto"/>
                        </w:rPr>
                      </w:pPr>
                      <w:r>
                        <w:rPr>
                          <w:color w:val="auto"/>
                        </w:rPr>
                      </w:r>
                    </w:p>
                    <w:p>
                      <w:pPr>
                        <w:pStyle w:val="Contenudecadre"/>
                        <w:rPr>
                          <w:color w:val="auto"/>
                        </w:rPr>
                      </w:pPr>
                      <w:r>
                        <w:rPr>
                          <w:color w:val="auto"/>
                        </w:rPr>
                        <w:t xml:space="preserve">1. Αναπτύξτε </w:t>
                      </w:r>
                      <w:r>
                        <w:rPr>
                          <w:b/>
                          <w:color w:val="auto"/>
                        </w:rPr>
                        <w:t>την ενεργειακή νηφαλιότητα</w:t>
                      </w:r>
                      <w:r>
                        <w:rPr>
                          <w:color w:val="auto"/>
                        </w:rPr>
                        <w:t xml:space="preserve"> για να καταναλώνετε λιγότερο, σταματώντας το περιττό</w:t>
                      </w:r>
                    </w:p>
                    <w:p>
                      <w:pPr>
                        <w:pStyle w:val="Contenudecadre"/>
                        <w:rPr>
                          <w:b w:val="false"/>
                          <w:b w:val="false"/>
                          <w:color w:val="auto"/>
                        </w:rPr>
                      </w:pPr>
                      <w:r>
                        <w:rPr>
                          <w:b w:val="false"/>
                          <w:color w:val="auto"/>
                        </w:rPr>
                      </w:r>
                    </w:p>
                    <w:p>
                      <w:pPr>
                        <w:pStyle w:val="Contenudecadre"/>
                        <w:rPr>
                          <w:color w:val="auto"/>
                        </w:rPr>
                      </w:pPr>
                      <w:r>
                        <w:rPr>
                          <w:color w:val="auto"/>
                        </w:rPr>
                        <w:t>2. Ενίσχυση της</w:t>
                      </w:r>
                      <w:r>
                        <w:rPr>
                          <w:b/>
                          <w:color w:val="auto"/>
                        </w:rPr>
                        <w:t>κοινής άμυνας και ασφάλειας της</w:t>
                      </w:r>
                      <w:r>
                        <w:rPr>
                          <w:color w:val="auto"/>
                        </w:rPr>
                        <w:t>Ευρωπαϊκής Ένωσης</w:t>
                      </w:r>
                    </w:p>
                    <w:p>
                      <w:pPr>
                        <w:pStyle w:val="Contenudecadre"/>
                        <w:rPr>
                          <w:b w:val="false"/>
                          <w:b w:val="false"/>
                          <w:color w:val="auto"/>
                        </w:rPr>
                      </w:pPr>
                      <w:r>
                        <w:rPr>
                          <w:b w:val="false"/>
                          <w:color w:val="auto"/>
                        </w:rPr>
                      </w:r>
                    </w:p>
                    <w:p>
                      <w:pPr>
                        <w:pStyle w:val="Contenudecadre"/>
                        <w:rPr>
                          <w:color w:val="auto"/>
                        </w:rPr>
                      </w:pPr>
                      <w:r>
                        <w:rPr>
                          <w:color w:val="auto"/>
                        </w:rPr>
                        <w:t xml:space="preserve">3. Προώθηση των </w:t>
                      </w:r>
                      <w:r>
                        <w:rPr>
                          <w:b/>
                          <w:color w:val="auto"/>
                        </w:rPr>
                        <w:t>συλλογικών οικονομικών επιδόσεων</w:t>
                      </w:r>
                      <w:r>
                        <w:rPr>
                          <w:color w:val="auto"/>
                        </w:rPr>
                        <w:t xml:space="preserve"> μέσω μιας αυτόνομης, ανταγωνιστικής και αξιόλογης βιομηχανίας από την ΕΕ</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Ενδυνάμωση των πολιτών</w:t>
                      </w:r>
                      <w:r>
                        <w:rPr>
                          <w:color w:val="auto"/>
                        </w:rPr>
                        <w:t xml:space="preserve"> σε διάφορα επίπεδα: συμμετοχή, απόφαση, έλεγχος</w:t>
                      </w:r>
                    </w:p>
                    <w:p>
                      <w:pPr>
                        <w:pStyle w:val="Contenudecadre"/>
                        <w:rPr>
                          <w:b w:val="false"/>
                          <w:b w:val="false"/>
                          <w:color w:val="auto"/>
                        </w:rPr>
                      </w:pPr>
                      <w:r>
                        <w:rPr>
                          <w:b w:val="false"/>
                          <w:color w:val="auto"/>
                        </w:rPr>
                      </w:r>
                    </w:p>
                    <w:p>
                      <w:pPr>
                        <w:pStyle w:val="Contenudecadre"/>
                        <w:rPr>
                          <w:color w:val="auto"/>
                        </w:rPr>
                      </w:pPr>
                      <w:r>
                        <w:rPr>
                          <w:color w:val="auto"/>
                        </w:rPr>
                        <w:t xml:space="preserve">5. Μετάβαση προς μια </w:t>
                      </w:r>
                      <w:r>
                        <w:rPr>
                          <w:b/>
                          <w:color w:val="auto"/>
                        </w:rPr>
                        <w:t>ομοσπονδία ευρωπαϊκών κρατών</w:t>
                      </w:r>
                      <w:r>
                        <w:rPr>
                          <w:color w:val="auto"/>
                        </w:rPr>
                        <w:t xml:space="preserve"> με ισχυρές αρμοδιότητες σε τομείς κοινού ενδιαφέροντος</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Προσφορά </w:t>
                      </w:r>
                      <w:r>
                        <w:rPr>
                          <w:b/>
                          <w:color w:val="auto"/>
                        </w:rPr>
                        <w:t>προγραμμάτων δια βίου ανταλλαγών</w:t>
                      </w:r>
                    </w:p>
                  </w:txbxContent>
                </v:textbox>
              </v:rect>
            </w:pict>
          </mc:Fallback>
        </mc:AlternateContent>
      </w:r>
      <w:r>
        <w:rPr/>
        <w:t>Παρουσίαση των κυριότερων αποτελεσμάτων</w:t>
      </w:r>
    </w:p>
    <w:p>
      <w:pPr>
        <w:pStyle w:val="P68B1DB1Normal24"/>
        <w:rPr>
          <w:b w:val="false"/>
          <w:b w:val="false"/>
          <w:sz w:val="22"/>
        </w:rPr>
      </w:pPr>
      <w:r>
        <w:rPr/>
        <w:t xml:space="preserve"> </w:t>
      </w:r>
      <w:r>
        <w:rPr/>
        <w:t>(το πρωτότυπο είχε τη μορφή εικονογράφησης)</w:t>
      </w:r>
    </w:p>
    <w:p>
      <w:pPr>
        <w:pStyle w:val="Normal"/>
        <w:rPr/>
      </w:pPr>
      <w:r>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ΕΙΚΟΝΑ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ΕΙΚΟΝΑ39" descr=""/>
                    <pic:cNvPicPr>
                      <a:picLocks noChangeAspect="1" noChangeArrowheads="1"/>
                    </pic:cNvPicPr>
                  </pic:nvPicPr>
                  <pic:blipFill>
                    <a:blip r:embed="rId95"/>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Πηγή: Αλλαγές που κέρδισαν τις περισσότερες ψήφους στην Εθνική Διάσκεψη για το Μέλλον της Ευρώπης (15-17 Οκτωβρίου 2021)</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ΕΙΚΟΝΑ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ΕΙΚΟΝΑ40" descr=""/>
                    <pic:cNvPicPr>
                      <a:picLocks noChangeAspect="1" noChangeArrowheads="1"/>
                    </pic:cNvPicPr>
                  </pic:nvPicPr>
                  <pic:blipFill>
                    <a:blip r:embed="rId96"/>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Πλαίσιο 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Διαδικτυακή διαβούλευση με θέμα «Λέξεις στους νέους»</w:t>
                            </w:r>
                          </w:p>
                          <w:p>
                            <w:pPr>
                              <w:pStyle w:val="Contenudecadre"/>
                              <w:rPr>
                                <w:color w:val="auto"/>
                              </w:rPr>
                            </w:pPr>
                            <w:r>
                              <w:rPr>
                                <w:color w:val="auto"/>
                              </w:rPr>
                              <w:t>Στις 9 Μαΐου 2021, ο Υφυπουργός Ευρωπαϊκών Υποθέσεων δρομολόγησε μια διαβούλευση «λόγω προς τους νέους» που διεξήγαγε η Make.org μεταξύ Μαΐου και Ιουλίου 2021.</w:t>
                            </w:r>
                          </w:p>
                          <w:p>
                            <w:pPr>
                              <w:pStyle w:val="Contenudecadre"/>
                              <w:rPr>
                                <w:color w:val="auto"/>
                              </w:rPr>
                            </w:pPr>
                            <w:r>
                              <w:rPr>
                                <w:color w:val="auto"/>
                              </w:rPr>
                              <w:t>50 000 νέοι ηλικίας 15 έως 30 ετών απάντησαν στην ερώτηση: «Ποιες είναι οι προτεραιότητές σας για την Ευρώπη του αύριο;», με την υποβολή 2918 προτάσεων.</w:t>
                            </w:r>
                          </w:p>
                          <w:p>
                            <w:pPr>
                              <w:pStyle w:val="Contenudecadre"/>
                              <w:spacing w:before="57" w:after="57"/>
                              <w:rPr>
                                <w:color w:val="auto"/>
                              </w:rPr>
                            </w:pPr>
                            <w:r>
                              <w:rPr>
                                <w:color w:val="auto"/>
                              </w:rPr>
                              <w:t>Οι ιδέες που ευνοούνται από τους Γάλλους νέους στο πλαίσιο αυτής της διαδικτυακής διαβούλευσης αποτελούν μέρος της συμβολής των πολιτών στη Διάσκεψη για το Μέλλον της Ευρώπης (βλ. λεπτομέρειες στο μέρος 2 της παρούσας έκθεσης)</w:t>
                            </w:r>
                          </w:p>
                        </w:txbxContent>
                      </wps:txbx>
                      <wps:bodyPr lIns="54000" rIns="54000" tIns="54000" bIns="54000">
                        <a:noAutofit/>
                      </wps:bodyPr>
                    </wps:wsp>
                  </a:graphicData>
                </a:graphic>
              </wp:anchor>
            </w:drawing>
          </mc:Choice>
          <mc:Fallback>
            <w:pict>
              <v:rect id="shape_0" ID="Πλαίσιο 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Διαδικτυακή διαβούλευση με θέμα «Λέξεις στους νέους»</w:t>
                      </w:r>
                    </w:p>
                    <w:p>
                      <w:pPr>
                        <w:pStyle w:val="Contenudecadre"/>
                        <w:rPr>
                          <w:color w:val="auto"/>
                        </w:rPr>
                      </w:pPr>
                      <w:r>
                        <w:rPr>
                          <w:color w:val="auto"/>
                        </w:rPr>
                        <w:t>Στις 9 Μαΐου 2021, ο Υφυπουργός Ευρωπαϊκών Υποθέσεων δρομολόγησε μια διαβούλευση «λόγω προς τους νέους» που διεξήγαγε η Make.org μεταξύ Μαΐου και Ιουλίου 2021.</w:t>
                      </w:r>
                    </w:p>
                    <w:p>
                      <w:pPr>
                        <w:pStyle w:val="Contenudecadre"/>
                        <w:rPr>
                          <w:color w:val="auto"/>
                        </w:rPr>
                      </w:pPr>
                      <w:r>
                        <w:rPr>
                          <w:color w:val="auto"/>
                        </w:rPr>
                        <w:t>50 000 νέοι ηλικίας 15 έως 30 ετών απάντησαν στην ερώτηση: «Ποιες είναι οι προτεραιότητές σας για την Ευρώπη του αύριο;», με την υποβολή 2918 προτάσεων.</w:t>
                      </w:r>
                    </w:p>
                    <w:p>
                      <w:pPr>
                        <w:pStyle w:val="Contenudecadre"/>
                        <w:spacing w:before="57" w:after="57"/>
                        <w:rPr>
                          <w:color w:val="auto"/>
                        </w:rPr>
                      </w:pPr>
                      <w:r>
                        <w:rPr>
                          <w:color w:val="auto"/>
                        </w:rPr>
                        <w:t>Οι ιδέες που ευνοούνται από τους Γάλλους νέους στο πλαίσιο αυτής της διαδικτυακής διαβούλευσης αποτελούν μέρος της συμβολής των πολιτών στη Διάσκεψη για το Μέλλον της Ευρώπης (βλ. λεπτομέρειες στο μέρος 2 της παρούσας έκθεσης)</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Πλαίσιο 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Ανταλλαγή ευρωπαϊκών πολιτισμών μέσω της </w:t>
                            </w:r>
                            <w:r>
                              <w:rPr>
                                <w:b/>
                                <w:color w:val="auto"/>
                              </w:rPr>
                              <w:t>ενοποίησης εκδηλώσεων και εκδηλώσεων</w:t>
                            </w:r>
                          </w:p>
                          <w:p>
                            <w:pPr>
                              <w:pStyle w:val="Contenudecadre"/>
                              <w:rPr>
                                <w:b w:val="false"/>
                                <w:b w:val="false"/>
                                <w:color w:val="auto"/>
                              </w:rPr>
                            </w:pPr>
                            <w:r>
                              <w:rPr>
                                <w:b w:val="false"/>
                                <w:color w:val="auto"/>
                              </w:rPr>
                            </w:r>
                          </w:p>
                          <w:p>
                            <w:pPr>
                              <w:pStyle w:val="Contenudecadre"/>
                              <w:rPr>
                                <w:color w:val="auto"/>
                              </w:rPr>
                            </w:pPr>
                            <w:r>
                              <w:rPr>
                                <w:color w:val="auto"/>
                              </w:rPr>
                              <w:t xml:space="preserve">Εναρμονίζοντας </w:t>
                            </w:r>
                            <w:r>
                              <w:rPr>
                                <w:b/>
                                <w:color w:val="auto"/>
                              </w:rPr>
                              <w:t>την υγεία</w:t>
                            </w:r>
                            <w:r>
                              <w:rPr>
                                <w:color w:val="auto"/>
                              </w:rPr>
                              <w:t xml:space="preserve"> και καθιστώντας την προσβάσιμη σε όλους τους Ευρωπαίους μέσω μιας κοινής πολιτικής για την υγεία</w:t>
                            </w:r>
                          </w:p>
                          <w:p>
                            <w:pPr>
                              <w:pStyle w:val="Contenudecadre"/>
                              <w:rPr>
                                <w:b w:val="false"/>
                                <w:b w:val="false"/>
                                <w:color w:val="auto"/>
                              </w:rPr>
                            </w:pPr>
                            <w:r>
                              <w:rPr>
                                <w:b w:val="false"/>
                                <w:color w:val="auto"/>
                              </w:rPr>
                            </w:r>
                          </w:p>
                          <w:p>
                            <w:pPr>
                              <w:pStyle w:val="Contenudecadre"/>
                              <w:rPr>
                                <w:color w:val="auto"/>
                              </w:rPr>
                            </w:pPr>
                            <w:r>
                              <w:rPr>
                                <w:color w:val="auto"/>
                              </w:rPr>
                              <w:t xml:space="preserve">9. Ανάπτυξη και καθοδήγηση </w:t>
                            </w:r>
                            <w:r>
                              <w:rPr>
                                <w:b/>
                                <w:color w:val="auto"/>
                              </w:rPr>
                              <w:t>στρατηγικών διαύλων</w:t>
                            </w:r>
                            <w:r>
                              <w:rPr>
                                <w:color w:val="auto"/>
                              </w:rPr>
                              <w:t xml:space="preserve"> σε ευρωπαϊκό επίπεδο για τη διασφάλιση της κυριαρχίας μας</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Βελτίωση της </w:t>
                            </w:r>
                            <w:r>
                              <w:rPr>
                                <w:b/>
                                <w:color w:val="auto"/>
                              </w:rPr>
                              <w:t>προστασίας του περιβάλλοντος και των οικοσυστημάτων</w:t>
                            </w:r>
                            <w:r>
                              <w:rPr>
                                <w:color w:val="auto"/>
                              </w:rPr>
                              <w:t xml:space="preserve"> και δημιουργία </w:t>
                            </w:r>
                            <w:r>
                              <w:rPr>
                                <w:b/>
                                <w:color w:val="auto"/>
                              </w:rPr>
                              <w:t>προστατευόμενων περιοχών</w:t>
                            </w:r>
                            <w:r>
                              <w:rPr>
                                <w:color w:val="auto"/>
                              </w:rPr>
                              <w:t xml:space="preserve"> στο επίκεντρο των αστικών, περιαστικών και αγροτικών περιοχών</w:t>
                            </w:r>
                          </w:p>
                        </w:txbxContent>
                      </wps:txbx>
                      <wps:bodyPr lIns="54000" rIns="54000" tIns="54000" bIns="54000">
                        <a:noAutofit/>
                      </wps:bodyPr>
                    </wps:wsp>
                  </a:graphicData>
                </a:graphic>
              </wp:anchor>
            </w:drawing>
          </mc:Choice>
          <mc:Fallback>
            <w:pict>
              <v:rect id="shape_0" ID="Πλαίσιο 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Ανταλλαγή ευρωπαϊκών πολιτισμών μέσω της </w:t>
                      </w:r>
                      <w:r>
                        <w:rPr>
                          <w:b/>
                          <w:color w:val="auto"/>
                        </w:rPr>
                        <w:t>ενοποίησης εκδηλώσεων και εκδηλώσεων</w:t>
                      </w:r>
                    </w:p>
                    <w:p>
                      <w:pPr>
                        <w:pStyle w:val="Contenudecadre"/>
                        <w:rPr>
                          <w:b w:val="false"/>
                          <w:b w:val="false"/>
                          <w:color w:val="auto"/>
                        </w:rPr>
                      </w:pPr>
                      <w:r>
                        <w:rPr>
                          <w:b w:val="false"/>
                          <w:color w:val="auto"/>
                        </w:rPr>
                      </w:r>
                    </w:p>
                    <w:p>
                      <w:pPr>
                        <w:pStyle w:val="Contenudecadre"/>
                        <w:rPr>
                          <w:color w:val="auto"/>
                        </w:rPr>
                      </w:pPr>
                      <w:r>
                        <w:rPr>
                          <w:color w:val="auto"/>
                        </w:rPr>
                        <w:t xml:space="preserve">Εναρμονίζοντας </w:t>
                      </w:r>
                      <w:r>
                        <w:rPr>
                          <w:b/>
                          <w:color w:val="auto"/>
                        </w:rPr>
                        <w:t>την υγεία</w:t>
                      </w:r>
                      <w:r>
                        <w:rPr>
                          <w:color w:val="auto"/>
                        </w:rPr>
                        <w:t xml:space="preserve"> και καθιστώντας την προσβάσιμη σε όλους τους Ευρωπαίους μέσω μιας κοινής πολιτικής για την υγεία</w:t>
                      </w:r>
                    </w:p>
                    <w:p>
                      <w:pPr>
                        <w:pStyle w:val="Contenudecadre"/>
                        <w:rPr>
                          <w:b w:val="false"/>
                          <w:b w:val="false"/>
                          <w:color w:val="auto"/>
                        </w:rPr>
                      </w:pPr>
                      <w:r>
                        <w:rPr>
                          <w:b w:val="false"/>
                          <w:color w:val="auto"/>
                        </w:rPr>
                      </w:r>
                    </w:p>
                    <w:p>
                      <w:pPr>
                        <w:pStyle w:val="Contenudecadre"/>
                        <w:rPr>
                          <w:color w:val="auto"/>
                        </w:rPr>
                      </w:pPr>
                      <w:r>
                        <w:rPr>
                          <w:color w:val="auto"/>
                        </w:rPr>
                        <w:t xml:space="preserve">9. Ανάπτυξη και καθοδήγηση </w:t>
                      </w:r>
                      <w:r>
                        <w:rPr>
                          <w:b/>
                          <w:color w:val="auto"/>
                        </w:rPr>
                        <w:t>στρατηγικών διαύλων</w:t>
                      </w:r>
                      <w:r>
                        <w:rPr>
                          <w:color w:val="auto"/>
                        </w:rPr>
                        <w:t xml:space="preserve"> σε ευρωπαϊκό επίπεδο για τη διασφάλιση της κυριαρχίας μας</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Βελτίωση της </w:t>
                      </w:r>
                      <w:r>
                        <w:rPr>
                          <w:b/>
                          <w:color w:val="auto"/>
                        </w:rPr>
                        <w:t>προστασίας του περιβάλλοντος και των οικοσυστημάτων</w:t>
                      </w:r>
                      <w:r>
                        <w:rPr>
                          <w:color w:val="auto"/>
                        </w:rPr>
                        <w:t xml:space="preserve"> και δημιουργία </w:t>
                      </w:r>
                      <w:r>
                        <w:rPr>
                          <w:b/>
                          <w:color w:val="auto"/>
                        </w:rPr>
                        <w:t>προστατευόμενων περιοχών</w:t>
                      </w:r>
                      <w:r>
                        <w:rPr>
                          <w:color w:val="auto"/>
                        </w:rPr>
                        <w:t xml:space="preserve"> στο επίκεντρο των αστικών, περιαστικών και αγροτικών περιοχών</w:t>
                      </w:r>
                    </w:p>
                  </w:txbxContent>
                </v:textbox>
              </v:rect>
            </w:pict>
          </mc:Fallback>
        </mc:AlternateContent>
      </w:r>
    </w:p>
    <w:p>
      <w:pPr>
        <w:pStyle w:val="Titre2"/>
        <w:numPr>
          <w:ilvl w:val="1"/>
          <w:numId w:val="2"/>
        </w:numPr>
        <w:rPr/>
      </w:pPr>
      <w:bookmarkStart w:id="209" w:name="__RefHeading___Toc300452_1346298689"/>
      <w:bookmarkEnd w:id="209"/>
      <w:r>
        <w:rPr/>
        <w:t>Παρουσίαση των επιτροπών των περιφερειακών συνεδρίων</w:t>
      </w:r>
    </w:p>
    <w:p>
      <w:pPr>
        <w:pStyle w:val="Normal"/>
        <w:rPr/>
      </w:pPr>
      <w:r>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Φόρμα 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7"/>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Μια ποικιλόμορφη ομάδα 746 πολιτών</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Επισκόπηση των συμμετεχόντων στις 18 περιφερειακές διασκέψεις</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Αγρότες</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Βιοτέχνες — Εμπόρους — Επιχειρηματικοί ηγέτες</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Ανώτερα στελέχη — Φιλελεύθερα Επαγγέλματα</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Ενδιάμεσα επαγγέλματα</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Οι εργαζόμενοι</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Εργαζόμενοι</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Συνταξιούχοι</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Άλλοι ανενεργοί</w:t>
                              </w:r>
                            </w:p>
                          </w:txbxContent>
                        </wps:txbx>
                        <wps:bodyPr lIns="90000" rIns="90000" tIns="45000" bIns="45000">
                          <a:noAutofit/>
                        </wps:bodyPr>
                      </wps:wsp>
                    </wpg:wgp>
                  </a:graphicData>
                </a:graphic>
              </wp:anchor>
            </w:drawing>
          </mc:Choice>
          <mc:Fallback>
            <w:pict>
              <v:group id="shape_0" alt="Φόρμα 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7"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Μια ποικιλόμορφη ομάδα 746 πολιτών</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Επισκόπηση των συμμετεχόντων στις 18 περιφερειακές διασκέψεις</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Αγρότες</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Βιοτέχνες — Εμπόρους — Επιχειρηματικοί ηγέτες</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Ανώτερα στελέχη — Φιλελεύθερα Επαγγέλματα</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Ενδιάμεσα επαγγέλματα</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Οι εργαζόμενοι</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Εργαζόμενοι</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Συνταξιούχοι</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Άλλοι ανενεργοί</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Φόρμα 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8"/>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Διασκέψεις για το μέλλον της Ευρώπης σε όλη τη Γαλλία</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περιφερειακές διασκέψεις, 13 στη μητρόπολη και 5 στο εξωτερικό</w:t>
                              </w:r>
                            </w:p>
                          </w:txbxContent>
                        </wps:txbx>
                        <wps:bodyPr lIns="90000" rIns="90000" tIns="45000" bIns="45000">
                          <a:noAutofit/>
                        </wps:bodyPr>
                      </wps:wsp>
                    </wpg:wgp>
                  </a:graphicData>
                </a:graphic>
              </wp:anchor>
            </w:drawing>
          </mc:Choice>
          <mc:Fallback>
            <w:pict>
              <v:group id="shape_0" alt="Φόρμα 2" style="position:absolute;margin-left:0pt;margin-top:2.85pt;width:462.45pt;height:650.75pt" coordorigin="0,57" coordsize="9249,13015">
                <v:shape id="shape_0" stroked="f" style="position:absolute;left:1;top:1652;width:9247;height:11419" type="shapetype_75">
                  <v:imagedata r:id="rId98"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Διασκέψεις για το μέλλον της Ευρώπης σε όλη τη Γαλλία</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περιφερειακές διασκέψεις, 13 στη μητρόπολη και 5 στο εξωτερικό</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Φόρμα 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9"/>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Οι δεσμεύσεις του κράτους</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Διαφάνεια</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Καθήκον αμέσως</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Ουδετερότητα</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Μεθοδολογικές προκαταλήψεις</w:t>
                              </w:r>
                            </w:p>
                          </w:txbxContent>
                        </wps:txbx>
                        <wps:bodyPr lIns="90000" rIns="90000" tIns="45000" bIns="45000">
                          <a:noAutofit/>
                        </wps:bodyPr>
                      </wps:wsp>
                      <pic:pic xmlns:pic="http://schemas.openxmlformats.org/drawingml/2006/picture">
                        <pic:nvPicPr>
                          <pic:cNvPr id="3" name="" descr=""/>
                          <pic:cNvPicPr/>
                        </pic:nvPicPr>
                        <pic:blipFill>
                          <a:blip r:embed="rId100"/>
                          <a:stretch/>
                        </pic:blipFill>
                        <pic:spPr>
                          <a:xfrm>
                            <a:off x="1105560" y="2401560"/>
                            <a:ext cx="4354200" cy="5891040"/>
                          </a:xfrm>
                          <a:prstGeom prst="rect">
                            <a:avLst/>
                          </a:prstGeom>
                          <a:ln>
                            <a:noFill/>
                          </a:ln>
                        </pic:spPr>
                      </pic:pic>
                    </wpg:wgp>
                  </a:graphicData>
                </a:graphic>
              </wp:anchor>
            </w:drawing>
          </mc:Choice>
          <mc:Fallback>
            <w:pict>
              <v:group id="shape_0" alt="Φόρμα 3" style="position:absolute;margin-left:13.85pt;margin-top:35.45pt;width:455.3pt;height:668.3pt" coordorigin="277,709" coordsize="9106,13366">
                <v:shape id="shape_0" stroked="f" style="position:absolute;left:277;top:709;width:9105;height:13365" type="shapetype_75">
                  <v:imagedata r:id="rId99"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Οι δεσμεύσεις του κράτους</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Διαφάνεια</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Καθήκον αμέσως</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Ουδετερότητα</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Μεθοδολογικές προκαταλήψεις</w:t>
                        </w:r>
                      </w:p>
                    </w:txbxContent>
                  </v:textbox>
                  <w10:wrap type="square"/>
                  <v:fill o:detectmouseclick="t" on="false"/>
                  <v:stroke color="#3465a4" joinstyle="round" endcap="flat"/>
                </v:rect>
                <v:shape id="shape_0" stroked="f" style="position:absolute;left:2018;top:4491;width:6856;height:9276" type="shapetype_75">
                  <v:imagedata r:id="rId100" o:detectmouseclick="t"/>
                  <w10:wrap type="none"/>
                  <v:stroke color="#3465a4" joinstyle="round" endcap="flat"/>
                </v:shape>
              </v:group>
            </w:pict>
          </mc:Fallback>
        </mc:AlternateContent>
      </w:r>
      <w:r>
        <w:rPr/>
        <w:t xml:space="preserve">Μεθοδολογικές δεσμεύσεις και προκαταλήψεις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α.</w:t>
      </w:r>
      <w:r>
        <w:rPr/>
        <w:t xml:space="preserve"> </w:t>
      </w:r>
      <w:r>
        <w:rPr>
          <w:rFonts w:ascii="Times New Roman" w:hAnsi="Times New Roman"/>
        </w:rPr>
        <w:t xml:space="preserve">Κρατικές δεσμεύσεις για τη συμμετοχική δημοκρατία </w:t>
      </w:r>
    </w:p>
    <w:p>
      <w:pPr>
        <w:pStyle w:val="P68B1DB1Normal19"/>
        <w:widowControl w:val="false"/>
        <w:spacing w:lineRule="auto" w:line="240" w:before="0" w:after="0"/>
        <w:ind w:left="0" w:right="0" w:hanging="0"/>
        <w:jc w:val="left"/>
        <w:rPr/>
      </w:pPr>
      <w:r>
        <w:rPr/>
        <w:t>Το γαλλικό μέρος της Διάσκεψης για το Μέλλον της Ευρώπης αποτελεί μέρος των δεσμεύσεων του κράτους για τη συμμετοχική δημοκρατία, οι οποίες βασίζονται σε τρεις αρχές:</w:t>
      </w:r>
      <w:r>
        <w:rPr>
          <w:b/>
        </w:rPr>
        <w:t xml:space="preserve"> διαφάνεια, ουδετερότητα και υποχρέωση αμέσως</w:t>
      </w:r>
      <w:r>
        <w:rPr/>
        <w:t xml:space="preserve">. </w:t>
      </w:r>
    </w:p>
    <w:p>
      <w:pPr>
        <w:pStyle w:val="P68B1DB1Normal19"/>
        <w:widowControl w:val="false"/>
        <w:spacing w:lineRule="auto" w:line="240" w:before="0" w:after="0"/>
        <w:ind w:left="0" w:right="0" w:hanging="0"/>
        <w:jc w:val="both"/>
        <w:rPr/>
      </w:pPr>
      <w:r>
        <w:rPr/>
        <w:t xml:space="preserve">Μια συμμετοχική προσέγγιση δεσμεύει τον διοργανωτή να σεβαστεί μια αυστηρή μεθοδολογία. Η μέθοδος συμμετοχής των πολιτών πρέπει να επιτρέπει στους πολίτες να συμμετέχουν υπό τις καλύτερες δυνατές συνθήκες και να εκφράζουν τις απόψεις τους με ελεύθερο και αιτιολογημένο τρόπο.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Διαφάνεια </w:t>
      </w:r>
    </w:p>
    <w:p>
      <w:pPr>
        <w:pStyle w:val="P68B1DB1Normal19"/>
        <w:widowControl w:val="false"/>
        <w:spacing w:lineRule="auto" w:line="240" w:before="0" w:after="0"/>
        <w:ind w:left="0" w:right="0" w:hanging="0"/>
        <w:jc w:val="left"/>
        <w:rPr/>
      </w:pPr>
      <w:r>
        <w:rPr/>
        <w:t xml:space="preserve">Η οργανωτική ομάδα του συνεδρίου δεσμεύεται να καταστήσει όλες τις πληροφορίες σχετικά με τη διαβούλευση προσβάσιμες στους πολίτες: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Το πλαίσιο εντός του οποίου πραγματοποιείται η διαβούλευση· •</w:t>
      </w:r>
      <w:r>
        <w:rPr/>
        <w:t xml:space="preserve"> </w:t>
      </w:r>
      <w:r>
        <w:rPr>
          <w:rFonts w:ascii="Times New Roman" w:hAnsi="Times New Roman"/>
        </w:rPr>
        <w:t xml:space="preserve">Δεσμεύσεις που έχουν αναληφθεί έναντι των πολιτών·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Τους σκοπούς της διαβούλευσης·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Τα αποτελέσματα της διαβούλευσης. </w:t>
      </w:r>
    </w:p>
    <w:p>
      <w:pPr>
        <w:pStyle w:val="Normal"/>
        <w:widowControl w:val="false"/>
        <w:spacing w:lineRule="auto" w:line="240" w:before="0" w:after="0"/>
        <w:ind w:left="0" w:right="0" w:hanging="0"/>
        <w:jc w:val="both"/>
        <w:rPr/>
      </w:pPr>
      <w:r>
        <w:rPr>
          <w:rFonts w:ascii="Times New Roman" w:hAnsi="Times New Roman"/>
          <w:color w:val="000000"/>
          <w:sz w:val="24"/>
        </w:rPr>
        <w:t>Έτσι, καθιερώθηκε η μεθοδολογία της Διάσκεψης για το Μέλλον της Ευρώπης με σταθερό στόχο τη διασφάλιση διαφάνειας για τους πολίτες. Η μεθοδολογία για την πρόσληψη τυχαιοποιημένων πολιτών, οι μεθοδολογικές προκαταλήψεις και η αντιμετώπιση της ομιλίας των πολιτών ήταν σαφώς καθορισμένες. Οι συμμετέχοντες έλαβαν επίσης μια περίληψη του περιφερειακού τους συνεδρίου μέσω ηλεκτρονικού ταχυδρομείου στο τέλος του συνεδρίου. Επιπλέον, όλα τα έγγραφα εργασίας και εξόδου θα δημοσιοποιούνται στο τέλος του προγράμματος στην πλατφόρμα συμμετοχής των πολιτών του κράτους</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Ουδετερότητα </w:t>
      </w:r>
    </w:p>
    <w:p>
      <w:pPr>
        <w:pStyle w:val="P68B1DB1Normal19"/>
        <w:widowControl w:val="false"/>
        <w:spacing w:lineRule="auto" w:line="240" w:before="0" w:after="0"/>
        <w:ind w:left="0" w:right="0" w:hanging="0"/>
        <w:jc w:val="both"/>
        <w:rPr/>
      </w:pPr>
      <w:r>
        <w:rPr/>
        <w:t xml:space="preserve">Κατά τη διάρκεια μιας διαβούλευσης, η διοργανώτρια ομάδα πρέπει να διασφαλίσει ότι παραμένει ουδέτερη όσον αφορά τη διευκόλυνση των ανταλλαγών καθώς και τη σύνταξη περιλήψεων που παρουσιάζουν τα αποτελέσματα. Τα ενδιαφερόμενα μέρη του προγράμματος —διαμεσολαβητές, διαμεσολαβητές, εμπειρογνώμονες — δεν θα πρέπει να εκφράζουν τις δικές τους απόψεις ή να επιδιώκουν να κατευθύνουν τη συζήτηση με υποκειμενικό τρόπο. </w:t>
      </w:r>
    </w:p>
    <w:p>
      <w:pPr>
        <w:pStyle w:val="P68B1DB1Normal19"/>
        <w:widowControl w:val="false"/>
        <w:spacing w:lineRule="auto" w:line="240" w:before="0" w:after="0"/>
        <w:ind w:left="0" w:right="0" w:hanging="0"/>
        <w:jc w:val="both"/>
        <w:rPr/>
      </w:pPr>
      <w:r>
        <w:rPr/>
        <w:t xml:space="preserve">Ο στόχος της ουδετερότητας επιδιώχθηκε σε όλα τα στάδια της διαβούλευσης, διασφαλίζοντας ιδίως την αμερόληπτη επιλογή των συμμετεχόντων, την πλήρη ελευθερία στις συζητήσεις και την έλλειψη επιρροής στην ομιλία των πολιτών από τον χορηγό ή τα ενδιαφερόμενα μέρη. Αυτή η επιτακτική ανάγκη ουδετερότητας υλοποιήθηκε μέσω μιας αντικειμενικής και διαφανούς διαδικασίας πρόσληψης συμμετεχόντων, συνεπών μεθοδολογικών προκαταλήψεων (αντίστροφη εμπειρογνωμοσύνη, έλλειψη θεματικής διαμόρφωσης των συζητήσεων) και ιδιαίτερης εστίασης στη στάση των διαφόρων ομιλητών (διευκολυντές, διαμεσολαβητές, εμπειρογνώμονες). Τέλος, η οργανωτική ομάδα φρόντισε να εκτιμήσει όλες τις λέξεις και να μην φιλτράρει τις προτάσεις των πολιτών. </w:t>
      </w:r>
    </w:p>
    <w:p>
      <w:pPr>
        <w:pStyle w:val="P68B1DB1Normal19"/>
        <w:widowControl w:val="false"/>
        <w:spacing w:lineRule="auto" w:line="240" w:before="0" w:after="0"/>
        <w:ind w:left="0" w:right="0" w:hanging="0"/>
        <w:jc w:val="both"/>
        <w:rPr/>
      </w:pPr>
      <w:r>
        <w:rPr/>
        <w:t xml:space="preserve">Ένα </w:t>
      </w:r>
      <w:r>
        <w:rPr>
          <w:b/>
        </w:rPr>
        <w:t>σώμα τριών εγγυητών</w:t>
      </w:r>
      <w:r>
        <w:rPr/>
        <w:t xml:space="preserve">, που διορίζονται από τους προέδρους της Εθνοσυνέλευσης και του Ευρωπαϊκού Κοινοβουλίου και από την κυβέρνηση, έχει επίσης διασφαλίσει ότι όλες οι απόψεις εκφράζονται και λαμβάνονται υπόψη.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Καθήκον αμέσως </w:t>
      </w:r>
    </w:p>
    <w:p>
      <w:pPr>
        <w:pStyle w:val="P68B1DB1Normal19"/>
        <w:widowControl w:val="false"/>
        <w:spacing w:lineRule="auto" w:line="240" w:before="0" w:after="0"/>
        <w:ind w:left="0" w:right="0" w:hanging="0"/>
        <w:jc w:val="both"/>
        <w:rPr/>
      </w:pPr>
      <w:r>
        <w:rPr/>
        <w:t xml:space="preserve">Οι πολίτες, ανεξάρτητα από το αν έχουν συμμετάσχει ή όχι στη διαβούλευση, έχουν το δικαίωμα να ενημερώνονται σχετικά με τις προτάσεις τους και τις απόψεις τους και για ποιους λόγους. Αυτό ονομάζεται </w:t>
      </w:r>
      <w:r>
        <w:rPr>
          <w:b/>
        </w:rPr>
        <w:t>καθήκον αμέσως</w:t>
      </w:r>
      <w:r>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Ορίζεται από το Διατμηματικό Κέντρο Συμμετοχής των Πολιτών (ICPC) και τη Διυπηρεσιακή Διεύθυνση Δημοσίων Μετασχηματισμών (DITP) ως τη δέσμευση του δημόσιου φορέα λήψης αποφάσεων να παρέχει στους πολίτες σαφή και ευανάγνωστη απάντηση στο αποτέλεσμα της διαβούλευσης. Συγκεκριμένα, το καθήκον της παρακολούθησης είναι να επιστρέψουν στους πολίτες για να τους εξηγήσουν πώς λαμβάνονται υπόψη οι συνεισφορές τους και έχουν αντίκτυπο στη λήψη αποφάσεων και στις πρακτικές της διοίκησης.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Η κυβέρνηση ανέλαβε αυτό το καθήκον ως συνέχεια της Διάσκεψης για το Μέλλον της Ευρώπης και ανακοίνωσε έναν φιλόδοξο μηχανισμό παρακολούθησης μετά την εθνική διάσκεψη που περιγράφεται στο επόμενο μέρος της παρούσας έκθεσης (βλ. « </w:t>
      </w:r>
      <w:r>
        <w:rPr>
          <w:i/>
        </w:rPr>
        <w:t>Μεθοδολογικά Μέρη»</w:t>
      </w:r>
      <w:r>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Β. Μεθοδολογικά κόμματα </w:t>
      </w:r>
    </w:p>
    <w:p>
      <w:pPr>
        <w:pStyle w:val="P68B1DB1Normal19"/>
        <w:widowControl w:val="false"/>
        <w:spacing w:lineRule="auto" w:line="240" w:before="0" w:after="0"/>
        <w:ind w:left="0" w:right="0" w:hanging="0"/>
        <w:jc w:val="both"/>
        <w:rPr/>
      </w:pPr>
      <w:r>
        <w:rPr/>
        <w:t xml:space="preserve">Αυτές οι τρεις κρατικές δεσμεύσεις αντικατοπτρίστηκαν στη μεθοδολογία διαβούλευσης με τη μορφή </w:t>
      </w:r>
      <w:r>
        <w:rPr>
          <w:b/>
        </w:rPr>
        <w:t>επτά ισχυρών μεθοδολογικών προκαταλήψεων</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Εδαφικοποίηση και εγγύτητα</w:t>
      </w:r>
    </w:p>
    <w:p>
      <w:pPr>
        <w:pStyle w:val="P68B1DB1Normal24"/>
        <w:widowControl w:val="false"/>
        <w:spacing w:lineRule="auto" w:line="240" w:before="0" w:after="0"/>
        <w:ind w:left="0" w:right="0" w:hanging="0"/>
        <w:jc w:val="both"/>
        <w:rPr/>
      </w:pPr>
      <w:r>
        <w:rPr/>
        <w:t xml:space="preserve">Η εθνική συνιστώσα της Διάσκεψης για το Μέλλον της Ευρώπης έλαβε τη μορφή 18 περιφερειακών διασκέψεων, στις 13 μητροπολιτικές περιφέρειες και στις 5 γαλλικές υπερθαλάσσιες περιφέρειες, ακολουθούμενη από εθνική διάσκεψη στο Παρίσι. Με αυτή την επιλογή των οργανωτικών ομάδων σε τοπικό επίπεδο, η επιθυμία ήταν </w:t>
      </w:r>
      <w:r>
        <w:rPr>
          <w:b/>
        </w:rPr>
        <w:t>να συγκεντρωθεί όσο το δυνατόν πιο κοντά στους πολίτες</w:t>
      </w:r>
      <w:r>
        <w:rPr/>
        <w:t xml:space="preserve">. Αυτή η προκατάληψη εμπλούτισε επίσης τη διαβούλευση, δείχνοντας τις γραμμές συναίνεσης και διαφωνίας μεταξύ των εδαφών σε διάφορα θέματα.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Ποικιλομορφία των προφίλ των πολιτών και χρήση της κλήρωσης</w:t>
      </w:r>
    </w:p>
    <w:p>
      <w:pPr>
        <w:pStyle w:val="P68B1DB1Normal24"/>
        <w:widowControl w:val="false"/>
        <w:spacing w:lineRule="auto" w:line="240" w:before="0" w:after="0"/>
        <w:ind w:left="0" w:right="0" w:hanging="0"/>
        <w:jc w:val="both"/>
        <w:rPr/>
      </w:pPr>
      <w:r>
        <w:rPr/>
        <w:t xml:space="preserve">Ένας στόχος για την πρόσληψη 50 πολιτών ανά περιφερειακή διάσκεψη τέθηκε πριν από τη διαδικασία, με εξαίρεση τις υπερθαλάσσιες διασκέψεις της Μαρτινίκας, της Μαγιότ, της Γουαδελούπης και της Γουιάνα, με 30 έως 40 πολίτες έκαστη, καθώς και τη διάσκεψη του Μεγάλου Εστ, στην οποία παρέστησαν επίσης 5 Γερμανοί πολίτες από τα τρία μεθοριακά Landers. Μια </w:t>
      </w:r>
      <w:r>
        <w:rPr>
          <w:b/>
        </w:rPr>
        <w:t>τυχαία γενιά</w:t>
      </w:r>
      <w:r>
        <w:rPr/>
        <w:t xml:space="preserve"> τηλεφωνικών αριθμών κατέστησε δυνατή την προσέλκυση πολλών πολιτών που προσκλήθηκαν να συμμετάσχουν σε περιφερειακές διασκέψεις. </w:t>
      </w:r>
    </w:p>
    <w:p>
      <w:pPr>
        <w:pStyle w:val="P68B1DB1Normal24"/>
        <w:widowControl w:val="false"/>
        <w:spacing w:lineRule="auto" w:line="240" w:before="0" w:after="0"/>
        <w:ind w:left="0" w:right="0" w:hanging="0"/>
        <w:jc w:val="both"/>
        <w:rPr/>
      </w:pPr>
      <w:r>
        <w:rPr/>
        <w:t xml:space="preserve">Για να είναι επιλέξιμοι, οι πολίτες που κληρώθηκαν με κλήρωση έπρεπε να είναι άνω των 18 ετών και να είναι Γάλλοι ή μόνιμοι κάτοικοι σε τακτική κατάσταση. Κάθε περιφερειακή ομάδα πολιτών έπρεπε να είναι </w:t>
      </w:r>
      <w:r>
        <w:rPr>
          <w:b/>
        </w:rPr>
        <w:t>αντιπροσωπευτική της ποικιλομορφίας του περιφερειακού πληθυσμού</w:t>
      </w:r>
      <w:r>
        <w:rPr/>
        <w:t xml:space="preserve">και να συγκεντρώνει μια </w:t>
      </w:r>
      <w:r>
        <w:rPr>
          <w:b/>
        </w:rPr>
        <w:t>ποικιλία απόψεων για την Ευρώπη</w:t>
      </w:r>
      <w:r>
        <w:rPr/>
        <w:t xml:space="preserve">. Η ακριβής μεθοδολογία για την πρόσληψη με κλήρωση παρατίθεται στο παράρτημα II.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Διαφάνεια της προσέγγισης</w:t>
      </w:r>
    </w:p>
    <w:p>
      <w:pPr>
        <w:pStyle w:val="P68B1DB1Normal24"/>
        <w:widowControl w:val="false"/>
        <w:spacing w:lineRule="auto" w:line="240" w:before="0" w:after="0"/>
        <w:ind w:left="0" w:right="0" w:hanging="0"/>
        <w:jc w:val="both"/>
        <w:rPr/>
      </w:pPr>
      <w:r>
        <w:rPr/>
        <w:t xml:space="preserve">Ένα </w:t>
      </w:r>
      <w:r>
        <w:rPr>
          <w:b/>
        </w:rPr>
        <w:t>σώμα τριών εγγυητών</w:t>
      </w:r>
      <w:r>
        <w:rPr/>
        <w:t xml:space="preserve"> που διορίστηκαν από τον Υφυπουργό Ευρωπαϊκών Υποθέσεων, τον Πρόεδρο της Εθνοσυνέλευσης και τον Πρόεδρο του Ευρωπαϊκού Κοινοβουλίου ακολούθησε όλη τη διαδικασία προκειμένου να διασφαλιστεί η ουδετερότητα και η κανονικότητά της. Ειδικότερα, οι εγγυητές έχουν: παρακολούθησε την ειλικρίνεια της πρόσληψης πολιτών με κλήρωση, διατύπωσε συστάσεις για την επιλογή εμπειρογνωμόνων και εξασφάλισε την καλή οργάνωση των συζητήσεων. Στο τέλος της διαδικασίας, οι εγγυητές δημοσιοποιούν τη γνώμη τους σχετικά με τη διαβούλευση. Το παρόν έγγραφο θα αναρτηθεί στην πλατφόρμα συμμετοχής των πολιτών του κράτους. </w:t>
      </w:r>
    </w:p>
    <w:p>
      <w:pPr>
        <w:pStyle w:val="P68B1DB1Normal24"/>
        <w:widowControl w:val="false"/>
        <w:spacing w:lineRule="auto" w:line="240" w:before="0" w:after="0"/>
        <w:ind w:left="0" w:right="0" w:hanging="0"/>
        <w:jc w:val="both"/>
        <w:rPr/>
      </w:pPr>
      <w:r>
        <w:rPr/>
        <w:t xml:space="preserve">Θα δημοσιευθεί επίσης στην πλατφόρμα για τη συμμετοχή των πολιτών του κράτους: οι περιλήψεις των δεκαοκτώ περιφερειακών διασκέψεων, η περίληψη όλων των αλλαγών που εκφράστηκαν στις περιφερειακές διασκέψεις, η σύνθεση της εθνικής διάσκεψης και τέλος η τελική έκθεση που υποβλήθηκε στην κυβέρνηση.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Μια ανοιχτή συζήτηση χωρίς επιβαλλόμενο θέμα</w:t>
      </w:r>
    </w:p>
    <w:p>
      <w:pPr>
        <w:pStyle w:val="P68B1DB1Normal24"/>
        <w:widowControl w:val="false"/>
        <w:spacing w:lineRule="auto" w:line="240" w:before="215" w:after="0"/>
        <w:ind w:left="1" w:right="0" w:hanging="0"/>
        <w:jc w:val="left"/>
        <w:rPr/>
      </w:pPr>
      <w:r>
        <w:rPr/>
        <w:t xml:space="preserve">Στο πλαίσιο αυτής της εθνικής διαβούλευσης, διατυπώθηκε ένα μόνο ερώτημα υπόψη των συμμετεχόντων πολιτών: « </w:t>
      </w:r>
      <w:r>
        <w:rPr>
          <w:i/>
        </w:rPr>
        <w:t>Ως Γάλλοι πολίτες, τι αλλαγές θέλετε για την Ευρώπη;</w:t>
      </w:r>
      <w:r>
        <w:rPr/>
        <w:t xml:space="preserve">». </w:t>
      </w:r>
    </w:p>
    <w:p>
      <w:pPr>
        <w:pStyle w:val="P68B1DB1Normal24"/>
        <w:widowControl w:val="false"/>
        <w:spacing w:lineRule="auto" w:line="240" w:before="235" w:after="0"/>
        <w:ind w:left="1" w:right="0" w:hanging="0"/>
        <w:jc w:val="both"/>
        <w:rPr/>
      </w:pPr>
      <w:r>
        <w:rPr/>
        <w:t xml:space="preserve">Μέσω της εξέλιξης και της μεθοδολογίας που τέθηκε σε εφαρμογή, οι πολίτες ήταν σε θέση να καθορίσουν μόνοι τους την ατζέντα των επιθυμητών αλλαγών, χωρίς να περιορίζονται από ένα συγκεκριμένο θέμα ή μια προηγούμενη κανονιστική διαμόρφωση. </w:t>
      </w:r>
    </w:p>
    <w:p>
      <w:pPr>
        <w:pStyle w:val="Normal"/>
        <w:widowControl w:val="false"/>
        <w:spacing w:lineRule="auto" w:line="240" w:before="233" w:after="0"/>
        <w:ind w:left="1" w:right="1" w:hanging="0"/>
        <w:jc w:val="both"/>
        <w:rPr/>
      </w:pPr>
      <w:r>
        <w:rPr>
          <w:rFonts w:ascii="Times New Roman" w:hAnsi="Times New Roman"/>
          <w:color w:val="000000"/>
        </w:rPr>
        <w:t>Στόχος ήταν να δοθεί η δυνατότητα στους πολίτες των περιφερειακών διασκέψεων να απολαμβάνουν πλήρη ελευθερία στα θέματα που επιθυμούσαν να ασχοληθούν. Ως εκ τούτου, το Υπουργείο Ευρώπης και Εξωτερικών Υποθέσεων για το εθνικό τμήμα της Διάσκεψης για το Μέλλον της Ευρώπης επέλεξε να αναπτύξει μια συμπληρωματική προσέγγιση στην ευρωπαϊκή άσκηση, η οποία διαρθρώνεται γύρω από εννέα θέματα: κλιματική αλλαγή και περιβάλλον· υγεία· ισχυρότερη οικονομία, κοινωνική δικαιοσύνη και απασχόληση· η ΕΕ στον κόσμο· αξίες και δικαιώματα, κράτος δικαίου, ασφάλεια· ψηφιακός μετασχηματισμός· Την ευρωπαϊκή δημοκρατία· τη μετανάστευση· εκπαίδευση, πολιτισμός, νεολαία και αθλητισμός· άλλες ιδέες</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Τα θέματα των ανταλλαγών περιφερειακών διασκέψεων καθορίστηκαν έτσι από τους ίδιους τους πολίτες και όχι από τον χορηγό της άσκησης.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Αντίστροφη εμπειρογνωμοσύνη</w:t>
      </w:r>
    </w:p>
    <w:p>
      <w:pPr>
        <w:pStyle w:val="P68B1DB1Normal24"/>
        <w:widowControl w:val="false"/>
        <w:spacing w:lineRule="auto" w:line="240" w:before="218" w:after="0"/>
        <w:ind w:left="1" w:right="0" w:hanging="0"/>
        <w:jc w:val="left"/>
        <w:rPr/>
      </w:pPr>
      <w:r>
        <w:rPr/>
        <w:t xml:space="preserve">Προκειμένου να επηρεαστούν όσο το δυνατόν λιγότερο οι συμμετέχοντες στη διαδικασία προσδιορισμού των επιθυμιών τους για την Ευρώπη, </w:t>
      </w:r>
      <w:r>
        <w:rPr>
          <w:b/>
        </w:rPr>
        <w:t>έγινε η επιλογή να μην παρασχεθεί εκ των προτέρων ενημέρωση ή εμπειρογνωμοσύνη</w:t>
      </w:r>
      <w:r>
        <w:rPr/>
        <w:t xml:space="preserve"> (π.χ. σχετικά με το τρέχον σχέδιο της Ευρωπαϊκής Ένωσης, τις αρμοδιότητές της ή τη λειτουργία των θεσμικών οργάνων), αλλά να ξεκινήσει από τα ερωτήματα των ίδιων των πολιτών. Αυτή η μεθοδολογική προκατάληψη βασίζεται στην αρχή της « </w:t>
      </w:r>
      <w:r>
        <w:rPr>
          <w:i/>
        </w:rPr>
        <w:t>αντίστροφης εμπειρογνωμοσύνης</w:t>
      </w:r>
      <w:r>
        <w:rPr/>
        <w:t xml:space="preserve">» σύμφωνα με την οποία ο </w:t>
      </w:r>
      <w:r>
        <w:rPr>
          <w:b/>
        </w:rPr>
        <w:t>συλλογικός προβληματισμός</w:t>
      </w:r>
      <w:r>
        <w:rPr/>
        <w:t xml:space="preserve"> βασίζεται στις εμπειρίες και τις απόψεις των πολιτών, οι οποίοι στη συνέχεια αμφισβητούν εμπειρογνώμονες για να υποστηρίξουν τις συζητήσεις τους και να εδραιώσουν τις υποθέσεις εργασίας τους. </w:t>
      </w:r>
    </w:p>
    <w:p>
      <w:pPr>
        <w:pStyle w:val="P68B1DB1Normal24"/>
        <w:widowControl w:val="false"/>
        <w:spacing w:lineRule="auto" w:line="240" w:before="232" w:after="0"/>
        <w:ind w:left="0" w:right="0" w:hanging="0"/>
        <w:jc w:val="both"/>
        <w:rPr/>
      </w:pPr>
      <w:r>
        <w:rPr/>
        <w:t xml:space="preserve">Για την επίτευξη αυτού του στόχου, κινητοποιήθηκαν </w:t>
      </w:r>
      <w:r>
        <w:rPr>
          <w:b/>
        </w:rPr>
        <w:t>εμπειρογνώμονες</w:t>
      </w:r>
      <w:r>
        <w:rPr/>
        <w:t xml:space="preserve"> στις διάφορες περιφέρειες (τρεις κατά μέσο όρο), ιδίως από τον ακαδημαϊκό χώρο και τα κέντρα πληροφόρησης Europe Direct στις σχετικές περιοχές. Ήταν παρόντες το Σάββατο και την Κυριακή για να απαντήσουν σε ερωτήσεις των πολιτών, μιλώντας μόνο κατόπιν αιτήματός τους. Οι </w:t>
      </w:r>
      <w:r>
        <w:rPr>
          <w:b/>
        </w:rPr>
        <w:t>ελεγκτές γεγονότων</w:t>
      </w:r>
      <w:r>
        <w:rPr/>
        <w:t xml:space="preserve"> ήταν επίσης προσβάσιμοι</w:t>
      </w:r>
      <w:r>
        <w:rPr>
          <w:i/>
        </w:rPr>
        <w:t>προκειμένου</w:t>
      </w:r>
      <w:r>
        <w:rPr/>
        <w:t xml:space="preserve">να επαληθεύσουν γρήγορα τα πραγματικά ζητήματα που έθεσαν οι πολίτες. </w:t>
      </w:r>
    </w:p>
    <w:p>
      <w:pPr>
        <w:pStyle w:val="P68B1DB1Normal24"/>
        <w:widowControl w:val="false"/>
        <w:spacing w:lineRule="auto" w:line="240" w:before="235" w:after="0"/>
        <w:ind w:left="0" w:right="1" w:hanging="0"/>
        <w:jc w:val="both"/>
        <w:rPr/>
      </w:pPr>
      <w:r>
        <w:rPr/>
        <w:t xml:space="preserve">Κατά την Εθνική Συνθετική Διάσκεψη της ΕΟΚΕ, στις ομάδες εργασίας παρέστησαν 19 εμπειρογνώμονες υψηλού επιπέδου από τον ακαδημαϊκό χώρο, ομάδες προβληματισμού και διπλωματικό σώμα. Οι εμπειρογνώμονες αυτοί συνόδευαν μια ομάδα καθ’ όλη τη διάρκεια του Σαββατοκύριακου, επιτρέποντάς τους να εμβαθύνουν τις αλλαγές που εκφράζονται στις περιφέρειες.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Συλλογικότητα και φιλική διακυβέρνηση</w:t>
      </w:r>
    </w:p>
    <w:p>
      <w:pPr>
        <w:pStyle w:val="P68B1DB1Normal24"/>
        <w:widowControl w:val="false"/>
        <w:spacing w:lineRule="auto" w:line="240" w:before="212" w:after="0"/>
        <w:ind w:left="0" w:right="0" w:hanging="0"/>
        <w:jc w:val="left"/>
        <w:rPr/>
      </w:pPr>
      <w:r>
        <w:rPr/>
        <w:t xml:space="preserve">Η όλη διαδικασία </w:t>
      </w:r>
      <w:r>
        <w:rPr>
          <w:b/>
        </w:rPr>
        <w:t>συνδημιουργήθηκε από</w:t>
      </w:r>
      <w:r>
        <w:rPr/>
        <w:t xml:space="preserve"> το Υπουργείο Ευρώπης και Εξωτερικών (MEAE). </w:t>
      </w:r>
    </w:p>
    <w:p>
      <w:pPr>
        <w:pStyle w:val="P68B1DB1Normal24"/>
        <w:widowControl w:val="false"/>
        <w:spacing w:lineRule="auto" w:line="240"/>
        <w:ind w:left="0" w:right="4" w:hanging="0"/>
        <w:jc w:val="both"/>
        <w:rPr/>
      </w:pPr>
      <w:r>
        <w:rPr/>
        <w:t xml:space="preserve">με την υποστήριξη της συμμετοχικής στρατηγικής του Διυπουργικού Κέντρου Συμμετοχής των Πολιτών (ICPC) της Διυπουργικής Διεύθυνσης Δημοσίων Μετασχηματισμών (DITP) και του Υπουργείου Κοινοβουλευτικών Σχέσεων και Συμμετοχής των Πολιτών (MRPC). Το πρόγραμμα υλοποιήθηκε από μια κοινοπραξία προμηθευτών αποτελούμενη από τους Roland Berger, Wavestone, Missions Publiques και Harris Interactive για την καθοδήγηση της διαδικασίας, την εμψύχωση των συνεδρίων, την κατάρτιση των πολιτών και τη σύνταξη εκθέσεων και περιλήψεων, σε συνεργασία με τους περιφερειακούς νομούς για την τοπική οργάνωση περιφερειακών συνεδρίων. </w:t>
      </w:r>
    </w:p>
    <w:p>
      <w:pPr>
        <w:pStyle w:val="P68B1DB1Normal24"/>
        <w:widowControl w:val="false"/>
        <w:spacing w:lineRule="auto" w:line="240" w:before="232" w:after="0"/>
        <w:ind w:left="0" w:right="4" w:hanging="0"/>
        <w:jc w:val="left"/>
        <w:rPr/>
      </w:pPr>
      <w:r>
        <w:rPr/>
        <w:t>Έχει συσταθεί</w:t>
      </w:r>
      <w:r>
        <w:rPr>
          <w:b/>
        </w:rPr>
        <w:t>ειδική διακυβέρνηση</w:t>
      </w:r>
      <w:r>
        <w:rPr/>
        <w:t xml:space="preserve"> γύρω από μια ομάδα έργου υπό την προεδρία της MEAE, η οποία συγκεντρώνει το CPIC, το MRPC και την κοινοπραξία προμηθευτών.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Καθήκον παρακολούθησης και άρθρωσης με την ευρωπαϊκή άσκηση</w:t>
      </w:r>
    </w:p>
    <w:p>
      <w:pPr>
        <w:pStyle w:val="P68B1DB1Normal19"/>
        <w:widowControl w:val="false"/>
        <w:spacing w:lineRule="auto" w:line="240" w:before="211" w:after="0"/>
        <w:ind w:left="0" w:right="0" w:hanging="0"/>
        <w:jc w:val="left"/>
        <w:rPr/>
      </w:pPr>
      <w:r>
        <w:rPr/>
        <w:t xml:space="preserve">Με την ευκαιρία της εθνικής διάσκεψης, ανακοινώθηκαν διάφορα στοιχεία </w:t>
      </w:r>
      <w:r>
        <w:rPr>
          <w:b/>
        </w:rPr>
        <w:t>του καθήκοντος παρακολούθησης των</w:t>
      </w:r>
      <w:r>
        <w:rPr/>
        <w:t xml:space="preserve"> γαλλικών θεσμικών οργάνων μετά την άσκηση που πραγματοποιήθηκε για τη Διάσκεψη για το Μέλλον της Ευρώπης: </w:t>
      </w:r>
    </w:p>
    <w:p>
      <w:pPr>
        <w:pStyle w:val="P68B1DB1Normal34"/>
        <w:widowControl w:val="false"/>
        <w:spacing w:lineRule="auto" w:line="240" w:before="333" w:after="0"/>
        <w:ind w:left="720" w:right="0" w:hanging="359"/>
        <w:jc w:val="both"/>
        <w:rPr/>
      </w:pPr>
      <w:r>
        <w:rPr>
          <w:rFonts w:ascii="Calibri" w:hAnsi="Calibri"/>
        </w:rPr>
        <w:t>—</w:t>
      </w:r>
      <w:r>
        <w:rPr/>
        <w:t xml:space="preserve"> </w:t>
      </w:r>
      <w:r>
        <w:rPr>
          <w:rFonts w:ascii="Times New Roman" w:hAnsi="Times New Roman"/>
          <w:b/>
        </w:rPr>
        <w:t>Να καταστούν διαθέσιμες όλες οι πληροφορίες</w:t>
      </w:r>
      <w:r>
        <w:rPr>
          <w:rFonts w:ascii="Times New Roman" w:hAnsi="Times New Roman"/>
        </w:rPr>
        <w:t xml:space="preserve"> σχετικά με την προσέγγιση, το παρόν έγγραφο καθώς και οι συγκεφαλαιωτικές εκθέσεις των περιφερειακών και εθνικών διασκέψεων, με διαφανή και προσιτό τρόπο για όλους, στη νέα πλατφόρμα για τη συμμετοχή των πολιτών, η οποία δρομολογήθηκε με την ευκαιρία της επιστροφής στην κυβέρνηση· </w:t>
      </w:r>
    </w:p>
    <w:p>
      <w:pPr>
        <w:pStyle w:val="P68B1DB1Normal34"/>
        <w:widowControl w:val="false"/>
        <w:spacing w:lineRule="auto" w:line="240" w:before="90" w:after="0"/>
        <w:ind w:left="360" w:right="0" w:hanging="0"/>
        <w:jc w:val="left"/>
        <w:rPr/>
      </w:pPr>
      <w:r>
        <w:rPr>
          <w:rFonts w:ascii="Calibri" w:hAnsi="Calibri"/>
        </w:rPr>
        <w:t>Διοργάνωση</w:t>
      </w:r>
      <w:r>
        <w:rPr/>
        <w:t xml:space="preserve"> </w:t>
      </w:r>
      <w:r>
        <w:rPr>
          <w:rFonts w:ascii="Times New Roman" w:hAnsi="Times New Roman"/>
        </w:rPr>
        <w:t xml:space="preserve"> </w:t>
      </w:r>
      <w:r>
        <w:rPr>
          <w:rFonts w:ascii="Times New Roman" w:hAnsi="Times New Roman"/>
          <w:b/>
        </w:rPr>
        <w:t>εκδήλωσης για την επιστροφή στην κυβέρνηση της</w:t>
      </w:r>
      <w:r>
        <w:rPr>
          <w:rFonts w:ascii="Times New Roman" w:hAnsi="Times New Roman"/>
        </w:rPr>
        <w:t xml:space="preserve"> τελικής έκθεσης της εθνικής συνιστώσας της Διάσκεψης για το μέλλον της Ευρώπης τον Νοέμβριο του 2021· </w:t>
      </w:r>
    </w:p>
    <w:p>
      <w:pPr>
        <w:pStyle w:val="P68B1DB1Normal34"/>
        <w:widowControl w:val="false"/>
        <w:spacing w:lineRule="auto" w:line="240" w:before="90" w:after="0"/>
        <w:ind w:left="720" w:right="0" w:hanging="359"/>
        <w:jc w:val="both"/>
        <w:rPr/>
      </w:pPr>
      <w:r>
        <w:rPr>
          <w:rFonts w:ascii="Calibri" w:hAnsi="Calibri"/>
        </w:rPr>
        <w:t>—</w:t>
      </w:r>
      <w:r>
        <w:rPr/>
        <w:t xml:space="preserve"> </w:t>
      </w:r>
      <w:r>
        <w:rPr>
          <w:rFonts w:ascii="Times New Roman" w:hAnsi="Times New Roman"/>
        </w:rPr>
        <w:t xml:space="preserve">Σύσταση </w:t>
      </w:r>
      <w:r>
        <w:rPr>
          <w:rFonts w:ascii="Times New Roman" w:hAnsi="Times New Roman"/>
          <w:b/>
        </w:rPr>
        <w:t>επιτροπής παρακολούθησης των πολιτών, η οποία</w:t>
      </w:r>
      <w:r>
        <w:rPr>
          <w:rFonts w:ascii="Times New Roman" w:hAnsi="Times New Roman"/>
        </w:rPr>
        <w:t xml:space="preserve"> θα διασφαλίζει ότι το αποτέλεσμα της διαδικασίας είναι σύμφωνο με τις προτάσεις που υποβλήθηκαν. Η εν λόγω επιτροπή θα αποτελείται από 15 πολίτες, συμπεριλαμβανομένων 14 συμμετεχόντων από τις περιφερειακές διασκέψεις και ενός συμμετέχοντος από τη διαβούλευση «Λόγοι </w:t>
      </w:r>
      <w:r>
        <w:rPr>
          <w:rFonts w:ascii="Times New Roman" w:hAnsi="Times New Roman"/>
          <w:i/>
        </w:rPr>
        <w:t>προς τη νεολαία»</w:t>
      </w:r>
      <w:r>
        <w:rPr>
          <w:rFonts w:ascii="Times New Roman" w:hAnsi="Times New Roman"/>
        </w:rPr>
        <w:t xml:space="preserve"> · </w:t>
      </w:r>
    </w:p>
    <w:p>
      <w:pPr>
        <w:pStyle w:val="P68B1DB1Normal34"/>
        <w:widowControl w:val="false"/>
        <w:spacing w:lineRule="auto" w:line="240" w:before="95" w:after="0"/>
        <w:ind w:left="360" w:right="0" w:hanging="0"/>
        <w:jc w:val="left"/>
        <w:rPr/>
      </w:pPr>
      <w:r>
        <w:rPr>
          <w:rFonts w:ascii="Calibri" w:hAnsi="Calibri"/>
        </w:rPr>
        <w:t>—</w:t>
      </w:r>
      <w:r>
        <w:rPr/>
        <w:t xml:space="preserve"> </w:t>
      </w:r>
      <w:r>
        <w:rPr>
          <w:rFonts w:ascii="Times New Roman" w:hAnsi="Times New Roman"/>
          <w:b/>
        </w:rPr>
        <w:t>Παράδοση της γαλλικής συμβολής στη Διάσκεψη για το Μέλλον της Ευρώπης στα ευρωπαϊκά θεσμικά όργανα τον</w:t>
      </w:r>
      <w:r>
        <w:rPr>
          <w:rFonts w:ascii="Times New Roman" w:hAnsi="Times New Roman"/>
        </w:rPr>
        <w:t xml:space="preserve"> Ιανουάριο του 2022· </w:t>
      </w:r>
    </w:p>
    <w:p>
      <w:pPr>
        <w:pStyle w:val="P68B1DB1Normal19"/>
        <w:widowControl w:val="false"/>
        <w:spacing w:lineRule="auto" w:line="240" w:before="87" w:after="0"/>
        <w:ind w:left="0" w:right="0" w:hanging="0"/>
        <w:jc w:val="left"/>
        <w:rPr/>
      </w:pPr>
      <w:r>
        <w:rPr/>
        <w:t xml:space="preserve">Οι προτάσεις των Γάλλων πολιτών θα υποβληθούν στον συλλογικό προβληματισμό των κρατών μελών και των ευρωπαϊκών θεσμικών οργάνων. Ως χώρα που ασκεί την Προεδρία του Συμβουλίου της Ευρωπαϊκής Ένωσης κατά το πρώτο εξάμηνο του 2022, εναπόκειται στη Γαλλία να μιλήσει τη φωνή των πολιτών της, ενώ εργάζεται για τον καθορισμό κοινής θέσης σε επίπεδο ηπείρου.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Το πρώτο μέρος: παρουσίαση των αποτελεσμάτων των περιφερειακών διασκέψεων για το μέλλον της Ευρώπης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Σε κάθε μία από τις 18 περιφερειακές διασκέψεις, οι πολίτες εξέφρασαν τις επιθυμίες τους για την Ευρώπη του 2035 μεμονωμένα και στη συνέχεια ως ομάδα. Σε κάθε περιοχή προέκυψαν από 3 έως 8 ομάδες επιθυμιών, με αποτέλεσμα συνολικά </w:t>
      </w:r>
      <w:r>
        <w:rPr>
          <w:b/>
        </w:rPr>
        <w:t>101 επιθυμητές ευρωπαϊκές ομάδες σε όλη τη Γαλλία</w:t>
      </w:r>
      <w:r>
        <w:rPr/>
        <w:t xml:space="preserve">. Στη συνέχεια, οι πολίτες διατύπωσαν αλλαγές που θεώρησαν αναγκαίες για την επίτευξη της επιθυμητής Ευρώπης και στη συνέχεια τις απεικονίζουν με συγκεκριμένες δράσεις. Η διαδικασία αυτή προκάλεσε συνολικά </w:t>
      </w:r>
      <w:r>
        <w:rPr>
          <w:b/>
        </w:rPr>
        <w:t>515 αλλαγές</w:t>
      </w:r>
      <w:r>
        <w:rPr/>
        <w:t xml:space="preserve"> και </w:t>
      </w:r>
      <w:r>
        <w:rPr>
          <w:b/>
        </w:rPr>
        <w:t xml:space="preserve">1.301 συγκεκριμένες δράσεις σε όλη τη </w:t>
      </w:r>
      <w:r>
        <w:rPr/>
        <w:t xml:space="preserve">Γαλλία.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 xml:space="preserve">Κατά τις εβδομάδες που χώρισαν τα περιφερειακά συνέδρια και το εθνικό συνέδριο, η ομάδα του έργου πραγματοποίησε μια ομαδοποίηση 515 αλλαγών σε συνεκτικές ομάδες. Όλες οι αλλαγές που εκφράστηκαν στις περιφέρειες υποβλήθηκαν σε λεξικολογική ανάλυση και ολοκληρώθηκαν όταν οι υποκείμενες προθέσεις τους φαίνονταν παρόμοιες ή στενές, έτσι ώστε να συσταθούν για τις εθνικές ομάδες εργασίας διάσκεψης με κοινή επιθυμία για την Ευρώπη. Τέλος, </w:t>
      </w:r>
      <w:r>
        <w:rPr>
          <w:b/>
        </w:rPr>
        <w:t>οι αλλαγές που εντοπίστηκαν στις περιφέρειες ομαδοποιήθηκαν σε 14 διαφορετικές ευρωπαϊκές επιθυμίες</w:t>
      </w:r>
      <w:r>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Φόρμα 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101"/>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Ευχές</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για την Ευρώπη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Αλλαγές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για την επίτευξη αυτής της επιθυμητής Ευρώπης</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Συγκεκριμένες προτάσεις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για την εφαρμογή αυτών των αλλαγών</w:t>
                              </w:r>
                            </w:p>
                          </w:txbxContent>
                        </wps:txbx>
                        <wps:bodyPr lIns="90000" rIns="90000" tIns="45000" bIns="45000">
                          <a:noAutofit/>
                        </wps:bodyPr>
                      </wps:wsp>
                    </wpg:wgp>
                  </a:graphicData>
                </a:graphic>
              </wp:anchor>
            </w:drawing>
          </mc:Choice>
          <mc:Fallback>
            <w:pict>
              <v:group id="shape_0" alt="Φόρμα 11" style="position:absolute;margin-left:34.4pt;margin-top:7.25pt;width:453.95pt;height:103.85pt" coordorigin="688,145" coordsize="9079,2077">
                <v:shape id="shape_0" stroked="f" style="position:absolute;left:688;top:145;width:9078;height:1696" type="shapetype_75">
                  <v:imagedata r:id="rId101"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Ευχές</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για την Ευρώπη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Αλλαγές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για την επίτευξη αυτής της επιθυμητής Ευρώπης</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Συγκεκριμένες προτάσεις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για την εφαρμογή αυτών των αλλαγών</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Ερώτηση προς τους πολίτες</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Ποια είναι η επιθυμία σας για την Ευρώπη του 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Ποιες αλλαγές απαιτούνται για την επίτευξη αυτής της επιθυμητής Ευρώπης;</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Ποιες συγκεκριμένες προτάσεις θα υποβάλλατε για την εφαρμογή αυτών των αλλαγών;</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Αποτελέσματα των περιφερειακών διασκέψεων</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ευχές</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ΑΛΛΑΓΕΣ</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συγκεκριμένες προτάσεις</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Παραγγελία 515 περιφερειακών αλλαγών σε 14 συνεπείς επιθυμίες από την ομάδα του οργανισμού</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Ομαδοποίηση, ιεράρχηση προτεραιοτήτων και λεπτομέρειες των αλλαγών από τους συμμετέχοντες κατά τη διάρκεια του εθνικού συνεδρίου</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Αποτελέσματα της εθνικής διάσκεψης</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ευχές</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ΑΛΛΑΓΕΣ</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Βασικά στάδια εφαρμογής και κριτήρια επιτυχίας για κάθε αλλαγή</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α. Κατάταξη των 14 επιθυμιών της Ευρώπης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Στο τέλος κάθε περιφερειακής διάσκεψης, οι συμμετέχοντες πολίτες ψήφισαν υπέρ των αλλαγών που προσδιόρισαν οι διάφορες ομάδες εργασίας.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Πλαίσιο 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Κατάταξη των επιθυμιών της Ευρώπης με βάση το ποσοστό δημοτικότητας </w:t>
                            </w:r>
                          </w:p>
                        </w:txbxContent>
                      </wps:txbx>
                      <wps:bodyPr lIns="0" rIns="0" tIns="0" bIns="0">
                        <a:noAutofit/>
                      </wps:bodyPr>
                    </wps:wsp>
                  </a:graphicData>
                </a:graphic>
              </wp:anchor>
            </w:drawing>
          </mc:Choice>
          <mc:Fallback>
            <w:pict>
              <v:rect id="shape_0" ID="Πλαίσιο 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Κατάταξη των επιθυμιών της Ευρώπης με βάση το ποσοστό δημοτικότητας </w:t>
                      </w:r>
                    </w:p>
                  </w:txbxContent>
                </v:textbox>
              </v:rect>
            </w:pict>
          </mc:Fallback>
        </mc:AlternateContent>
      </w:r>
      <w:r>
        <w:rPr>
          <w:rFonts w:ascii="Times New Roman" w:hAnsi="Times New Roman"/>
          <w:color w:val="000000"/>
          <w:sz w:val="24"/>
        </w:rPr>
        <w:t xml:space="preserve">Με βάση τις ομάδες που πραγματοποιήθηκαν πριν από την εθνική διάσκεψη σύνθεσης, είναι δυνατόν να προσδιοριστούν — χάρη στις ψηφοφορίες για τις αλλαγές σε κάθε περιοχή — οι επιθυμίες της Ευρώπης που ήταν οι πιο δημοφιλείς μεταξύ των πολιτών. Έτσι, οι ευχές « </w:t>
      </w:r>
      <w:r>
        <w:rPr>
          <w:rFonts w:ascii="Times New Roman" w:hAnsi="Times New Roman"/>
          <w:i/>
          <w:color w:val="000000"/>
          <w:sz w:val="24"/>
        </w:rPr>
        <w:t>μια Ευρώπη που θέτει την εκπαίδευση στην πρώτη γραμμή»</w:t>
      </w:r>
      <w:r>
        <w:rPr>
          <w:rFonts w:ascii="Times New Roman" w:hAnsi="Times New Roman"/>
          <w:color w:val="000000"/>
          <w:sz w:val="24"/>
        </w:rPr>
        <w:t xml:space="preserve"> και « </w:t>
      </w:r>
      <w:r>
        <w:rPr>
          <w:rFonts w:ascii="Times New Roman" w:hAnsi="Times New Roman"/>
          <w:i/>
          <w:color w:val="000000"/>
          <w:sz w:val="24"/>
        </w:rPr>
        <w:t>μια στενότερη και προσβάσιμη Ευρώπη</w:t>
      </w:r>
      <w:r>
        <w:rPr>
          <w:rFonts w:ascii="Times New Roman" w:hAnsi="Times New Roman"/>
          <w:color w:val="000000"/>
          <w:sz w:val="24"/>
        </w:rPr>
        <w:t>» είναι</w:t>
      </w:r>
      <w:r>
        <w:rPr>
          <w:rFonts w:ascii="Times New Roman" w:hAnsi="Times New Roman"/>
          <w:i/>
          <w:color w:val="000000"/>
          <w:sz w:val="24"/>
        </w:rPr>
        <w:t xml:space="preserve"> </w:t>
      </w:r>
      <w:r>
        <w:rPr>
          <w:rFonts w:ascii="Times New Roman" w:hAnsi="Times New Roman"/>
          <w:color w:val="000000"/>
          <w:sz w:val="24"/>
        </w:rPr>
        <w:t xml:space="preserve">ευρέως ευπρόσδεκτες, με αλλαγές που υποστηρίζονται κατά μέσο όρο από το 56 % των πολιτών σε περιφερειακές διασκέψεις.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Φόρμα 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2"/>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Ποιες αλλαγές θα θέλατε να εφαρμόσετε;</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Μια Ευρώπη που βάζει την εκπαίδευση στην πρώτη γραμμή</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Μια στενότερη και προσβάσιμη Ευρώπη</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Μια Ευρώπη με κοινούς πολιτισμούς και ταυτότητες</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Μια Ευρώπη προσηλωμένη στην κλιματική και περιβαλλοντική πρόκληση</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Μια πιο ενωμένη Ευρώπη</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Μια Ευρώπη αλληλεγγύης που προστατεύει</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Μια Ευρώπη που εγγυάται τον σεβασμό των θεμελιωδών δικαιωμάτων</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Μια ανταγωνιστική και καινοτόμος Ευρώπη</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Μια Ευρώπη που προωθεί την αειφόρο ανάπτυξη</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Μια πιο δημοκρατική Ευρώπη</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Μια Ευρώπη με αποτελεσματικότερη διακυβέρνηση</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Μια Ευρώπη που υπερασπίζεται τα συμφέροντά της</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Μια πανίσχυρη Ευρώπη στον κόσμο</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Μια Ευρώπη στην οποία υπερισχύουν τα συμφέροντα κάθε κράτους</w:t>
                              </w:r>
                            </w:p>
                          </w:txbxContent>
                        </wps:txbx>
                        <wps:bodyPr lIns="90000" rIns="90000" tIns="45000" bIns="45000">
                          <a:noAutofit/>
                        </wps:bodyPr>
                      </wps:wsp>
                    </wpg:wgp>
                  </a:graphicData>
                </a:graphic>
              </wp:anchor>
            </w:drawing>
          </mc:Choice>
          <mc:Fallback>
            <w:pict>
              <v:group id="shape_0" alt="Φόρμα 4" style="position:absolute;margin-left:21.5pt;margin-top:39.85pt;width:354.75pt;height:494.75pt" coordorigin="430,797" coordsize="7095,9895">
                <v:shape id="shape_0" stroked="f" style="position:absolute;left:4005;top:1727;width:3121;height:8964" type="shapetype_75">
                  <v:imagedata r:id="rId102"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Ποιες αλλαγές θα θέλατε να εφαρμόσετε;</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Μια Ευρώπη που βάζει την εκπαίδευση στην πρώτη γραμμή</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Μια στενότερη και προσβάσιμη Ευρώπη</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Μια Ευρώπη με κοινούς πολιτισμούς και ταυτότητες</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Μια Ευρώπη προσηλωμένη στην κλιματική και περιβαλλοντική πρόκληση</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Μια πιο ενωμένη Ευρώπη</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Μια Ευρώπη αλληλεγγύης που προστατεύει</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Μια Ευρώπη που εγγυάται τον σεβασμό των θεμελιωδών δικαιωμάτων</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Μια ανταγωνιστική και καινοτόμος Ευρώπη</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Μια Ευρώπη που προωθεί την αειφόρο ανάπτυξη</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Μια πιο δημοκρατική Ευρώπη</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Μια Ευρώπη με αποτελεσματικότερη διακυβέρνηση</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Μια Ευρώπη που υπερασπίζεται τα συμφέροντά της</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Μια πανίσχυρη Ευρώπη στον κόσμο</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Μια Ευρώπη στην οποία υπερισχύουν τα συμφέροντα κάθε κράτους</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Β. Παρουσίαση των 14 αλλαγών προτεραιότητας που προέκυψαν από την εθνική διάσκεψη </w:t>
      </w:r>
    </w:p>
    <w:p>
      <w:pPr>
        <w:pStyle w:val="P68B1DB1Normal19"/>
        <w:widowControl w:val="false"/>
        <w:spacing w:lineRule="exact" w:line="388" w:before="322" w:after="0"/>
        <w:ind w:left="0" w:right="0" w:hanging="0"/>
        <w:jc w:val="left"/>
        <w:rPr/>
      </w:pPr>
      <w:r>
        <w:rPr/>
        <w:t xml:space="preserve">Στο Εθνικό Συνθετικό Συνέδριο, οι 100 συμμετέχοντες πολίτες εργάστηκαν σε μία από τις 14 καθιερωμένες ομάδες επιθυμιών. Στο τέλος των εργασιών, κάθε ομάδα επέλεξε να εκπροσωπήσει την επιθυμία της για την Ευρώπη </w:t>
      </w:r>
      <w:r>
        <w:rPr>
          <w:b/>
        </w:rPr>
        <w:t>μια αλλαγή προτεραιότητας που θα τεθεί σε εφαρμογή έως το 2035</w:t>
      </w:r>
      <w:r>
        <w:rPr/>
        <w:t xml:space="preserve">. Αυτές οι 14 αλλαγές προτεραιότητας προτάθηκαν στη συνέχεια για την ψηφοφορία 100 πολιτών την τελευταία ημέρα της εθνικής διάσκεψης. Το αποτέλεσμα αυτής της ψηφοφορίας παρατίθεται κατωτέρω, κατά φθίνουσα σειρά ανάλογα με τον αριθμό των ψήφων που λαμβάνονται για κάθε αλλαγή. </w:t>
      </w:r>
    </w:p>
    <w:p>
      <w:pPr>
        <w:pStyle w:val="P68B1DB1Normal19"/>
        <w:widowControl w:val="false"/>
        <w:spacing w:lineRule="exact" w:line="413" w:before="332" w:after="0"/>
        <w:ind w:left="0" w:right="708" w:hanging="0"/>
        <w:jc w:val="left"/>
        <w:rPr/>
      </w:pPr>
      <w:r>
        <w:rPr/>
        <w:t xml:space="preserve">Η αλλαγή που έλαβε τις περισσότερες ψήφους από τους 100 πολίτες της εθνικής διάσκεψης είναι η « </w:t>
      </w:r>
      <w:r>
        <w:rPr>
          <w:i/>
        </w:rPr>
        <w:t>Ανάπτυξη της ενεργειακής νηφαλιότητας για να καταναλώνεται λιγότερο με τη διακοπή των περιττών»</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βασικές αλλαγές για την Ευρώπη το 2035</w:t>
      </w:r>
    </w:p>
    <w:p>
      <w:pPr>
        <w:pStyle w:val="P68B1DB1Normal41"/>
        <w:widowControl w:val="false"/>
        <w:spacing w:lineRule="auto" w:line="240" w:before="202" w:after="0"/>
        <w:ind w:left="336" w:right="0" w:hanging="0"/>
        <w:jc w:val="left"/>
        <w:rPr/>
      </w:pPr>
      <w:r>
        <w:rPr>
          <w:color w:val="FFFFFF"/>
        </w:rPr>
        <w:t>1</w:t>
      </w:r>
      <w:r>
        <w:rPr>
          <w:color w:val="000000"/>
        </w:rPr>
        <w:t>(1) Αναπτύξτε</w:t>
      </w:r>
      <w:r>
        <w:rPr>
          <w:color w:val="FFFFFF"/>
        </w:rPr>
        <w:t xml:space="preserve"> </w:t>
      </w:r>
      <w:r>
        <w:rPr>
          <w:color w:val="000000"/>
        </w:rPr>
        <w:t>την ενεργειακή νηφαλιότητα για να καταναλώνετε λιγότερο από τα περιττά</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Ενίσχυση της κοινής άμυνας και ασφάλειας της Ευρωπαϊκής Ένωσης</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Ενίσχυση των συλλογικών οικονομικών επιδόσεων μέσω μιας αυτόνομης, ανταγωνιστικής και αξιόλογης βιομηχανίας από την Ευρωπαϊκή Ένωση</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w:t>
      </w:r>
      <w:r>
        <w:rPr>
          <w:color w:val="000000"/>
        </w:rPr>
        <w:t>Ίδρυση της εξουσίας των πολιτών σε διάφορα επίπεδα: συμμετοχή, απόφαση, έλεγχος</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Μεταβαίνοντας σε μια ομοσπονδία ευρωπαϊκών κρατών με ισχυρές αρμοδιότητες σε τομείς κοινού ενδιαφέροντος</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Προτείνοντας προγράμματα δια βίου ανταλλαγής</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Κοινοποίηση των ευρωπαϊκών πολιτισμών μέσω της ενοποίησης εκδηλώσεων και εκδηλώσεων</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Εναρμόνιση της υγείας και προσβασιμότητα σε όλους τους Ευρωπαίους μέσω μιας κοινής πολιτικής για την υγεία</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Ανάπτυξη και πιλοτική εφαρμογή στρατηγικών διαύλων σε ευρωπαϊκό επίπεδο για τη διασφάλιση της κυριαρχίας μας</w:t>
      </w:r>
    </w:p>
    <w:p>
      <w:pPr>
        <w:pStyle w:val="P68B1DB1Normal41"/>
        <w:widowControl w:val="false"/>
        <w:spacing w:lineRule="auto" w:line="240" w:before="193" w:after="0"/>
        <w:ind w:left="324" w:right="0" w:hanging="0"/>
        <w:jc w:val="left"/>
        <w:rPr/>
      </w:pPr>
      <w:r>
        <w:rPr>
          <w:color w:val="FFFFFF"/>
        </w:rPr>
        <w:t>10</w:t>
      </w:r>
      <w:r>
        <w:rPr>
          <w:color w:val="000000"/>
        </w:rPr>
        <w:t>(10)Βελτίωση της προστασίας του περιβάλλοντος και των οικοσυστημάτων και δημιουργία προστατευόμενων περιοχών στο επίκεντρο των αστικών, περιαστικών και αγροτικών περιοχών</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Ίδρυση ευρωπαϊκών ρελέ στα εδάφη για να ακούσουν και να συμβουλεύσουν τους πολίτες</w:t>
      </w:r>
    </w:p>
    <w:p>
      <w:pPr>
        <w:pStyle w:val="P68B1DB1Normal41"/>
        <w:widowControl w:val="false"/>
        <w:spacing w:lineRule="auto" w:line="240" w:before="193" w:after="0"/>
        <w:ind w:left="283" w:right="643" w:hanging="0"/>
        <w:jc w:val="left"/>
        <w:rPr/>
      </w:pPr>
      <w:r>
        <w:rPr>
          <w:color w:val="FFFFFF"/>
        </w:rPr>
        <w:t>12</w:t>
      </w:r>
      <w:r>
        <w:rPr>
          <w:color w:val="000000"/>
        </w:rPr>
        <w:t>(12)</w:t>
      </w:r>
      <w:r>
        <w:rPr>
          <w:color w:val="FFFFFF"/>
        </w:rPr>
        <w:t xml:space="preserve"> </w:t>
      </w:r>
      <w:r>
        <w:rPr>
          <w:color w:val="000000"/>
        </w:rPr>
        <w:t>Ενοποιήστε τον τρόπο εκλογής του Ευρωπαϊκού Κοινοβουλίου για τα είκοσι επτά κράτη και βελτιώστε την εγγύτητα των πολιτών αντικαθιστώντας την τρέχουσα ψηφοφορία με εφάπαξ ψηφοφορία σε περιφερειακό επίπεδο</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Καθορισμός κοινής πολιτικής για τη βελτίωση της υποδοχής και της κοινωνικής και επαγγελματικής ένταξης των μεταναστών (συμπεριλαμβανομένων των παράτυπων μεταναστών)</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Για τη διατήρηση των ιδιαιτεροτήτων (ετικέτα τροφίμων, βιοτεχνική παραγωγή, παραδόσεις) των διαφόρων ευρωπαϊκών περιφερειών, προκειμένου να αποφευχθεί ο ομοιόμορφος τρόπος ζωής και να διασφαλιστεί η ιχνηλασιμότητα και η ποιότητα των προϊόντων</w:t>
      </w:r>
    </w:p>
    <w:p>
      <w:pPr>
        <w:pStyle w:val="Normal"/>
        <w:spacing w:lineRule="auto" w:line="240"/>
        <w:rPr/>
      </w:pPr>
      <w:r>
        <w:rPr/>
      </w:r>
    </w:p>
    <w:p>
      <w:pPr>
        <w:pStyle w:val="Normal"/>
        <w:rPr/>
      </w:pPr>
      <w:r>
        <w:rPr/>
        <w:t xml:space="preserve">Για κάθε αλλαγή προτεραιότητας, οι πολίτες της οικείας ομάδας έδωσαν έναν ορισμό της αλλαγής, πρότειναν συγκεκριμένες δράσεις που πρέπει να υλοποιηθούν για την υλοποίησή της και ανέφεραν τα κριτήρια επιτυχίας έως το 2035. </w:t>
      </w:r>
    </w:p>
    <w:p>
      <w:pPr>
        <w:pStyle w:val="Normal"/>
        <w:rPr/>
      </w:pPr>
      <w:r>
        <w:rPr/>
      </w:r>
      <w:r>
        <w:br w:type="page"/>
      </w:r>
    </w:p>
    <w:p>
      <w:pPr>
        <w:pStyle w:val="P68B1DB1Normal42"/>
        <w:widowControl w:val="false"/>
        <w:spacing w:lineRule="auto" w:line="240" w:before="237" w:after="0"/>
        <w:ind w:left="0" w:right="0" w:hanging="0"/>
        <w:jc w:val="left"/>
        <w:rPr/>
      </w:pPr>
      <w:r>
        <w:rPr/>
        <w:t xml:space="preserve">Αλλαγή 1 — Αναπτύξτε την ενεργειακή νηφαλιότητα για να καταναλώνετε λιγότερο, σταματώντας το περιττό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Επιθυμία της συνδεδεμένης Ευρώπης: Μια Ευρώπη προσηλωμένη στην κλιματική και περιβαλλοντική πρόκληση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Τι σημαίνει αυτή η αλλαγή; </w:t>
      </w:r>
    </w:p>
    <w:p>
      <w:pPr>
        <w:pStyle w:val="P68B1DB1Normal7"/>
        <w:widowControl w:val="false"/>
        <w:spacing w:lineRule="auto" w:line="240" w:before="76" w:after="0"/>
        <w:ind w:left="0" w:right="0" w:hanging="0"/>
        <w:jc w:val="left"/>
        <w:rPr/>
      </w:pPr>
      <w:r>
        <w:rPr>
          <w:i/>
          <w:color w:val="000000"/>
        </w:rPr>
        <w:t>Λέξεις-κλειδιά: Ανάπτυξη ανανεώσιμων πηγών ενέργειας, μείωση της κατανάλωσης ενέργειας</w:t>
      </w:r>
      <w:r>
        <w:rPr>
          <w:b/>
          <w:color w:val="273375"/>
        </w:rPr>
        <w:t xml:space="preserve"> </w:t>
      </w:r>
    </w:p>
    <w:p>
      <w:pPr>
        <w:pStyle w:val="P68B1DB1Normal19"/>
        <w:widowControl w:val="false"/>
        <w:spacing w:lineRule="auto" w:line="240" w:before="248" w:after="0"/>
        <w:ind w:left="0" w:right="9" w:hanging="0"/>
        <w:jc w:val="both"/>
        <w:rPr/>
      </w:pPr>
      <w:r>
        <w:rPr/>
        <w:t xml:space="preserve">Η αλλαγή αυτή έχει ως στόχο να ενθαρρύνει τη μείωση της κατανάλωσης ενέργειας στην Ευρώπη και την ανάπτυξη των ανανεώσιμων πηγών ενέργειας. Η ιεράρχηση προτεραιοτήτων από τους πολίτες μεταγράφει την επιθυμία τους να συμπεριλάβουν την Ευρώπη και τους κατοίκους της σε μια </w:t>
      </w:r>
      <w:r>
        <w:rPr>
          <w:b/>
        </w:rPr>
        <w:t>αποφασιστική προσέγγιση</w:t>
      </w:r>
      <w:r>
        <w:rPr/>
        <w:t xml:space="preserve"> της κλιματικής και περιβαλλοντικής πρόκλησης.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Ποια είναι τα βασικά βήματα και τα κριτήρια επιτυχίας; </w:t>
      </w:r>
    </w:p>
    <w:p>
      <w:pPr>
        <w:pStyle w:val="P68B1DB1Normal19"/>
        <w:widowControl w:val="false"/>
        <w:spacing w:lineRule="auto" w:line="240" w:before="237" w:after="0"/>
        <w:ind w:left="0" w:right="9" w:hanging="0"/>
        <w:jc w:val="both"/>
        <w:rPr/>
      </w:pPr>
      <w:r>
        <w:rPr/>
        <w:t xml:space="preserve">Η αλλαγή αυτή αντικατοπτρίζεται στην ανάπτυξη </w:t>
      </w:r>
      <w:r>
        <w:rPr>
          <w:b/>
        </w:rPr>
        <w:t>φιλόδοξων ερευνητικών προγραμμάτων</w:t>
      </w:r>
      <w:r>
        <w:rPr/>
        <w:t xml:space="preserve"> για τις ανανεώσιμες πηγές ενέργειας και </w:t>
      </w:r>
      <w:r>
        <w:rPr>
          <w:b/>
        </w:rPr>
        <w:t>στην ανάπτυξη ευρωπαϊκών επενδυτικών ταμείων</w:t>
      </w:r>
      <w:r>
        <w:rPr/>
        <w:t xml:space="preserve"> με άμεση συμμετοχή σε εταιρείες του τομέα. </w:t>
      </w:r>
    </w:p>
    <w:p>
      <w:pPr>
        <w:pStyle w:val="P68B1DB1Normal19"/>
        <w:widowControl w:val="false"/>
        <w:spacing w:lineRule="auto" w:line="240" w:before="326" w:after="0"/>
        <w:ind w:left="0" w:right="9" w:hanging="0"/>
        <w:jc w:val="both"/>
        <w:rPr/>
      </w:pPr>
      <w:r>
        <w:rPr/>
        <w:t xml:space="preserve">Για τους πολίτες, η αλλαγή αυτή θα ήταν επιτυχής εάν τεθούν </w:t>
      </w:r>
      <w:r>
        <w:rPr>
          <w:b/>
        </w:rPr>
        <w:t>δεσμευτικοί στόχοι κατανάλωσης ενέργειας</w:t>
      </w:r>
      <w:r>
        <w:rPr/>
        <w:t xml:space="preserve"> και</w:t>
      </w:r>
      <w:r>
        <w:rPr>
          <w:b/>
        </w:rPr>
        <w:t>βασικοί δείκτες νηφαλιότητας</w:t>
      </w:r>
      <w:r>
        <w:rPr/>
        <w:t xml:space="preserve">, όπως η μείωση του ευρωπαϊκού στόλου αυτοκινήτων ή η κατανάλωση κρέατος. Στόχος είναι επίσης ο καθορισμός </w:t>
      </w:r>
      <w:r>
        <w:rPr>
          <w:b/>
        </w:rPr>
        <w:t>ποσοστώσεων κατανάλωσης ανά τομέα</w:t>
      </w:r>
      <w:r>
        <w:rPr/>
        <w:t xml:space="preserve">, λαμβανομένων υπόψη των διακυμάνσεων της κατανάλωσης των επιχειρήσεων και της τήρησης του απορρήτου των δεδομένων τους. </w:t>
      </w:r>
    </w:p>
    <w:p>
      <w:pPr>
        <w:pStyle w:val="Normal"/>
        <w:spacing w:lineRule="auto" w:line="240"/>
        <w:rPr/>
      </w:pPr>
      <w:r>
        <w:rPr/>
      </w:r>
    </w:p>
    <w:p>
      <w:pPr>
        <w:pStyle w:val="P68B1DB1Normal42"/>
        <w:spacing w:lineRule="auto" w:line="240"/>
        <w:rPr/>
      </w:pPr>
      <w:r>
        <w:rPr/>
        <w:t xml:space="preserve">Αλλαγή 2 — Ενίσχυση της κοινής άμυνας και ασφάλειας της Ευρωπαϊκής Ένωσης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Επιθυμία της συνδεδεμένης Ευρώπης: Μια πανίσχυρη Ευρώπη στον κόσμο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Τι σημαίνει αυτή η αλλαγή; </w:t>
      </w:r>
    </w:p>
    <w:p>
      <w:pPr>
        <w:pStyle w:val="P68B1DB1Normal7"/>
        <w:widowControl w:val="false"/>
        <w:spacing w:lineRule="auto" w:line="240" w:before="78" w:after="0"/>
        <w:ind w:left="0" w:right="0" w:hanging="0"/>
        <w:jc w:val="left"/>
        <w:rPr/>
      </w:pPr>
      <w:r>
        <w:rPr>
          <w:i/>
          <w:color w:val="000000"/>
        </w:rPr>
        <w:t>Λέξεις-κλειδιά: Ευρωπαϊκός στρατός, στρατηγική αυτονομία</w:t>
      </w:r>
      <w:r>
        <w:rPr>
          <w:b/>
          <w:color w:val="273375"/>
        </w:rPr>
        <w:t xml:space="preserve"> </w:t>
      </w:r>
    </w:p>
    <w:p>
      <w:pPr>
        <w:pStyle w:val="P68B1DB1Normal19"/>
        <w:widowControl w:val="false"/>
        <w:spacing w:lineRule="auto" w:line="240" w:before="201" w:after="0"/>
        <w:ind w:left="0" w:right="10" w:hanging="0"/>
        <w:jc w:val="left"/>
        <w:rPr/>
      </w:pPr>
      <w:r>
        <w:rPr/>
        <w:t>Η αλλαγή αυτή ανταποκρίνεται στην ομόφωνη βούληση των πολιτών να επιτύχουν</w:t>
      </w:r>
      <w:r>
        <w:rPr>
          <w:b/>
        </w:rPr>
        <w:t>αυτονομία</w:t>
      </w:r>
      <w:r>
        <w:rPr/>
        <w:t xml:space="preserve"> στον τομέα της άμυνας και της ασφάλειας στην Ευρώπη, ώστε να μην εξαρτώνται από ξένες δυνάμεις.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Ποια είναι τα βασικά βήματα και τα κριτήρια επιτυχίας; </w:t>
      </w:r>
    </w:p>
    <w:p>
      <w:pPr>
        <w:pStyle w:val="P68B1DB1Normal19"/>
        <w:widowControl w:val="false"/>
        <w:spacing w:lineRule="auto" w:line="240" w:before="198" w:after="0"/>
        <w:ind w:left="0" w:right="10" w:hanging="0"/>
        <w:jc w:val="left"/>
        <w:rPr/>
      </w:pPr>
      <w:r>
        <w:rPr/>
        <w:t>Η επιτυχία αυτής της αλλαγής θα οδηγήσει πρωτίστως στον διορισμό ενός</w:t>
      </w:r>
      <w:r>
        <w:rPr>
          <w:b/>
        </w:rPr>
        <w:t xml:space="preserve"> Ευρωπαίου Επιτρόπου</w:t>
      </w:r>
      <w:r>
        <w:rPr/>
        <w:t xml:space="preserve"> για την Άμυνα και την Ασφάλεια. </w:t>
      </w:r>
    </w:p>
    <w:p>
      <w:pPr>
        <w:pStyle w:val="P68B1DB1Normal19"/>
        <w:widowControl w:val="false"/>
        <w:spacing w:lineRule="auto" w:line="240" w:before="203" w:after="0"/>
        <w:ind w:left="0" w:right="10" w:hanging="0"/>
        <w:jc w:val="both"/>
        <w:rPr/>
      </w:pPr>
      <w:r>
        <w:rPr/>
        <w:t>Στον τομέα της άμυνας, η δημιουργία ενός</w:t>
      </w:r>
      <w:r>
        <w:rPr>
          <w:b/>
        </w:rPr>
        <w:t xml:space="preserve"> μόνιμου, αντιδραστικού και προβλέψιμου στρατού</w:t>
      </w:r>
      <w:r>
        <w:rPr/>
        <w:t xml:space="preserve"> σε όλο τον κόσμο θα επιτρέψει στην Ευρώπη να προστατεύσει τα σύνορά της και να παρέμβει, εάν χρειαστεί, κατόπιν αιτήματος τρίτων χωρών. </w:t>
      </w:r>
    </w:p>
    <w:p>
      <w:pPr>
        <w:pStyle w:val="P68B1DB1Normal19"/>
        <w:widowControl w:val="false"/>
        <w:spacing w:lineRule="auto" w:line="240" w:before="206" w:after="0"/>
        <w:ind w:left="0" w:right="10" w:hanging="0"/>
        <w:jc w:val="both"/>
        <w:rPr/>
      </w:pPr>
      <w:r>
        <w:rPr/>
        <w:t xml:space="preserve">Όσον αφορά την ασφάλεια, η Ευρώπη θα πρέπει, στα μάτια των πολιτών της, να εγγυάται την </w:t>
      </w:r>
      <w:r>
        <w:rPr>
          <w:b/>
        </w:rPr>
        <w:t>ασφάλεια του εφοδιασμού της</w:t>
      </w:r>
      <w:r>
        <w:rPr/>
        <w:t xml:space="preserve"> και να προστατεύει τη </w:t>
      </w:r>
      <w:r>
        <w:rPr>
          <w:b/>
        </w:rPr>
        <w:t>στρατηγική της έρευνα</w:t>
      </w:r>
      <w:r>
        <w:rPr/>
        <w:t xml:space="preserve"> σε τομείς προτεραιότητας όπως το διάστημα, η ασφάλεια στον κυβερνοχώρο, ο ιατρικός τομέας και το περιβάλλον. Η καλύτερη </w:t>
      </w:r>
      <w:r>
        <w:rPr>
          <w:b/>
        </w:rPr>
        <w:t>προστασία των εξωτερικών συνόρων</w:t>
      </w:r>
      <w:r>
        <w:rPr/>
        <w:t xml:space="preserve"> θα πρέπει επίσης να συμβάλει στην καταπολέμηση της λαθρομετανάστευσης και της παράνομης διακίνησης. </w:t>
      </w:r>
    </w:p>
    <w:p>
      <w:pPr>
        <w:pStyle w:val="Normal"/>
        <w:spacing w:lineRule="auto" w:line="240"/>
        <w:rPr/>
      </w:pPr>
      <w:r>
        <w:rPr/>
      </w:r>
    </w:p>
    <w:p>
      <w:pPr>
        <w:pStyle w:val="P68B1DB1Normal42"/>
        <w:spacing w:lineRule="auto" w:line="240"/>
        <w:rPr/>
      </w:pPr>
      <w:r>
        <w:rPr/>
        <w:t xml:space="preserve">Αλλαγή 3 — Προώθηση των συλλογικών οικονομικών επιδόσεων μέσω μιας αυτόνομης, ανταγωνιστικής και αξιόλογης βιομηχανίας από την Ευρωπαϊκή Ένωση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Επιθυμία της συνδεδεμένης Ευρώπης: Μια Ευρώπη που υπερασπίζεται τα συμφέροντά της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Τι σημαίνει αυτή η αλλαγή;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Λέξεις-κλειδιά: </w:t>
      </w:r>
    </w:p>
    <w:p>
      <w:pPr>
        <w:pStyle w:val="P68B1DB1Normal7"/>
        <w:widowControl w:val="false"/>
        <w:spacing w:lineRule="auto" w:line="240"/>
        <w:ind w:left="0" w:right="10" w:hanging="0"/>
        <w:jc w:val="left"/>
        <w:rPr/>
      </w:pPr>
      <w:r>
        <w:rPr>
          <w:i/>
          <w:color w:val="000000"/>
        </w:rPr>
        <w:t>Ευρωπαϊκή προτίμηση, προστασία της τεχνογνωσίας, ανάπτυξη ευρωπαϊκών πρωταθλητών</w:t>
      </w:r>
      <w:r>
        <w:rPr>
          <w:b/>
          <w:color w:val="273375"/>
        </w:rPr>
        <w:t xml:space="preserve"> </w:t>
      </w:r>
    </w:p>
    <w:p>
      <w:pPr>
        <w:pStyle w:val="P68B1DB1Normal19"/>
        <w:widowControl w:val="false"/>
        <w:spacing w:lineRule="auto" w:line="240" w:before="321" w:after="0"/>
        <w:ind w:left="0" w:right="10" w:hanging="0"/>
        <w:jc w:val="both"/>
        <w:rPr/>
      </w:pPr>
      <w:r>
        <w:rPr/>
        <w:t xml:space="preserve">Η αλλαγή αυτή αποσκοπεί στην επίτευξη τριών στόχων: ενίσχυση της πολιτικής </w:t>
      </w:r>
      <w:r>
        <w:rPr>
          <w:b/>
        </w:rPr>
        <w:t>«</w:t>
      </w:r>
      <w:r>
        <w:rPr/>
        <w:t xml:space="preserve"> </w:t>
      </w:r>
      <w:r>
        <w:rPr>
          <w:b/>
        </w:rPr>
        <w:t>ευρωπαϊκής προτίμησης»</w:t>
      </w:r>
      <w:r>
        <w:rPr/>
        <w:t xml:space="preserve"> εντός της Ένωσης, διασφάλιση της </w:t>
      </w:r>
      <w:r>
        <w:rPr>
          <w:b/>
        </w:rPr>
        <w:t>προστασίας των βασικών αγαθών και της τεχνογνωσίας</w:t>
      </w:r>
      <w:r>
        <w:rPr/>
        <w:t xml:space="preserve">και δημιουργία </w:t>
      </w:r>
      <w:r>
        <w:rPr>
          <w:b/>
        </w:rPr>
        <w:t>«ευρωπαϊκών πρωταθλητών».</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Ποια είναι τα βασικά βήματα και τα κριτήρια επιτυχίας; </w:t>
      </w:r>
    </w:p>
    <w:p>
      <w:pPr>
        <w:pStyle w:val="P68B1DB1Normal19"/>
        <w:widowControl w:val="false"/>
        <w:spacing w:lineRule="auto" w:line="240" w:before="316" w:after="0"/>
        <w:ind w:left="0" w:right="10" w:hanging="0"/>
        <w:jc w:val="both"/>
        <w:rPr/>
      </w:pPr>
      <w:r>
        <w:rPr/>
        <w:t xml:space="preserve">Για την επίτευξη αυτών των στόχων απαιτείται πρώτα απ’ όλα η εφαρμογή μιας </w:t>
      </w:r>
      <w:r>
        <w:rPr>
          <w:b/>
        </w:rPr>
        <w:t>πολιτικής «ευρωπαϊκής προτίμησης»</w:t>
      </w:r>
      <w:r>
        <w:rPr/>
        <w:t xml:space="preserve"> στο πλαίσιο των διαγωνισμών και η θέσπιση </w:t>
      </w:r>
      <w:r>
        <w:rPr>
          <w:b/>
        </w:rPr>
        <w:t>φόρου άνθρακα</w:t>
      </w:r>
      <w:r>
        <w:rPr/>
        <w:t xml:space="preserve"> στις εισαγωγές. </w:t>
      </w:r>
    </w:p>
    <w:p>
      <w:pPr>
        <w:pStyle w:val="P68B1DB1Normal19"/>
        <w:widowControl w:val="false"/>
        <w:spacing w:lineRule="auto" w:line="240" w:before="332" w:after="0"/>
        <w:ind w:left="0" w:right="10" w:hanging="0"/>
        <w:jc w:val="left"/>
        <w:rPr/>
      </w:pPr>
      <w:r>
        <w:rPr/>
        <w:t xml:space="preserve">Η προστασία της τεχνογνωσίας θα είχε ως αποτέλεσμα την αύξηση του ελέγχου των εξαγορών και επενδύσεων από το εξωτερικό, καθώς και την ανάπτυξη των ενισχύσεων </w:t>
      </w:r>
      <w:r>
        <w:rPr>
          <w:b/>
        </w:rPr>
        <w:t>μετεγκατάστασης</w:t>
      </w:r>
      <w:r>
        <w:rPr/>
        <w:t xml:space="preserve">. </w:t>
      </w:r>
    </w:p>
    <w:p>
      <w:pPr>
        <w:pStyle w:val="P68B1DB1Normal19"/>
        <w:widowControl w:val="false"/>
        <w:spacing w:lineRule="auto" w:line="240" w:before="323" w:after="0"/>
        <w:ind w:left="0" w:right="10" w:hanging="0"/>
        <w:jc w:val="both"/>
        <w:rPr/>
      </w:pPr>
      <w:r>
        <w:rPr/>
        <w:t xml:space="preserve">Τέλος, η δημιουργία «ευρωπαϊκών πρωταθλητών» περιλαμβάνει την ενθάρρυνση ευρωπαϊκών </w:t>
      </w:r>
      <w:r>
        <w:rPr>
          <w:b/>
        </w:rPr>
        <w:t>βιομηχανικών συμμαχιών</w:t>
      </w:r>
      <w:r>
        <w:rPr/>
        <w:t xml:space="preserve"> σε στρατηγικούς τομείς και την τόνωση των δημόσιων επενδύσεων επιχειρηματικών κεφαλαίων. </w:t>
      </w:r>
    </w:p>
    <w:p>
      <w:pPr>
        <w:pStyle w:val="P68B1DB1Normal45"/>
        <w:widowControl w:val="false"/>
        <w:spacing w:lineRule="auto" w:line="240" w:before="333" w:after="0"/>
        <w:ind w:left="0" w:right="13" w:hanging="0"/>
        <w:jc w:val="both"/>
        <w:rPr>
          <w:sz w:val="20"/>
        </w:rPr>
      </w:pPr>
      <w:r>
        <w:rPr/>
        <w:t xml:space="preserve">Η επιτυχία αυτής της αλλαγής υλοποιείται για τους πολίτες με την ανάπτυξη ευρωπαϊκών βιομηχανικών συμμαχιών σε βασικούς τομείς, την αύξηση του αριθμού των μετεγκαταστάσεων επιχειρήσεων και τη βελτίωση του εμπορικού ισοζυγίου.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Αλλαγή 4 — Ενδυνάμωση της εξουσίας των πολιτών σε διάφορα επίπεδα: συμμετοχή, απόφαση, έλεγχος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Επιθυμία της συνδεδεμένης Ευρώπης: Μια πιο δημοκρατική Ευρώπη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Τι σημαίνει αυτή η αλλαγή; </w:t>
      </w:r>
    </w:p>
    <w:p>
      <w:pPr>
        <w:pStyle w:val="P68B1DB1Normal7"/>
        <w:widowControl w:val="false"/>
        <w:spacing w:lineRule="auto" w:line="240" w:before="84" w:after="0"/>
        <w:ind w:left="0" w:right="10" w:hanging="0"/>
        <w:jc w:val="left"/>
        <w:rPr/>
      </w:pPr>
      <w:r>
        <w:rPr>
          <w:i/>
          <w:color w:val="000000"/>
        </w:rPr>
        <w:t>Λέξεις-κλειδιά: αύξηση της συμμετοχής των ψηφοφόρων, Ευρωπαϊκό βαρόμετρο ικανοποίησης, γενίκευση των διαβουλεύσεων με τους πολίτες</w:t>
      </w:r>
      <w:r>
        <w:rPr>
          <w:b/>
          <w:color w:val="273375"/>
        </w:rPr>
        <w:t xml:space="preserve"> </w:t>
      </w:r>
    </w:p>
    <w:p>
      <w:pPr>
        <w:pStyle w:val="P68B1DB1Normal19"/>
        <w:widowControl w:val="false"/>
        <w:spacing w:lineRule="auto" w:line="240" w:before="324" w:after="0"/>
        <w:ind w:left="0" w:right="10" w:hanging="0"/>
        <w:jc w:val="both"/>
        <w:rPr/>
      </w:pPr>
      <w:r>
        <w:rPr/>
        <w:t xml:space="preserve">Με την αλλαγή αυτή, οι πολίτες προτείνουν την ανάπτυξη μιας « </w:t>
      </w:r>
      <w:r>
        <w:rPr>
          <w:i/>
        </w:rPr>
        <w:t xml:space="preserve">πλήρης εμπειρίας των πολιτών» </w:t>
      </w:r>
      <w:r>
        <w:rPr/>
        <w:t>για τους</w:t>
      </w:r>
      <w:r>
        <w:rPr>
          <w:i/>
        </w:rPr>
        <w:t xml:space="preserve"> </w:t>
      </w:r>
      <w:r>
        <w:rPr/>
        <w:t xml:space="preserve">Ευρωπαίους, αυξάνοντας τη </w:t>
      </w:r>
      <w:r>
        <w:rPr>
          <w:b/>
        </w:rPr>
        <w:t>συμμετοχή</w:t>
      </w:r>
      <w:r>
        <w:rPr/>
        <w:t xml:space="preserve"> τους σε όλα τα στάδια των διαδικασιών λήψης αποφάσεων. Αντικατοπτρίζει την προθυμία των πολιτών </w:t>
      </w:r>
      <w:r>
        <w:rPr>
          <w:b/>
        </w:rPr>
        <w:t>να κάνουν τη φωνή τους να ακουστεί</w:t>
      </w:r>
      <w:r>
        <w:rPr/>
        <w:t xml:space="preserve"> και να επηρεάσουν τις δημόσιες πολιτικές που επηρεάζουν την καθημερινή τους ζωή.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Ποια είναι τα βασικά βήματα και τα κριτήρια επιτυχίας; </w:t>
      </w:r>
    </w:p>
    <w:p>
      <w:pPr>
        <w:pStyle w:val="P68B1DB1Normal24"/>
        <w:widowControl w:val="false"/>
        <w:spacing w:lineRule="auto" w:line="240" w:before="323" w:after="0"/>
        <w:ind w:left="0" w:right="13" w:hanging="0"/>
        <w:jc w:val="both"/>
        <w:rPr/>
      </w:pPr>
      <w:r>
        <w:rPr/>
        <w:t>Αυτό αφορά κυρίως τους πολίτες για την ανάπτυξη και τη διατήρηση πρωτοβουλιών συμμετοχής των πολιτών</w:t>
      </w:r>
      <w:r>
        <w:rPr>
          <w:b/>
        </w:rPr>
        <w:t xml:space="preserve">. </w:t>
      </w:r>
      <w:r>
        <w:rPr/>
        <w:t xml:space="preserve">Για τον σκοπό αυτό, θα μπορούσαν να εφαρμοστούν διάφοροι μοχλοί: η δημιουργία ενός </w:t>
      </w:r>
      <w:r>
        <w:rPr>
          <w:b/>
        </w:rPr>
        <w:t>μόνιμου συμβουλευτικού σώματος</w:t>
      </w:r>
      <w:r>
        <w:rPr/>
        <w:t xml:space="preserve">, η καταχώριση της </w:t>
      </w:r>
      <w:r>
        <w:rPr>
          <w:b/>
        </w:rPr>
        <w:t>εξουσίας των πολιτών</w:t>
      </w:r>
      <w:r>
        <w:rPr/>
        <w:t xml:space="preserve"> στις ευρωπαϊκές συνθήκες ή η δημιουργία </w:t>
      </w:r>
      <w:r>
        <w:rPr>
          <w:b/>
        </w:rPr>
        <w:t>σήματος</w:t>
      </w:r>
      <w:r>
        <w:rPr/>
        <w:t xml:space="preserve"> που να πιστοποιεί τους νόμους που αποτέλεσαν αντικείμενο διαβούλευσης με τους πολίτες. </w:t>
      </w:r>
    </w:p>
    <w:p>
      <w:pPr>
        <w:pStyle w:val="P68B1DB1Normal19"/>
        <w:widowControl w:val="false"/>
        <w:spacing w:lineRule="auto" w:line="240" w:before="230" w:after="0"/>
        <w:ind w:left="0" w:right="10" w:hanging="0"/>
        <w:jc w:val="both"/>
        <w:rPr/>
      </w:pPr>
      <w:r>
        <w:rPr/>
        <w:t xml:space="preserve">Η επιτυχία αυτής της αλλαγής θα εκδηλωθεί με την άνοδο δεικτών όπως η </w:t>
      </w:r>
      <w:r>
        <w:rPr>
          <w:b/>
        </w:rPr>
        <w:t>συμμετοχή στις εκλογές, το ενδιαφέρον</w:t>
      </w:r>
      <w:r>
        <w:rPr/>
        <w:t xml:space="preserve"> και η </w:t>
      </w:r>
      <w:r>
        <w:rPr>
          <w:b/>
        </w:rPr>
        <w:t>εμπιστοσύνη</w:t>
      </w:r>
      <w:r>
        <w:rPr/>
        <w:t xml:space="preserve"> που εκφράζεται στην Ευρωπαϊκή Ένωση και </w:t>
      </w:r>
      <w:r>
        <w:rPr>
          <w:b/>
        </w:rPr>
        <w:t>η παρουσία ευρωπαϊκών ιστοτόπων</w:t>
      </w:r>
      <w:r>
        <w:rPr/>
        <w:t xml:space="preserve">. Η αύξηση του αριθμού των αποφάσεων που λαμβάνονται μετά από διαβούλευση με τους πολίτες και η αυξημένη χρήση των </w:t>
      </w:r>
      <w:r>
        <w:rPr>
          <w:b/>
        </w:rPr>
        <w:t>Ευρωπαϊκών Πρωτοβουλιών Πολιτών (ΕΠΠ</w:t>
      </w:r>
      <w:r>
        <w:rPr/>
        <w:t xml:space="preserve">) θεωρούνται επίσης δείκτες επιτυχίας.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Αλλαγή 5 — Προς μια ομοσπονδία ευρωπαϊκών κρατών με ισχυρές αρμοδιότητες σε τομείς κοινού ενδιαφέροντος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Επιθυμία της συνδεδεμένης Ευρώπης: Μια πιο ενωμένη Ευρώπη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Τι σημαίνει αυτή η αλλαγή; </w:t>
      </w:r>
    </w:p>
    <w:p>
      <w:pPr>
        <w:pStyle w:val="P68B1DB1Normal7"/>
        <w:widowControl w:val="false"/>
        <w:spacing w:lineRule="auto" w:line="240" w:before="76" w:after="0"/>
        <w:ind w:left="0" w:right="0" w:hanging="0"/>
        <w:jc w:val="left"/>
        <w:rPr/>
      </w:pPr>
      <w:r>
        <w:rPr>
          <w:i/>
          <w:color w:val="000000"/>
        </w:rPr>
        <w:t>Λέξεις-κλειδιά: θεσμική ενοποίηση, εκλεγείσα Πρόεδρος, ενίσχυση των αρμοδιοτήτων της ΕΕ</w:t>
      </w:r>
      <w:r>
        <w:rPr>
          <w:b/>
          <w:color w:val="273375"/>
        </w:rPr>
        <w:t xml:space="preserve"> </w:t>
      </w:r>
    </w:p>
    <w:p>
      <w:pPr>
        <w:pStyle w:val="P68B1DB1Normal19"/>
        <w:widowControl w:val="false"/>
        <w:spacing w:lineRule="auto" w:line="240" w:before="244" w:after="0"/>
        <w:ind w:left="0" w:right="10" w:hanging="0"/>
        <w:jc w:val="both"/>
        <w:rPr/>
      </w:pPr>
      <w:r>
        <w:rPr/>
        <w:t>Η αλλαγή αυτή αντικατοπτρίζει τη φιλοδοξία των πολιτών να</w:t>
      </w:r>
      <w:r>
        <w:rPr>
          <w:b/>
        </w:rPr>
        <w:t>ενοποιήσουν</w:t>
      </w:r>
      <w:r>
        <w:rPr/>
        <w:t xml:space="preserve"> τους ευρωπαϊκούς πολιτικούς θεσμούς. Το μοντέλο που παρουσιάζεται είναι αυτό μιας ομοσπονδίας κρατών με στόχο την </w:t>
      </w:r>
      <w:r>
        <w:rPr>
          <w:b/>
        </w:rPr>
        <w:t>ενίσχυση των κοινών ή αποκλειστικών αρμοδιοτήτων</w:t>
      </w:r>
      <w:r>
        <w:rPr/>
        <w:t xml:space="preserve"> της Ευρωπαϊκής Ένωσης, χωρίς ωστόσο να κινείται προς ένα ομοσπονδιακό κράτος.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Ποια είναι τα βασικά ορόσημα και τα κριτήρια επιτυχίας; </w:t>
      </w:r>
    </w:p>
    <w:p>
      <w:pPr>
        <w:pStyle w:val="P68B1DB1Normal19"/>
        <w:widowControl w:val="false"/>
        <w:spacing w:lineRule="auto" w:line="240" w:before="239" w:after="0"/>
        <w:ind w:left="0" w:right="10" w:hanging="0"/>
        <w:jc w:val="both"/>
        <w:rPr/>
      </w:pPr>
      <w:r>
        <w:rPr/>
        <w:t xml:space="preserve">Σε εσωτερικό επίπεδο, η αλλαγή αυτή θα μπορούσε να περιλαμβάνει την ανάπτυξη της </w:t>
      </w:r>
      <w:r>
        <w:rPr>
          <w:b/>
        </w:rPr>
        <w:t>συμμετοχής των πολιτών</w:t>
      </w:r>
      <w:r>
        <w:rPr/>
        <w:t xml:space="preserve">, τη δημιουργία ευρωπαϊκών </w:t>
      </w:r>
      <w:r>
        <w:rPr>
          <w:b/>
        </w:rPr>
        <w:t>υπουργείων εντός των κρατών</w:t>
      </w:r>
      <w:r>
        <w:rPr/>
        <w:t xml:space="preserve"> μελών και, μακροπρόθεσμα, την</w:t>
      </w:r>
      <w:r>
        <w:rPr>
          <w:b/>
        </w:rPr>
        <w:t xml:space="preserve">εκλογή </w:t>
      </w:r>
      <w:r>
        <w:rPr/>
        <w:t xml:space="preserve">του Προέδρου της Ευρωπαϊκής Επιτροπής </w:t>
      </w:r>
      <w:r>
        <w:rPr>
          <w:b/>
        </w:rPr>
        <w:t>με καθολική ψηφοφορία</w:t>
      </w:r>
      <w:r>
        <w:rPr/>
        <w:t xml:space="preserve">. </w:t>
      </w:r>
    </w:p>
    <w:p>
      <w:pPr>
        <w:pStyle w:val="P68B1DB1Normal19"/>
        <w:widowControl w:val="false"/>
        <w:spacing w:lineRule="auto" w:line="240" w:before="327" w:after="0"/>
        <w:ind w:left="0" w:right="10" w:hanging="0"/>
        <w:jc w:val="left"/>
        <w:rPr/>
      </w:pPr>
      <w:r>
        <w:rPr/>
        <w:t xml:space="preserve">Εξωτερικά, η ενίσχυση της ευρωπαϊκής φωνής στο εξωτερικό θα μεταφραστεί σε </w:t>
      </w:r>
      <w:r>
        <w:rPr>
          <w:b/>
        </w:rPr>
        <w:t xml:space="preserve">ενσάρκωση </w:t>
      </w:r>
      <w:r>
        <w:rPr/>
        <w:t>μέσω ενός</w:t>
      </w:r>
      <w:r>
        <w:rPr>
          <w:b/>
        </w:rPr>
        <w:t xml:space="preserve"> μοναδικού εκπροσώπου</w:t>
      </w:r>
      <w:r>
        <w:rPr/>
        <w:t xml:space="preserve"> </w:t>
      </w:r>
      <w:r>
        <w:rPr>
          <w:b/>
        </w:rPr>
        <w:t>της Ευρώπης</w:t>
      </w:r>
      <w:r>
        <w:rPr/>
        <w:t xml:space="preserve"> στη διεθνή σκηνή. </w:t>
      </w:r>
    </w:p>
    <w:p>
      <w:pPr>
        <w:pStyle w:val="P68B1DB1Normal24"/>
        <w:widowControl w:val="false"/>
        <w:spacing w:lineRule="auto" w:line="240" w:before="324" w:after="0"/>
        <w:ind w:left="0" w:right="15" w:hanging="0"/>
        <w:jc w:val="left"/>
        <w:rPr/>
      </w:pPr>
      <w:r>
        <w:rPr/>
        <w:t xml:space="preserve">Αυτή η ομοσπονδία κρατών θα ωφεληθεί επίσης από έναν αυξημένο </w:t>
      </w:r>
      <w:r>
        <w:rPr>
          <w:b/>
        </w:rPr>
        <w:t>ευρωπαϊκό προϋπολογισμό</w:t>
      </w:r>
      <w:r>
        <w:rPr/>
        <w:t xml:space="preserve">, με φιλοδοξία να φθάσει το 10 % του ΑΕΠ (σε σύγκριση με 2 % επί του παρόντος).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Αλλαγή 6 — Προτείνοντας προγράμματα δια βίου ανταλλαγών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Επιθυμία της συνδεδεμένης Ευρώπης: Μια Ευρώπη που βάζει την εκπαίδευση στην πρώτη γραμμή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Τι σημαίνει αυτή η αλλαγή;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Λέξεις-κλειδιά: σχολικές Ανταλλαγές, Erasmus </w:t>
      </w:r>
    </w:p>
    <w:p>
      <w:pPr>
        <w:pStyle w:val="P68B1DB1Normal19"/>
        <w:widowControl w:val="false"/>
        <w:spacing w:lineRule="auto" w:line="240" w:before="330" w:after="0"/>
        <w:ind w:left="0" w:right="0" w:hanging="0"/>
        <w:jc w:val="both"/>
        <w:rPr/>
      </w:pPr>
      <w:r>
        <w:rPr/>
        <w:t xml:space="preserve">Ευρέως αναγνωρισμένη, η αλλαγή αυτή αντικατοπτρίζει τη σημασία για τους πολίτες των συναντήσεων και των εμπειριών στο εξωτερικό, ως μια ισχυρή ζύμωση του ευρωπαϊκού αισθήματος. Φιλοδοξία είναι η μετάβαση </w:t>
      </w:r>
      <w:r>
        <w:rPr>
          <w:i/>
        </w:rPr>
        <w:t>«από τις ακαδημαϊκές γνώσεις σε μια ζωντανή</w:t>
      </w:r>
      <w:r>
        <w:rPr>
          <w:b/>
          <w:i/>
        </w:rPr>
        <w:t>, έμπειρη και ευαίσθητη προσέγγιση</w:t>
      </w:r>
      <w:r>
        <w:rPr>
          <w:i/>
        </w:rPr>
        <w:t>στην Ευρώπη</w:t>
      </w:r>
      <w:r>
        <w:rPr/>
        <w:t xml:space="preserve">» και η κατανόηση της εκπαίδευσης υπό την ευρεία έννοια ως </w:t>
      </w:r>
      <w:r>
        <w:rPr>
          <w:b/>
        </w:rPr>
        <w:t xml:space="preserve">διά βίου μάθησης.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Ποια είναι τα βασικά βήματα και τα κριτήρια επιτυχίας; </w:t>
      </w:r>
    </w:p>
    <w:p>
      <w:pPr>
        <w:pStyle w:val="P68B1DB1Normal24"/>
        <w:widowControl w:val="false"/>
        <w:spacing w:lineRule="auto" w:line="240" w:before="317" w:after="0"/>
        <w:ind w:left="0" w:right="4" w:hanging="0"/>
        <w:jc w:val="both"/>
        <w:rPr/>
      </w:pPr>
      <w:r>
        <w:rPr/>
        <w:t xml:space="preserve">Η επιτυχία μιας τέτοιας αλλαγής οφείλεται κυρίως στην εισαγωγή </w:t>
      </w:r>
      <w:r>
        <w:rPr>
          <w:b/>
        </w:rPr>
        <w:t>μιας προσφοράς διευρυμένης κινητικότητας,</w:t>
      </w:r>
      <w:r>
        <w:rPr/>
        <w:t xml:space="preserve"> συμπεριλαμβανομένων, μεταξύ άλλων, των ανταλλαγών σχολείων, της αδελφοποίησης, των ταξιδιών και της επαγγελματικής κινητικότητας. Για τους πολίτες, η προσφορά αυτή πρέπει να είναι προσβάσιμη σε όλους, ιδίως σε όσους έχουν χαμηλό δυναμικό ή αναπηρία. Για παράδειγμα, το πρόγραμμα Erasmus θα μπορούσε να καλύπτει όλους τους Ευρωπαίους χωρίς όρια ηλικίας ή πόρων. Τα προγράμματα αυτά πρέπει να σχεδιάζονται ως </w:t>
      </w:r>
      <w:r>
        <w:rPr>
          <w:b/>
        </w:rPr>
        <w:t>ποικίλα, χωρίς αποκλεισμούς</w:t>
      </w:r>
      <w:r>
        <w:rPr>
          <w:b/>
          <w:sz w:val="20"/>
        </w:rPr>
        <w:t xml:space="preserve"> </w:t>
      </w:r>
      <w:r>
        <w:rPr>
          <w:b/>
        </w:rPr>
        <w:t>και προσβάσιμα</w:t>
      </w:r>
      <w:r>
        <w:rPr/>
        <w:t xml:space="preserve"> με απλουστευμένες διοικητικές διαδικασίες. </w:t>
      </w:r>
    </w:p>
    <w:p>
      <w:pPr>
        <w:pStyle w:val="P68B1DB1Normal24"/>
        <w:widowControl w:val="false"/>
        <w:spacing w:lineRule="auto" w:line="240" w:before="232" w:after="0"/>
        <w:ind w:left="0" w:right="3" w:hanging="0"/>
        <w:jc w:val="both"/>
        <w:rPr/>
      </w:pPr>
      <w:r>
        <w:rPr/>
        <w:t xml:space="preserve">Εκτός από την κινητικότητα, αναφέρθηκε επίσης η σημασία </w:t>
      </w:r>
      <w:r>
        <w:rPr>
          <w:b/>
        </w:rPr>
        <w:t>της ανάπτυξης γεφυρών μεταξύ των εκπαιδευτικών συστημάτων</w:t>
      </w:r>
      <w:r>
        <w:rPr/>
        <w:t xml:space="preserve"> (ισοδυναμία διπλωμάτων κ.λπ.) και της ενίσχυσης της ελκυστικότητας της Ευρώπης για την αποφυγή διαρροής ταλέντων στο εξωτερικό.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Αλλαγή 7 — Κοινή χρήση των ευρωπαϊκών πολιτισμών μέσω της ενοποίησης εκδηλώσεων και εκδηλώσεων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Επιθυμία της συνδεδεμένης Ευρώπης: Μια Ευρώπη με κοινούς πολιτισμούς και ταυτότητες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Τι σημαίνει αυτή η αλλαγή;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Λέξεις-κλειδιά: Ευρωπαϊκό Φεστιβάλ, Ευρωπαϊκή Δημόσια αργία, Παγκόσμια Έκθεση της Ευρώπης </w:t>
      </w:r>
    </w:p>
    <w:p>
      <w:pPr>
        <w:pStyle w:val="P68B1DB1Normal19"/>
        <w:widowControl w:val="false"/>
        <w:spacing w:lineRule="auto" w:line="240" w:before="246" w:after="0"/>
        <w:ind w:left="0" w:right="10" w:hanging="0"/>
        <w:jc w:val="left"/>
        <w:rPr/>
      </w:pPr>
      <w:r>
        <w:rPr/>
        <w:t xml:space="preserve">Η αλλαγή αυτή έχει ως στόχο </w:t>
      </w:r>
      <w:r>
        <w:rPr>
          <w:b/>
        </w:rPr>
        <w:t>να δημιουργήσει και να ζήσει ένα ευρωπαϊκό πνεύμα</w:t>
      </w:r>
      <w:r>
        <w:rPr/>
        <w:t xml:space="preserve"> μέσα από κοινές εμπειρίες, εκδηλώσεις και εορταστικές εκδηλώσεις.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Ποια είναι τα βασικά βήματα και τα κριτήρια επιτυχίας; </w:t>
      </w:r>
    </w:p>
    <w:p>
      <w:pPr>
        <w:pStyle w:val="P68B1DB1Normal19"/>
        <w:widowControl w:val="false"/>
        <w:spacing w:lineRule="auto" w:line="240" w:before="239" w:after="0"/>
        <w:ind w:left="0" w:right="10" w:hanging="0"/>
        <w:jc w:val="both"/>
        <w:rPr/>
      </w:pPr>
      <w:r>
        <w:rPr/>
        <w:t xml:space="preserve">Τα γεγονότα που φαντάζονται οι πολίτες έχουν ως στόχο να είναι </w:t>
      </w:r>
      <w:r>
        <w:rPr>
          <w:b/>
        </w:rPr>
        <w:t>διασκεδαστικά, ενοποιητικά και δημοφιλή</w:t>
      </w:r>
      <w:r>
        <w:rPr/>
        <w:t xml:space="preserve"> να τα μοιράζεται ο μεγαλύτερος αριθμός. Για τον σκοπό αυτό, θα πρέπει να συμμετέχουν </w:t>
      </w:r>
      <w:r>
        <w:rPr>
          <w:b/>
        </w:rPr>
        <w:t>όλα τα ακροατήρια</w:t>
      </w:r>
      <w:r>
        <w:rPr/>
        <w:t xml:space="preserve"> (συμπεριλαμβανομένων των παιδιών, του σχολικού κοινού, των νέων και των σπουδαστών Erasmus) και να λαμβάνουν χώρα σε </w:t>
      </w:r>
      <w:r>
        <w:rPr>
          <w:b/>
        </w:rPr>
        <w:t>διάφορους χώρους</w:t>
      </w:r>
      <w:r>
        <w:rPr/>
        <w:t xml:space="preserve"> (συνταξιοδοτικά σπίτια, σχολεία, δημόσιες διοικήσεις, φυλακές κ.λπ.). </w:t>
      </w:r>
    </w:p>
    <w:p>
      <w:pPr>
        <w:pStyle w:val="P68B1DB1Normal24"/>
        <w:widowControl w:val="false"/>
        <w:spacing w:lineRule="auto" w:line="240" w:before="327" w:after="0"/>
        <w:ind w:left="0" w:right="13" w:hanging="0"/>
        <w:jc w:val="both"/>
        <w:rPr/>
      </w:pPr>
      <w:r>
        <w:rPr/>
        <w:t xml:space="preserve">Ειδικότερα, προβλέφθηκαν δύο εκδηλώσεις για την προσέγγιση των Ευρωπαίων: μια </w:t>
      </w:r>
      <w:r>
        <w:rPr>
          <w:b/>
        </w:rPr>
        <w:t>παγκόσμια έκθεση της Ευρώπης</w:t>
      </w:r>
      <w:r>
        <w:rPr/>
        <w:t xml:space="preserve"> που θα επέτρεπε την εκπροσώπηση όλων των κρατών μελών και την </w:t>
      </w:r>
      <w:r>
        <w:rPr>
          <w:b/>
        </w:rPr>
        <w:t>αναδιατύπωση της Ημέρας της Ευρώπης</w:t>
      </w:r>
      <w:r>
        <w:rPr/>
        <w:t xml:space="preserve">στις 9 Μαΐου, η οποία θα περιλαμβάνει ιδίως μια εκπαιδευτική εκδήλωση, </w:t>
      </w:r>
      <w:r>
        <w:rPr>
          <w:i/>
        </w:rPr>
        <w:t>ώστε «να μην ξεχνάμε την ειρήνη που συνδέεται με την Ευρώπη και τις αξίες της</w:t>
      </w:r>
      <w:r>
        <w:rPr/>
        <w:t xml:space="preserve">». Ταυτόχρονα, οι ευρωπαίοι εκπρόσωποι θα μπορούσαν να συναντηθούν με τους μαθητές της ηπείρου στα σχολεία τους, προκειμένου να ενισχυθεί η εγγύτητα και η κατανόηση της Ευρώπης των πολιτών από μικρή ηλικία.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Αλλαγή 8 — Εναρμόνιση της υγείας και προσβασιμότητα σε όλους τους Ευρωπαίους μέσω μιας κοινής πολιτικής για την υγεία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Επιθυμία της συνδεδεμένης Ευρώπης: Μια Ευρώπη αλληλεγγύης που προστατεύει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Τι σημαίνει αυτή η αλλαγή; </w:t>
      </w:r>
    </w:p>
    <w:p>
      <w:pPr>
        <w:pStyle w:val="P68B1DB1Normal7"/>
        <w:widowControl w:val="false"/>
        <w:spacing w:lineRule="auto" w:line="240" w:before="86" w:after="0"/>
        <w:ind w:left="0" w:right="10" w:hanging="0"/>
        <w:jc w:val="left"/>
        <w:rPr/>
      </w:pPr>
      <w:r>
        <w:rPr>
          <w:i/>
          <w:color w:val="000000"/>
        </w:rPr>
        <w:t>Λέξεις-κλειδιά: καθολική υγειονομική κάλυψη, εναρμόνιση της περίθαλψης, υγεία ως θεμελιώδες δικαίωμα</w:t>
      </w:r>
      <w:r>
        <w:rPr>
          <w:b/>
          <w:color w:val="273375"/>
        </w:rPr>
        <w:t xml:space="preserve"> </w:t>
      </w:r>
    </w:p>
    <w:p>
      <w:pPr>
        <w:pStyle w:val="P68B1DB1Normal19"/>
        <w:widowControl w:val="false"/>
        <w:spacing w:lineRule="auto" w:line="240" w:before="248" w:after="0"/>
        <w:ind w:left="0" w:right="10" w:hanging="0"/>
        <w:jc w:val="both"/>
        <w:rPr/>
      </w:pPr>
      <w:r>
        <w:rPr/>
        <w:t xml:space="preserve">Προκειμένου να διασφαλιστεί η πρόσβαση όλων των Ευρωπαίων στην υγεία και να αντιμετωπιστεί </w:t>
      </w:r>
      <w:r>
        <w:rPr>
          <w:i/>
        </w:rPr>
        <w:t>η «ανάγκη προστασίας και αλληλεγγύης</w:t>
      </w:r>
      <w:r>
        <w:rPr/>
        <w:t xml:space="preserve">», προτάθηκε ομόφωνα ένα </w:t>
      </w:r>
      <w:r>
        <w:rPr>
          <w:b/>
        </w:rPr>
        <w:t>υπερεθνικό σύστημα υγείας</w:t>
      </w:r>
      <w:r>
        <w:rPr/>
        <w:t xml:space="preserve">. Θα βασίζεται σε δίκαιη χρηματοδότηση μεταξύ των κρατών μελών και θα βασίζεται στα καλύτερα συστήματα της ΕΕ. Μια τέτοια αλλαγή αντικατοπτρίζει την προθυμία των πολιτών να δουν την Ευρώπη να αναλάβει πιο ενεργό ρόλο στην προστασία των κατοίκων της, ιδίως στον τομέα της υγείας, όπου οι δράσεις μέχρι στιγμής θεωρούνται υπερβολικά δειλές.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Ποια είναι τα βασικά βήματα και τα κριτήρια επιτυχίας; </w:t>
      </w:r>
    </w:p>
    <w:p>
      <w:pPr>
        <w:pStyle w:val="P68B1DB1Normal19"/>
        <w:widowControl w:val="false"/>
        <w:spacing w:lineRule="auto" w:line="240" w:before="239" w:after="0"/>
        <w:ind w:left="0" w:right="10" w:hanging="0"/>
        <w:jc w:val="both"/>
        <w:rPr/>
      </w:pPr>
      <w:r>
        <w:rPr/>
        <w:t xml:space="preserve">Για την εφαρμογή αυτής της αλλαγής, η αρχή της </w:t>
      </w:r>
      <w:r>
        <w:rPr>
          <w:b/>
        </w:rPr>
        <w:t>ευρωπαϊκής καθολικής κοινωνικής ασφάλισης</w:t>
      </w:r>
      <w:r>
        <w:rPr/>
        <w:t xml:space="preserve"> εγκρίθηκε από την πλειοψηφία. Ωστόσο, δεν ήταν δυνατόν να αποφασιστούν οι λεπτομέρειες εφαρμογής του εν λόγω συστήματος. Ενώ ορισμένοι υποστηρίζουν </w:t>
      </w:r>
      <w:r>
        <w:rPr>
          <w:i/>
        </w:rPr>
        <w:t xml:space="preserve">«μια συγκέντρωση των δεδομένων που επιτρέπουν στους εργαζόμενους στον τομέα της υγείας να έχουν πρόσβαση σε όλο το ιατρικό ιστορικό του ασθενούς», </w:t>
      </w:r>
      <w:r>
        <w:rPr/>
        <w:t xml:space="preserve">άλλοι θεωρούν αυτό το μέτρο ως </w:t>
      </w:r>
      <w:r>
        <w:rPr>
          <w:i/>
        </w:rPr>
        <w:t>«μια πρόσθετη στέρηση της ελευθερίας και ένα σύστημα ελέγχου».</w:t>
      </w:r>
      <w:r>
        <w:rPr/>
        <w:t xml:space="preserve"> </w:t>
      </w:r>
    </w:p>
    <w:p>
      <w:pPr>
        <w:pStyle w:val="P68B1DB1Normal24"/>
        <w:widowControl w:val="false"/>
        <w:spacing w:lineRule="auto" w:line="240" w:before="329" w:after="0"/>
        <w:ind w:left="0" w:right="14" w:hanging="0"/>
        <w:jc w:val="both"/>
        <w:rPr/>
      </w:pPr>
      <w:r>
        <w:rPr/>
        <w:t>Ωστόσο, η</w:t>
      </w:r>
      <w:r>
        <w:rPr>
          <w:b/>
        </w:rPr>
        <w:t xml:space="preserve">διαφάνεια </w:t>
      </w:r>
      <w:r>
        <w:rPr/>
        <w:t>και η</w:t>
      </w:r>
      <w:r>
        <w:rPr>
          <w:b/>
        </w:rPr>
        <w:t>εναρμόνιση των κανονιστικών απαιτήσεων σε ολόκληρη</w:t>
      </w:r>
      <w:r>
        <w:rPr/>
        <w:t xml:space="preserve"> την ήπειρο, καθώς και το </w:t>
      </w:r>
      <w:r>
        <w:rPr>
          <w:b/>
        </w:rPr>
        <w:t>ευρωπαϊκό σχέδιο υγείας, έχουν</w:t>
      </w:r>
      <w:r>
        <w:rPr/>
        <w:t xml:space="preserve"> προσδιοριστεί ως προϋποθέσεις για κάθε σημαντικό μετασχηματισμό.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Αλλαγή 9 — Ανάπτυξη και καθοδήγηση στρατηγικών διαύλων σε ευρωπαϊκό επίπεδο για τη διασφάλιση της κυριαρχίας μας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Επιθυμία της συνδεδεμένης Ευρώπης: Μια ανταγωνιστική και καινοτόμος Ευρώπη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Τι σημαίνει αυτή η αλλαγή; </w:t>
      </w:r>
    </w:p>
    <w:p>
      <w:pPr>
        <w:pStyle w:val="P68B1DB1Normal7"/>
        <w:widowControl w:val="false"/>
        <w:spacing w:lineRule="auto" w:line="240" w:before="86" w:after="0"/>
        <w:ind w:left="0" w:right="9" w:hanging="0"/>
        <w:jc w:val="left"/>
        <w:rPr/>
      </w:pPr>
      <w:r>
        <w:rPr>
          <w:i/>
          <w:color w:val="000000"/>
        </w:rPr>
        <w:t>Λέξεις-κλειδιά: ανάπτυξη ευρωπαϊκών πρωταθλητών, έλεγχος των ξένων επενδύσεων, ψηφιακή αυτονομία και ενέργεια</w:t>
      </w:r>
      <w:r>
        <w:rPr>
          <w:b/>
          <w:color w:val="273375"/>
        </w:rPr>
        <w:t xml:space="preserve"> </w:t>
      </w:r>
    </w:p>
    <w:p>
      <w:pPr>
        <w:pStyle w:val="P68B1DB1Normal19"/>
        <w:widowControl w:val="false"/>
        <w:spacing w:lineRule="auto" w:line="240" w:before="248" w:after="0"/>
        <w:ind w:left="0" w:right="9" w:hanging="0"/>
        <w:jc w:val="both"/>
        <w:rPr/>
      </w:pPr>
      <w:r>
        <w:rPr/>
        <w:t xml:space="preserve">Η πιλοτική εφαρμογή στρατηγικών τομέων όπως η υγεία, τα τρόφιμα, η ενέργεια, η ψηφιακή τεχνολογία, η άμυνα, οι μεταφορές και τα νέα υλικά σε ευρωπαϊκό επίπεδο ανταποκρίνεται στην </w:t>
      </w:r>
      <w:r>
        <w:rPr>
          <w:b/>
        </w:rPr>
        <w:t xml:space="preserve">ανάγκη για κυριαρχία </w:t>
      </w:r>
      <w:r>
        <w:rPr/>
        <w:t>που αναγνωρίζεται από τους πολίτες. Αυτό θα περιορίσει τον ανταγωνισμό μεταξύ των ευρωπαϊκών επιχειρήσεων, θα προωθήσει</w:t>
      </w:r>
      <w:r>
        <w:rPr>
          <w:b/>
        </w:rPr>
        <w:t>την ανάδυση ηπειρωτικών πρωταθλητών</w:t>
      </w:r>
      <w:r>
        <w:rPr/>
        <w:t xml:space="preserve"> και θα </w:t>
      </w:r>
      <w:r>
        <w:rPr>
          <w:b/>
        </w:rPr>
        <w:t>επαναβιομηχανοποιήσει την Ευρώπη</w:t>
      </w:r>
      <w:r>
        <w:rPr/>
        <w:t xml:space="preserve"> μέσω μιας ευρωπαϊκής προτίμησης.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Ποια είναι τα βασικά βήματα και τα κριτήρια επιτυχίας; </w:t>
      </w:r>
    </w:p>
    <w:p>
      <w:pPr>
        <w:pStyle w:val="P68B1DB1Normal19"/>
        <w:widowControl w:val="false"/>
        <w:spacing w:lineRule="auto" w:line="240" w:before="237" w:after="0"/>
        <w:ind w:left="0" w:right="9" w:hanging="0"/>
        <w:jc w:val="both"/>
        <w:rPr/>
      </w:pPr>
      <w:r>
        <w:rPr/>
        <w:t xml:space="preserve">Για να επιτευχθεί αυτή η κυριαρχία, θα μπορούσε να ανατεθεί σε μια </w:t>
      </w:r>
      <w:r>
        <w:rPr>
          <w:b/>
        </w:rPr>
        <w:t>ευρωπαϊκή αρχή</w:t>
      </w:r>
      <w:r>
        <w:rPr/>
        <w:t xml:space="preserve"> να ηγηθεί αυτών των τομέων, εκδίδοντας άδειες αγοράς ευρωπαϊκών εταιρειών από ξένους ανταγωνιστές και διασφαλίζοντας ότι τα εισαγόμενα προϊόντα πληρούν τα ίδια πρότυπα με την παραγωγή της ΕΕ. Μεσοπρόθεσμα, το</w:t>
      </w:r>
      <w:r>
        <w:rPr>
          <w:b/>
        </w:rPr>
        <w:t xml:space="preserve"> 30 % έως 50 %</w:t>
      </w:r>
      <w:r>
        <w:rPr/>
        <w:t xml:space="preserve"> της ευρωπαϊκής κατανάλωσης σε αυτούς τους στρατηγικούς τομείς θα πρέπει να </w:t>
      </w:r>
      <w:r>
        <w:rPr>
          <w:b/>
        </w:rPr>
        <w:t>παράγεται στην ήπειρο</w:t>
      </w:r>
      <w:r>
        <w:rPr/>
        <w:t xml:space="preserve"> και έως και </w:t>
      </w:r>
      <w:r>
        <w:rPr>
          <w:b/>
        </w:rPr>
        <w:t>70 %</w:t>
      </w:r>
      <w:r>
        <w:rPr/>
        <w:t xml:space="preserve"> μακροπρόθεσμα. Η εκπλήρωση αυτών των κριτηρίων θα εξασφάλιζε</w:t>
      </w:r>
      <w:r>
        <w:rPr>
          <w:b/>
        </w:rPr>
        <w:t>την</w:t>
      </w:r>
      <w:r>
        <w:rPr/>
        <w:t xml:space="preserve"> αυτάρκεια και την</w:t>
      </w:r>
      <w:r>
        <w:rPr>
          <w:b/>
        </w:rPr>
        <w:t xml:space="preserve"> επιρροή</w:t>
      </w:r>
      <w:r>
        <w:rPr/>
        <w:t>, ακόμη και την</w:t>
      </w:r>
      <w:r>
        <w:rPr>
          <w:b/>
        </w:rPr>
        <w:t xml:space="preserve">εξαγωγή </w:t>
      </w:r>
      <w:r>
        <w:rPr/>
        <w:t xml:space="preserve">του ευρωπαϊκού βιομηχανικού μοντέλου. </w:t>
      </w:r>
    </w:p>
    <w:p>
      <w:pPr>
        <w:pStyle w:val="Normal"/>
        <w:spacing w:lineRule="auto" w:line="240"/>
        <w:rPr/>
      </w:pPr>
      <w:r>
        <w:rPr/>
      </w:r>
    </w:p>
    <w:p>
      <w:pPr>
        <w:pStyle w:val="P68B1DB1Normal42"/>
        <w:spacing w:lineRule="auto" w:line="240"/>
        <w:rPr/>
      </w:pPr>
      <w:r>
        <w:rPr/>
        <w:t xml:space="preserve">Αλλαγή 10 — Βελτίωση της προστασίας του περιβάλλοντος και των οικοσυστημάτων και δημιουργία προστατευόμενων περιοχών στο επίκεντρο των αστικών, περιαστικών και αγροτικών περιοχών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Επιθυμία της συνδεδεμένης Ευρώπης: Μια Ευρώπη που προωθεί την αειφόρο ανάπτυξη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Τι σημαίνει αυτή η αλλαγή; </w:t>
      </w:r>
    </w:p>
    <w:p>
      <w:pPr>
        <w:pStyle w:val="P68B1DB1Normal7"/>
        <w:widowControl w:val="false"/>
        <w:spacing w:lineRule="auto" w:line="240" w:before="78" w:after="0"/>
        <w:ind w:left="0" w:right="0" w:hanging="0"/>
        <w:jc w:val="left"/>
        <w:rPr/>
      </w:pPr>
      <w:r>
        <w:rPr>
          <w:i/>
          <w:color w:val="000000"/>
        </w:rPr>
        <w:t>Λέξεις-κλειδιά: πιο φιλική προς το περιβάλλον αστικοποίηση, σεβασμός και προστασία των εδαφών</w:t>
      </w:r>
      <w:r>
        <w:rPr>
          <w:b/>
          <w:color w:val="273375"/>
        </w:rPr>
        <w:t xml:space="preserve"> </w:t>
      </w:r>
    </w:p>
    <w:p>
      <w:pPr>
        <w:pStyle w:val="P68B1DB1Normal19"/>
        <w:widowControl w:val="false"/>
        <w:spacing w:lineRule="auto" w:line="240" w:before="321" w:after="0"/>
        <w:ind w:left="0" w:right="9" w:hanging="0"/>
        <w:jc w:val="both"/>
        <w:rPr/>
      </w:pPr>
      <w:r>
        <w:rPr/>
        <w:t xml:space="preserve">Στόχος είναι να </w:t>
      </w:r>
      <w:r>
        <w:rPr>
          <w:b/>
        </w:rPr>
        <w:t>περιοριστούν οι αρνητικές επιπτώσεις της αστικοποίησης στα εδάφη</w:t>
      </w:r>
      <w:r>
        <w:rPr/>
        <w:t xml:space="preserve">. Η ανάληψη ισχυρών δράσεων θα </w:t>
      </w:r>
      <w:r>
        <w:rPr>
          <w:b/>
        </w:rPr>
        <w:t xml:space="preserve">περιορίσει τις καταστροφές που σχετίζονται με </w:t>
      </w:r>
      <w:r>
        <w:rPr/>
        <w:t>την καταστροφή του εδάφους, όπως</w:t>
      </w:r>
      <w:r>
        <w:rPr>
          <w:b/>
        </w:rPr>
        <w:t>οι κατολισθήσεις, και θα βελτιώσει την ποιότητα ζωής στις αστικές περιοχές</w:t>
      </w:r>
      <w:r>
        <w:rPr/>
        <w:t xml:space="preserve">, ιδίως μέσω της φύτευσης δένδρων.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Ποια είναι τα βασικά βήματα και τα κριτήρια επιτυχίας; </w:t>
      </w:r>
    </w:p>
    <w:p>
      <w:pPr>
        <w:pStyle w:val="P68B1DB1Normal19"/>
        <w:widowControl w:val="false"/>
        <w:spacing w:lineRule="auto" w:line="240" w:before="318" w:after="0"/>
        <w:ind w:left="0" w:right="9" w:hanging="0"/>
        <w:jc w:val="both"/>
        <w:rPr/>
      </w:pPr>
      <w:r>
        <w:rPr/>
        <w:t xml:space="preserve">Προτάθηκε η ανάληψη δράσης σε δύο επίπεδα: πρώτον, να </w:t>
      </w:r>
      <w:r>
        <w:rPr>
          <w:b/>
        </w:rPr>
        <w:t>αντιστραφεί η τάση των νέων κατασκευών</w:t>
      </w:r>
      <w:r>
        <w:rPr/>
        <w:t xml:space="preserve"> να μειωθεί ο ρυθμός σφράγισης του εδάφους και, δεύτερον, </w:t>
      </w:r>
      <w:r>
        <w:rPr>
          <w:b/>
        </w:rPr>
        <w:t>να ενθαρρυνθεί η αποκατάσταση του εδάφους</w:t>
      </w:r>
      <w:r>
        <w:rPr/>
        <w:t xml:space="preserve"> ώστε να «επιστρέφει </w:t>
      </w:r>
      <w:r>
        <w:rPr>
          <w:i/>
        </w:rPr>
        <w:t>στη φύση ό,τι του ανήκει</w:t>
      </w:r>
      <w:r>
        <w:rPr/>
        <w:t xml:space="preserve">». </w:t>
      </w:r>
    </w:p>
    <w:p>
      <w:pPr>
        <w:pStyle w:val="Normal"/>
        <w:spacing w:lineRule="auto" w:line="240"/>
        <w:rPr/>
      </w:pPr>
      <w:r>
        <w:rPr/>
      </w:r>
    </w:p>
    <w:p>
      <w:pPr>
        <w:pStyle w:val="P68B1DB1Normal42"/>
        <w:spacing w:lineRule="auto" w:line="240"/>
        <w:rPr/>
      </w:pPr>
      <w:r>
        <w:rPr/>
        <w:t xml:space="preserve">Αλλαγή 11 — Ίδρυση ευρωπαϊκών κέντρων αναμετάδοσης στις επικράτειες για την ακρόαση και την παροχή συμβουλών στους πολίτες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Επιθυμία της συνδεδεμένης Ευρώπης: Μια στενότερη και προσβάσιμη Ευρώπη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Τι σημαίνει αυτή η αλλαγή;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Λέξεις-κλειδιά: Σπίτια της Ευρώπης, αναφορά στην Ευρώπη σε τοπικό επίπεδο, καλύτερη πρόσβαση σε πληροφορίες </w:t>
      </w:r>
    </w:p>
    <w:p>
      <w:pPr>
        <w:pStyle w:val="P68B1DB1Normal19"/>
        <w:widowControl w:val="false"/>
        <w:spacing w:lineRule="auto" w:line="240" w:before="326" w:after="0"/>
        <w:ind w:left="0" w:right="11" w:hanging="0"/>
        <w:jc w:val="both"/>
        <w:rPr/>
      </w:pPr>
      <w:r>
        <w:rPr/>
        <w:t xml:space="preserve">Στόχος αυτής της αλλαγής είναι να δοθούν συγκεκριμένες απαντήσεις στην </w:t>
      </w:r>
      <w:r>
        <w:rPr>
          <w:b/>
        </w:rPr>
        <w:t>έλλειψη ενσωμάτωσης της Ευρωπαϊκής Ένωσης</w:t>
      </w:r>
      <w:r>
        <w:rPr/>
        <w:t xml:space="preserve"> στην καθημερινή ζωή, όπως επισημαίνεται από πολλούς συμμετέχοντες, και να καταβληθούν προσπάθειες για την προσέγγιση της Ευρώπης και των πολιτών της.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Ποια είναι τα βασικά βήματα και τα κριτήρια επιτυχίας; </w:t>
      </w:r>
    </w:p>
    <w:p>
      <w:pPr>
        <w:pStyle w:val="P68B1DB1Normal24"/>
        <w:widowControl w:val="false"/>
        <w:spacing w:lineRule="auto" w:line="240" w:before="317" w:after="0"/>
        <w:ind w:left="0" w:right="14" w:hanging="0"/>
        <w:jc w:val="both"/>
        <w:rPr/>
      </w:pPr>
      <w:r>
        <w:rPr/>
        <w:t>Για να αντιμετωπιστεί αυτή η απόσταση μεταξύ της ΕΕ και των πολιτών</w:t>
      </w:r>
      <w:r>
        <w:rPr>
          <w:b/>
        </w:rPr>
        <w:t>, θα</w:t>
      </w:r>
      <w:r>
        <w:rPr/>
        <w:t xml:space="preserve"> μπορούσε να διοριστεί ειδικός ανακριτής σε κάθε δημαρχείο με αποστολή να ακούει και να συμβουλεύει τους πολίτες. Οι πληροφορίες που παρέχονται από την παρούσα έκθεση θα μπορούσαν να είναι κοινωνικοοικονομικές, ιδίως όσον αφορά την πρόσβαση σε ευρωπαϊκή ή ενημερωτική βοήθεια, για παράδειγμα σχετικά με τον ρόλο των εκπροσώπων ομάδων συμφερόντων. Οι παρεχόμενες πληροφορίες θα απευθύνονται τόσο στο ευρύ κοινό όσο και στους επαγγελματίες, ιδίως για να συμβουλεύουν τις ΜΜΕ και να βοηθούν τους υπεύθυνους έργων να έχουν πρόσβαση σε κονδύλια της ΕΕ. Μακροπρόθεσμα, η αλλαγή αυτή θα μπορούσε να οδηγήσει στη δημιουργία </w:t>
      </w:r>
      <w:r>
        <w:rPr>
          <w:b/>
        </w:rPr>
        <w:t>θέσεων αφιερωμένων στην Ευρώπη</w:t>
      </w:r>
      <w:r>
        <w:rPr/>
        <w:t xml:space="preserve">, παρόμοιων με τις υφιστάμενες κατοικίες της Ευρώπης, αλλά σε κοινοτικό επίπεδο, επιτρέποντας ένα καλό εδαφικό δίκτυο. </w:t>
      </w:r>
    </w:p>
    <w:p>
      <w:pPr>
        <w:pStyle w:val="P68B1DB1Normal24"/>
        <w:widowControl w:val="false"/>
        <w:spacing w:lineRule="auto" w:line="240" w:before="235" w:after="0"/>
        <w:ind w:left="0" w:right="15" w:hanging="0"/>
        <w:jc w:val="both"/>
        <w:rPr/>
      </w:pPr>
      <w:r>
        <w:rPr/>
        <w:t xml:space="preserve">Η επιτυχία αυτής της αλλαγής θα ήταν πλήρης εάν κάθε πολίτης γνωρίζει « </w:t>
      </w:r>
      <w:r>
        <w:rPr>
          <w:i/>
        </w:rPr>
        <w:t>ως προφανή</w:t>
      </w:r>
      <w:r>
        <w:rPr/>
        <w:t xml:space="preserve">» την ύπαρξη αυτής της αναφοράς και αυτού του τόπου των πόρων που προορίζονται για την Ευρώπη που θα παρέχουν πόρους, ακρόαση, ενημέρωση και συμβουλές.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Αλλαγή 12 — Ενοποίηση του τρόπου εκλογής του Ευρωπαϊκού Κοινοβουλίου για τα 27 κράτη και βελτίωση της εγγύτητας των πολιτών αντικαθιστώντας την τρέχουσα ψηφοφορία με εφάπαξ ψηφοφορία σε περιφερειακό επίπεδο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Επιθυμία της συνδεδεμένης Ευρώπης: Μια Ευρώπη με αποτελεσματικότερη διακυβέρνηση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Τι σημαίνει αυτή η αλλαγή; </w:t>
      </w:r>
    </w:p>
    <w:p>
      <w:pPr>
        <w:pStyle w:val="P68B1DB1Normal7"/>
        <w:widowControl w:val="false"/>
        <w:spacing w:lineRule="auto" w:line="240" w:before="76" w:after="0"/>
        <w:ind w:left="0" w:right="0" w:hanging="0"/>
        <w:jc w:val="left"/>
        <w:rPr/>
      </w:pPr>
      <w:r>
        <w:rPr>
          <w:i/>
          <w:color w:val="000000"/>
        </w:rPr>
        <w:t>Λέξεις-κλειδιά: θεσμική αλλαγή, ακολουθούμενη από τους πολίτες των δράσεων καθ’ όλη τη διάρκεια της εντολής</w:t>
      </w:r>
      <w:r>
        <w:rPr>
          <w:b/>
          <w:color w:val="273375"/>
        </w:rPr>
        <w:t xml:space="preserve"> </w:t>
      </w:r>
    </w:p>
    <w:p>
      <w:pPr>
        <w:pStyle w:val="P68B1DB1Normal19"/>
        <w:widowControl w:val="false"/>
        <w:spacing w:lineRule="auto" w:line="240" w:before="275" w:after="0"/>
        <w:ind w:left="0" w:right="10" w:hanging="0"/>
        <w:jc w:val="both"/>
        <w:rPr/>
      </w:pPr>
      <w:r>
        <w:rPr/>
        <w:t xml:space="preserve">Η αλλαγή αυτή αντικατοπτρίζει την επιθυμία των πολιτών να ενισχύσουν την </w:t>
      </w:r>
      <w:r>
        <w:rPr>
          <w:b/>
        </w:rPr>
        <w:t>εγγύτητά τους με εκλεγμένους αξιωματούχους και να</w:t>
      </w:r>
      <w:r>
        <w:rPr/>
        <w:t xml:space="preserve"> παρακολουθούν τις ενέργειές τους καθ’ όλη τη διάρκεια της θητείας τους. Ανταποκρίνεται στην ευρέως διαδεδομένη παρατήρηση της έλλειψης μετάφρασης των ανησυχιών των πολιτών σε συγκεκριμένες δράσεις από τους εκλεγμένους εκπροσώπους του Ευρωπαϊκού Κοινοβουλίου.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Ποια είναι τα βασικά βήματα και τα κριτήρια επιτυχίας; </w:t>
      </w:r>
    </w:p>
    <w:p>
      <w:pPr>
        <w:pStyle w:val="P68B1DB1Normal19"/>
        <w:widowControl w:val="false"/>
        <w:spacing w:lineRule="auto" w:line="240" w:before="316" w:after="0"/>
        <w:ind w:left="0" w:right="10" w:hanging="0"/>
        <w:jc w:val="both"/>
        <w:rPr/>
      </w:pPr>
      <w:r>
        <w:rPr/>
        <w:t xml:space="preserve">Η αλλαγή του τρόπου εκλογής θα συνίσταται στην </w:t>
      </w:r>
      <w:r>
        <w:rPr>
          <w:b/>
        </w:rPr>
        <w:t>ενοποίηση του συστήματος ψηφοφορίας</w:t>
      </w:r>
      <w:r>
        <w:rPr/>
        <w:t xml:space="preserve"> σε ευρωπαϊκό επίπεδο και στη μετάβαση από τις εθνικές στις περιφερειακές εκλογικές περιφέρειες, που εκτιμάται ότι θα είναι δυνατή έως το 2035. </w:t>
      </w:r>
    </w:p>
    <w:p>
      <w:pPr>
        <w:pStyle w:val="Normal"/>
        <w:spacing w:lineRule="auto" w:line="240"/>
        <w:rPr/>
      </w:pPr>
      <w:r>
        <w:rPr/>
      </w:r>
    </w:p>
    <w:p>
      <w:pPr>
        <w:pStyle w:val="P68B1DB1Normal42"/>
        <w:spacing w:lineRule="auto" w:line="240"/>
        <w:rPr/>
      </w:pPr>
      <w:r>
        <w:rPr/>
        <w:t xml:space="preserve">Αλλαγή 13 — Καθορισμός κοινής πολιτικής για τη βελτίωση της υποδοχής και της κοινωνικής και επαγγελματικής ένταξης των μεταναστών (συμπεριλαμβανομένων των παράτυπων μεταναστών)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Επιθυμία της συνδεδεμένης Ευρώπης: Μια Ευρώπη που εγγυάται τον σεβασμό των θεμελιωδών δικαιωμάτων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Τι σημαίνει αυτή η αλλαγή; </w:t>
      </w:r>
    </w:p>
    <w:p>
      <w:pPr>
        <w:pStyle w:val="P68B1DB1Normal7"/>
        <w:widowControl w:val="false"/>
        <w:spacing w:lineRule="auto" w:line="240" w:before="76" w:after="0"/>
        <w:ind w:left="0" w:right="0" w:hanging="0"/>
        <w:jc w:val="left"/>
        <w:rPr/>
      </w:pPr>
      <w:r>
        <w:rPr>
          <w:i/>
          <w:color w:val="000000"/>
        </w:rPr>
        <w:t>Λέξεις-κλειδιά: Ευρωπαϊκή Υπηρεσία Μετανάστευσης, εξασφάλιση αξιοπρεπούς υποδοχής σε όλη την Ευρώπη</w:t>
      </w:r>
      <w:r>
        <w:rPr>
          <w:b/>
          <w:color w:val="273375"/>
        </w:rPr>
        <w:t xml:space="preserve"> </w:t>
      </w:r>
    </w:p>
    <w:p>
      <w:pPr>
        <w:pStyle w:val="P68B1DB1Normal19"/>
        <w:widowControl w:val="false"/>
        <w:spacing w:lineRule="auto" w:line="240" w:before="248" w:after="0"/>
        <w:ind w:left="0" w:right="10" w:hanging="0"/>
        <w:jc w:val="both"/>
        <w:rPr/>
      </w:pPr>
      <w:r>
        <w:rPr/>
        <w:t xml:space="preserve">Η αλλαγή αυτή αποσκοπεί στη βελτίωση της υποδοχής των μεταναστών εντός της Ευρωπαϊκής Ένωσης, ένα πρόβλημα που αναγνωρίζεται ομόφωνα ως </w:t>
      </w:r>
      <w:r>
        <w:rPr>
          <w:b/>
        </w:rPr>
        <w:t>κατάσταση έκτακτης</w:t>
      </w:r>
      <w:r>
        <w:rPr/>
        <w:t xml:space="preserve"> ανάγκης από τους πολίτες. Σε μια ρήξη με την τρέχουσα κατάσταση, η καθιέρωση μιας </w:t>
      </w:r>
      <w:r>
        <w:rPr>
          <w:b/>
        </w:rPr>
        <w:t>κοινής, συντονισμένης και αλληλέγγυας μεταναστευτικής πολιτικής</w:t>
      </w:r>
      <w:r>
        <w:rPr/>
        <w:t xml:space="preserve"> φαίνεται να αποτελεί σημαντικό φορέα ειρήνης.</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Ποια είναι τα βασικά βήματα και τα κριτήρια επιτυχίας; </w:t>
      </w:r>
    </w:p>
    <w:p>
      <w:pPr>
        <w:pStyle w:val="P68B1DB1Normal19"/>
        <w:widowControl w:val="false"/>
        <w:spacing w:lineRule="auto" w:line="240" w:before="243" w:after="0"/>
        <w:ind w:left="0" w:right="10" w:hanging="0"/>
        <w:jc w:val="left"/>
        <w:rPr/>
      </w:pPr>
      <w:r>
        <w:rPr/>
        <w:t xml:space="preserve">Η επιτυχία μιας τέτοιας αλλαγής θα είχε ως αποτέλεσμα τη σταδιακή εφαρμογή μιας κοινής πολιτικής για την υποδοχή των μεταναστών. </w:t>
      </w:r>
    </w:p>
    <w:p>
      <w:pPr>
        <w:pStyle w:val="P68B1DB1Normal19"/>
        <w:widowControl w:val="false"/>
        <w:spacing w:lineRule="auto" w:line="240" w:before="326" w:after="0"/>
        <w:ind w:left="0" w:right="10" w:hanging="0"/>
        <w:jc w:val="both"/>
        <w:rPr/>
      </w:pPr>
      <w:r>
        <w:rPr/>
        <w:t xml:space="preserve">Μια </w:t>
      </w:r>
      <w:r>
        <w:rPr>
          <w:b/>
        </w:rPr>
        <w:t>πρωτοβουλία πολιτών</w:t>
      </w:r>
      <w:r>
        <w:rPr/>
        <w:t xml:space="preserve"> θα πρέπει να παραπέμψει το θέμα στην Επιτροπή και να επιτρέψει μεσοπρόθεσμα την έγκριση ενός </w:t>
      </w:r>
      <w:r>
        <w:rPr>
          <w:b/>
        </w:rPr>
        <w:t>κοινού προτύπου</w:t>
      </w:r>
      <w:r>
        <w:rPr/>
        <w:t xml:space="preserve"> που καθορίζει ένα πλαίσιο για την υποδοχή και την κοινωνική ένταξη των μεταναστών. Μακροπρόθεσμα, το πρότυπο αυτό θα υποστηριχθεί με τη δημιουργία μιας </w:t>
      </w:r>
      <w:r>
        <w:rPr>
          <w:b/>
        </w:rPr>
        <w:t>εξειδικευμένης ευρωπαϊκής υπηρεσίας μετανάστευσης</w:t>
      </w:r>
      <w:r>
        <w:rPr/>
        <w:t xml:space="preserve"> και την αναγνώριση της μεταναστευτικής πολιτικής ως αρμοδιότητας της Ευρωπαϊκής Ένωσης. </w:t>
      </w:r>
    </w:p>
    <w:p>
      <w:pPr>
        <w:pStyle w:val="Normal"/>
        <w:spacing w:lineRule="auto" w:line="240"/>
        <w:rPr/>
      </w:pPr>
      <w:r>
        <w:rPr/>
      </w:r>
    </w:p>
    <w:p>
      <w:pPr>
        <w:pStyle w:val="P68B1DB1Normal42"/>
        <w:spacing w:lineRule="auto" w:line="240"/>
        <w:rPr/>
      </w:pPr>
      <w:r>
        <w:rPr/>
        <w:t xml:space="preserve">Αλλαγή 14 — Διατήρηση των ιδιαιτεροτήτων (ετικέτα τροφίμων, βιοτεχνική παραγωγή, παραδόσεις) των διαφόρων ευρωπαϊκών περιφερειών, προκειμένου να αποφευχθεί ο ομοιόμορφος τρόπος ζωής και να διασφαλιστεί η ιχνηλασιμότητα και η ποιότητα των προϊόντων </w:t>
      </w:r>
    </w:p>
    <w:p>
      <w:pPr>
        <w:pStyle w:val="P68B1DB1Normal43"/>
        <w:widowControl w:val="false"/>
        <w:spacing w:lineRule="auto" w:line="240" w:before="347" w:after="0"/>
        <w:ind w:left="0" w:right="912" w:hanging="0"/>
        <w:jc w:val="left"/>
        <w:rPr/>
      </w:pPr>
      <w:r>
        <w:rPr/>
        <w:t xml:space="preserve">Επιθυμία της συνδεδεμένης Ευρώπης: Μια Ευρώπη στην οποία υπερισχύουν τα συμφέροντα κάθε κράτους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Τι σημαίνει αυτή η αλλαγή; </w:t>
      </w:r>
    </w:p>
    <w:p>
      <w:pPr>
        <w:pStyle w:val="P68B1DB1Normal7"/>
        <w:widowControl w:val="false"/>
        <w:spacing w:lineRule="auto" w:line="240" w:before="76" w:after="0"/>
        <w:ind w:left="0" w:right="0" w:hanging="0"/>
        <w:jc w:val="left"/>
        <w:rPr/>
      </w:pPr>
      <w:r>
        <w:rPr>
          <w:i/>
          <w:color w:val="000000"/>
        </w:rPr>
        <w:t>Λέξεις-κλειδιά: Ευρωπαϊκά σήματα, αποτιμώντας την ποικιλομορφία των πολιτισμών και των παραδόσεων</w:t>
      </w:r>
      <w:r>
        <w:rPr>
          <w:b/>
          <w:color w:val="273375"/>
        </w:rPr>
        <w:t xml:space="preserve"> </w:t>
      </w:r>
    </w:p>
    <w:p>
      <w:pPr>
        <w:pStyle w:val="P68B1DB1Normal19"/>
        <w:widowControl w:val="false"/>
        <w:spacing w:lineRule="auto" w:line="240" w:before="323" w:after="0"/>
        <w:ind w:left="0" w:right="10" w:hanging="0"/>
        <w:jc w:val="both"/>
        <w:rPr/>
      </w:pPr>
      <w:r>
        <w:rPr/>
        <w:t xml:space="preserve">Φιλοδοξία αυτής της αλλαγής είναι η διατήρηση της </w:t>
      </w:r>
      <w:r>
        <w:rPr>
          <w:b/>
        </w:rPr>
        <w:t>ποικιλομορφίας των ευρωπαϊκών παραδόσεων και παραγωγών</w:t>
      </w:r>
      <w:r>
        <w:rPr/>
        <w:t xml:space="preserve"> και</w:t>
      </w:r>
      <w:r>
        <w:rPr>
          <w:b/>
        </w:rPr>
        <w:t xml:space="preserve">η αποφυγή της τυποποίησης </w:t>
      </w:r>
      <w:r>
        <w:rPr/>
        <w:t>του τρόπου ζωής, που συχνά αναφέρεται ως κριτική στην Ευρωπαϊκή Ένωση.</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Ποια είναι τα βασικά βήματα και τα κριτήρια επιτυχίας; </w:t>
      </w:r>
    </w:p>
    <w:p>
      <w:pPr>
        <w:pStyle w:val="P68B1DB1Normal19"/>
        <w:widowControl w:val="false"/>
        <w:spacing w:lineRule="auto" w:line="240" w:before="322" w:after="0"/>
        <w:ind w:left="0" w:right="10" w:hanging="0"/>
        <w:jc w:val="both"/>
        <w:rPr/>
      </w:pPr>
      <w:r>
        <w:rPr/>
        <w:t xml:space="preserve">Για τους πολίτες, ο κύριος στόχος είναι να καταστεί πιο προσιτή η υπάρχουσα βάση δεδομένων που απαριθμεί τα διάφορα </w:t>
      </w:r>
      <w:r>
        <w:rPr>
          <w:b/>
        </w:rPr>
        <w:t>ευρωπαϊκά και εθνικά σήματα</w:t>
      </w:r>
      <w:r>
        <w:rPr/>
        <w:t xml:space="preserve">. Για να γίνει αυτό, προτείνεται η δημιουργία ενός ιστότοπου « </w:t>
      </w:r>
      <w:r>
        <w:rPr>
          <w:i/>
        </w:rPr>
        <w:t>τριών κλικ»</w:t>
      </w:r>
      <w:r>
        <w:rPr/>
        <w:t xml:space="preserve">: ένα κλικ για πρόσβαση στον ιστότοπο, ένα δεύτερο για να εμφανίζεται ένας χάρτης των περιφερειών της Ευρωπαϊκής Ένωσης και ένα για να εμφανίζεται η περιγραφή των ετικετών κάθε περιοχής. </w:t>
      </w:r>
    </w:p>
    <w:p>
      <w:pPr>
        <w:pStyle w:val="Normal"/>
        <w:widowControl w:val="false"/>
        <w:spacing w:lineRule="auto" w:line="240" w:before="327" w:after="0"/>
        <w:ind w:left="0" w:right="14" w:hanging="0"/>
        <w:jc w:val="left"/>
        <w:rPr/>
      </w:pPr>
      <w:r>
        <w:rPr>
          <w:rFonts w:ascii="Times New Roman" w:hAnsi="Times New Roman"/>
          <w:color w:val="000000"/>
        </w:rPr>
        <w:t xml:space="preserve">Η επιτυχία αυτής της αλλαγής θα συνίσταται στην ενίσχυση της </w:t>
      </w:r>
      <w:r>
        <w:rPr>
          <w:rFonts w:ascii="Times New Roman" w:hAnsi="Times New Roman"/>
          <w:b/>
          <w:color w:val="000000"/>
        </w:rPr>
        <w:t>επικοινωνίας σχετικά</w:t>
      </w:r>
      <w:r>
        <w:rPr>
          <w:rFonts w:ascii="Times New Roman" w:hAnsi="Times New Roman"/>
          <w:color w:val="000000"/>
        </w:rPr>
        <w:t xml:space="preserve"> με τα υφιστάμενα επιτεύγματα, με αποτέλεσμα την καλύτερη </w:t>
      </w:r>
      <w:r>
        <w:rPr>
          <w:rFonts w:ascii="Times New Roman" w:hAnsi="Times New Roman"/>
          <w:b/>
          <w:color w:val="000000"/>
        </w:rPr>
        <w:t>κατανόηση</w:t>
      </w:r>
      <w:r>
        <w:rPr>
          <w:rFonts w:ascii="Times New Roman" w:hAnsi="Times New Roman"/>
          <w:color w:val="000000"/>
        </w:rPr>
        <w:t xml:space="preserve"> της πολυμορφίας των ευρωπαϊκών πολιτισμών εκ μέρους των πολιτών.</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Δεύτερο μέρος: παρουσίαση των αποτελεσμάτων της διαβούλευσης «Λόγια για τη νεολαία»</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Οι ημερομηνίες της διαβούλευσης </w:t>
      </w:r>
    </w:p>
    <w:p>
      <w:pPr>
        <w:pStyle w:val="P68B1DB1Normal19"/>
        <w:widowControl w:val="false"/>
        <w:spacing w:lineRule="auto" w:line="240" w:before="34" w:after="0"/>
        <w:ind w:left="0" w:right="0" w:hanging="0"/>
        <w:jc w:val="center"/>
        <w:rPr/>
      </w:pPr>
      <w:r>
        <w:rPr/>
        <w:t>από 09/05/2021 έως 18/07/2021</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ΣΤΟΙΧΕΙΑ ΣΥΜΜΕΤΟΧΗ</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συμμετέχοντες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2.918 προτάσεις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ψήφοι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 xml:space="preserve">Η διαβούλευση «Walk to Youth» ξεκίνησε με πρωτοβουλία της Κρατικής Γραμματείας Ευρωπαϊκών Υποθέσεων. Η διαβούλευση αυτή πραγματοποιείται στο πλαίσιο της Διάσκεψης για το Μέλλον της Ευρώπης, μιας πρωτοφανούς συμμετοχικής δημοκρατίας υπό την ηγεσία των ευρωπαϊκών θεσμικών οργάνων, στόχος της οποίας είναι να δώσει τη δυνατότητα σε όλους τους ευρωπαίους πολίτες να εκφράσουν τις απόψεις τους σχετικά με το τι αναμένουν από την Ευρωπαϊκή Ένωση. Τα διδάγματα από τη διαβούλευση θα τροφοδοτήσουν τις εργασίες της Διάσκεψης για το Μέλλον της Ευρώπης και της Γαλλικής Προεδρίας του Συμβουλίου της Ευρωπαϊκής Ένωσης.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κύρια μαθήματα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Μαζική κινητοποίηση των νέων: περισσότεροι από</w:t>
      </w:r>
      <w:r>
        <w:rPr>
          <w:rFonts w:ascii="Times New Roman" w:hAnsi="Times New Roman"/>
          <w:b/>
        </w:rPr>
        <w:t xml:space="preserve"> 50.000 νέοι Γάλλοι πολίτες συμμετείχαν </w:t>
      </w:r>
      <w:r>
        <w:rPr>
          <w:rFonts w:ascii="Times New Roman" w:hAnsi="Times New Roman"/>
        </w:rPr>
        <w:t xml:space="preserve">στη διαβούλευση, σε όλες τις περιοχές.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b/>
        </w:rPr>
        <w:t>Η</w:t>
      </w:r>
      <w:r>
        <w:rPr>
          <w:rFonts w:ascii="Times New Roman" w:hAnsi="Times New Roman"/>
        </w:rPr>
        <w:t xml:space="preserve"> σημαντικότερη συναίνεση </w:t>
      </w:r>
      <w:r>
        <w:rPr>
          <w:rFonts w:ascii="Times New Roman" w:hAnsi="Times New Roman"/>
          <w:b/>
        </w:rPr>
        <w:t>αφορά τις ευρωπαϊκές πολιτικές για την καταπολέμηση της κλιματικής αλλαγής, τη μετεγκατάσταση της παραγωγής στην Ευρώπη, την αναζωογόνηση της ευρωπαϊκής δημοκρατίας, το βάρος της ΕΕ στον κόσμο (οικονομία, έρευνα, ανθρώπινα δικαιώματα, διπλωματία).</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rPr>
        <w:t>Η</w:t>
      </w:r>
      <w:r>
        <w:rPr>
          <w:rFonts w:ascii="Times New Roman" w:hAnsi="Times New Roman"/>
          <w:b/>
        </w:rPr>
        <w:t>ιδέα μιας πιο ισχυρής και ενωμένης Ευρώπης περνά από το σύνολο της διαβούλευσης</w:t>
      </w:r>
      <w:r>
        <w:rPr>
          <w:rFonts w:ascii="Times New Roman" w:hAnsi="Times New Roman"/>
        </w:rPr>
        <w:t xml:space="preserve">, επιτυγχάνοντας συναίνεση σε διάφορα σημεία: </w:t>
      </w:r>
    </w:p>
    <w:p>
      <w:pPr>
        <w:pStyle w:val="P68B1DB1Normal34"/>
        <w:widowControl w:val="false"/>
        <w:spacing w:lineRule="auto" w:line="240" w:before="92" w:after="0"/>
        <w:ind w:left="360" w:right="0" w:hanging="0"/>
        <w:jc w:val="left"/>
        <w:rPr/>
      </w:pPr>
      <w:r>
        <w:rPr>
          <w:rFonts w:ascii="Times New Roman" w:hAnsi="Times New Roman"/>
        </w:rPr>
        <w:t>Μια</w:t>
      </w:r>
      <w:r>
        <w:rPr/>
        <w:t xml:space="preserve"> </w:t>
      </w:r>
      <w:r>
        <w:rPr>
          <w:rFonts w:ascii="Times New Roman" w:hAnsi="Times New Roman"/>
        </w:rPr>
        <w:t xml:space="preserve">ισχυρότερη Ευρώπη οικονομικά (ιδίως μέσω της μετεγκατάστασης) για την αντιμετώπιση της Κίνας ή των Ηνωμένων Πολιτειών </w:t>
      </w:r>
    </w:p>
    <w:p>
      <w:pPr>
        <w:pStyle w:val="P68B1DB1Normal34"/>
        <w:widowControl w:val="false"/>
        <w:spacing w:lineRule="auto" w:line="240" w:before="92" w:after="0"/>
        <w:ind w:left="360" w:right="0" w:hanging="0"/>
        <w:jc w:val="left"/>
        <w:rPr/>
      </w:pPr>
      <w:r>
        <w:rPr>
          <w:rFonts w:ascii="Times New Roman" w:hAnsi="Times New Roman"/>
        </w:rPr>
        <w:t>Μια</w:t>
      </w:r>
      <w:r>
        <w:rPr/>
        <w:t xml:space="preserve"> </w:t>
      </w:r>
      <w:r>
        <w:rPr>
          <w:rFonts w:ascii="Times New Roman" w:hAnsi="Times New Roman"/>
        </w:rPr>
        <w:t xml:space="preserve">διπλωματική Ευρώπη που ζυγίζει περισσότερο στη διεθνή σκηνή </w:t>
      </w:r>
    </w:p>
    <w:p>
      <w:pPr>
        <w:pStyle w:val="P68B1DB1Normal34"/>
        <w:widowControl w:val="false"/>
        <w:spacing w:lineRule="auto" w:line="240" w:before="85" w:after="0"/>
        <w:ind w:left="360" w:right="1483" w:hanging="0"/>
        <w:jc w:val="left"/>
        <w:rPr/>
      </w:pPr>
      <w:r>
        <w:rPr>
          <w:rFonts w:ascii="Times New Roman" w:hAnsi="Times New Roman"/>
        </w:rPr>
        <w:t>—</w:t>
      </w:r>
      <w:r>
        <w:rPr/>
        <w:t xml:space="preserve"> </w:t>
      </w:r>
      <w:r>
        <w:rPr>
          <w:rFonts w:ascii="Times New Roman" w:hAnsi="Times New Roman"/>
        </w:rPr>
        <w:t>Ηγέτης της Ευρώπης στην καταπολέμηση της κλιματικής αλλαγής στον κόσμο</w:t>
      </w:r>
    </w:p>
    <w:p>
      <w:pPr>
        <w:pStyle w:val="P68B1DB1Normal34"/>
        <w:widowControl w:val="false"/>
        <w:spacing w:lineRule="auto" w:line="240" w:before="85" w:after="0"/>
        <w:ind w:left="360" w:right="1483" w:hanging="0"/>
        <w:jc w:val="left"/>
        <w:rPr/>
      </w:pPr>
      <w:r>
        <w:rPr>
          <w:rFonts w:ascii="Times New Roman" w:hAnsi="Times New Roman"/>
        </w:rPr>
        <w:t>—</w:t>
      </w:r>
      <w:r>
        <w:rPr/>
        <w:t xml:space="preserve"> </w:t>
      </w:r>
      <w:r>
        <w:rPr>
          <w:rFonts w:ascii="Times New Roman" w:hAnsi="Times New Roman"/>
        </w:rPr>
        <w:t xml:space="preserve">Μια Ευρώπη που ενώθηκε από τη νεολαία της </w:t>
      </w:r>
    </w:p>
    <w:p>
      <w:pPr>
        <w:pStyle w:val="P68B1DB1Normal34"/>
        <w:widowControl w:val="false"/>
        <w:spacing w:lineRule="auto" w:line="240" w:before="85" w:after="0"/>
        <w:ind w:left="360" w:right="0" w:hanging="0"/>
        <w:jc w:val="left"/>
        <w:rPr/>
      </w:pPr>
      <w:r>
        <w:rPr>
          <w:rFonts w:ascii="Times New Roman" w:hAnsi="Times New Roman"/>
        </w:rPr>
        <w:t>—</w:t>
      </w:r>
      <w:r>
        <w:rPr/>
        <w:t xml:space="preserve"> </w:t>
      </w:r>
      <w:r>
        <w:rPr>
          <w:rFonts w:ascii="Times New Roman" w:hAnsi="Times New Roman"/>
        </w:rPr>
        <w:t xml:space="preserve">Μια ενωμένη Ευρώπη στην έρευνα και την καινοτομία </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Τέσσερις συμπληρωματικές ιδέες</w:t>
      </w:r>
      <w:r>
        <w:rPr>
          <w:rFonts w:ascii="Times New Roman" w:hAnsi="Times New Roman"/>
        </w:rPr>
        <w:t xml:space="preserve"> σε σχέση με τις ιδέες των ομάδων πολιτών χαιρετίστηκαν επίσης από τους νέους: </w:t>
      </w:r>
    </w:p>
    <w:p>
      <w:pPr>
        <w:pStyle w:val="P68B1DB1Normal34"/>
        <w:widowControl w:val="false"/>
        <w:spacing w:lineRule="auto" w:line="240" w:before="90" w:after="0"/>
        <w:ind w:left="360" w:right="0" w:hanging="0"/>
        <w:jc w:val="left"/>
        <w:rPr/>
      </w:pPr>
      <w:r>
        <w:rPr>
          <w:rFonts w:ascii="Times New Roman" w:hAnsi="Times New Roman"/>
        </w:rPr>
        <w:t>—</w:t>
      </w:r>
      <w:r>
        <w:rPr/>
        <w:t xml:space="preserve"> </w:t>
      </w:r>
      <w:r>
        <w:rPr>
          <w:rFonts w:ascii="Times New Roman" w:hAnsi="Times New Roman"/>
        </w:rPr>
        <w:t xml:space="preserve">Μια περιβαλλοντικά και κοινωνικά υπεύθυνη ευρωπαϊκή οικονομία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Μια Ευρώπη πιο γεωγραφικά συνδεδεμένη σιδηροδρομικώς </w:t>
      </w:r>
    </w:p>
    <w:p>
      <w:pPr>
        <w:pStyle w:val="P68B1DB1Normal34"/>
        <w:widowControl w:val="false"/>
        <w:spacing w:lineRule="auto" w:line="240" w:before="85" w:after="0"/>
        <w:ind w:left="360" w:right="0" w:hanging="0"/>
        <w:jc w:val="left"/>
        <w:rPr/>
      </w:pPr>
      <w:r>
        <w:rPr>
          <w:rFonts w:ascii="Times New Roman" w:hAnsi="Times New Roman"/>
        </w:rPr>
        <w:t>—</w:t>
      </w:r>
      <w:r>
        <w:rPr/>
        <w:t xml:space="preserve"> </w:t>
      </w:r>
      <w:r>
        <w:rPr>
          <w:rFonts w:ascii="Times New Roman" w:hAnsi="Times New Roman"/>
        </w:rPr>
        <w:t xml:space="preserve">Μια δημοσιονομικά δικαιότερη Ευρώπη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Ισχυρή δράση της Ευρωπαϊκής Ένωσης για τη στήριξη των δικαιωμάτων των γυναικών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δημοφιλείς ιδέες και 13 αμφιλεγόμενες ιδέες διαδίδονται στα 9 θέματα της Διάσκεψης για το Μέλλον της Ευρώπης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Οι καταξιωμένες ιδέες</w:t>
      </w:r>
      <w:r>
        <w:rPr>
          <w:color w:val="000000"/>
        </w:rPr>
        <w:t xml:space="preserve"> βασίζονται στις προτάσεις που υποστηρίζονται κυρίως από τους συμμετέχοντες στη διαβούλευση. Οι προτάσεις που επικυρώθηκαν είναι οι προτάσεις που προσελκύουν τη μεγαλύτερη στήριξη, αξιοποιούν κατά μέσο όρο το </w:t>
      </w:r>
      <w:r>
        <w:rPr>
          <w:b/>
          <w:color w:val="000000"/>
        </w:rPr>
        <w:t>79 % των «ψηφοφοριών υπέρ»</w:t>
      </w:r>
      <w:r>
        <w:rPr>
          <w:color w:val="000000"/>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Οι αμφιλεγόμενες ιδέες</w:t>
      </w:r>
      <w:r>
        <w:rPr>
          <w:color w:val="000000"/>
        </w:rPr>
        <w:t xml:space="preserve"> βασίζονται στις προτάσεις που συζητήθηκαν περισσότερο από τους συμμετέχοντες στη διαβούλευση, με ισορροπία μεταξύ των ψήφων υπέρ και κατά. Οι αμφιλεγόμενες προτάσεις είναι οι πιο συζητημένες προτάσεις της διαβούλευσης, αξιοποιώντας κατά μέσο όρο το </w:t>
      </w:r>
      <w:r>
        <w:rPr>
          <w:b/>
          <w:color w:val="000000"/>
        </w:rPr>
        <w:t>40 % των «ψηφοφόρων υπέρ»</w:t>
      </w:r>
      <w:r>
        <w:rPr>
          <w:color w:val="000000"/>
        </w:rPr>
        <w:t xml:space="preserve">, το </w:t>
      </w:r>
      <w:r>
        <w:rPr>
          <w:b/>
          <w:color w:val="000000"/>
        </w:rPr>
        <w:t>38 % των «ψηφοφόρων κατά»</w:t>
      </w:r>
      <w:r>
        <w:rPr>
          <w:color w:val="000000"/>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rFonts w:ascii="Times New Roman" w:hAnsi="Times New Roman"/>
          <w:color w:val="000000"/>
          <w:sz w:val="24"/>
        </w:rPr>
        <w:t xml:space="preserve">Η ανάλυση αυτών των προτάσεων εντόπισε 22 αναγνωρισμένες ιδέες και 13 αμφιλεγόμενες ιδέες. Αυτές οι 22 καταξιωμένες ιδέες και οι 13 αμφιλεγόμενες ιδέες χωρίστηκαν σε 9 άξονες που αντιστοιχούν στα κύρια θέματα της Διάσκεψης για το Μέλλον της Ευρώπης. </w:t>
      </w:r>
      <w:r>
        <w:br w:type="page"/>
      </w:r>
    </w:p>
    <w:p>
      <w:pPr>
        <w:pStyle w:val="Normal"/>
        <w:widowControl w:val="false"/>
        <w:spacing w:lineRule="auto" w:line="240" w:before="85" w:after="0"/>
        <w:ind w:left="0" w:right="0" w:hanging="0"/>
        <w:jc w:val="left"/>
        <w:rPr/>
      </w:pPr>
      <w:r>
        <w:rPr/>
        <w:t>Σύνθεση αναγνωρισμένων και αμφιλεγόμενων ιδεών</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Κλιματική αλλαγή και περιβάλλον</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Εφαρμογή μιας ισχυρότερης ευρωπαϊκής οικολογικής πολιτικής</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Προς μια πιο βιώσιμη γεωργία</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Εντονότερη δράση για την προστασία της βιοποικιλότητας</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Ανάπτυξη των σιδηροδρομικών μεταφορών στην ΕΕ</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Επιτάχυνση της ενεργειακής μετάβασης</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Περιορισμός των συσκευασιών και βελτίωση της διαχείρισης των αποβλήτων</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Αύξηση της ευαισθητοποίησης για το περιβάλλον</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Προώθηση οικολογικά υπεύθυνων κατασκευαστικών διαδικασιών</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Περισσότερες επενδύσεις στην πυρηνική ενέργεια</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ΕΥΡΩΠΑΪΚΗ ΔΗΜΟΚΡΑΤΙΑ</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Καλύτερη επικοινωνία σχετικά με τον ρόλο και το έργο της ΕΕ</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Αλλαγή της δημοκρατικής λειτουργίας της Ευρωπαϊκής Ένωσης</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Καταπολέμηση της παραπληροφόρησης</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Μετατρέποντας την Ευρώπη σε Ομοσπονδία</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Να αφεθεί μεγαλύτερη αυτονομία στα κράτη μέλη</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Οικοδόμηση ισχυρότερης ευρωπαϊκής εκτελεστικής εξουσίας</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Να δοθεί στους νέους μια θέση στα ευρωπαϊκά θεσμικά όργανα</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Οικονομία, κοινωνική δικαιοσύνη και απασχόληση</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Μετεγκατάσταση της παραγωγής στην Ευρώπη για μεγαλύτερη αυτονομία</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Καθιστώντας τις επιχειρηματικές πρακτικές και το εμπόριο πιο υπεύθυνες</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Καταπολέμηση της φοροδιαφυγής και της βελτιστοποίησης</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Εναρμόνιση των ευρωπαϊκών μισθών</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Καθιερώνοντας ένα καθολικό εισόδημα</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Αναπροσανατολισμός της Ευρώπης προς ένα αντικαπιταλιστικό μοντέλο</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Εκπαίδευση, πολιτισμός, νεολαία και αθλητισμός</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Ψηφιακός μετασχηματισμός</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Παροχή στους νέους της δυνατότητας να ανταλλάσσουν περισσότερα με άλλες χώρες της ΕΕ</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Ενθάρρυνση της εκμάθησης μη αγγλικών γλωσσών</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Επένδυση στην επιστημονική, ψηφιακή και περιβαλλοντική έρευνα</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Ευαισθητοποίηση σχετικά με την ψηφιακή τεχνολογία και τους κινδύνους της</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Να καταστεί υποχρεωτική η παραμονή των νέων στην Ευρώπη</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Ανάπτυξη κρυπτονομισμάτων στην Ευρώπη</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Αξίες και δικαιώματα, κράτος δικαίου, ασφάλεια</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ΥΓΕΙΑ</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Ενίσχυση της δράσης της ΕΕ για τον σεβασμό των ανθρωπίνων δικαιωμάτων</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Ενίσχυση των δικαιωμάτων των γυναικών</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Επενδύοντας στην Υγεία</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Βελτίωση της ποιότητας των τροφίμων μας</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Η ΕΕ στον κόσμο</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Μετανάστευση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Να καταστεί η ΕΕ σε θέση να ζυγίζει διεθνώς</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Δημιουργία Ευρωπαϊκής Ενόπλων Δυνάμεων</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Μείωση ή συνοδευτική μετανάστευση στην Ευρώπη</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Κυρίαρχη ιδέα (&gt; 10 επιτυχημένες προτάσεις)</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Μοναδική ιδέα (&lt;lt;10 εγκεκριμένες προτάσεις)</w:t>
      </w:r>
    </w:p>
    <w:p>
      <w:pPr>
        <w:pStyle w:val="Contenudetableau"/>
        <w:spacing w:lineRule="auto" w:line="240"/>
        <w:jc w:val="center"/>
        <w:rPr/>
      </w:pPr>
      <w:r>
        <w:rPr>
          <w:rFonts w:eastAsia="SimSun" w:cs="Mangal" w:ascii="Times New Roman" w:hAnsi="Times New Roman"/>
          <w:color w:val="F58220"/>
          <w:sz w:val="18"/>
        </w:rPr>
        <w:t>Αμφιλεγόμενη ιδέα (&gt; 3 αμφιλεγόμενες προτάσεις)</w:t>
      </w:r>
      <w:r>
        <w:br w:type="page"/>
      </w:r>
    </w:p>
    <w:p>
      <w:pPr>
        <w:pStyle w:val="Titre2"/>
        <w:numPr>
          <w:ilvl w:val="1"/>
          <w:numId w:val="2"/>
        </w:numPr>
        <w:rPr/>
      </w:pPr>
      <w:bookmarkStart w:id="213" w:name="__RefHeading___Toc300458_1346298689"/>
      <w:bookmarkEnd w:id="213"/>
      <w:r>
        <w:rPr/>
        <w:t xml:space="preserve">Συμπέρασμα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 xml:space="preserve">«Με μια λέξη, για εσάς, η Ευρώπη το 2035 θα πρέπει να είναι...»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ΕΙΚΟΝΑ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ΕΙΚΟΝΑ41" descr=""/>
                    <pic:cNvPicPr>
                      <a:picLocks noChangeAspect="1" noChangeArrowheads="1"/>
                    </pic:cNvPicPr>
                  </pic:nvPicPr>
                  <pic:blipFill>
                    <a:blip r:embed="rId103"/>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rPr>
        <w:t>Α</w:t>
      </w:r>
      <w:r>
        <w:rPr>
          <w:rFonts w:ascii="Times New Roman" w:hAnsi="Times New Roman"/>
          <w:i/>
          <w:color w:val="632423"/>
          <w:sz w:val="24"/>
        </w:rPr>
        <w:t xml:space="preserve">πάντηση των πολιτών της εθνικής διάσκεψης στην τελική ερώτηση: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Με λίγα λόγια, για εσάς, η Ευρώπη το 2035 θα πρέπει να είναι...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Γ Εθνικές επιτροπές: Γερμανία</w:t>
      </w:r>
    </w:p>
    <w:p>
      <w:pPr>
        <w:pStyle w:val="P68B1DB1Normal67"/>
        <w:spacing w:lineRule="auto" w:line="240"/>
        <w:rPr>
          <w:rFonts w:ascii="Calibri" w:hAnsi="Calibri"/>
          <w:b/>
          <w:b/>
          <w:color w:val="000000"/>
          <w:sz w:val="36"/>
        </w:rPr>
      </w:pPr>
      <w:r>
        <w:rPr/>
        <w:t xml:space="preserve">Εθνική ομάδα πολιτών για το μέλλον της Ευρώπης στο Βερολίνο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 </w:t>
      </w:r>
      <w:r>
        <w:rPr/>
        <w:t xml:space="preserve">Συστάσεις των πολιτών — </w:t>
      </w:r>
    </w:p>
    <w:p>
      <w:pPr>
        <w:pStyle w:val="P68B1DB1Normal52"/>
        <w:widowControl w:val="false"/>
        <w:spacing w:lineRule="exact" w:line="317" w:before="288" w:after="0"/>
        <w:ind w:left="276" w:right="113" w:hanging="0"/>
        <w:jc w:val="both"/>
        <w:rPr/>
      </w:pPr>
      <w:r>
        <w:rPr>
          <w:color w:val="000000"/>
        </w:rPr>
        <w:t xml:space="preserve">Η Γερμανία διοργάνωσε την Εθνική Επιτροπή Πολιτών για το Μέλλον της Ευρώπης στις 5, 8, 15 και 16 Ιανουαρίου. Η διαδικασία επιλογής πολιτών ακολούθησε τη διαστρωματωμένη τυχαία επιλογή των συμμετεχόντων στις ομάδες ευρωπαίων πολιτών. 12.000 Γερμανοί πολίτες κλήθηκαν να συμμετάσχουν· από τους ερωτηθέντες, επελέγησαν περίπου 100, λαμβάνοντας υπόψη τα τρέχοντα στοιχεία απογραφής της Ομοσπονδιακής Δημοκρατίας της Γερμανίας, προκειμένου να αντικατοπτριστεί η ποικιλομορφία της γερμανικής κοινωνίας και του πληθυσμού στο σύνολό του. Κατά τη διάρκεια της Εθνικής Ομάδας Πολιτών, οι συμμετέχοντες συζήτησαν πέντε θέματα: η ΕΕ στον κόσμο· μια ισχυρότερη οικονομία· την κλιματική αλλαγή και το περιβάλλον· κοινωνική δικαιοσύνη· Ευρωπαϊκές αξίες και κράτος δικαίου. Στη συνέχεια, διατύπωσαν συγκεκριμένες συστάσεις για καθένα από τα θέματα αυτά, οι οποίες εγκρίθηκαν κατά την τελική σύνοδο ολομέλειας της 16ης Ιανουαρίου: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Στρογγυλό τραπέζι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Σύνδεση των συμφερόντων του εξωτερικού εμπορίου με μέτρα πολιτικής για το κλίμα </w:t>
      </w:r>
    </w:p>
    <w:p>
      <w:pPr>
        <w:pStyle w:val="P68B1DB1Normal20"/>
        <w:widowControl w:val="false"/>
        <w:spacing w:lineRule="exact" w:line="337" w:before="192" w:after="0"/>
        <w:ind w:left="276" w:right="123" w:hanging="0"/>
        <w:jc w:val="both"/>
        <w:rPr/>
      </w:pPr>
      <w:r>
        <w:rPr/>
        <w:t xml:space="preserve">Συνιστούμε στην ΕΕ (ιδίως στην Ευρωπαϊκή Επιτροπή) να δρομολογήσει δέσμη επενδυτικών μέτρων για φιλικές προς το κλίμα τεχνολογίες και καινοτομίες, συμπεριλαμβανομένων προγραμμάτων χρηματοδότησης. Αυτή η δέσμη μέτρων θα πρέπει να χρηματοδοτηθεί από εισαγωγικούς δασμούς που σχετίζονται με το κλίμα, οι οποίοι θα επηρεαστούν ειδικά και θα μετακυλίονται ως οικονομική αποζημίωση για τις κλιματικές ζημίες. Στο πλαίσιο αυτό, θα τεθεί σε εφαρμογή ένα σύστημα σημείων για την αξιολόγηση της βιωσιμότητας για ορισμένα προϊόντα. Μια σαφής θέση της ΕΕ και μια ισχυρή και καινοτόμος Ευρώπη θα συμβάλουν στην επίτευξη των παγκόσμιων στόχων για το κλίμα. Αυτό θα συμβάλει στην εδραίωση του ρόλου της Ευρωπαϊκής Ένωσης ως παγκόσμιου πρωτοπόρου και υπεύθυνου μοντέλου, το οποίο εγγυάται τον πλούτο και μπορεί να οδηγήσει σε βιώσιμες αλλαγές σε παγκόσμια κλίμακα. Οι στόχοι αυτοί είναι σημαντικοί για εμάς, καθώς η ΕΕ συμβάλλει με βιώσιμο τρόπο στην καταπολέμηση της κλιματικής αλλαγής, η οποία θα μπορούσε, μακροπρόθεσμα, να διαδραματίσει καίριο ρόλο στην εδραίωση της παγκόσμιας ειρήνης.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Στρογγυλό τραπέζι 2: </w:t>
      </w:r>
    </w:p>
    <w:p>
      <w:pPr>
        <w:pStyle w:val="P68B1DB1Normal68"/>
        <w:widowControl w:val="false"/>
        <w:spacing w:lineRule="exact" w:line="338" w:before="321" w:after="0"/>
        <w:ind w:left="0" w:right="131" w:hanging="0"/>
        <w:jc w:val="left"/>
        <w:rPr/>
      </w:pPr>
      <w:r>
        <w:rPr/>
        <w:t xml:space="preserve">Δημιουργία κινήτρων για την εφαρμογή της παραγωγής στην ΕΕ, ιδίως όσον αφορά τα βασικά προϊόντα </w:t>
      </w:r>
    </w:p>
    <w:p>
      <w:pPr>
        <w:pStyle w:val="P68B1DB1Normal20"/>
        <w:widowControl w:val="false"/>
        <w:spacing w:lineRule="exact" w:line="337" w:before="208" w:after="0"/>
        <w:ind w:left="276" w:right="121" w:hanging="0"/>
        <w:jc w:val="both"/>
        <w:rPr/>
      </w:pPr>
      <w:r>
        <w:rPr/>
        <w:t xml:space="preserve">Προκειμένου να διευκολυνθεί η παραγωγή βασικών προϊόντων στην ΕΕ, συνιστούμε την επιτάχυνση και την τυποποίηση των διαδικασιών έγκρισης, τη μείωση της γραφειοκρατίας και τη χορήγηση επιδοτήσεων σε εταιρείες που μετακινούνται στην ΕΕ ή/και ιδρύουν εγκαταστάσεις παραγωγής στην ΕΕ. Η ΕΕ θα πρέπει να προωθήσει μαζικά τις ανανεώσιμες πηγές ενέργειας προκειμένου να μειώσει το κόστος της ενέργειας. </w:t>
      </w:r>
    </w:p>
    <w:p>
      <w:pPr>
        <w:pStyle w:val="P68B1DB1Normal20"/>
        <w:widowControl w:val="false"/>
        <w:spacing w:lineRule="exact" w:line="336" w:before="216" w:after="0"/>
        <w:ind w:left="276" w:right="121" w:hanging="0"/>
        <w:jc w:val="both"/>
        <w:rPr/>
      </w:pPr>
      <w:r>
        <w:rPr/>
        <w:t xml:space="preserve">Μέσω αυτών των μέτρων, θέλουμε να συντομεύσουμε τις αλυσίδες εφοδιασμού και να τις καταστήσουμε πιο φιλικές προς το κλίμα, να βοηθήσουμε στην ενίσχυση της ΕΕ και να δημιουργήσουμε θέσεις εργασίας στις οποίες γίνονται σεβαστά τα ανθρώπινα δικαιώματα. </w:t>
      </w:r>
    </w:p>
    <w:p>
      <w:pPr>
        <w:pStyle w:val="Normal"/>
        <w:widowControl w:val="false"/>
        <w:spacing w:lineRule="exact" w:line="336" w:before="219" w:after="0"/>
        <w:ind w:left="276" w:right="121" w:hanging="0"/>
        <w:jc w:val="both"/>
        <w:rPr/>
      </w:pPr>
      <w:r>
        <w:rPr>
          <w:rFonts w:ascii="Calibri" w:hAnsi="Calibri"/>
          <w:color w:val="000000"/>
          <w:sz w:val="24"/>
        </w:rPr>
        <w:t xml:space="preserve">Οι στόχοι αυτοί είναι σημαντικοί για εμάς, διότι η μετεγκατάσταση της παραγωγής στην ΕΕ θα καθιστούσε την ΕΕ πιο αυτόνομη διεθνώς και λιγότερο πολιτικά ευάλωτη.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Στρογγυλό τραπέζι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Digi-Score — ένα σύστημα σημείων για μια ισχυρή ψηφιακή οικονομία σε ολόκληρη την ΕΕ </w:t>
      </w:r>
    </w:p>
    <w:p>
      <w:pPr>
        <w:pStyle w:val="P68B1DB1Normal20"/>
        <w:widowControl w:val="false"/>
        <w:spacing w:lineRule="exact" w:line="337" w:before="192" w:after="0"/>
        <w:ind w:left="276" w:right="119" w:hanging="0"/>
        <w:jc w:val="both"/>
        <w:rPr/>
      </w:pPr>
      <w:r>
        <w:rPr/>
        <w:t xml:space="preserve">Προτείνουμε τη δημιουργία ενός προσβάσιμου στο κοινό ψηφιακού πίνακα εργαλείων, με την ονομασία Digi-Score, τον οποίο διαχειρίζεται η Ευρωπαϊκή Επιτροπή (ΓΔ CNECT). Αυτό θα ήταν ένα ακριβές σύστημα κατάταξης για να υποδεικνύεται και να συγκρίνεται το σημερινό επίπεδο ψηφιακής ωριμότητας των εταιρειών της ΕΕ. Με την παρούσα πρόταση, θέλουμε να ενθαρρύνουμε την αύξηση της ψηφιοποίησης σε ολόκληρη την Ευρώπη. Οι εταιρείες με χαμηλή ψηφιακή βαθμολογία θα δικαιούνται στοχευμένη στήριξη για να τις βοηθήσουν να καλύψουν τη διαφορά. </w:t>
      </w:r>
    </w:p>
    <w:p>
      <w:pPr>
        <w:pStyle w:val="P68B1DB1Normal20"/>
        <w:widowControl w:val="false"/>
        <w:spacing w:lineRule="exact" w:line="338" w:before="219" w:after="0"/>
        <w:ind w:left="276" w:right="121" w:hanging="0"/>
        <w:jc w:val="both"/>
        <w:rPr/>
      </w:pPr>
      <w:r>
        <w:rPr/>
        <w:t xml:space="preserve">Ο στόχος αυτός είναι σημαντικός για εμάς, καθώς θα μπορούσε να προετοιμάσει το έδαφος για αύξηση της παραγωγικότητας, της αποδοτικότητας και των πωλήσεων, ενισχύοντας έτσι τον ρόλο της Ευρώπης ως βάσης για την παραγωγή.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Στρογγυλό τραπέζι 2: </w:t>
      </w:r>
    </w:p>
    <w:p>
      <w:pPr>
        <w:pStyle w:val="P68B1DB1Normal68"/>
        <w:widowControl w:val="false"/>
        <w:spacing w:lineRule="exact" w:line="400" w:before="209" w:after="0"/>
        <w:ind w:left="0" w:right="0" w:hanging="0"/>
        <w:jc w:val="left"/>
        <w:rPr>
          <w:rFonts w:ascii="Calibri" w:hAnsi="Calibri"/>
          <w:b/>
          <w:b/>
          <w:color w:val="000000"/>
          <w:sz w:val="24"/>
        </w:rPr>
      </w:pPr>
      <w:r>
        <w:rPr/>
        <w:t xml:space="preserve">Πλατφόρμα πληροφόρησης για την ανταλλαγή γνώσεων και εμπειριών σε επίπεδο ΕΕ </w:t>
      </w:r>
    </w:p>
    <w:p>
      <w:pPr>
        <w:pStyle w:val="P68B1DB1Normal20"/>
        <w:widowControl w:val="false"/>
        <w:spacing w:lineRule="exact" w:line="337"/>
        <w:ind w:left="276" w:right="119" w:hanging="0"/>
        <w:jc w:val="both"/>
        <w:rPr/>
      </w:pPr>
      <w:r>
        <w:rPr/>
        <w:t xml:space="preserve">Συνιστούμε στην ΕΕ να δημιουργήσει μια πλατφόρμα πληροφόρησης για την ανταλλαγή γνώσεων και εμπειριών σε επίπεδο ΕΕ. Στόχος μας είναι η ανταλλαγή πληροφοριών σχετικά με τις υφιστάμενες διεθνικές δραστηριότητες εκπαίδευσης και κατάρτισης στην ΕΕ, η παρουσίαση παραδειγμάτων βέλτιστων πρακτικών και η παροχή στους πολίτες της ευκαιρίας να παρουσιάσουν νέες ιδέες για διασυνοριακές ανταλλαγές. Επιπλέον, θα μπορούσαν να παρασχεθούν πρόσθετες πληροφορίες στα διαθέσιμα φόρουμ τεχνικών εμπειρογνωμόνων (π.χ. για την ενέργεια, το περιβάλλον ή την ψηφιακή μετάβαση). </w:t>
      </w:r>
    </w:p>
    <w:p>
      <w:pPr>
        <w:pStyle w:val="P68B1DB1Normal20"/>
        <w:widowControl w:val="false"/>
        <w:spacing w:lineRule="exact" w:line="337" w:before="216" w:after="0"/>
        <w:ind w:left="276" w:right="121" w:hanging="0"/>
        <w:jc w:val="both"/>
        <w:rPr/>
      </w:pPr>
      <w:r>
        <w:rPr/>
        <w:t xml:space="preserve">Πιστεύουμε ότι αυτό είναι σημαντικό διότι οι πολίτες χρειάζονται διαφάνεια όσον αφορά τις διαθέσιμες διασυνοριακές δραστηριότητες εκπαίδευσης και κατάρτισης. Θα πρέπει να λαμβάνουν καλύτερη καθοδήγηση σε επίπεδο ΕΕ σχετικά με τα υφιστάμενα φόρουμ και πλατφόρμες.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Στρογγυλό τραπέζι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Κανονισμός Εγγύησης Ζωής Προϊόντων </w:t>
      </w:r>
    </w:p>
    <w:p>
      <w:pPr>
        <w:pStyle w:val="P68B1DB1Normal20"/>
        <w:widowControl w:val="false"/>
        <w:spacing w:lineRule="exact" w:line="337" w:before="192" w:after="0"/>
        <w:ind w:left="276" w:right="119" w:hanging="0"/>
        <w:jc w:val="both"/>
        <w:rPr/>
      </w:pPr>
      <w:r>
        <w:rPr/>
        <w:t xml:space="preserve">Συνιστούμε στην ΕΕ να θεσπίσει νομοθεσία για τη θέσπιση μιας παρατεταμένης, εγγυημένης και συγκεκριμένης διάρκειας ζωής για κάθε προϊόν που κατασκευάζεται και πωλείται στην ΕΕ, και να είναι διαφανής έναντι των καταναλωτών εν προκειμένω. </w:t>
      </w:r>
    </w:p>
    <w:p>
      <w:pPr>
        <w:pStyle w:val="P68B1DB1Normal20"/>
        <w:widowControl w:val="false"/>
        <w:spacing w:lineRule="exact" w:line="336" w:before="219" w:after="0"/>
        <w:ind w:left="276" w:right="126" w:hanging="0"/>
        <w:jc w:val="both"/>
        <w:rPr/>
      </w:pPr>
      <w:r>
        <w:rPr/>
        <w:t xml:space="preserve">Οι πόροι είναι περιορισμένοι και αυτό θα εξοικονομήσει χρήματα και θα μειώσει τα απόβλητα, γεγονός που θα ωφελήσει το περιβάλλον, το κλίμα και τους καταναλωτές. </w:t>
      </w:r>
    </w:p>
    <w:p>
      <w:pPr>
        <w:pStyle w:val="P68B1DB1Normal20"/>
        <w:widowControl w:val="false"/>
        <w:spacing w:lineRule="exact" w:line="338" w:before="216" w:after="0"/>
        <w:ind w:left="276" w:right="131" w:hanging="0"/>
        <w:jc w:val="left"/>
        <w:rPr/>
      </w:pPr>
      <w:r>
        <w:rPr/>
        <w:t xml:space="preserve">Θέλουμε να ενθαρρύνουμε τους κατασκευαστές να φέρουν πιο ανθεκτικά και επισκευάσιμα προϊόντα στην αγορά.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Στρογγυλό τραπέζι 2: </w:t>
      </w:r>
    </w:p>
    <w:p>
      <w:pPr>
        <w:pStyle w:val="P68B1DB1Normal68"/>
        <w:widowControl w:val="false"/>
        <w:spacing w:lineRule="exact" w:line="400" w:before="321" w:after="0"/>
        <w:ind w:left="0" w:right="0" w:hanging="0"/>
        <w:jc w:val="left"/>
        <w:rPr>
          <w:rFonts w:ascii="Calibri" w:hAnsi="Calibri"/>
          <w:b/>
          <w:b/>
          <w:color w:val="000000"/>
          <w:sz w:val="24"/>
        </w:rPr>
      </w:pPr>
      <w:r>
        <w:rPr/>
        <w:t xml:space="preserve">Μακροπρόθεσμη εκστρατεία της ΕΕ για βιώσιμη κατανάλωση και τρόπο ζωής </w:t>
      </w:r>
    </w:p>
    <w:p>
      <w:pPr>
        <w:pStyle w:val="P68B1DB1Normal20"/>
        <w:widowControl w:val="false"/>
        <w:spacing w:lineRule="exact" w:line="336"/>
        <w:ind w:left="276" w:right="126" w:hanging="0"/>
        <w:jc w:val="left"/>
        <w:rPr/>
      </w:pPr>
      <w:r>
        <w:rPr/>
        <w:t xml:space="preserve">Συνιστούμε σε έναν ευρωπαϊκό οργανισμό, συμπεριλαμβανομένων των υποκαταστημάτων στις χώρες της ΕΕ, να διαθέτει ίδιους πόρους και να ηγείται αυτής της εκστρατείας. </w:t>
      </w:r>
    </w:p>
    <w:p>
      <w:pPr>
        <w:pStyle w:val="P68B1DB1Normal20"/>
        <w:widowControl w:val="false"/>
        <w:spacing w:lineRule="exact" w:line="336" w:before="219" w:after="0"/>
        <w:ind w:left="276" w:right="128" w:hanging="0"/>
        <w:jc w:val="both"/>
        <w:rPr/>
      </w:pPr>
      <w:r>
        <w:rPr/>
        <w:t xml:space="preserve">Στόχος μας είναι να διασφαλίσουμε ότι όλοι οι πολίτες της ΕΕ αναγνωρίζουν τον εαυτό τους σε μια κοινή ταυτότητα, αποκτούν μεγαλύτερη επίγνωση της ανάγκης για βιώσιμη κατανάλωση και τρόπο ζωής και υιοθετούν αυτόν τον τρόπο ζωής. </w:t>
      </w:r>
    </w:p>
    <w:p>
      <w:pPr>
        <w:pStyle w:val="P68B1DB1Normal20"/>
        <w:widowControl w:val="false"/>
        <w:spacing w:lineRule="exact" w:line="336" w:before="216" w:after="0"/>
        <w:ind w:left="276" w:right="128" w:hanging="0"/>
        <w:jc w:val="left"/>
        <w:rPr/>
      </w:pPr>
      <w:r>
        <w:rPr/>
        <w:t xml:space="preserve">Αυτοί οι στόχοι είναι σημαντικοί για εμάς, επειδή θέλουμε να αφυπνίσουμε ένα εγγενές κίνητρο για έναν βιώσιμο τρόπο ζωής.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Στρογγυλό τραπέζι 1: </w:t>
      </w:r>
    </w:p>
    <w:p>
      <w:pPr>
        <w:pStyle w:val="P68B1DB1Normal68"/>
        <w:widowControl w:val="false"/>
        <w:spacing w:lineRule="exact" w:line="400" w:before="88" w:after="0"/>
        <w:ind w:left="0" w:right="0" w:hanging="0"/>
        <w:jc w:val="left"/>
        <w:rPr>
          <w:rFonts w:ascii="Calibri" w:hAnsi="Calibri"/>
          <w:b/>
          <w:b/>
          <w:color w:val="000000"/>
          <w:sz w:val="24"/>
        </w:rPr>
      </w:pPr>
      <w:r>
        <w:rPr/>
        <w:t xml:space="preserve">Δημιουργία περισσότερων ευκαιριών ανταλλαγής για φοιτητές στην Ευρώπη </w:t>
      </w:r>
    </w:p>
    <w:p>
      <w:pPr>
        <w:pStyle w:val="P68B1DB1Normal20"/>
        <w:widowControl w:val="false"/>
        <w:spacing w:lineRule="exact" w:line="293" w:before="162" w:after="0"/>
        <w:ind w:left="276" w:right="123" w:hanging="0"/>
        <w:jc w:val="both"/>
        <w:rPr/>
      </w:pPr>
      <w:r>
        <w:rPr/>
        <w:t xml:space="preserve">Συνιστούμε στην Ευρωπαϊκή Ένωση να εγκρίνει, εκτός από το πρόγραμμα Erasmus, κανονισμό σχετικά με ένα πρόγραμμα ανταλλαγών για μαθητές και σπουδαστές ηλικίας μεταξύ 14 και 25 ετών, ανεξάρτητα από την καταγωγή, το φύλο και το επίπεδο εκπαίδευσής τους. Αυτό το πρόγραμμα ανταλλαγών θα πρέπει να καταρτίζεται και να προωθείται συστηματικά από τα σχολεία σε τοπικό επίπεδο. Κάθε μαθητής θα πρέπει να έχει την ευκαιρία να συμμετάσχει στο πρόγραμμα ανταλλαγής ανά πάσα στιγμή της εκπαίδευσής του. Για τον σκοπό αυτό, η Ευρωπαϊκή Επιτροπή θα πρέπει να υποβάλει πρόταση στο Ευρωπαϊκό Κοινοβούλιο και στο Ευρωπαϊκό Συμβούλιο. </w:t>
      </w:r>
    </w:p>
    <w:p>
      <w:pPr>
        <w:pStyle w:val="P68B1DB1Normal20"/>
        <w:widowControl w:val="false"/>
        <w:spacing w:lineRule="exact" w:line="293" w:before="168" w:after="0"/>
        <w:ind w:left="276" w:right="123" w:hanging="0"/>
        <w:jc w:val="both"/>
        <w:rPr/>
      </w:pPr>
      <w:r>
        <w:rPr/>
        <w:t xml:space="preserve">Στόχος μας είναι να δώσουμε στους φοιτητές, ανεξάρτητα από την ακαδημαϊκή τους επίδοση και την οικονομική υποστήριξη των γονέων τους, την ευκαιρία να συμμετάσχουν σε προγράμματα ανταλλαγών σε όλη την Ευρώπη. Θα πρέπει να καλλιεργηθεί μια νοοτροπία ευρωπαϊκών ανταλλαγών από τη σχολική ηλικία. Πάνω απ’ όλα, είναι σημαντικό τα προγράμματα ανταλλαγών να είναι εύκολα προσβάσιμα και απαλλαγμένα από γραφειοκρατία. Μέσω αυτού του προγράμματος ανταλλαγών, θέλουμε να καθιερώσουμε την ευρωπαϊκή αλληλεγγύη και να μειώσουμε τους γλωσσικούς φραγμούς. Στο πλαίσιο αυτό, πρέπει να ληφθεί υπόψη η ισότητα στην εκπαίδευση και η συμμετοχή στην εκπαίδευση προκειμένου να ενισχυθούν οι διαπολιτισμικές και επικοινωνιακές δεξιότητες. </w:t>
      </w:r>
    </w:p>
    <w:p>
      <w:pPr>
        <w:pStyle w:val="P68B1DB1Normal20"/>
        <w:widowControl w:val="false"/>
        <w:spacing w:lineRule="exact" w:line="293" w:before="168" w:after="0"/>
        <w:ind w:left="276" w:right="123" w:hanging="0"/>
        <w:jc w:val="both"/>
        <w:rPr/>
      </w:pPr>
      <w:r>
        <w:rPr/>
        <w:t xml:space="preserve">Οι στόχοι αυτοί είναι σημαντικοί για εμάς, καθώς μπορούν να συμβάλουν στην προώθηση της ευρωπαϊκής συνοχής, στην ενίσχυση του σεβασμού και της συνεργασίας και στη μετάδοση των ευρωπαϊκών αξιών από μικρή ηλικία, έτσι ώστε η πολυμορφία της Ευρώπης να μπορεί να θεωρηθεί ευκαιρία.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Στρογγυλό τραπέζι 2: </w:t>
      </w:r>
    </w:p>
    <w:p>
      <w:pPr>
        <w:pStyle w:val="P68B1DB1Normal68"/>
        <w:widowControl w:val="false"/>
        <w:spacing w:lineRule="exact" w:line="400" w:before="205" w:after="0"/>
        <w:ind w:left="0" w:right="0" w:hanging="0"/>
        <w:jc w:val="left"/>
        <w:rPr>
          <w:rFonts w:ascii="Calibri" w:hAnsi="Calibri"/>
          <w:b/>
          <w:b/>
          <w:color w:val="000000"/>
          <w:sz w:val="24"/>
        </w:rPr>
      </w:pPr>
      <w:r>
        <w:rPr/>
        <w:t xml:space="preserve">Καθορισμός βασικού μισθού ειδικά για την απασχόληση </w:t>
      </w:r>
    </w:p>
    <w:p>
      <w:pPr>
        <w:pStyle w:val="P68B1DB1Normal20"/>
        <w:widowControl w:val="false"/>
        <w:spacing w:lineRule="exact" w:line="293"/>
        <w:ind w:left="276" w:right="121" w:hanging="0"/>
        <w:jc w:val="both"/>
        <w:rPr/>
      </w:pPr>
      <w:r>
        <w:rPr/>
        <w:t xml:space="preserve">Συνιστούμε στον Ευρωπαίο Επίτροπο για την Απασχόληση και τα Κοινωνικά Δικαιώματα να υποβάλει στο Ευρωπαϊκό Κοινοβούλιο πρόταση για τη θέσπιση βασικού μισθού ειδικά για την απασχόληση σε όλα τα κράτη μέλη. Αυτός ο βασικός μισθός θα πρέπει να αποτελείται από ένα ελάχιστο εισόδημα επαρκές για τη διασφάλιση της διαβίωσης και ένα ειδικό συμπλήρωμα της απασχόλησης. </w:t>
      </w:r>
    </w:p>
    <w:p>
      <w:pPr>
        <w:pStyle w:val="P68B1DB1Normal20"/>
        <w:widowControl w:val="false"/>
        <w:spacing w:lineRule="exact" w:line="293" w:before="173" w:after="0"/>
        <w:ind w:left="276" w:right="121" w:hanging="0"/>
        <w:jc w:val="both"/>
        <w:rPr/>
      </w:pPr>
      <w:r>
        <w:rPr/>
        <w:t xml:space="preserve">Στόχος μας είναι να διασφαλίσουμε ότι οι επαγγελματικές επιδόσεις και οι μισθοί είναι συγκρίσιμοι σε ολόκληρη την ΕΕ, προκειμένου να ενισχυθεί η κοινωνική δικαιοσύνη. Ο στόχος αυτός είναι σημαντικός για εμάς, καθώς θα διασφαλίσει ότι η αγορά εργασίας τηρεί μια θεμελιώδη αρχή της ΕΕ: συγκρίσιμες συνθήκες διαβίωσης και εργασίας, ανεξάρτητα από τον τόπο κατοικίας και απασχόλησης ενός ατόμου.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Στρογγυλό τραπέζι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Ενσωματώνοντας τις ευρωπαϊκές αξίες και επικοινωνώντας με τα συναισθήματα </w:t>
      </w:r>
    </w:p>
    <w:p>
      <w:pPr>
        <w:pStyle w:val="P68B1DB1Normal20"/>
        <w:widowControl w:val="false"/>
        <w:spacing w:lineRule="exact" w:line="338" w:before="192" w:after="0"/>
        <w:ind w:left="276" w:right="126" w:hanging="0"/>
        <w:jc w:val="both"/>
        <w:rPr/>
      </w:pPr>
      <w:r>
        <w:rPr/>
        <w:t xml:space="preserve">Συνιστούμε να γίνουν πιο συγκεκριμένες οι ευρωπαϊκές αξίες και να επικοινωνήσουμε με περισσότερα συναισθήματα. Αυτό θα μπορούσε να επιτευχθεί, για παράδειγμα, μέσω μιας δέσμης μέτρων «ενσωμάτωσης» που θα καλύπτει τα μέσα ενημέρωσης, τα διαδραστικά στοιχεία και τη μεγαλύτερη συμμετοχή των πολιτών. </w:t>
      </w:r>
    </w:p>
    <w:p>
      <w:pPr>
        <w:pStyle w:val="P68B1DB1Normal20"/>
        <w:widowControl w:val="false"/>
        <w:spacing w:lineRule="exact" w:line="336" w:before="216" w:after="0"/>
        <w:ind w:left="276" w:right="126" w:hanging="0"/>
        <w:jc w:val="left"/>
        <w:rPr/>
      </w:pPr>
      <w:r>
        <w:rPr/>
        <w:t xml:space="preserve">Στόχος μας είναι όλοι όσοι ζουν στην ΕΕ να γνωρίζουν και να ενστερνίζονται κοινές αξίες. </w:t>
      </w:r>
    </w:p>
    <w:p>
      <w:pPr>
        <w:pStyle w:val="P68B1DB1Normal20"/>
        <w:widowControl w:val="false"/>
        <w:spacing w:lineRule="exact" w:line="337" w:before="216" w:after="0"/>
        <w:ind w:left="276" w:right="119" w:hanging="0"/>
        <w:jc w:val="both"/>
        <w:rPr/>
      </w:pPr>
      <w:r>
        <w:rPr/>
        <w:t xml:space="preserve">Αυτός ο στόχος είναι σημαντικός για εμάς, διότι αποτελεί τη βάση για τη συνύπαρξη μας μέσα στην κοινότητα των αξιών μας. Αυτές οι αξίες είναι ελάχιστα γνωστές επειδή λείπει ο προσωπικός δεσμός. Πρέπει να κάνουμε αυτή τη σύνδεση.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Στρογγυλό τραπέζι 2: </w:t>
      </w:r>
    </w:p>
    <w:p>
      <w:pPr>
        <w:pStyle w:val="P68B1DB1Normal68"/>
        <w:widowControl w:val="false"/>
        <w:spacing w:lineRule="exact" w:line="400" w:before="211" w:after="0"/>
        <w:ind w:left="0" w:right="0" w:hanging="0"/>
        <w:jc w:val="left"/>
        <w:rPr>
          <w:rFonts w:ascii="Calibri" w:hAnsi="Calibri"/>
          <w:b/>
          <w:b/>
          <w:color w:val="000000"/>
          <w:sz w:val="24"/>
        </w:rPr>
      </w:pPr>
      <w:r>
        <w:rPr/>
        <w:t xml:space="preserve">Η ζωή στην ΕΕ </w:t>
      </w:r>
    </w:p>
    <w:p>
      <w:pPr>
        <w:pStyle w:val="P68B1DB1Normal20"/>
        <w:widowControl w:val="false"/>
        <w:spacing w:lineRule="exact" w:line="337" w:before="191" w:after="0"/>
        <w:ind w:left="276" w:right="116" w:hanging="0"/>
        <w:jc w:val="both"/>
        <w:rPr/>
      </w:pPr>
      <w:r>
        <w:rPr/>
        <w:t xml:space="preserve">Συνιστούμε στην ΕΕ να δημιουργήσει το δικό της τηλεοπτικό πρόγραμμα εκπαίδευσης και πληροφόρησης για να ευαισθητοποιήσει όλους τους πολίτες της ΕΕ σχετικά με τις κοινές μας αξίες και να εξασφαλίσει εύκολη και απρόσκοπτη πρόσβαση σε αυτές τις πληροφορίες για όλους. Οι στόχοι αυτοί είναι σημαντικοί για εμάς, διότι θέλουμε να κατανοήσουμε καλύτερα την κοινή γνώμη σε κάθε μία από τις χώρες της ΕΕ. Με αυτόν τον τρόπο, θέλουμε να ενισχύσουμε το κοινό έδαφος και να συμβάλλουμε στη συγκέντρωση των πολιτών για την προώθηση μεγαλύτερης αλληλεγγύης και την εκπαίδευσή τους στο κράτος δικαίου προκειμένου να διατηρηθεί η δημοκρατία.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ΙΙ Δ Εθνικές επιτροπές: Ιταλία</w:t>
      </w:r>
    </w:p>
    <w:p>
      <w:pPr>
        <w:pStyle w:val="P68B1DB1Normal70"/>
        <w:spacing w:lineRule="auto" w:line="240"/>
        <w:jc w:val="center"/>
        <w:rPr/>
      </w:pPr>
      <w:r>
        <w:rPr/>
        <w:t xml:space="preserve">Η Ομάδα Πολιτών θα διατυπώσει συστάσεις για τη Διάσκεψη για το Μέλλον της Ευρώπης, 11-12 Μαρτίου 2022 </w:t>
      </w:r>
    </w:p>
    <w:p>
      <w:pPr>
        <w:pStyle w:val="P68B1DB1Normal71"/>
        <w:widowControl w:val="false"/>
        <w:spacing w:lineRule="exact" w:line="916" w:before="147" w:after="0"/>
        <w:ind w:left="2234" w:right="0" w:hanging="0"/>
        <w:jc w:val="left"/>
        <w:rPr>
          <w:rFonts w:ascii="Arial" w:hAnsi="Arial"/>
          <w:color w:val="BD1271"/>
          <w:sz w:val="56"/>
        </w:rPr>
      </w:pPr>
      <w:r>
        <w:rPr/>
        <w:t xml:space="preserve">Συνοπτική έκθεση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Ρώμη, 16 Μαρτίου 2022</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ΕΙΚΟΝΑ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ΕΙΚΟΝΑ 42" descr=""/>
                    <pic:cNvPicPr>
                      <a:picLocks noChangeAspect="1" noChangeArrowheads="1"/>
                    </pic:cNvPicPr>
                  </pic:nvPicPr>
                  <pic:blipFill>
                    <a:blip r:embed="rId104"/>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sdt>
      <w:sdtPr>
        <w:docPartObj>
          <w:docPartGallery w:val="Table of Contents"/>
          <w:docPartUnique w:val="true"/>
        </w:docPartObj>
      </w:sdtPr>
      <w:sdtContent>
        <w:p>
          <w:pPr>
            <w:pStyle w:val="TOAHeading"/>
            <w:rPr/>
          </w:pPr>
          <w:r>
            <w:rPr/>
            <w:t>Πίνακας περιεχομένων</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Κατευθυντήριες αρχές για τη διαδικασία διοργάνωσης της επιτροπής </w:t>
      </w:r>
    </w:p>
    <w:p>
      <w:pPr>
        <w:pStyle w:val="P68B1DB1Normal34"/>
        <w:widowControl w:val="false"/>
        <w:spacing w:lineRule="auto" w:line="240"/>
        <w:ind w:left="0" w:right="0" w:hanging="0"/>
        <w:jc w:val="left"/>
        <w:rPr/>
      </w:pPr>
      <w:r>
        <w:rPr/>
        <w:t xml:space="preserve"> </w:t>
      </w:r>
      <w:r>
        <w:rPr/>
        <w:t xml:space="preserve">Η όλη διαδικασία υλοποίησης της ομάδας εργασίας σχεδιάστηκε ώστε να συνάδει με τις κατευθυντήριες γραμμές για τις εθνικές ομάδες πολιτών στο πλαίσιο της Διάσκεψης για το Μέλλον της Ευρώπης. Πιο συγκεκριμένα: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Σκοπός:</w:t>
      </w:r>
      <w:r>
        <w:rPr>
          <w:b/>
          <w:color w:val="000000"/>
        </w:rPr>
        <w:t xml:space="preserve"> </w:t>
      </w:r>
    </w:p>
    <w:p>
      <w:pPr>
        <w:pStyle w:val="P68B1DB1Normal34"/>
        <w:widowControl w:val="false"/>
        <w:spacing w:lineRule="auto" w:line="240"/>
        <w:ind w:left="720" w:right="0" w:hanging="0"/>
        <w:jc w:val="left"/>
        <w:rPr/>
      </w:pPr>
      <w:r>
        <w:rPr/>
        <w:t xml:space="preserve">Όλοι όσοι προσκλήθηκαν να συμμετάσχουν στην ομάδα συμπλήρωσαν ερωτηματολόγιο συμμετοχής που περιείχε τους στόχους και τους σκοπούς του σχεδίου, με συγκεκριμένες αναφορές στη Διάσκεψη για το Μέλλον της Ευρώπης, στα θέματα που καλύπτονται και τις λεπτομέρειες συμμετοχής.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Διαφάνεια: </w:t>
      </w:r>
    </w:p>
    <w:p>
      <w:pPr>
        <w:pStyle w:val="P68B1DB1Normal34"/>
        <w:widowControl w:val="false"/>
        <w:spacing w:lineRule="auto" w:line="240"/>
        <w:ind w:left="720" w:right="0" w:hanging="0"/>
        <w:jc w:val="left"/>
        <w:rPr/>
      </w:pPr>
      <w:r>
        <w:rPr/>
        <w:t xml:space="preserve">Όλα τα έγγραφα που παρουσίαζαν την πρωτοβουλία τέθηκαν στη διάθεση των συμμετεχόντων με διάφορα μέσα, παραπέμποντας πάντα στην επίσημη ιστοσελίδα του συνεδρίου. Τα έγγραφα απεστάλησαν μέσω ηλεκτρονικού ταχυδρομείου σε όλους τους συμμετέχοντες.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Χωρίς αποκλεισμούς: </w:t>
      </w:r>
    </w:p>
    <w:p>
      <w:pPr>
        <w:pStyle w:val="P68B1DB1Normal75"/>
        <w:widowControl w:val="false"/>
        <w:spacing w:lineRule="auto" w:line="240"/>
        <w:ind w:left="708" w:right="0" w:hanging="0"/>
        <w:jc w:val="left"/>
        <w:rPr/>
      </w:pPr>
      <w:r>
        <w:rPr>
          <w:color w:val="000000"/>
        </w:rPr>
        <w:t xml:space="preserve">Η πρόσκληση συμμετοχής στάλθηκε μέσω διαφόρων διαύλων: για παράδειγμα, στείλτε email στα μέλη της κοινότητας </w:t>
      </w:r>
      <w:r>
        <w:rPr>
          <w:color w:val="ED7D31"/>
        </w:rPr>
        <w:t>SWG</w:t>
      </w:r>
      <w:r>
        <w:rPr>
          <w:color w:val="000000"/>
        </w:rPr>
        <w:t xml:space="preserve"> και μοιραστείτε το σύνδεσμο προς τη φόρμα αίτησης μέσω Twitter και LinkedIn. Αυτό είχε ως αποτέλεσμα συνολικά περισσότερες από 400 προσβάσεις στο έντυπο της αίτησης και 245 αιτήσεις. Η (τυχαία) επιλογή των συμμετεχόντων πραγματοποιήθηκε κατά τρόπο που να εγγυάται την παρουσία διαφορετικών ατόμων φύλου, ηλικίας, κοινωνικής καταγωγής, τόπου διαμονής και επαγγελματικής κατάστασης.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Αντιπροσωπευτικότητα: </w:t>
      </w:r>
    </w:p>
    <w:p>
      <w:pPr>
        <w:pStyle w:val="P68B1DB1Normal34"/>
        <w:widowControl w:val="false"/>
        <w:spacing w:lineRule="auto" w:line="240"/>
        <w:ind w:left="708" w:right="0" w:hanging="0"/>
        <w:jc w:val="left"/>
        <w:rPr/>
      </w:pPr>
      <w:r>
        <w:rPr/>
        <w:t xml:space="preserve">Αν και το μέγεθος του δείγματος δεν είναι αντιπροσωπευτικό με τη στατιστική έννοια, το δείγμα σχεδιάστηκε για να επιτύχει τη μέγιστη ετερογένεια μεταξύ των συμμετεχόντων προκειμένου να αναπαραχθεί ένας μικρόκοσμος του κοινού-στόχου.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Πληροφορίες: </w:t>
      </w:r>
    </w:p>
    <w:p>
      <w:pPr>
        <w:pStyle w:val="Normal"/>
        <w:widowControl w:val="false"/>
        <w:spacing w:lineRule="auto" w:line="240"/>
        <w:ind w:left="720" w:right="0" w:hanging="0"/>
        <w:jc w:val="left"/>
        <w:rPr/>
      </w:pPr>
      <w:r>
        <w:rPr>
          <w:color w:val="000000"/>
        </w:rPr>
        <w:t xml:space="preserve">Όλοι οι συμμετέχοντες έλαβαν ένα ευρύ φάσμα πληροφοριών σχετικά με το συνέδριο και τα θέματα που συζητήθηκαν κατά τη διάρκεια του πάνελ. Οι στόχοι και οι λεπτομέρειες του έργου ανακλήθηκαν στους συμμετέχοντες στο εισαγωγικό μέρος, σύμφωνα με τις αρχές της ουδετερότητας και της πληρότητας. Όλοι οι συμμετέχοντες είχαν την ευκαιρία να ζητήσουν περισσότερες πληροφορίες και λεπτομέρειες σχετικά με την εκδήλωση μέσω των άμεσων τηλεφωνικών αριθμών των διαχειριστών του έργου στο πλαίσιο της </w:t>
      </w:r>
      <w:r>
        <w:rPr>
          <w:color w:val="ED7D31"/>
        </w:rPr>
        <w:t>SWG</w:t>
      </w:r>
      <w:r>
        <w:rPr>
          <w:color w:val="000000"/>
        </w:rPr>
        <w:t xml:space="preserv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Ομάδες διαβούλευσης: </w:t>
      </w:r>
    </w:p>
    <w:p>
      <w:pPr>
        <w:pStyle w:val="P68B1DB1Normal76"/>
        <w:widowControl w:val="false"/>
        <w:spacing w:lineRule="auto" w:line="240"/>
        <w:ind w:left="720" w:right="0" w:hanging="0"/>
        <w:jc w:val="left"/>
        <w:rPr/>
      </w:pPr>
      <w:r>
        <w:rPr/>
        <w:t xml:space="preserve">Κύριος στόχος της όλης διαδικασίας ήταν η διατύπωση συγκεκριμένων συστάσεων, τις οποίες συμμερίζονται ευρέως οι συμμετέχοντες, οι οποίες θα απευθύνονται στην Ευρωπαϊκή Ένωση. Ο τρόπος με τον οποίο οργανώθηκε το έργο και οι ομάδες οδήγησαν σε μια διαδικασία με επίκεντρο τη συλλογή των ενδείξεων των συμμετεχόντων, τη θεραπεία και τη σύνθεσή τους, καθώς και την επαλήθευση και την επικύρωσή τους από τις ίδιες τις ομάδες κατά τη διάρκεια μιας επόμενης συνεδρίασης εργασίας.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Ημερολόγιο: </w:t>
      </w:r>
    </w:p>
    <w:p>
      <w:pPr>
        <w:pStyle w:val="P68B1DB1Normal76"/>
        <w:widowControl w:val="false"/>
        <w:spacing w:lineRule="auto" w:line="240"/>
        <w:ind w:left="720" w:right="0" w:hanging="0"/>
        <w:jc w:val="left"/>
        <w:rPr/>
      </w:pPr>
      <w:r>
        <w:rPr/>
        <w:t xml:space="preserve">Μια χαλαρή ατμόσφαιρα δημιουργήθηκε κατά τη διάρκεια των συνεδριών εργασίας, δίνοντας στους συμμετέχοντες όλο τον απαραίτητο χρόνο για να εμβαθύνουν τα θέματα για τα οποία είχαν κληθεί να συζητήσουν, να εκφράσουν τις απόψεις τους και να ακούσουν εκείνες των άλλων. Για τον ίδιο λόγο, αποφασίστηκε να χωριστούν οι δύο κύριες ομάδες σε δύο υποομάδες. Επιπλέον, το έργο διανεμήθηκε σε δύο ημέρες, ώστε να μπορέσουν να βασιστούν οι ιδέες που διατυπώθηκαν.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Παρακολούθηση:</w:t>
      </w:r>
      <w:r>
        <w:rPr>
          <w:color w:val="000000"/>
        </w:rPr>
        <w:t xml:space="preserve"> </w:t>
      </w:r>
    </w:p>
    <w:p>
      <w:pPr>
        <w:pStyle w:val="P68B1DB1Normal76"/>
        <w:widowControl w:val="false"/>
        <w:spacing w:lineRule="auto" w:line="240"/>
        <w:ind w:left="720" w:right="0" w:hanging="0"/>
        <w:jc w:val="left"/>
        <w:rPr/>
      </w:pPr>
      <w:r>
        <w:rPr/>
        <w:t xml:space="preserve">Την τελευταία ημέρα, όλες οι ομάδες διενήργησαν την επαλήθευση και την επικύρωση των πρώτων σχεδίων συστάσεων που διατυπώθηκαν κατά την πρώτη φάση των εργασιών. Μετά την υποβολή της έκθεσης σχετικά με τα αποτελέσματα στο Ευρωπαϊκό Θεματικό Τμήμα της Προεδρίας του Συμβουλίου των Υπουργών και την έγκρισή της, η τελική έκδοση των συστάσεων διαβιβάστηκε σε όλους τους συμμετέχοντες της επιτροπής. Σε κάθε περίπτωση, οι συμμετέχοντες κλήθηκαν να συνεχίσουν να παρακολουθούν τις δραστηριότητες του συνεδρίου στην ιστοσελίδα και μέσω των ενημερώσεων που θα δημοσιευθούν.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Ακεραιότητα: </w:t>
      </w:r>
    </w:p>
    <w:p>
      <w:pPr>
        <w:pStyle w:val="Normal"/>
        <w:widowControl w:val="false"/>
        <w:spacing w:lineRule="auto" w:line="240"/>
        <w:ind w:left="720" w:right="0" w:hanging="0"/>
        <w:jc w:val="left"/>
        <w:rPr/>
      </w:pPr>
      <w:r>
        <w:rPr>
          <w:color w:val="000000"/>
        </w:rPr>
        <w:t xml:space="preserve">Ολόκληρη η διαδικασία εργασίας διεξήχθη ανεξάρτητα από την </w:t>
      </w:r>
      <w:r>
        <w:rPr>
          <w:color w:val="ED7D31"/>
        </w:rPr>
        <w:t>ομάδα εργασίας,</w:t>
      </w:r>
      <w:r>
        <w:rPr>
          <w:color w:val="000000"/>
        </w:rPr>
        <w:t xml:space="preserve"> ανάλογα με την αποστολή που παραλήφθηκε. Το Ευρωπαϊκό Θεματικό Τμήμα της Προεδρίας του Συμβουλίου Υπουργών ενημερώθηκε συνεχώς για τα διάφορα στάδια της πρωτοβουλίας και τα αποτελέσματα.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Προστασία της ιδιωτικής ζωής: </w:t>
      </w:r>
    </w:p>
    <w:p>
      <w:pPr>
        <w:pStyle w:val="P68B1DB1Normal76"/>
        <w:widowControl w:val="false"/>
        <w:spacing w:lineRule="auto" w:line="240"/>
        <w:ind w:left="721" w:right="0" w:hanging="0"/>
        <w:jc w:val="left"/>
        <w:rPr/>
      </w:pPr>
      <w:r>
        <w:rPr/>
        <w:t xml:space="preserve">Η ιδιωτικότητα των συμμετεχόντων ήταν πλήρως εγγυημένη. Για να είναι επιλέξιμοι να συμμετάσχουν στην επιτροπή, όλοι οι υποψήφιοι έπρεπε να υπογράψουν το έντυπο συγκατάθεσης μετά από ενημέρωση που απαιτείται από το νόμο.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Εκτίμηση: </w:t>
      </w:r>
    </w:p>
    <w:p>
      <w:pPr>
        <w:pStyle w:val="P68B1DB1Normal76"/>
        <w:widowControl w:val="false"/>
        <w:spacing w:lineRule="auto" w:line="240"/>
        <w:ind w:left="721" w:right="0" w:hanging="0"/>
        <w:jc w:val="left"/>
        <w:rPr>
          <w:rFonts w:ascii="Arial" w:hAnsi="Arial"/>
          <w:color w:val="000000"/>
          <w:sz w:val="22"/>
        </w:rPr>
      </w:pPr>
      <w:r>
        <w:rPr/>
        <w:t xml:space="preserve">Στο τέλος της διαδικασίας απεστάλη ερωτηματολόγιο σε όλους τους συμμετέχοντες για την αξιολόγηση της εμπειρίας τους. Τα αποτελέσματα συνοψίζονται στην παρούσα έκθεση. </w:t>
      </w:r>
    </w:p>
    <w:p>
      <w:pPr>
        <w:pStyle w:val="P68B1DB1Titre277"/>
        <w:numPr>
          <w:ilvl w:val="0"/>
          <w:numId w:val="2"/>
        </w:numPr>
        <w:rPr>
          <w:color w:val="BD1271"/>
        </w:rPr>
      </w:pPr>
      <w:bookmarkStart w:id="217" w:name="__RefHeading___Toc300310_1346298689"/>
      <w:bookmarkEnd w:id="217"/>
      <w:r>
        <w:rPr/>
        <w:t xml:space="preserve">2. Επιλογή συμμετεχόντων και τρόπος συμμετοχής </w:t>
      </w:r>
    </w:p>
    <w:p>
      <w:pPr>
        <w:pStyle w:val="P68B1DB1Normal74"/>
        <w:widowControl w:val="false"/>
        <w:spacing w:lineRule="auto" w:line="240" w:before="208" w:after="0"/>
        <w:ind w:left="0" w:right="0" w:hanging="0"/>
        <w:jc w:val="left"/>
        <w:rPr>
          <w:rFonts w:ascii="Arial" w:hAnsi="Arial"/>
          <w:color w:val="2E74B5"/>
          <w:sz w:val="22"/>
        </w:rPr>
      </w:pPr>
      <w:r>
        <w:rPr/>
        <w:t xml:space="preserve">Επιλογή </w:t>
      </w:r>
    </w:p>
    <w:p>
      <w:pPr>
        <w:pStyle w:val="P68B1DB1Normal76"/>
        <w:widowControl w:val="false"/>
        <w:spacing w:lineRule="auto" w:line="240" w:before="90" w:after="0"/>
        <w:ind w:left="0" w:right="6" w:hanging="0"/>
        <w:jc w:val="left"/>
        <w:rPr/>
      </w:pPr>
      <w:r>
        <w:rPr/>
        <w:t xml:space="preserve">Στόχος της φάσης επικοινωνίας πριν από την εκδήλωση ήταν η επιλογή τουλάχιστον 50 Ιταλών πολιτών που ενδιαφέρονται να συμμετάσχουν στην πρωτοβουλία. </w:t>
      </w:r>
    </w:p>
    <w:p>
      <w:pPr>
        <w:pStyle w:val="Normal"/>
        <w:widowControl w:val="false"/>
        <w:spacing w:lineRule="auto" w:line="240" w:before="90" w:after="0"/>
        <w:ind w:left="0" w:right="4" w:hanging="0"/>
        <w:jc w:val="both"/>
        <w:rPr/>
      </w:pPr>
      <w:r>
        <w:rPr>
          <w:color w:val="000000"/>
        </w:rPr>
        <w:t xml:space="preserve">Για τον σκοπό αυτό, δημιουργήθηκε ένα σύντομο έντυπο αυτοαίτησης με τη μορφή ερωτηματολογίου που θα συμπληρωθεί ηλεκτρονικά στην πλατφόρμα </w:t>
      </w:r>
      <w:r>
        <w:rPr>
          <w:color w:val="ED7D31"/>
        </w:rPr>
        <w:t>SWG</w:t>
      </w:r>
      <w:r>
        <w:rPr>
          <w:color w:val="000000"/>
        </w:rPr>
        <w:t xml:space="preserve">, μέσω του οποίου όλοι όσοι ενδιαφέρονται να συμμετάσχουν στην πρωτοβουλία ήταν σε θέση να υποβάλουν αίτηση, αναφέροντας τα δεδομένα που έπρεπε να εισαχθούν στις ομάδες από τις οποίες επιλέχθηκαν τυχαία οι συμμετέχοντες. Οι απαραίτητες προϋποθέσεις για τη συμμετοχή ήταν: να έχετε σύνδεση στο διαδίκτυο, συσκευή εξοπλισμένη με μικρόφωνο και βιντεοκάμερα, καθώς και να υπογράψετε το χάρτη συνεδρίων.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ΕΙΚΟΝΑ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ΕΙΚΟΝΑ44" descr=""/>
                    <pic:cNvPicPr>
                      <a:picLocks noChangeAspect="1" noChangeArrowheads="1"/>
                    </pic:cNvPicPr>
                  </pic:nvPicPr>
                  <pic:blipFill>
                    <a:blip r:embed="rId105"/>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8">
            <wp:simplePos x="0" y="0"/>
            <wp:positionH relativeFrom="column">
              <wp:posOffset>49530</wp:posOffset>
            </wp:positionH>
            <wp:positionV relativeFrom="paragraph">
              <wp:posOffset>958850</wp:posOffset>
            </wp:positionV>
            <wp:extent cx="287020" cy="287020"/>
            <wp:effectExtent l="0" t="0" r="0" b="0"/>
            <wp:wrapSquare wrapText="largest"/>
            <wp:docPr id="101" name="ΕΙΚΟΝΑ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ΕΙΚΟΝΑ43" descr=""/>
                    <pic:cNvPicPr>
                      <a:picLocks noChangeAspect="1" noChangeArrowheads="1"/>
                    </pic:cNvPicPr>
                  </pic:nvPicPr>
                  <pic:blipFill>
                    <a:blip r:embed="rId106"/>
                    <a:stretch>
                      <a:fillRect/>
                    </a:stretch>
                  </pic:blipFill>
                  <pic:spPr bwMode="auto">
                    <a:xfrm>
                      <a:off x="0" y="0"/>
                      <a:ext cx="287020" cy="287020"/>
                    </a:xfrm>
                    <a:prstGeom prst="rect">
                      <a:avLst/>
                    </a:prstGeom>
                  </pic:spPr>
                </pic:pic>
              </a:graphicData>
            </a:graphic>
          </wp:anchor>
        </w:drawing>
      </w:r>
      <w:r>
        <w:rPr>
          <w:color w:val="000000"/>
        </w:rPr>
        <w:t>Τ</w:t>
      </w:r>
      <w:r>
        <w:rPr>
          <w:color w:val="000000"/>
        </w:rPr>
        <w:t>ο έντυπο της αίτησης διανεμήθηκε στα κοινωνικά δίκτυα από τους λογαριασμούς της</w:t>
      </w:r>
      <w:r>
        <w:rPr>
          <w:color w:val="ED7D31"/>
        </w:rPr>
        <w:t>SWG</w:t>
      </w:r>
      <w:r>
        <w:rPr>
          <w:color w:val="000000"/>
        </w:rPr>
        <w:t xml:space="preserve">. Για το σκοπό αυτό, δημοσιεύθηκαν έξι αναρτήσεις στο Twitter και μία στο LinkedIn, με τα ακόλουθα αποτελέσματα: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Κοινωνικό δίκτυο</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Ημερομηνίες</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Αριθμός προβολών</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Πρόσβαση στο έντυπο της αίτησης</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Το 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θέσεις μεταξύ 8 και 10 Μαρτίου</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post στις 8 Μαρτίου</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Ταυτόχρονα, τα μέλη της κοινότητας </w:t>
      </w:r>
      <w:r>
        <w:rPr>
          <w:color w:val="ED7D31"/>
        </w:rPr>
        <w:t>SWG</w:t>
      </w:r>
      <w:r>
        <w:rPr>
          <w:color w:val="000000"/>
        </w:rPr>
        <w:t xml:space="preserve"> κλήθηκαν να υποβάλουν αίτηση, σύμφωνα με μια στρατηγική πρόσκλησης που αποσκοπεί στη διασφάλιση της μέγιστης αντιπροσωπευτικότητας του ιταλικού πληθυσμού, όχι μόνο όσον αφορά τα κοινωνικά χαρακτηριστικά, αλλά και όσον αφορά τις ιδέες, τους πολιτιστικούς προσανατολισμούς και τις αξίες. </w:t>
      </w:r>
    </w:p>
    <w:p>
      <w:pPr>
        <w:pStyle w:val="P68B1DB1Normal76"/>
        <w:widowControl w:val="false"/>
        <w:spacing w:lineRule="exact" w:line="253" w:before="71" w:after="0"/>
        <w:ind w:left="1" w:right="0" w:hanging="0"/>
        <w:jc w:val="both"/>
        <w:rPr/>
      </w:pPr>
      <w:r>
        <w:rPr/>
        <w:t xml:space="preserve">Οι αιτήσεις μπορούν να υποβληθούν μεταξύ 8ης Μαρτίου και ώρα 8 π.μ. έως 10 Μαρτίου 2022 και ώρα 14.00. Συνολικά, η διαδικασία δημιούργησε 420 πρόσβαση στο έντυπο της αίτησης και παρελήφθησαν 225 πλήρεις αιτήσεις. </w:t>
      </w:r>
    </w:p>
    <w:p>
      <w:pPr>
        <w:pStyle w:val="P68B1DB1Normal76"/>
        <w:widowControl w:val="false"/>
        <w:spacing w:lineRule="exact" w:line="253" w:before="67" w:after="0"/>
        <w:ind w:left="1" w:right="2" w:hanging="0"/>
        <w:jc w:val="both"/>
        <w:rPr/>
      </w:pPr>
      <w:r>
        <w:rPr/>
        <w:t xml:space="preserve">Συνολικά </w:t>
      </w:r>
      <w:r>
        <w:rPr>
          <w:b/>
        </w:rPr>
        <w:t>140</w:t>
      </w:r>
      <w:r>
        <w:rPr/>
        <w:t xml:space="preserve"> άτομα ήταν πράγματι επιλέξιμα, εκ των οποίων 70 επιλέχθηκαν βάσει κριτηρίου για τη διασφάλιση ισόρροπης παρουσίας όσον αφορά το φύλο, τη γεωγραφική κατανομή, την ηλικία και το μορφωτικό επίπεδο. </w:t>
      </w:r>
    </w:p>
    <w:p>
      <w:pPr>
        <w:pStyle w:val="P68B1DB1Normal76"/>
        <w:widowControl w:val="false"/>
        <w:spacing w:lineRule="exact" w:line="253" w:before="73" w:after="0"/>
        <w:ind w:left="1" w:right="1" w:hanging="0"/>
        <w:jc w:val="both"/>
        <w:rPr/>
      </w:pPr>
      <w:r>
        <w:rPr/>
        <w:t xml:space="preserve">Στο πλαίσιο της διαδικασίας επιλογής, δόθηκε ιδιαίτερη προσοχή στην αρχή της δίκαιης πιθανότητας κατά την επιλογή των συμμετεχόντων, συνοδευόμενη από διαδικασίες βάσει τυχαίου κριτηρίου. </w:t>
      </w:r>
    </w:p>
    <w:p>
      <w:pPr>
        <w:pStyle w:val="P68B1DB1Normal76"/>
        <w:widowControl w:val="false"/>
        <w:spacing w:lineRule="exact" w:line="253" w:before="71" w:after="0"/>
        <w:ind w:left="1" w:right="0" w:hanging="0"/>
        <w:jc w:val="both"/>
        <w:rPr/>
      </w:pPr>
      <w:r>
        <w:rPr/>
        <w:t xml:space="preserve">Ο τυχαίος χαρακτήρας της επιλογής ήταν κεντρικό στοιχείο του έργου για να διασφαλιστεί ο δίκαιος χαρακτήρας της διαδικασίας πρόσβασης. Ωστόσο, στο πνεύμα της πρωτοβουλίας, φάνηκε σημαντικό να τεθεί σε εφαρμογή μια στρατηγική που θα αποσκοπεί όχι μόνο στη συμμετοχή όσο το δυνατόν περισσότερων ανθρώπων, αλλά και στη διασφάλιση της μέγιστης ετερογένειας των ατόμων που επιλέγονται προκειμένου να προωθηθεί η μέγιστη συμμετοχή.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Συνοπτικά, η κατανομή των επιλέξιμων ατόμων ήταν η ακόλουθη:</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Φόρμα 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7"/>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Κατανομή των επιλέξιμων υποψηφίων</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φύλο</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ηλικιακή ομάδα</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ετών</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χρόνια</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ετών</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Επίπεδο εκπαίδευσης</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Χαμηλή</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Βορειοανατολικά</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Κολλέγιο, επαγγελματική εκπαίδευση</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Μέσος όρος</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Γυμνάσιο</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Μεγαλώνοντας</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Πτυχίο Bachelor, μεταπτυχιακό ή περισσότερο</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Νορθ Γουέστ</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Περιοχή κατοικίας</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κέντρο</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Νότια και Νησιά</w:t>
                              </w:r>
                            </w:p>
                          </w:txbxContent>
                        </wps:txbx>
                        <wps:bodyPr lIns="90000" rIns="90000" tIns="45000" bIns="45000">
                          <a:noAutofit/>
                        </wps:bodyPr>
                      </wps:wsp>
                    </wpg:wgp>
                  </a:graphicData>
                </a:graphic>
              </wp:anchor>
            </w:drawing>
          </mc:Choice>
          <mc:Fallback>
            <w:pict>
              <v:group id="shape_0" alt="Φόρμα 4" style="position:absolute;margin-left:0pt;margin-top:10.45pt;width:477.1pt;height:297.25pt" coordorigin="0,209" coordsize="9542,5945">
                <v:shape id="shape_0" stroked="f" style="position:absolute;left:0;top:976;width:9526;height:5177" type="shapetype_75">
                  <v:imagedata r:id="rId107"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Κατανομή των επιλέξιμων υποψηφίων</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φύλο</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ηλικιακή ομάδα</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ετών</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χρόνια</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ετών</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Επίπεδο εκπαίδευσης</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Χαμηλή</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Βορειοανατολικά</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Κολλέγιο, επαγγελματική εκπαίδευση</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Μέσος όρος</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Γυμνάσιο</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Μεγαλώνοντας</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Πτυχίο Bachelor, μεταπτυχιακό ή περισσότερο</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Νορθ Γουέστ</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Περιοχή κατοικίας</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κέντρο</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Νότια και Νησιά</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Μόλις επιλέχθηκαν οι 70 υποψήφιοι, το πρωί της εκδήλωσης, έλαβαν ένα τηλεφώνημα για να επιβεβαιώσουν τη συμμετοχή τους. Οι κλήσεις αυτές πραγματοποιήθηκαν από το κέντρο επαφής </w:t>
      </w:r>
      <w:r>
        <w:rPr>
          <w:color w:val="ED7D31"/>
        </w:rPr>
        <w:t>SWG</w:t>
      </w:r>
      <w:r>
        <w:rPr>
          <w:color w:val="000000"/>
        </w:rPr>
        <w:t xml:space="preserve"> χρησιμοποιώντας τη μέθοδο CATI (Computer Assisted Telephone Survey). Στο τέλος αυτής της φάσης, συνολικά 59 άτομα επιβεβαίωσαν τη συμμετοχή τους και καταγράφηκαν. </w:t>
      </w:r>
      <w:r>
        <w:rPr>
          <w:b/>
          <w:color w:val="BD1271"/>
        </w:rPr>
        <w:t>Από αυτούς, 55 συμμετείχαν ενεργά στο πάνελ.</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Η κοινωνική και ηλικιακή κατανομή των μελών της ομάδας ήταν η εξής: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Φόρμα 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8"/>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Κατανομή των ενεργών συμμετεχόντων</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φύλο</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ηλικιακή ομάδα</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ετών</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χρόνια</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ετών</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Επίπεδο εκπαίδευσης</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Χαμηλή</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Βορειοανατολικά</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Κολλέγιο, επαγγελματική εκπαίδευση</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Μέσος όρος</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Γυμνάσιο</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Μεγαλώνοντας</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Πτυχίο Bachelor, μεταπτυχιακό ή περισσότερο</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Νορθ Γουέστ</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Περιοχή κατοικίας</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κέντρο</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Νότια και Νησιά</w:t>
                              </w:r>
                            </w:p>
                          </w:txbxContent>
                        </wps:txbx>
                        <wps:bodyPr lIns="90000" rIns="90000" tIns="45000" bIns="45000">
                          <a:noAutofit/>
                        </wps:bodyPr>
                      </wps:wsp>
                    </wpg:wgp>
                  </a:graphicData>
                </a:graphic>
              </wp:anchor>
            </w:drawing>
          </mc:Choice>
          <mc:Fallback>
            <w:pict>
              <v:group id="shape_0" alt="Φόρμα 5" style="position:absolute;margin-left:0.05pt;margin-top:3.25pt;width:484.8pt;height:285.3pt" coordorigin="1,65" coordsize="9696,5706">
                <v:shape id="shape_0" stroked="f" style="position:absolute;left:1;top:787;width:9545;height:4982" type="shapetype_75">
                  <v:imagedata r:id="rId108"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Κατανομή των ενεργών συμμετεχόντων</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φύλο</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ηλικιακή ομάδα</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ετών</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χρόνια</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ετών</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Επίπεδο εκπαίδευσης</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Χαμηλή</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Βορειοανατολικά</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Κολλέγιο, επαγγελματική εκπαίδευση</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Μέσος όρος</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Γυμνάσιο</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Μεγαλώνοντας</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Πτυχίο Bachelor, μεταπτυχιακό ή περισσότερο</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Νορθ Γουέστ</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Περιοχή κατοικίας</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κέντρο</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Νότια και Νησιά</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Εδώ είναι τα αποτελέσματα των σταδίων της διαδικασίας επιλογής: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Φόρμα 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9"/>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Η διαδικασία υποβολής αιτήσεων</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Πρόσβαση στο έντυπο της αίτησης</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Πλήρεις εφαρμογές</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Επιλέξιμοι υποψήφιοι</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Έγινε δεκτός στην επιτροπή</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Ενεργοί συμμετέχοντες</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Μαρτίου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Μαρτίου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Μαρτίου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Μαρτίου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Μαρτίου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Μαρτίου 2022</w:t>
                              </w:r>
                            </w:p>
                          </w:txbxContent>
                        </wps:txbx>
                        <wps:bodyPr lIns="90000" rIns="90000" tIns="45000" bIns="45000">
                          <a:noAutofit/>
                        </wps:bodyPr>
                      </wps:wsp>
                    </wpg:wgp>
                  </a:graphicData>
                </a:graphic>
              </wp:anchor>
            </w:drawing>
          </mc:Choice>
          <mc:Fallback>
            <w:pict>
              <v:group id="shape_0" alt="Φόρμα 6" style="position:absolute;margin-left:0.8pt;margin-top:11.4pt;width:476.1pt;height:286.6pt" coordorigin="16,228" coordsize="9522,5732">
                <v:shape id="shape_0" stroked="f" style="position:absolute;left:2410;top:949;width:4571;height:5010" type="shapetype_75">
                  <v:imagedata r:id="rId109"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Η διαδικασία υποβολής αιτήσεων</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Πρόσβαση στο έντυπο της αίτησης</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Πλήρεις εφαρμογές</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Επιλέξιμοι υποψήφιοι</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Έγινε δεκτός στην επιτροπή</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Ενεργοί συμμετέχοντες</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Μαρτίου 2022</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Μαρτίου 2022</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Μαρτίου 2022</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Μαρτίου 2022</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Μαρτίου 2022</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Μαρτίου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Εξοπλισμός επικοινωνίας </w:t>
      </w:r>
    </w:p>
    <w:p>
      <w:pPr>
        <w:pStyle w:val="P68B1DB1Normal76"/>
        <w:widowControl w:val="false"/>
        <w:spacing w:lineRule="exact" w:line="379" w:before="200" w:after="0"/>
        <w:ind w:left="0" w:right="2" w:hanging="0"/>
        <w:jc w:val="left"/>
        <w:rPr/>
      </w:pPr>
      <w:r>
        <w:rPr/>
        <w:t xml:space="preserve">Για να εξασφαλιστεί εξαρχής υψηλό επίπεδο κινήτρων και συμμετοχής, τέθηκαν στη διάθεση όλων των συμμετεχόντων τα ακόλουθα έγγραφα: </w:t>
      </w:r>
    </w:p>
    <w:p>
      <w:pPr>
        <w:pStyle w:val="P68B1DB1Normal76"/>
        <w:widowControl w:val="false"/>
        <w:spacing w:lineRule="exact" w:line="252" w:before="192" w:after="0"/>
        <w:ind w:left="720" w:right="0" w:hanging="0"/>
        <w:jc w:val="left"/>
        <w:rPr/>
      </w:pPr>
      <w:r>
        <w:rPr/>
        <w:t xml:space="preserve">• </w:t>
      </w:r>
      <w:r>
        <w:rPr>
          <w:b/>
        </w:rPr>
        <w:t xml:space="preserve">τα δελτία παρουσίασης της Διάσκεψης για το Μέλλον της Ευρώπης και των εθνικών ομάδων· </w:t>
      </w:r>
    </w:p>
    <w:p>
      <w:pPr>
        <w:pStyle w:val="P68B1DB1Normal76"/>
        <w:widowControl w:val="false"/>
        <w:spacing w:lineRule="exact" w:line="379"/>
        <w:ind w:left="720" w:right="0" w:hanging="0"/>
        <w:jc w:val="left"/>
        <w:rPr/>
      </w:pPr>
      <w:r>
        <w:rPr/>
        <w:t xml:space="preserve">• </w:t>
      </w:r>
      <w:r>
        <w:rPr>
          <w:b/>
        </w:rPr>
        <w:t xml:space="preserve">τον Χάρτη της Διάσκεψης για το Μέλλον της Ευρώπης· </w:t>
      </w:r>
    </w:p>
    <w:p>
      <w:pPr>
        <w:pStyle w:val="P68B1DB1Normal76"/>
        <w:widowControl w:val="false"/>
        <w:spacing w:lineRule="exact" w:line="379"/>
        <w:ind w:left="720" w:right="0" w:hanging="0"/>
        <w:jc w:val="left"/>
        <w:rPr/>
      </w:pPr>
      <w:r>
        <w:rPr/>
        <w:t xml:space="preserve">• </w:t>
      </w:r>
      <w:r>
        <w:rPr>
          <w:b/>
        </w:rPr>
        <w:t xml:space="preserve">τα θέματα που θα συζητηθούν κατά τη διάρκεια των επιτροπών· </w:t>
      </w:r>
    </w:p>
    <w:p>
      <w:pPr>
        <w:pStyle w:val="P68B1DB1Normal76"/>
        <w:widowControl w:val="false"/>
        <w:spacing w:lineRule="exact" w:line="379"/>
        <w:ind w:left="721" w:right="0" w:hanging="0"/>
        <w:jc w:val="left"/>
        <w:rPr/>
      </w:pPr>
      <w:r>
        <w:rPr/>
        <w:t xml:space="preserve">• </w:t>
      </w:r>
      <w:r>
        <w:rPr>
          <w:b/>
        </w:rPr>
        <w:t xml:space="preserve">τεχνικές και οργανωτικές πληροφορίες που απαιτούνται για τη συμμετοχή. </w:t>
      </w:r>
    </w:p>
    <w:p>
      <w:pPr>
        <w:pStyle w:val="P68B1DB1Titre277"/>
        <w:numPr>
          <w:ilvl w:val="0"/>
          <w:numId w:val="2"/>
        </w:numPr>
        <w:rPr>
          <w:color w:val="BD1271"/>
        </w:rPr>
      </w:pPr>
      <w:bookmarkStart w:id="218" w:name="__RefHeading___Toc300312_1346298689"/>
      <w:bookmarkEnd w:id="218"/>
      <w:r>
        <w:rPr/>
        <w:t xml:space="preserve">3. Οργάνωση της ειδικής ομάδας </w:t>
      </w:r>
    </w:p>
    <w:p>
      <w:pPr>
        <w:pStyle w:val="P68B1DB1Normal76"/>
        <w:widowControl w:val="false"/>
        <w:spacing w:lineRule="exact" w:line="272" w:before="231" w:after="0"/>
        <w:ind w:left="0" w:right="0" w:hanging="0"/>
        <w:jc w:val="both"/>
        <w:rPr/>
      </w:pPr>
      <w:r>
        <w:rPr/>
        <w:t xml:space="preserve">Προκειμένου να καταστεί δυνατή η μέγιστη συμμετοχή, συμπεριλαμβανομένων των προσώπων με επαγγελματικές υποχρεώσεις, η ομάδα οργανώθηκε σε διάστημα δύο συνεχόμενων ημιημερών, συμπεριλαμβανομένης μίας τα Σαββατοκύριακα, σύμφωνα με το ακόλουθο χρονοδιάγραμμα: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Παρασκευή 11 Μαρτίου από τις 4 έως τις 8 μ.μ.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Σάββατο 12 Μαρτίου από τις 10 π.μ. έως τις 12 μ.μ. </w:t>
      </w:r>
    </w:p>
    <w:p>
      <w:pPr>
        <w:pStyle w:val="Normal"/>
        <w:widowControl w:val="false"/>
        <w:spacing w:lineRule="exact" w:line="286" w:before="83" w:after="0"/>
        <w:ind w:left="0" w:right="1" w:hanging="0"/>
        <w:jc w:val="both"/>
        <w:rPr/>
      </w:pPr>
      <w:r>
        <w:rPr>
          <w:color w:val="000000"/>
        </w:rPr>
        <w:t xml:space="preserve">Η επιλογή αυτή αποσκοπούσε, αφενός, στη διευκόλυνση της συμμετοχής των εργαζομένων στην πρωτοβουλία και, αφετέρου, στον καταμερισμό του χρόνου συμμετοχής ώστε να ενθαρρυνθεί η μεγαλύτερη προσοχή και συμμετοχή, καθώς και ο περαιτέρω προβληματισμός σχετικά με τα θέματα και τις προτάσεις που υποβλήθηκαν. Οι συμμετέχοντες στο πάνελ συνδέονταν με τις δύο συνεδριάσεις εργασίας χρησιμοποιώντας την πλατφόρμα GoToMeeting και χωρίστηκαν σε τέσσερις ομάδες (δύο για κάθε θεματικό τομέα), με επικεφαλής έναν συντονιστή της </w:t>
      </w:r>
      <w:r>
        <w:rPr>
          <w:color w:val="ED7D31"/>
        </w:rPr>
        <w:t>ομάδας</w:t>
      </w:r>
      <w:r>
        <w:rPr>
          <w:color w:val="000000"/>
        </w:rPr>
        <w:t xml:space="preserve"> εργασίας και βοηθούς ενός προσώπου υπεύθυνου για τη σύνταξη των εργασιών. Οι συντονιστές διευκόλυναν τις ομάδες μέσα από δύο διαφορετικές οδούς συζήτησης (μία για κάθε θεματικό τομέα), με στόχο τη συμμετοχή όσο το δυνατόν περισσότερο όλων των επιλεγμένων ατόμων και την εξασφάλιση μιας προσέγγισης βασισμένης στη μέγιστη ένταξη και ουδετερότητα. </w:t>
      </w:r>
    </w:p>
    <w:p>
      <w:pPr>
        <w:pStyle w:val="Titre2"/>
        <w:numPr>
          <w:ilvl w:val="1"/>
          <w:numId w:val="2"/>
        </w:numPr>
        <w:rPr/>
      </w:pPr>
      <w:bookmarkStart w:id="219" w:name="__RefHeading___Toc300314_1346298689"/>
      <w:bookmarkEnd w:id="219"/>
      <w:r>
        <w:rPr>
          <w:color w:val="BD1271"/>
        </w:rPr>
        <w:t>4. ΠΡΟΓΡΑΜΜΑ ΕΡΓΑΣΙΑΣ</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Πρώτη σύνοδος (Παρασκευή 11 Μαρτίου 2022) </w:t>
      </w:r>
    </w:p>
    <w:p>
      <w:pPr>
        <w:pStyle w:val="P68B1DB1Normal76"/>
        <w:widowControl w:val="false"/>
        <w:spacing w:lineRule="exact" w:line="362" w:before="208" w:after="0"/>
        <w:ind w:left="360" w:right="0" w:hanging="0"/>
        <w:jc w:val="left"/>
        <w:rPr/>
      </w:pPr>
      <w:r>
        <w:rPr/>
        <w:t xml:space="preserve">• </w:t>
      </w:r>
      <w:r>
        <w:rPr/>
        <w:t xml:space="preserve">00 μ.μ. — Ανοίγοντας την εικονική αίθουσα και τη δυνατότητα των συμμετεχόντων να συνδεθούν με την πλατφόρμα για να ελέγξουν την ορθή λειτουργία των συστημάτων ήχου και βίντεο. </w:t>
      </w:r>
    </w:p>
    <w:p>
      <w:pPr>
        <w:pStyle w:val="P68B1DB1Normal76"/>
        <w:widowControl w:val="false"/>
        <w:spacing w:lineRule="exact" w:line="362"/>
        <w:ind w:left="360" w:right="0" w:hanging="0"/>
        <w:jc w:val="left"/>
        <w:rPr/>
      </w:pPr>
      <w:r>
        <w:rPr/>
        <w:t xml:space="preserve">• </w:t>
      </w:r>
      <w:r>
        <w:rPr/>
        <w:t xml:space="preserve">16:00 — Εισαγωγή από συντονιστή: επεξήγηση των λόγων της πρωτοβουλίας και περιγραφή της δομής των εργασιών.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 μ.μ. — Κατανομή των συμμετεχόντων σε ομάδες με βάση τις προτιμήσεις που υποδεικνύονται κατά τη φάση της αίτησης.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16:20 — Έναρξη της ομαδικής συζήτησης.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20.00 μ.μ. — Λήξη της συνόδου. </w:t>
      </w:r>
    </w:p>
    <w:p>
      <w:pPr>
        <w:pStyle w:val="P68B1DB1Normal80"/>
        <w:widowControl w:val="false"/>
        <w:spacing w:lineRule="exact" w:line="393" w:before="248" w:after="0"/>
        <w:ind w:left="0" w:right="0" w:hanging="0"/>
        <w:jc w:val="left"/>
        <w:rPr>
          <w:rFonts w:ascii="Arial" w:hAnsi="Arial"/>
          <w:color w:val="116E9A"/>
          <w:sz w:val="24"/>
        </w:rPr>
      </w:pPr>
      <w:r>
        <w:rPr/>
        <w:t xml:space="preserve">Δεύτερη σύνοδος (Σάββατο 12 Μαρτίου 2022)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10 π.μ. — Επανεκκίνηση της εργασίας με την ανάγνωση των αποτελεσμάτων του έργου της πρώτης ημέρας. </w:t>
      </w:r>
    </w:p>
    <w:p>
      <w:pPr>
        <w:pStyle w:val="P68B1DB1Normal76"/>
        <w:widowControl w:val="false"/>
        <w:spacing w:lineRule="exact" w:line="254"/>
        <w:ind w:left="360" w:right="140" w:hanging="0"/>
        <w:jc w:val="left"/>
        <w:rPr/>
      </w:pPr>
      <w:r>
        <w:rPr/>
        <w:t xml:space="preserve">• </w:t>
      </w:r>
      <w:r>
        <w:rPr/>
        <w:t xml:space="preserve">10.15 π.μ. — Συνεχής συζήτηση, διεξοδικές συζητήσεις και σχόλια των συμμετεχόντων. </w:t>
      </w:r>
    </w:p>
    <w:p>
      <w:pPr>
        <w:pStyle w:val="Normal"/>
        <w:widowControl w:val="false"/>
        <w:spacing w:lineRule="exact" w:line="362"/>
        <w:ind w:left="360" w:right="0" w:hanging="0"/>
        <w:jc w:val="left"/>
        <w:rPr/>
      </w:pPr>
      <w:r>
        <w:rPr>
          <w:color w:val="000000"/>
        </w:rPr>
        <w:t xml:space="preserve">• </w:t>
      </w:r>
      <w:r>
        <w:rPr>
          <w:color w:val="000000"/>
        </w:rPr>
        <w:t>12.00 — Περάτωση της εργασίας</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ΕΙΚΟΝΑ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ΕΙΚΟΝΑ45" descr=""/>
                    <pic:cNvPicPr>
                      <a:picLocks noChangeAspect="1" noChangeArrowheads="1"/>
                    </pic:cNvPicPr>
                  </pic:nvPicPr>
                  <pic:blipFill>
                    <a:blip r:embed="rId110"/>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Συστάσεις που έγιναν </w:t>
      </w:r>
    </w:p>
    <w:p>
      <w:pPr>
        <w:pStyle w:val="Titre3"/>
        <w:numPr>
          <w:ilvl w:val="2"/>
          <w:numId w:val="2"/>
        </w:numPr>
        <w:rPr/>
      </w:pPr>
      <w:bookmarkStart w:id="221" w:name="__RefHeading___Toc300318_1346298689"/>
      <w:bookmarkEnd w:id="221"/>
      <w:r>
        <w:rPr>
          <w:color w:val="FFFFFF"/>
          <w:shd w:fill="0066B3" w:val="clear"/>
        </w:rPr>
        <w:t>Ισχυρότερη οικονομία, κοινωνική δικαιοσύνη και απασχόληση</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Ξεπερνώντας το παραγωγικό μοντέλο του περασμένου αιώνα </w:t>
      </w:r>
    </w:p>
    <w:p>
      <w:pPr>
        <w:pStyle w:val="P68B1DB1Normal76"/>
        <w:widowControl w:val="false"/>
        <w:spacing w:lineRule="auto" w:line="240" w:before="80" w:after="0"/>
        <w:ind w:left="0" w:right="1" w:hanging="0"/>
        <w:jc w:val="both"/>
        <w:rPr/>
      </w:pPr>
      <w:r>
        <w:rPr/>
        <w:t xml:space="preserve">Οι συμμετέχοντες στην ομάδα έκριναν ότι τα τελευταία παγκόσμια γεγονότα (η πανδημία COVID-19 και η σύγκρουση μεταξύ Ρωσίας και Ουκρανίας) κατέδειξαν φαινομενικά τους περιορισμούς του σημερινού ευρωπαϊκού μοντέλου παραγωγής και τόνισαν την ανάγκη να επανεξεταστεί μια προσέγγιση που πολλοί περιγράφουν ως «ανήκουσα στον περασμένο αιώνα».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Η απόδειξη της εξάρτησης της Ευρώπης από τις εισαγωγές ενέργειας και τροφίμων από χώρες εκτός της Ευρωπαϊκής Ένωσης, καθώς και η ανακάλυψη (κατά τη διάρκεια της πανδημίας) ότι δεν είμαστε σε θέση να παράγουμε μόνοι μας την ποσότητα των ιατροτεχνολογικών προϊόντων και των εμβολίων που απαιτούνται για την καταπολέμηση της εξάπλωσης του ιού, έχουν δημιουργήσει την εντύπωση ότι το οικονομικό μας σύστημα πάσχει από διαρθρωτική αδυναμία λόγω έλλειψης αυτάρκειας.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Ταυτόχρονα, οι συμμετέχοντες πιστεύουν σαφώς ότι μια ισχυρότερη οικονομία, ικανή να δημιουργήσει θέσεις εργασίας σε ένα πλαίσιο κοινωνικής δικαιοσύνης, πρέπει να είναι σε θέση να αποκτήσει σημαντικά τεχνολογικά πλεονεκτήματα. Για να γίνει αυτό, είναι σημαντικό να υποστηριχθεί ένα εκπαιδευτικό σύστημα με συνεχώς αυξανόμενη προσοχή σε θέματα που σχετίζονται με τους τομείς STEM.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b/>
        </w:rPr>
        <w:t>Η τεχνολογική καινοτομία, η βιώσιμη ενέργεια, αλλά και ο τουρισμός και ο πολιτισμός</w:t>
      </w:r>
      <w:r>
        <w:rPr/>
        <w:t xml:space="preserve"> φαίνεται να αποτελούν τρεις θεμελιώδεις άξονες για την ανάπτυξη της ευρωπαϊκής οικονομίας του αύριο, με ιδιαίτερη έμφαση στη διατήρηση της βασικής παραγωγής προκειμένου να αποφευχθεί ο κίνδυνος υπερβολικής εξάρτησης από τρίτες χώρες από τον εφοδιασμό βασικών προϊόντων και πρώτων υλών.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ΣΥΣΤΆΣΕΙΣ ΕΝ ΣΥΝΤΟΜΊΑ </w:t>
      </w:r>
    </w:p>
    <w:p>
      <w:pPr>
        <w:pStyle w:val="P68B1DB1Normal84"/>
        <w:widowControl w:val="false"/>
        <w:spacing w:lineRule="auto" w:line="240" w:before="69" w:after="0"/>
        <w:ind w:left="283" w:right="0" w:hanging="0"/>
        <w:jc w:val="left"/>
        <w:rPr/>
      </w:pPr>
      <w:r>
        <w:rPr>
          <w:color w:val="BD1271"/>
        </w:rPr>
        <w:t xml:space="preserve">1. </w:t>
      </w:r>
      <w:r>
        <w:rPr>
          <w:color w:val="000000"/>
        </w:rPr>
        <w:t>Ανάληψη αποτελεσματικής δράσης για την κλιματική αλλαγή και την εναλλακτική ενέργεια.</w:t>
      </w:r>
    </w:p>
    <w:p>
      <w:pPr>
        <w:pStyle w:val="P68B1DB1Normal84"/>
        <w:widowControl w:val="false"/>
        <w:spacing w:lineRule="auto" w:line="240"/>
        <w:ind w:left="283" w:right="0" w:hanging="0"/>
        <w:jc w:val="left"/>
        <w:rPr/>
      </w:pPr>
      <w:r>
        <w:rPr>
          <w:color w:val="BD1271"/>
        </w:rPr>
        <w:t xml:space="preserve">2. </w:t>
      </w:r>
      <w:r>
        <w:rPr>
          <w:color w:val="000000"/>
        </w:rPr>
        <w:t>Επενδύστε στον τουρισμό και την πολιτιστική οικονομία, αποτιμώντας επίσης τους πολλούς μικρούς προορισμούς στην Ευρώπη.</w:t>
      </w:r>
    </w:p>
    <w:p>
      <w:pPr>
        <w:pStyle w:val="P68B1DB1Normal84"/>
        <w:widowControl w:val="false"/>
        <w:spacing w:lineRule="auto" w:line="240"/>
        <w:ind w:left="283" w:right="0" w:hanging="0"/>
        <w:jc w:val="left"/>
        <w:rPr/>
      </w:pPr>
      <w:r>
        <w:rPr>
          <w:color w:val="BD1271"/>
        </w:rPr>
        <w:t xml:space="preserve">3. </w:t>
      </w:r>
      <w:r>
        <w:rPr>
          <w:color w:val="000000"/>
        </w:rPr>
        <w:t>Εστίαση στην τεχνολογία και την καινοτομία ως κινητήριες δυνάμεις της ανάπτυξης.</w:t>
      </w:r>
    </w:p>
    <w:p>
      <w:pPr>
        <w:pStyle w:val="P68B1DB1Normal84"/>
        <w:widowControl w:val="false"/>
        <w:spacing w:lineRule="auto" w:line="240"/>
        <w:ind w:left="283" w:right="0" w:hanging="0"/>
        <w:jc w:val="left"/>
        <w:rPr/>
      </w:pPr>
      <w:r>
        <w:rPr>
          <w:color w:val="BD1271"/>
        </w:rPr>
        <w:t xml:space="preserve">4. </w:t>
      </w:r>
      <w:r>
        <w:rPr>
          <w:color w:val="000000"/>
        </w:rPr>
        <w:t>Μείωση των εξαρτήσεων από άλλες χώρες από τις πρώτες ύλες, τις πηγές ενέργειας και τη γεωργία.</w:t>
      </w:r>
    </w:p>
    <w:p>
      <w:pPr>
        <w:pStyle w:val="P68B1DB1Normal84"/>
        <w:widowControl w:val="false"/>
        <w:spacing w:lineRule="auto" w:line="240"/>
        <w:ind w:left="283" w:right="0" w:hanging="0"/>
        <w:jc w:val="left"/>
        <w:rPr/>
      </w:pPr>
      <w:r>
        <w:rPr>
          <w:color w:val="BD1271"/>
        </w:rPr>
        <w:t xml:space="preserve">5. </w:t>
      </w:r>
      <w:r>
        <w:rPr>
          <w:color w:val="000000"/>
        </w:rPr>
        <w:t>Ενθάρρυνση των νέων να μελετήσουν επιστημονικά θέματα.</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Γενικοί και χωρίς αποκλεισμούς κανονισμοί παραγωγής </w:t>
      </w:r>
    </w:p>
    <w:p>
      <w:pPr>
        <w:pStyle w:val="P68B1DB1Normal76"/>
        <w:widowControl w:val="false"/>
        <w:spacing w:lineRule="auto" w:line="240" w:before="91" w:after="0"/>
        <w:ind w:left="0" w:right="2" w:hanging="0"/>
        <w:jc w:val="both"/>
        <w:rPr/>
      </w:pPr>
      <w:r>
        <w:rPr/>
        <w:t xml:space="preserve">Για να ξεπεραστεί η οικονομική λογική του περασμένου αιώνα, είναι επίσης απαραίτητο να επανεξεταστούν οι κανόνες και οι διαδικασίες που διέπουν τις επιχειρηματικές δραστηριότητες. Υπάρχουν τέσσερις συστάσεις με αυτή την έννοια, οι οποίες ανταποκρίνονται όλες σε μια κοινή λογική: αφενός, η απλούστευση των κανόνων και, αφετέρου, η διατήρηση υψηλού επιπέδου επαγρύπνησης κατά των παραβάσεων (ιδίως όσον αφορά την παραχάραξη και τον αθέμιτο ανταγωνισμό). </w:t>
      </w:r>
    </w:p>
    <w:p>
      <w:pPr>
        <w:pStyle w:val="P68B1DB1Normal76"/>
        <w:widowControl w:val="false"/>
        <w:spacing w:lineRule="auto" w:line="240" w:before="15" w:after="0"/>
        <w:ind w:left="0" w:right="2" w:hanging="0"/>
        <w:jc w:val="both"/>
        <w:rPr/>
      </w:pPr>
      <w:r>
        <w:rPr/>
        <w:t xml:space="preserve">Ιδιαίτερη προσοχή δίνεται στην ανάγκη για οικονομικούς κανόνες που είναι κατά κύριο λόγο γεννητικοί, μειώνοντας όσο το δυνατόν περισσότερο τις επιλογές που απαιτούν την τυποποίηση των διαδικασιών παραγωγής (απειλώντας συγκεκριμένες τοπικές παραγωγές με βαθιές πολιτιστικές ρίζες), αλλά και την καταστροφή των γεωργικών αγαθών λόγω της ανάγκης διατήρησης προκαθορισμένων ποσοτήτων παραγωγής.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ΣΥΣΤΆΣΕΙΣ ΕΝ ΣΥΝΤΟΜΊΑ </w:t>
      </w:r>
    </w:p>
    <w:p>
      <w:pPr>
        <w:pStyle w:val="P68B1DB1Normal84"/>
        <w:widowControl w:val="false"/>
        <w:spacing w:lineRule="auto" w:line="240" w:before="72" w:after="0"/>
        <w:ind w:left="142" w:right="0" w:hanging="0"/>
        <w:jc w:val="left"/>
        <w:rPr/>
      </w:pPr>
      <w:r>
        <w:rPr>
          <w:color w:val="BD1271"/>
        </w:rPr>
        <w:t xml:space="preserve">1. </w:t>
      </w:r>
      <w:r>
        <w:rPr>
          <w:color w:val="000000"/>
        </w:rPr>
        <w:t>Μείωση της γραφειοκρατίας (άδειες, πιστοποιήσεις).</w:t>
      </w:r>
    </w:p>
    <w:p>
      <w:pPr>
        <w:pStyle w:val="P68B1DB1Normal84"/>
        <w:widowControl w:val="false"/>
        <w:spacing w:lineRule="auto" w:line="240"/>
        <w:ind w:left="142" w:right="0" w:hanging="0"/>
        <w:jc w:val="left"/>
        <w:rPr/>
      </w:pPr>
      <w:r>
        <w:rPr>
          <w:color w:val="BD1271"/>
        </w:rPr>
        <w:t xml:space="preserve">2. </w:t>
      </w:r>
      <w:r>
        <w:rPr>
          <w:color w:val="000000"/>
        </w:rPr>
        <w:t>Μείωση της τυποποίησης των προϊόντων και αναγνώριση των τοπικών και περιφερειακών ιδιαιτεροτήτων όσον αφορά τον πολιτισμό και την παραγωγή (σεβασμός των παραδόσεων παραγωγής).</w:t>
      </w:r>
    </w:p>
    <w:p>
      <w:pPr>
        <w:pStyle w:val="P68B1DB1Normal84"/>
        <w:widowControl w:val="false"/>
        <w:spacing w:lineRule="auto" w:line="240"/>
        <w:ind w:left="142" w:right="417" w:hanging="0"/>
        <w:jc w:val="left"/>
        <w:rPr/>
      </w:pPr>
      <w:r>
        <w:rPr>
          <w:color w:val="BD1271"/>
        </w:rPr>
        <w:t xml:space="preserve">3. </w:t>
      </w:r>
      <w:r>
        <w:rPr>
          <w:color w:val="000000"/>
        </w:rPr>
        <w:t>Υπερβαίνουν τη λογική των ποσοστώσεων στη γεωργική παραγωγή και την επακόλουθη καταστροφή της πλεονάζουσας παραγωγής.</w:t>
      </w:r>
    </w:p>
    <w:p>
      <w:pPr>
        <w:pStyle w:val="P68B1DB1Normal84"/>
        <w:widowControl w:val="false"/>
        <w:spacing w:lineRule="auto" w:line="240"/>
        <w:ind w:left="142" w:right="0" w:hanging="0"/>
        <w:jc w:val="left"/>
        <w:rPr/>
      </w:pPr>
      <w:r>
        <w:rPr>
          <w:color w:val="BD1271"/>
        </w:rPr>
        <w:t xml:space="preserve">4. </w:t>
      </w:r>
      <w:r>
        <w:rPr>
          <w:color w:val="000000"/>
        </w:rPr>
        <w:t>Καταπολέμηση της παραποίησης/απομίμησης και του αθέμιτου ανταγωνισμού.</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Μέτρηση της ανάπτυξης έναντι της ευτυχίας στον πληθυσμό και όχι της ποσότητας των προϊόντων </w:t>
      </w:r>
    </w:p>
    <w:p>
      <w:pPr>
        <w:pStyle w:val="P68B1DB1Normal76"/>
        <w:widowControl w:val="false"/>
        <w:spacing w:lineRule="auto" w:line="240" w:before="88" w:after="0"/>
        <w:ind w:left="0" w:right="0" w:hanging="0"/>
        <w:jc w:val="both"/>
        <w:rPr/>
      </w:pPr>
      <w:r>
        <w:rPr/>
        <w:t xml:space="preserve">Η υπέρβαση του παραγωγικού μοντέλου του περασμένου αιώνα δεν σημαίνει μόνο αλλαγή των μεθόδων παραγωγής, αλλά και ανάπτυξη μιας νέας κουλτούρας στην οποία οι δείκτες ανάπτυξης δεν επικεντρώνονται μόνο στην ποσότητα των παραγόμενων αγαθών, αλλά και στην ικανότητα να εγγυώνται στους πολίτες έναν στόχο ευτυχίας. Σε αυτή τη νέα οικονομία, τα αγαθά δεν μπορούν να αποτελέσουν το επίκεντρο των προβληματισμών όσον αφορά τον αντίκτυπο και τις επενδύσεις, αλλά αυτό το μέρος πρέπει να επιστρέψει στους ανθρώπους. Αυτό περιλαμβάνει τη μετάβαση από ένα σύστημα δεικτών που βασίζεται στην ποσότητα των παραγόμενων αγαθών (ΑΕΠ) σε ένα σύστημα ικανό να μετρήσει την ευημερία που παράγεται για τους ανθρώπους (BIB — ακαθάριστη εγχώρια ευτυχία).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ΣΎΣΤΑΣΗ ΕΝ ΣΥΝΤΟΜΊΑ </w:t>
      </w:r>
    </w:p>
    <w:p>
      <w:pPr>
        <w:pStyle w:val="P68B1DB1Normal84"/>
        <w:widowControl w:val="false"/>
        <w:spacing w:lineRule="auto" w:line="240" w:before="69" w:after="0"/>
        <w:ind w:left="142" w:right="0" w:hanging="0"/>
        <w:jc w:val="left"/>
        <w:rPr/>
      </w:pPr>
      <w:r>
        <w:rPr>
          <w:color w:val="BD1271"/>
        </w:rPr>
        <w:t xml:space="preserve">1. </w:t>
      </w:r>
      <w:r>
        <w:rPr>
          <w:color w:val="000000"/>
        </w:rPr>
        <w:t>Αναπτύξτε μια οικονομία περισσότερο επικεντρωμένη στην παραγωγή ευτυχίας (ακαθάριστη εγχώρια ευτυχία) παρά στα αγαθά (ακαθάριστο εγχώριο προϊόν).</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Μεγαλύτερη ενοποίηση μεταξύ των κρατών </w:t>
      </w:r>
    </w:p>
    <w:p>
      <w:pPr>
        <w:pStyle w:val="P68B1DB1Normal76"/>
        <w:widowControl w:val="false"/>
        <w:spacing w:lineRule="auto" w:line="240" w:before="49" w:after="0"/>
        <w:ind w:left="0" w:right="0" w:hanging="0"/>
        <w:jc w:val="both"/>
        <w:rPr/>
      </w:pPr>
      <w:r>
        <w:rPr/>
        <w:t xml:space="preserve">Αυτό που είναι σαφές για όλους, ακόμη και μεταξύ εκείνων που είναι λιγότερο ικανοποιημένοι με την τρέχουσα οργάνωση και τα αποτελέσματα που έχει επιτύχει μέχρι στιγμής η Ευρωπαϊκή Ένωση, είναι ότι μια νομισματική ένωση δεν είναι αρκετή και ότι η Ευρώπη πρέπει να είναι σε θέση να εξελιχθεί με αυξανόμενη δύναμη ως συνεκτική πολιτική οντότητα ικανή να διαπραγματεύεται με μία φωνή έξω και να ενεργεί με μεγαλύτερη αλληλεγγύη εσωτερικά. Μια ισχυρότερη ένωση αποτελεί ουσιώδη πτυχή της ενίσχυσης της πολιτικής, εμπορικής και παραγωγικής δύναμης της Ευρωπαϊκής Ένωσης: την ομοιογένεια των θεμελιωδών νόμων, καθώς και ένα ολοκληρωμένο και συνεκτικό σύστημα φορολόγησης των επιχειρήσεων και των πολιτών, στο οποίο ευθυγραμμίζονται οι μισθοί και οι υπηρεσίες προς τους πολίτες. Μόνο με αυτόν τον τρόπο θα έχουμε μια Ευρώπη που μπορεί να μειώσει τις κοινωνικές διαφορές και να προωθήσει την ποιότητα ζωής. </w:t>
      </w:r>
    </w:p>
    <w:p>
      <w:pPr>
        <w:pStyle w:val="P68B1DB1Normal76"/>
        <w:widowControl w:val="false"/>
        <w:spacing w:lineRule="auto" w:line="240" w:before="1" w:after="0"/>
        <w:ind w:left="0" w:right="2" w:hanging="0"/>
        <w:jc w:val="both"/>
        <w:rPr/>
      </w:pPr>
      <w:r>
        <w:rPr/>
        <w:t xml:space="preserve">Αυτό σημαίνει να μην επιστρέψουμε στα επιτεύγματα των τελευταίων ετών και να διαφυλάξουμε την έννοια του κράτους πρόνοιας, το οποίο οι συμμετέχοντες στην ομάδα έχουν χαρακτηρίσει ως τους πλέον προηγμένους στον κόσμο και τους πιο ανήσυχους για τη διασφάλιση της ισότητας ευκαιριών και της κοινωνικής δικαιοσύνης για τους πολίτες του. </w:t>
      </w:r>
    </w:p>
    <w:p>
      <w:pPr>
        <w:pStyle w:val="P68B1DB1Normal83"/>
        <w:widowControl w:val="false"/>
        <w:spacing w:lineRule="auto" w:line="240" w:before="72" w:after="0"/>
        <w:ind w:left="3000" w:right="0" w:hanging="0"/>
        <w:jc w:val="left"/>
        <w:rPr>
          <w:rFonts w:ascii="Arial" w:hAnsi="Arial"/>
          <w:b/>
          <w:b/>
          <w:color w:val="2E74B5"/>
          <w:sz w:val="24"/>
        </w:rPr>
      </w:pPr>
      <w:r>
        <w:rPr/>
        <w:t xml:space="preserve">ΣΥΣΤΆΣΕΙΣ ΕΝ ΣΥΝΤΟΜΊΑ </w:t>
      </w:r>
    </w:p>
    <w:p>
      <w:pPr>
        <w:pStyle w:val="P68B1DB1Normal84"/>
        <w:widowControl w:val="false"/>
        <w:spacing w:lineRule="auto" w:line="240" w:before="69" w:after="0"/>
        <w:ind w:left="283" w:right="0" w:hanging="0"/>
        <w:jc w:val="left"/>
        <w:rPr/>
      </w:pPr>
      <w:r>
        <w:rPr>
          <w:color w:val="BD1271"/>
        </w:rPr>
        <w:t xml:space="preserve">1. </w:t>
      </w:r>
      <w:r>
        <w:rPr>
          <w:color w:val="000000"/>
        </w:rPr>
        <w:t>Μην συμβιβάζεστε με τα κοινωνικά δικαιώματα (δημόσια υγεία, δημόσια εκπαίδευση, εργασιακές πολιτικές).</w:t>
      </w:r>
    </w:p>
    <w:p>
      <w:pPr>
        <w:pStyle w:val="P68B1DB1Normal84"/>
        <w:widowControl w:val="false"/>
        <w:spacing w:lineRule="auto" w:line="240"/>
        <w:ind w:left="283" w:right="0" w:hanging="0"/>
        <w:jc w:val="left"/>
        <w:rPr/>
      </w:pPr>
      <w:r>
        <w:rPr>
          <w:color w:val="BD1271"/>
        </w:rPr>
        <w:t xml:space="preserve">2. </w:t>
      </w:r>
      <w:r>
        <w:rPr>
          <w:color w:val="000000"/>
        </w:rPr>
        <w:t>Ενοποίηση των ενεργειών όσον αφορά το ενιαίο νόμισμα και τη διασύνδεση των συστημάτων πληρωμών και των τηλεπικοινωνιών.</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Ωστόσο, σήμερα, όλα όσα έχουν γίνει στο παρελθόν δεν φαίνονται πλέον επαρκή, και η Ευρώπη του μέλλοντος πρέπει να κάνει ένα αποφασιστικό άλμα προς τα εμπρός όσον αφορά την ολοκλήρωση μεταξύ των κρατών μελών, σύμφωνα με ένα εσωτερικό όραμα που δεν βασίζεται πλέον στον ανταγωνισμό, αλλά στη συνεργασία, εξασφαλίζοντας ότι κάθε ευρωπαίος πολίτης μπορεί να έχει τα ίδια συστήματα εγγυήσεων και ευκαιριών σε όλα τα κράτη μέλη της Ένωσης.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ΣΥΣΤΆΣΕΙΣ ΕΝ ΣΥΝΤΟΜΊΑ </w:t>
      </w:r>
    </w:p>
    <w:p>
      <w:pPr>
        <w:pStyle w:val="P68B1DB1Normal84"/>
        <w:widowControl w:val="false"/>
        <w:spacing w:lineRule="auto" w:line="240" w:before="72" w:after="0"/>
        <w:ind w:left="283" w:right="0" w:hanging="0"/>
        <w:jc w:val="left"/>
        <w:rPr/>
      </w:pPr>
      <w:r>
        <w:rPr>
          <w:color w:val="BD1271"/>
        </w:rPr>
        <w:t xml:space="preserve">1. </w:t>
      </w:r>
      <w:r>
        <w:rPr>
          <w:color w:val="000000"/>
        </w:rPr>
        <w:t>Προχωρήστε πέρα από τον εγωισμό των κρατών και την τάση να αναζητούν ατομικά οφέλη εις βάρος των άλλων.</w:t>
      </w:r>
    </w:p>
    <w:p>
      <w:pPr>
        <w:pStyle w:val="P68B1DB1Normal84"/>
        <w:widowControl w:val="false"/>
        <w:spacing w:lineRule="auto" w:line="240"/>
        <w:ind w:left="283" w:right="0" w:hanging="0"/>
        <w:jc w:val="left"/>
        <w:rPr/>
      </w:pPr>
      <w:r>
        <w:rPr>
          <w:color w:val="BD1271"/>
        </w:rPr>
        <w:t xml:space="preserve">2. </w:t>
      </w:r>
      <w:r>
        <w:rPr>
          <w:color w:val="000000"/>
        </w:rPr>
        <w:t>Να καθιερώσει ένα σύστημα με τους ίδιους νόμους, φορολογικά συστήματα, δικαιώματα και υποχρεώσεις σε όλες τις χώρες.</w:t>
      </w:r>
    </w:p>
    <w:p>
      <w:pPr>
        <w:pStyle w:val="P68B1DB1Normal84"/>
        <w:widowControl w:val="false"/>
        <w:spacing w:lineRule="auto" w:line="240"/>
        <w:ind w:left="283" w:right="0" w:hanging="0"/>
        <w:jc w:val="left"/>
        <w:rPr/>
      </w:pPr>
      <w:r>
        <w:rPr>
          <w:color w:val="BD1271"/>
        </w:rPr>
        <w:t xml:space="preserve">3. </w:t>
      </w:r>
      <w:r>
        <w:rPr>
          <w:color w:val="000000"/>
        </w:rPr>
        <w:t>Συντονισμένα φορολογικά καθεστώτα μεταξύ των διαφόρων κρατών, ιδίως όσον αφορά τις επιχειρήσεις (χωρίς ελεύθερες ζώνες ή χαμηλή φορολογία).</w:t>
      </w:r>
    </w:p>
    <w:p>
      <w:pPr>
        <w:pStyle w:val="P68B1DB1Normal84"/>
        <w:widowControl w:val="false"/>
        <w:spacing w:lineRule="auto" w:line="240"/>
        <w:ind w:left="283" w:right="416" w:hanging="0"/>
        <w:jc w:val="left"/>
        <w:rPr/>
      </w:pPr>
      <w:r>
        <w:rPr>
          <w:color w:val="BD1271"/>
        </w:rPr>
        <w:t xml:space="preserve">4. </w:t>
      </w:r>
      <w:r>
        <w:rPr>
          <w:color w:val="000000"/>
        </w:rPr>
        <w:t>Σταθερές τιμές για τα προϊόντα και εγγύηση ίσης αγοραστικής δύναμης μεταξύ των διαφόρων κρατών.</w:t>
      </w:r>
    </w:p>
    <w:p>
      <w:pPr>
        <w:pStyle w:val="P68B1DB1Normal84"/>
        <w:widowControl w:val="false"/>
        <w:spacing w:lineRule="auto" w:line="240"/>
        <w:ind w:left="283" w:right="416" w:hanging="0"/>
        <w:jc w:val="left"/>
        <w:rPr/>
      </w:pPr>
      <w:r>
        <w:rPr>
          <w:color w:val="BD1271"/>
        </w:rPr>
        <w:t xml:space="preserve">5. </w:t>
      </w:r>
      <w:r>
        <w:rPr>
          <w:color w:val="000000"/>
        </w:rPr>
        <w:t>Μείωση των μισθολογικών ανισοτήτων μεταξύ διαφορετικών κρατών και γεωγραφικών περιοχών εντός της ίδιας χώρας.</w:t>
      </w:r>
    </w:p>
    <w:p>
      <w:pPr>
        <w:pStyle w:val="P68B1DB1Normal84"/>
        <w:widowControl w:val="false"/>
        <w:spacing w:lineRule="auto" w:line="240"/>
        <w:ind w:left="283" w:right="416" w:hanging="0"/>
        <w:jc w:val="left"/>
        <w:rPr/>
      </w:pPr>
      <w:r>
        <w:rPr>
          <w:color w:val="BD1271"/>
        </w:rPr>
        <w:t xml:space="preserve">6. </w:t>
      </w:r>
      <w:r>
        <w:rPr>
          <w:color w:val="000000"/>
        </w:rPr>
        <w:t>Να καταστήσει το δημόσιο χρέος πολλών κρατών μελών κοινή ευθύνη.</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Πολιτικές ένταξης </w:t>
      </w:r>
    </w:p>
    <w:p>
      <w:pPr>
        <w:pStyle w:val="P68B1DB1Normal76"/>
        <w:widowControl w:val="false"/>
        <w:spacing w:lineRule="auto" w:line="240" w:before="88" w:after="0"/>
        <w:ind w:left="0" w:right="0" w:hanging="0"/>
        <w:jc w:val="both"/>
        <w:rPr/>
      </w:pPr>
      <w:r>
        <w:rPr/>
        <w:t xml:space="preserve">Μια δίκαιη Ευρώπη ικανή να προσφέρει ευτυχία στους πολίτες της είναι μια Ευρώπη χωρίς αποκλεισμούς, η οποία δίνει πάντα μεγάλη προσοχή στην καταπολέμηση της ανισότητας. Οι συστάσεις καθορίζουν τον δρόμο για την επίτευξη μακροχρόνιων στόχων (όπως η ισότητα των φύλων) και καθορίζουν νέες απαιτήσεις σχετικά με τους πολιτιστικούς μετασχηματισμούς των σύγχρονων κοινωνιών (ψηφιακή ανισότητα και δικαίωμα διαβίωσης σε υγιές περιβάλλον).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ΣΥΣΤΆΣΕΙΣ ΕΝ ΣΥΝΤΟΜΊΑ </w:t>
      </w:r>
    </w:p>
    <w:p>
      <w:pPr>
        <w:pStyle w:val="P68B1DB1Normal84"/>
        <w:widowControl w:val="false"/>
        <w:spacing w:lineRule="auto" w:line="240" w:before="69" w:after="0"/>
        <w:ind w:left="283" w:right="0" w:hanging="0"/>
        <w:jc w:val="left"/>
        <w:rPr/>
      </w:pPr>
      <w:r>
        <w:rPr>
          <w:color w:val="BD1271"/>
        </w:rPr>
        <w:t xml:space="preserve">1. </w:t>
      </w:r>
      <w:r>
        <w:rPr>
          <w:color w:val="000000"/>
        </w:rPr>
        <w:t>Επίτευξη πλήρους ισότητας των φύλων, μεταξύ άλλων με την ενίσχυση της πατρικής γονικής άδειας και των εγκαταστάσεων παιδικής μέριμνας.</w:t>
      </w:r>
    </w:p>
    <w:p>
      <w:pPr>
        <w:pStyle w:val="P68B1DB1Normal84"/>
        <w:widowControl w:val="false"/>
        <w:spacing w:lineRule="auto" w:line="240"/>
        <w:ind w:left="283" w:right="0" w:hanging="0"/>
        <w:jc w:val="left"/>
        <w:rPr/>
      </w:pPr>
      <w:r>
        <w:rPr>
          <w:color w:val="BD1271"/>
        </w:rPr>
        <w:t xml:space="preserve">2. </w:t>
      </w:r>
      <w:r>
        <w:rPr>
          <w:color w:val="000000"/>
        </w:rPr>
        <w:t>Αντιμετώπιση των ψηφιακών ανισοτήτων.</w:t>
      </w:r>
    </w:p>
    <w:p>
      <w:pPr>
        <w:pStyle w:val="P68B1DB1Normal84"/>
        <w:widowControl w:val="false"/>
        <w:spacing w:lineRule="auto" w:line="240"/>
        <w:ind w:left="283" w:right="0" w:hanging="0"/>
        <w:jc w:val="left"/>
        <w:rPr/>
      </w:pPr>
      <w:r>
        <w:rPr>
          <w:color w:val="BD1271"/>
        </w:rPr>
        <w:t xml:space="preserve">3. </w:t>
      </w:r>
      <w:r>
        <w:rPr>
          <w:color w:val="000000"/>
        </w:rPr>
        <w:t>Διασφάλιση ότι όλοι οι ευρωπαίοι πολίτες μπορούν να ζουν σε ένα υγιές και βιώσιμο περιβάλλον.</w:t>
      </w:r>
    </w:p>
    <w:p>
      <w:pPr>
        <w:pStyle w:val="P68B1DB1Normal84"/>
        <w:widowControl w:val="false"/>
        <w:spacing w:lineRule="auto" w:line="240"/>
        <w:ind w:left="283" w:right="0" w:hanging="0"/>
        <w:jc w:val="left"/>
        <w:rPr/>
      </w:pPr>
      <w:r>
        <w:rPr>
          <w:color w:val="BD1271"/>
        </w:rPr>
        <w:t xml:space="preserve">4. </w:t>
      </w:r>
      <w:r>
        <w:rPr>
          <w:color w:val="000000"/>
        </w:rPr>
        <w:t>Να εξασφαλίσει ευκαιρίες για κοινωνική κινητικότητα και, ως εκ τούτου, να έχει κάθε ευκαιρία για προσωπική ανάπτυξη και αυτοδιάθεση</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Προώθηση της ανανέωσης των γενεών σε όλα τα επίπεδα</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Διαχείριση της υποδοχής των προσφύγων και των μεταναστών με ισορροπημένο τρόπο μεταξύ των διαφόρων κρατών.</w:t>
      </w:r>
    </w:p>
    <w:p>
      <w:pPr>
        <w:pStyle w:val="P68B1DB1Normal76"/>
        <w:widowControl w:val="false"/>
        <w:spacing w:lineRule="auto" w:line="240" w:before="106" w:after="0"/>
        <w:ind w:left="0" w:right="0" w:hanging="0"/>
        <w:jc w:val="both"/>
        <w:rPr/>
      </w:pPr>
      <w:r>
        <w:rPr/>
        <w:t xml:space="preserve">Για άλλη μια φορά, ο ρόλος των σχολείων και των εκπαιδευτικών πολιτικών φαίνεται να είναι κεντρικός, όχι μόνο για να παρέχει στους νέους τις δεξιότητες που χρειάζονται για να εισέλθουν στην αγορά εργασίας, αλλά και για την οικοδόμηση ενός ευρωπαϊκού πολιτισμού. Μετά την οικοδόμηση μιας Ευρώπης θεσμών, είναι απαραίτητο να οικοδομήσουμε μια Ευρώπη των λαών. Στο πλαίσιο αυτό, δίνεται έμφαση στον κεντρικό χαρακτήρα μιας κοινής γλώσσας προκειμένου να καταστεί δυνατός ο διάλογος μεταξύ πολιτών διαφορετικών χωρών και η ισότιμη πρόσβαση στις υπηρεσίες. Καθώς το όνειρο της Εσπεράντο κατέρρευσε, η αποχώρηση του Ηνωμένου Βασιλείου από την Ευρωπαϊκή Ένωση δημιούργησε αμφιβολίες σχετικά με τη δυνατότητα υιοθέτησης της αγγλικής ως κοινής γλώσσας, γλώσσας-κλειδιού των διεθνών σχέσεων και εντός του επιστημονικού και οικονομικού συστήματος.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ΣΥΣΤΆΣΕΙΣ ΕΝ ΣΥΝΤΟΜΊΑ </w:t>
      </w:r>
    </w:p>
    <w:p>
      <w:pPr>
        <w:pStyle w:val="P68B1DB1Normal84"/>
        <w:widowControl w:val="false"/>
        <w:spacing w:lineRule="auto" w:line="240" w:before="72" w:after="0"/>
        <w:ind w:left="283" w:right="0" w:hanging="0"/>
        <w:jc w:val="left"/>
        <w:rPr/>
      </w:pPr>
      <w:r>
        <w:rPr>
          <w:color w:val="BD1271"/>
        </w:rPr>
        <w:t xml:space="preserve">1. </w:t>
      </w:r>
      <w:r>
        <w:rPr>
          <w:color w:val="000000"/>
        </w:rPr>
        <w:t>Προώθηση της υιοθέτησης μιας κοινής γλώσσας.</w:t>
      </w:r>
    </w:p>
    <w:p>
      <w:pPr>
        <w:pStyle w:val="P68B1DB1Normal84"/>
        <w:widowControl w:val="false"/>
        <w:spacing w:lineRule="auto" w:line="240"/>
        <w:ind w:left="283" w:right="0" w:hanging="0"/>
        <w:jc w:val="left"/>
        <w:rPr/>
      </w:pPr>
      <w:r>
        <w:rPr>
          <w:color w:val="BD1271"/>
        </w:rPr>
        <w:t xml:space="preserve">2. </w:t>
      </w:r>
      <w:r>
        <w:rPr>
          <w:color w:val="000000"/>
        </w:rPr>
        <w:t>Επενδύστε στα σχολεία και στη διδασκαλία της ευρωπαϊκής ιστορίας και όχι σε κάθε έθνος, καθώς και στη διδασκαλία της πολιτικής οικονομίας και της αγωγής του πολίτη.</w:t>
      </w:r>
    </w:p>
    <w:p>
      <w:pPr>
        <w:pStyle w:val="P68B1DB1Normal84"/>
        <w:widowControl w:val="false"/>
        <w:spacing w:lineRule="auto" w:line="240"/>
        <w:ind w:left="283" w:right="417" w:hanging="0"/>
        <w:jc w:val="left"/>
        <w:rPr/>
      </w:pPr>
      <w:r>
        <w:rPr>
          <w:color w:val="BD1271"/>
        </w:rPr>
        <w:t xml:space="preserve">3. </w:t>
      </w:r>
      <w:r>
        <w:rPr>
          <w:color w:val="000000"/>
        </w:rPr>
        <w:t>Πρόσβαση στον πολιτισμό, την εκπαίδευση και τις ανταλλαγές μεταξύ φοιτητών και πολιτών διαφορετικών κρατών μελών.</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Οι πολιτικές ένταξης διαδραματίζουν καίριο ρόλο στη διασφάλιση της πρόσβασης των πολιτών σε ευκαιρίες. Στο πλαίσιο αυτό, οι συμμετέχοντες στην ομάδα τόνισαν ότι η Ιταλία συχνά δεν είναι σε θέση να χρησιμοποιήσει τα κονδύλια της ΕΕ που διατίθενται για τον σκοπό αυτό. Η ένταξη και η προσβασιμότητα σημαίνουν ότι τα ευρωπαϊκά θεσμικά όργανα πρέπει να είναι πιο κοντά στους πολίτες τους και οι έννοιες αυτές συμβαδίζουν με περισσότερες πληροφορίες και ευαισθητοποίηση σχετικά με τα δικαιώματα που απολαμβάνουν οι ευρωπαίοι πολίτες ως τέτοια. Από την άποψη αυτή, έχει αναδειχθεί η σημασία μιας άμεσης σχέσης μεταξύ των θεσμικών οργάνων της Ένωσης και των πολιτών, χωρίς να απαιτείται κατ’ ανάγκη διαμεσολάβηση από τα κράτη μέλη.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ΣΥΣΤΆΣΕΙΣ ΕΝ ΣΥΝΤΟΜΊΑ</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Προώθηση της χρήσης των κονδυλίων της ΕΕ για τη μείωση των ανισοτήτων</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Προσβασιμότητα και εγγύτητα των ευρωπαϊκών θεσμικών οργάνων στους πολίτες.</w:t>
      </w:r>
    </w:p>
    <w:p>
      <w:pPr>
        <w:pStyle w:val="P68B1DB1Normal84"/>
        <w:widowControl w:val="false"/>
        <w:spacing w:lineRule="auto" w:line="240"/>
        <w:ind w:left="283" w:right="416" w:hanging="0"/>
        <w:jc w:val="left"/>
        <w:rPr/>
      </w:pPr>
      <w:r>
        <w:rPr>
          <w:color w:val="BD1271"/>
        </w:rPr>
        <w:t xml:space="preserve">3. </w:t>
      </w:r>
      <w:r>
        <w:rPr>
          <w:color w:val="000000"/>
        </w:rPr>
        <w:t>Να γνωστοποιούν σαφώς στους πολίτες τα δικαιώματα και τις ευκαιρίες τους και να προωθούν την άμεση πρόσβαση των πολιτών σε αυτά.</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Απασχόληση </w:t>
      </w:r>
    </w:p>
    <w:p>
      <w:pPr>
        <w:pStyle w:val="Normal"/>
        <w:widowControl w:val="false"/>
        <w:spacing w:lineRule="auto" w:line="240" w:before="97" w:after="0"/>
        <w:ind w:left="0" w:right="1" w:hanging="0"/>
        <w:jc w:val="both"/>
        <w:rPr/>
      </w:pPr>
      <w:r>
        <w:rPr>
          <w:color w:val="000000"/>
        </w:rPr>
        <w:t xml:space="preserve">Το ζήτημα της απασχόλησης έχει αναδειχθεί σε συνεχή βάση ως οριζόντιο στοιχείο και ως άμεσο αποτέλεσμα της ικανότητας της Ευρωπαϊκής Ένωσης να ανταποκρίνεται στις συστάσεις της. Κατά τη διάρκεια της συζήτησης </w:t>
      </w:r>
      <w:r>
        <w:rPr>
          <w:color w:val="FF0000"/>
        </w:rPr>
        <w:t>μεταξύ</w:t>
      </w:r>
      <w:r>
        <w:rPr>
          <w:color w:val="000000"/>
        </w:rPr>
        <w:t xml:space="preserve"> των συμμετεχόντων, ήταν σαφές ότι το ζήτημα της απασχόλησης βρίσκεται στο επίκεντρο της ζωής των πολιτών, αλλά ότι συμβαδίζει με την ενίσχυση των ζητημάτων οικονομικής και κοινωνικής δικαιοσύνης. Μια Ευρωπαϊκή Ένωση, στην οποία οι ενεργητικές εργασιακές πολιτικές παραμένουν στο επίκεντρο και όλο και περισσότερο συντονισμένες, είναι ιδιαίτερα αναμενόμενη.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ΣΥΣΤΆΣΕΙΣ ΕΝ ΣΥΝΤΟΜΊΑ</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Προώθηση του εμπορίου μεταξύ των εργαζομένων στην Ευρώπη μέσω ενός Ευρωπαϊκού Κέντρου Απασχόλησης.</w:t>
      </w:r>
    </w:p>
    <w:p>
      <w:pPr>
        <w:pStyle w:val="P68B1DB1Normal84"/>
        <w:widowControl w:val="false"/>
        <w:spacing w:lineRule="auto" w:line="240"/>
        <w:ind w:left="283" w:right="0" w:hanging="0"/>
        <w:jc w:val="left"/>
        <w:rPr/>
      </w:pPr>
      <w:r>
        <w:rPr>
          <w:color w:val="BD1271"/>
        </w:rPr>
        <w:t xml:space="preserve">2. </w:t>
      </w:r>
      <w:r>
        <w:rPr>
          <w:color w:val="000000"/>
        </w:rPr>
        <w:t>Να έχουν ολοκληρωμένες πολιτικές απασχόλησης σε επίπεδο ΕΕ.</w:t>
      </w:r>
    </w:p>
    <w:p>
      <w:pPr>
        <w:pStyle w:val="P68B1DB1Normal84"/>
        <w:widowControl w:val="false"/>
        <w:spacing w:lineRule="auto" w:line="240"/>
        <w:ind w:left="283" w:right="0" w:hanging="0"/>
        <w:jc w:val="left"/>
        <w:rPr/>
      </w:pPr>
      <w:r>
        <w:rPr>
          <w:color w:val="BD1271"/>
        </w:rPr>
        <w:t xml:space="preserve">3. </w:t>
      </w:r>
      <w:r>
        <w:rPr>
          <w:color w:val="000000"/>
        </w:rPr>
        <w:t>Παροχή κινήτρων σε εταιρείες που προσφέρουν θέσεις εργασίας.</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Η Ευρώπη στον κόσμο </w:t>
      </w:r>
    </w:p>
    <w:p>
      <w:pPr>
        <w:pStyle w:val="P68B1DB1Normal76"/>
        <w:widowControl w:val="false"/>
        <w:spacing w:lineRule="exact" w:line="380" w:before="143" w:after="0"/>
        <w:ind w:left="74" w:right="0" w:hanging="0"/>
        <w:jc w:val="both"/>
        <w:rPr/>
      </w:pPr>
      <w:r>
        <w:rPr/>
        <w:t xml:space="preserve">Τα πρόσφατα διεθνή γεγονότα και, ειδικότερα, ο πόλεμος μεταξύ Ρωσίας και Ουκρανίας είχαν σημαντική επίδραση στην αντίληψη του ρόλου που θα πρέπει να διαδραματίσει η Ευρώπη σε διεθνές επίπεδο. Οι συστάσεις που συγκεντρώθηκαν επικεντρώθηκαν κυρίως στην ενίσχυση της ΕΕ (τόσο από την άποψη της ταυτότητας όσο και της οικονομικής ισχύος) και στην τοποθέτηση της ως προτύπου αναφοράς και ανάκαμψης στις σχέσεις της με άλλες χώρες.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Φόρμα 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11"/>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Ενίσχυση της ευρωπαϊκής ταυτότητας</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Ενίσχυση της οικονομίας και των θεσμών</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Συνεργασία και εταιρικές σχέσεις</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Πολιτικό και πολιτιστικό σημείο αναφοράς</w:t>
                              </w:r>
                            </w:p>
                          </w:txbxContent>
                        </wps:txbx>
                        <wps:bodyPr lIns="90000" rIns="90000" tIns="45000" bIns="45000">
                          <a:noAutofit/>
                        </wps:bodyPr>
                      </wps:wsp>
                    </wpg:wgp>
                  </a:graphicData>
                </a:graphic>
              </wp:anchor>
            </w:drawing>
          </mc:Choice>
          <mc:Fallback>
            <w:pict>
              <v:group id="shape_0" alt="Φόρμα 7" style="position:absolute;margin-left:-13.1pt;margin-top:5.35pt;width:508.1pt;height:71.15pt" coordorigin="-262,107" coordsize="10162,1423">
                <v:shape id="shape_0" stroked="f" style="position:absolute;left:438;top:982;width:8699;height:548;rotation:180" type="shapetype_75">
                  <v:imagedata r:id="rId112"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Ενίσχυση της ευρωπαϊκής ταυτότητας</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Ενίσχυση της οικονομίας και των θεσμών</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Συνεργασία και εταιρικές σχέσεις</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Πολιτικό και πολιτιστικό σημείο αναφοράς</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Ενίσχυση της ευρωπαϊκής ταυτότητας</w:t>
      </w:r>
    </w:p>
    <w:p>
      <w:pPr>
        <w:pStyle w:val="P68B1DB1Normal76"/>
        <w:widowControl w:val="false"/>
        <w:spacing w:lineRule="auto" w:line="240" w:before="106" w:after="0"/>
        <w:ind w:left="74" w:right="0" w:hanging="0"/>
        <w:jc w:val="both"/>
        <w:rPr/>
      </w:pPr>
      <w:r>
        <w:rPr/>
        <w:t xml:space="preserve">Για να αναγνωριστεί πέρα από τα σύνορά της, η Ευρωπαϊκή Ένωση πρέπει πρώτα να επιδείξει εσωτερική συνοχή, όχι μόνο οικονομικά και οικονομικά, αλλά και όσον αφορά την ταυτότητα και τις αξίες. Μια ταυτότητα που δεν δημιουργείται από την έγκριση, αλλά από την αξιοποίηση των τοπικών ιδιαιτεροτήτων μέσα σε ένα πλαίσιο κοινών βασικών αξιών. </w:t>
      </w:r>
    </w:p>
    <w:p>
      <w:pPr>
        <w:pStyle w:val="P68B1DB1Normal76"/>
        <w:widowControl w:val="false"/>
        <w:spacing w:lineRule="auto" w:line="240" w:before="78" w:after="0"/>
        <w:ind w:left="74" w:right="1" w:hanging="0"/>
        <w:jc w:val="both"/>
        <w:rPr/>
      </w:pPr>
      <w:r>
        <w:rPr/>
        <w:t xml:space="preserve">Ο προβληματισμός σχετικά με την πιθανή διεύρυνση του πεδίου εφαρμογής της Ένωσης πραγματοποιήθηκε επίσης υπό το πρίσμα αυτό: σύμφωνα με ορισμένους συμμετέχοντες στο πάνελ, δεν θα πρέπει να πραγματοποιείται με αδιαφοροποίητο τρόπο, αλλά να επικεντρώνεται στην αμοιβαία αναγνώριση του πολιτισμού και των αξιών και όχι στα οικονομικά πρότυπα.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ΣΥΣΤΆΣΕΙΣ ΕΝ ΣΥΝΤΟΜΊΑ</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Ενίσχυση των ευρωπαϊκών πολιτιστικών αξιών και χαρακτηριστικών, καθώς και των περιφερειακών ιδιαιτεροτήτων.</w:t>
      </w:r>
    </w:p>
    <w:p>
      <w:pPr>
        <w:pStyle w:val="P68B1DB1Normal84"/>
        <w:widowControl w:val="false"/>
        <w:spacing w:lineRule="auto" w:line="240"/>
        <w:ind w:left="358" w:right="0" w:hanging="0"/>
        <w:jc w:val="left"/>
        <w:rPr/>
      </w:pPr>
      <w:r>
        <w:rPr>
          <w:color w:val="BD1271"/>
        </w:rPr>
        <w:t xml:space="preserve">2. </w:t>
      </w:r>
      <w:r>
        <w:rPr>
          <w:color w:val="000000"/>
        </w:rPr>
        <w:t>Δημιουργία ενός ινστιτούτου ευρωπαϊκού πολιτισμού για την προώθηση μιας κουλτούρας σεβασμού και αμοιβαίου πλουτισμού μεταξύ πολιτών διαφορετικών κρατών.</w:t>
      </w:r>
    </w:p>
    <w:p>
      <w:pPr>
        <w:pStyle w:val="P68B1DB1Normal84"/>
        <w:widowControl w:val="false"/>
        <w:spacing w:lineRule="auto" w:line="240"/>
        <w:ind w:left="418" w:right="418" w:hanging="0"/>
        <w:jc w:val="both"/>
        <w:rPr/>
      </w:pPr>
      <w:r>
        <w:rPr>
          <w:color w:val="BD1271"/>
        </w:rPr>
        <w:t xml:space="preserve">3. </w:t>
      </w:r>
      <w:r>
        <w:rPr>
          <w:color w:val="000000"/>
        </w:rPr>
        <w:t>Επαναπροσδιορισμός των αρχών του ανήκειν στις νέες υποψήφιες χώρες, με ενίσχυση παραγόντων όπως η πολιτιστική ταυτότητα και οι αξίες.</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Ενίσχυση της οικονομίας και των θεσμών </w:t>
      </w:r>
    </w:p>
    <w:p>
      <w:pPr>
        <w:pStyle w:val="P68B1DB1Normal76"/>
        <w:widowControl w:val="false"/>
        <w:spacing w:lineRule="auto" w:line="240" w:before="109" w:after="0"/>
        <w:ind w:left="0" w:right="0" w:hanging="0"/>
        <w:jc w:val="both"/>
        <w:rPr/>
      </w:pPr>
      <w:r>
        <w:rPr/>
        <w:t xml:space="preserve">Η Ευρώπη του αύριο αναμένεται να διαδραματίσει ηγετικό ρόλο σε διεθνές επίπεδο, ο οποίος μπορεί να αναληφθεί μόνο με μια ισχυρή και ανεξάρτητη Ένωση από άλλες χώρες. Αναγνωρίζεται ευρέως ότι οι χώρες της ΕΕ είναι φτωχές σε πρώτες ύλες, αλλά φαίνεται απαραίτητο η ΕΕ να είναι σε θέση να εξασφαλίσει μεγαλύτερη ανεξαρτησία όσον αφορά τον ενεργειακό εφοδιασμό, τη γεωργία και τα τεχνολογικά προϊόντα. </w:t>
      </w:r>
    </w:p>
    <w:p>
      <w:pPr>
        <w:pStyle w:val="P68B1DB1Normal76"/>
        <w:widowControl w:val="false"/>
        <w:spacing w:lineRule="auto" w:line="240" w:before="78" w:after="0"/>
        <w:ind w:left="0" w:right="1" w:hanging="0"/>
        <w:jc w:val="both"/>
        <w:rPr/>
      </w:pPr>
      <w:r>
        <w:rPr/>
        <w:t xml:space="preserve">Αυτό απαιτεί ειδικές επενδύσεις για να καλύψουν τη διαφορά σε τομείς όπως η τεχνολογία (όπου η Ευρωπαϊκή Ένωση δεν φαίνεται να διαδραματίζει ηγετικό ρόλο επί του παρόντος), αλλά και στους τομείς των τροφίμων και της ενέργειας. </w:t>
      </w:r>
    </w:p>
    <w:p>
      <w:pPr>
        <w:pStyle w:val="P68B1DB1Normal76"/>
        <w:widowControl w:val="false"/>
        <w:spacing w:lineRule="auto" w:line="240" w:before="78" w:after="0"/>
        <w:ind w:left="0" w:right="2" w:hanging="0"/>
        <w:jc w:val="both"/>
        <w:rPr/>
      </w:pPr>
      <w:r>
        <w:rPr/>
        <w:t xml:space="preserve">Ο πόλεμος μεταξύ Ρωσίας και Ουκρανίας έθεσε επίσης στο επίκεντρο της συζήτησης τη σημασία μιας ολοκληρωμένης ευρωπαϊκής αμυντικής πολιτικής, με συγκεκριμένη ταυτότητα και μεγαλύτερη αυτονομία από το ΝΑΤΟ, χωρίς να αμφισβητεί την ένταξή του. </w:t>
      </w:r>
    </w:p>
    <w:p>
      <w:pPr>
        <w:pStyle w:val="P68B1DB1Normal76"/>
        <w:widowControl w:val="false"/>
        <w:spacing w:lineRule="auto" w:line="240" w:before="78" w:after="0"/>
        <w:ind w:left="0" w:right="1" w:hanging="0"/>
        <w:jc w:val="left"/>
        <w:rPr/>
      </w:pPr>
      <w:r>
        <w:rPr/>
        <w:t xml:space="preserve">Τέλος, αυτό συνεπάγεται σαφείς επιλογές για το μέλλον, συνοδευόμενες από σημαντικές επενδύσεις στην επιστήμη και την έρευνα, προκειμένου να αυξηθούν οι δεξιότητες των νέων Ευρωπαίων.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ΣΥΣΤΆΣΕΙΣ ΕΝ ΣΥΝΤΟΜΊΑ</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Ενίσχυση της εσωτερικής παραγωγικής ικανότητας: τροφική αλυσίδα (ιδιαίτερα σιτάρι) και τεχνολογία (μικροεπεξεργαστές). </w:t>
      </w:r>
    </w:p>
    <w:p>
      <w:pPr>
        <w:pStyle w:val="P68B1DB1Normal84"/>
        <w:widowControl w:val="false"/>
        <w:spacing w:lineRule="auto" w:line="240"/>
        <w:ind w:left="283" w:right="0" w:hanging="0"/>
        <w:jc w:val="left"/>
        <w:rPr/>
      </w:pPr>
      <w:r>
        <w:rPr>
          <w:color w:val="BD1271"/>
        </w:rPr>
        <w:t xml:space="preserve">2. </w:t>
      </w:r>
      <w:r>
        <w:rPr>
          <w:color w:val="000000"/>
        </w:rPr>
        <w:t>Προώθηση τυπικών περιφερειακών και ευρωπαϊκών παραγωγών.</w:t>
      </w:r>
    </w:p>
    <w:p>
      <w:pPr>
        <w:pStyle w:val="P68B1DB1Normal84"/>
        <w:widowControl w:val="false"/>
        <w:spacing w:lineRule="auto" w:line="240"/>
        <w:ind w:left="283" w:right="0" w:hanging="0"/>
        <w:jc w:val="left"/>
        <w:rPr/>
      </w:pPr>
      <w:r>
        <w:rPr>
          <w:color w:val="BD1271"/>
        </w:rPr>
        <w:t xml:space="preserve">3. </w:t>
      </w:r>
      <w:r>
        <w:rPr>
          <w:color w:val="000000"/>
        </w:rPr>
        <w:t>Ενίσχυση των ευρωπαϊκών βιομηχανικών συνεργατικών σχηματισμών (π.χ. χάλυβας).</w:t>
      </w:r>
    </w:p>
    <w:p>
      <w:pPr>
        <w:pStyle w:val="P68B1DB1Normal84"/>
        <w:widowControl w:val="false"/>
        <w:spacing w:lineRule="auto" w:line="240"/>
        <w:ind w:left="283" w:right="0" w:hanging="0"/>
        <w:jc w:val="left"/>
        <w:rPr/>
      </w:pPr>
      <w:r>
        <w:rPr>
          <w:color w:val="BD1271"/>
        </w:rPr>
        <w:t xml:space="preserve">4. </w:t>
      </w:r>
      <w:r>
        <w:rPr>
          <w:color w:val="000000"/>
        </w:rPr>
        <w:t>Ενίσχυση της τοπικής παραγωγής ενέργειας από οικολογική άποψη (αέριο, ηλιακή, αιολική).</w:t>
      </w:r>
    </w:p>
    <w:p>
      <w:pPr>
        <w:pStyle w:val="P68B1DB1Normal84"/>
        <w:widowControl w:val="false"/>
        <w:spacing w:lineRule="auto" w:line="240"/>
        <w:ind w:left="283" w:right="0" w:hanging="0"/>
        <w:jc w:val="left"/>
        <w:rPr/>
      </w:pPr>
      <w:r>
        <w:rPr>
          <w:color w:val="BD1271"/>
        </w:rPr>
        <w:t xml:space="preserve">5. </w:t>
      </w:r>
      <w:r>
        <w:rPr>
          <w:color w:val="000000"/>
        </w:rPr>
        <w:t>Ανάπτυξη αεροδιαστημικών τεχνολογιών.</w:t>
      </w:r>
    </w:p>
    <w:p>
      <w:pPr>
        <w:pStyle w:val="P68B1DB1Normal84"/>
        <w:widowControl w:val="false"/>
        <w:spacing w:lineRule="auto" w:line="240"/>
        <w:ind w:left="283" w:right="417" w:hanging="0"/>
        <w:jc w:val="left"/>
        <w:rPr/>
      </w:pPr>
      <w:r>
        <w:rPr>
          <w:color w:val="BD1271"/>
        </w:rPr>
        <w:t xml:space="preserve">6. </w:t>
      </w:r>
      <w:r>
        <w:rPr>
          <w:color w:val="000000"/>
        </w:rPr>
        <w:t>Δημιουργία ευρωπαϊκών επιστημονικών εργαστηρίων (ευρωπαϊκή τράπεζα ιών).</w:t>
      </w:r>
    </w:p>
    <w:p>
      <w:pPr>
        <w:pStyle w:val="P68B1DB1Normal84"/>
        <w:widowControl w:val="false"/>
        <w:spacing w:lineRule="auto" w:line="240"/>
        <w:ind w:left="283" w:right="417" w:hanging="0"/>
        <w:jc w:val="left"/>
        <w:rPr/>
      </w:pPr>
      <w:r>
        <w:rPr>
          <w:color w:val="BD1271"/>
        </w:rPr>
        <w:t xml:space="preserve">7. </w:t>
      </w:r>
      <w:r>
        <w:rPr>
          <w:color w:val="000000"/>
        </w:rPr>
        <w:t>Να δημιουργηθεί ένας κοινός ευρωπαϊκός στρατός που θα ενεργεί στο πλαίσιο του ΝΑΤΟ, αλλά και θα βοηθά να προχωρήσει πέρα από αυτό.</w:t>
      </w:r>
    </w:p>
    <w:p>
      <w:pPr>
        <w:pStyle w:val="P68B1DB1Normal84"/>
        <w:widowControl w:val="false"/>
        <w:spacing w:lineRule="auto" w:line="240"/>
        <w:ind w:left="283" w:right="417" w:hanging="0"/>
        <w:jc w:val="left"/>
        <w:rPr/>
      </w:pPr>
      <w:r>
        <w:rPr>
          <w:color w:val="BD1271"/>
        </w:rPr>
        <w:t xml:space="preserve">8. </w:t>
      </w:r>
      <w:r>
        <w:rPr>
          <w:color w:val="000000"/>
        </w:rPr>
        <w:t>Επενδύστε στην κατάρτιση των εκπαιδευτών (ευρωπαϊκές ανταλλαγές εκπαιδευτικών, Erasmus για εκπαιδευτικούς).</w:t>
      </w:r>
    </w:p>
    <w:p>
      <w:pPr>
        <w:pStyle w:val="P68B1DB1Normal84"/>
        <w:widowControl w:val="false"/>
        <w:spacing w:lineRule="auto" w:line="240"/>
        <w:ind w:left="283" w:right="416" w:hanging="0"/>
        <w:jc w:val="left"/>
        <w:rPr/>
      </w:pPr>
      <w:r>
        <w:rPr>
          <w:color w:val="BD1271"/>
        </w:rPr>
        <w:t xml:space="preserve">9. </w:t>
      </w:r>
      <w:r>
        <w:rPr>
          <w:color w:val="000000"/>
        </w:rPr>
        <w:t>Αύξηση της κινητικότητας των ευρωπαίων ερευνητών με την ανάπτυξη νέων ευρωπαϊκών επιστημονικών ιδρυμάτων</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Προώθηση της εμφάνισης καινοτόμων νεοφυών επιχειρήσεων.</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Συνεργασία και εταιρικές σχέσεις </w:t>
      </w:r>
    </w:p>
    <w:p>
      <w:pPr>
        <w:pStyle w:val="P68B1DB1Normal76"/>
        <w:widowControl w:val="false"/>
        <w:spacing w:lineRule="auto" w:line="240" w:before="109" w:after="0"/>
        <w:ind w:left="0" w:right="2" w:hanging="0"/>
        <w:jc w:val="both"/>
        <w:rPr/>
      </w:pPr>
      <w:r>
        <w:rPr/>
        <w:t xml:space="preserve">Το όραμα της Ευρώπης του αύριο δεν είναι ένα φρούριο που υπερασπίζεται τον πλούτο του, αλλά ένας πρωταγωνιστής στη διεθνή σκηνή ικανός για διάλογο με όλες τις χώρες του κόσμου. Ένας διάλογος που ξεκινά από μια εμπορική δύναμη και θα πρέπει να στοχεύει στην οικονομική ηγεσία, και ο οποίος μπορεί να εδραιωθεί μέσω της δημιουργίας διεθνών εταιρικών σχέσεων και έργων μεγάλης κλίμακας. </w:t>
      </w:r>
    </w:p>
    <w:p>
      <w:pPr>
        <w:pStyle w:val="P68B1DB1Normal76"/>
        <w:widowControl w:val="false"/>
        <w:spacing w:lineRule="auto" w:line="240" w:before="78" w:after="0"/>
        <w:ind w:left="0" w:right="0" w:hanging="0"/>
        <w:jc w:val="both"/>
        <w:rPr/>
      </w:pPr>
      <w:r>
        <w:rPr/>
        <w:t xml:space="preserve">Όλα αυτά με στόχο τη συνεργασία και την προσοχή στις πιο ευάλωτες περιοχές του κόσμου, με ad hoc σχέδια που αποσκοπούν στην ανάδειξη των φτωχότερων χωρών, καθώς και πολιτιστικές και οικονομικές ανταλλαγές με τις ανατολικές χώρες. </w:t>
      </w:r>
    </w:p>
    <w:p>
      <w:pPr>
        <w:pStyle w:val="P68B1DB1Normal76"/>
        <w:widowControl w:val="false"/>
        <w:spacing w:lineRule="auto" w:line="240" w:before="78" w:after="0"/>
        <w:ind w:left="0" w:right="3" w:hanging="0"/>
        <w:jc w:val="both"/>
        <w:rPr/>
      </w:pPr>
      <w:r>
        <w:rPr/>
        <w:t xml:space="preserve">Ιδιαίτερη προσοχή δίνεται επίσης στο θέμα της μετανάστευσης, με καλύτερο συντονισμό μεταξύ των χωρών και χρήση κοινών διαδικασιών για τη διαχείριση των αιτήσεων και των ατόμων.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ΣΥΣΤΆΣΕΙΣ ΕΝ ΣΥΝΤΟΜΊΑ</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Ενίσχυση των εξαγωγών.</w:t>
      </w:r>
    </w:p>
    <w:p>
      <w:pPr>
        <w:pStyle w:val="P68B1DB1Normal84"/>
        <w:widowControl w:val="false"/>
        <w:spacing w:lineRule="auto" w:line="240"/>
        <w:ind w:left="283" w:right="0" w:hanging="0"/>
        <w:jc w:val="left"/>
        <w:rPr/>
      </w:pPr>
      <w:r>
        <w:rPr>
          <w:color w:val="BD1271"/>
        </w:rPr>
        <w:t xml:space="preserve">2. </w:t>
      </w:r>
      <w:r>
        <w:rPr>
          <w:color w:val="000000"/>
        </w:rPr>
        <w:t>Προώθηση διακρατικών ευρωπαϊκών τουριστικών διαδρομών.</w:t>
      </w:r>
    </w:p>
    <w:p>
      <w:pPr>
        <w:pStyle w:val="P68B1DB1Normal84"/>
        <w:widowControl w:val="false"/>
        <w:spacing w:lineRule="auto" w:line="240"/>
        <w:ind w:left="283" w:right="0" w:hanging="0"/>
        <w:jc w:val="left"/>
        <w:rPr/>
      </w:pPr>
      <w:r>
        <w:rPr>
          <w:color w:val="BD1271"/>
        </w:rPr>
        <w:t xml:space="preserve">3. </w:t>
      </w:r>
      <w:r>
        <w:rPr>
          <w:color w:val="000000"/>
        </w:rPr>
        <w:t>Ανάπτυξη ενός εμπορικού συστήματος διαπραγματεύσεων σε ευρωπαϊκό επίπεδο (όχι μεμονωμένα ως κράτη ή εταιρείες, αλλά ως Ένωση) ώστε να έχει μεγαλύτερη διαπραγματευτική ισχύ, αλλά με περιορισμούς που σχετίζονται με τον σεβασμό των ανθρωπίνων δικαιωμάτων.</w:t>
      </w:r>
    </w:p>
    <w:p>
      <w:pPr>
        <w:pStyle w:val="P68B1DB1Normal84"/>
        <w:widowControl w:val="false"/>
        <w:spacing w:lineRule="auto" w:line="240"/>
        <w:ind w:left="283" w:right="417" w:hanging="0"/>
        <w:jc w:val="left"/>
        <w:rPr/>
      </w:pPr>
      <w:r>
        <w:rPr>
          <w:color w:val="BD1271"/>
        </w:rPr>
        <w:t xml:space="preserve">4. </w:t>
      </w:r>
      <w:r>
        <w:rPr>
          <w:color w:val="000000"/>
        </w:rPr>
        <w:t>Επικεφαλής μεγάλων διεθνών έργων, όπως ο Διεθνής Διαστημικός Σταθμός.</w:t>
      </w:r>
    </w:p>
    <w:p>
      <w:pPr>
        <w:pStyle w:val="P68B1DB1Normal84"/>
        <w:widowControl w:val="false"/>
        <w:spacing w:lineRule="auto" w:line="240"/>
        <w:ind w:left="283" w:right="417" w:hanging="0"/>
        <w:jc w:val="left"/>
        <w:rPr/>
      </w:pPr>
      <w:r>
        <w:rPr>
          <w:color w:val="BD1271"/>
        </w:rPr>
        <w:t xml:space="preserve">5. </w:t>
      </w:r>
      <w:r>
        <w:rPr>
          <w:color w:val="000000"/>
        </w:rPr>
        <w:t>Χρηματοδότηση έργων στην Αφρική για την κατασκευή σχολείων και νοσοκομείων, χωρίς να υιοθετηθεί στάση αποικιακού τύπου, αλλά με έμφαση στον σεβασμό των ευρωπαϊκών αξιών και δικαιωμάτων.</w:t>
      </w:r>
    </w:p>
    <w:p>
      <w:pPr>
        <w:pStyle w:val="P68B1DB1Normal84"/>
        <w:widowControl w:val="false"/>
        <w:spacing w:lineRule="auto" w:line="240"/>
        <w:ind w:left="283" w:right="417" w:hanging="0"/>
        <w:jc w:val="left"/>
        <w:rPr/>
      </w:pPr>
      <w:r>
        <w:rPr>
          <w:color w:val="BD1271"/>
        </w:rPr>
        <w:t xml:space="preserve">6. </w:t>
      </w:r>
      <w:r>
        <w:rPr>
          <w:color w:val="000000"/>
        </w:rPr>
        <w:t>Να επενδύσουν στην επιτόπια κατάρτιση (ιδίως για τις γυναίκες) στις φτωχότερες χώρες.</w:t>
      </w:r>
    </w:p>
    <w:p>
      <w:pPr>
        <w:pStyle w:val="P68B1DB1Normal84"/>
        <w:widowControl w:val="false"/>
        <w:spacing w:lineRule="auto" w:line="240"/>
        <w:ind w:left="283" w:right="0" w:hanging="0"/>
        <w:jc w:val="left"/>
        <w:rPr/>
      </w:pPr>
      <w:r>
        <w:rPr>
          <w:color w:val="BD1271"/>
        </w:rPr>
        <w:t xml:space="preserve">7. </w:t>
      </w:r>
      <w:r>
        <w:rPr>
          <w:color w:val="000000"/>
        </w:rPr>
        <w:t>Προώθηση των ανταλλαγών τεχνικών και εκπαιδευτών.</w:t>
      </w:r>
    </w:p>
    <w:p>
      <w:pPr>
        <w:pStyle w:val="P68B1DB1Normal84"/>
        <w:widowControl w:val="false"/>
        <w:spacing w:lineRule="auto" w:line="240"/>
        <w:ind w:left="283" w:right="0" w:hanging="0"/>
        <w:jc w:val="left"/>
        <w:rPr/>
      </w:pPr>
      <w:r>
        <w:rPr>
          <w:color w:val="BD1271"/>
        </w:rPr>
        <w:t xml:space="preserve">8. </w:t>
      </w:r>
      <w:r>
        <w:rPr>
          <w:color w:val="000000"/>
        </w:rPr>
        <w:t>Καθιέρωση ενός συστήματος κοινών κανόνων για την πρόσβαση των μεταναστών, με διαφορετικές διαδικασίες μεταξύ ανθρωπιστικής και οικονομικής μετανάστευσης, με δίκαιη κατανομή μεταξύ των διαφόρων κρατών, αλλά με κοινούς κανόνες (απογραφή και έλεγχος της συμπεριφοράς και της απασχόλησης).</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Πολιτική και πολιτιστική αναφορά </w:t>
      </w:r>
    </w:p>
    <w:p>
      <w:pPr>
        <w:pStyle w:val="P68B1DB1Normal76"/>
        <w:widowControl w:val="false"/>
        <w:spacing w:lineRule="auto" w:line="240" w:before="106" w:after="0"/>
        <w:ind w:left="0" w:right="145" w:hanging="0"/>
        <w:jc w:val="both"/>
        <w:rPr/>
      </w:pPr>
      <w:r>
        <w:rPr/>
        <w:t xml:space="preserve">Στο σενάριο που περιγράφεται ανωτέρω, η Ευρώπη αναμένεται να παράσχει σαφή πολιτική και πολιτιστική αναφορά σε παγκόσμιο επίπεδο από την άποψη των δικαιωμάτων και της δεοντολογίας, δίνοντας το παράδειγμα μέσω της λήψης αποφάσεων για τη διασφάλιση ενός υγιούς περιβάλλοντος, του σεβασμού των δικαιωμάτων των ανθρώπων και του διαλόγου μεταξύ Ανατολής και Δύσης.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ΣΥΣΤΆΣΕΙΣ ΕΝ ΣΥΝΤΟΜΊΑ</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Πρωτοπορία ως πράσινη ήπειρος, επίτευξη μηδενικών εκπομπών πριν από άλλους και αύξηση της παραγωγής καθαρής ενέργειας (αιολική και ηλιακή).</w:t>
      </w:r>
    </w:p>
    <w:p>
      <w:pPr>
        <w:pStyle w:val="P68B1DB1Normal84"/>
        <w:widowControl w:val="false"/>
        <w:spacing w:lineRule="auto" w:line="240"/>
        <w:ind w:left="283" w:right="0" w:hanging="0"/>
        <w:jc w:val="left"/>
        <w:rPr/>
      </w:pPr>
      <w:r>
        <w:rPr>
          <w:color w:val="BD1271"/>
        </w:rPr>
        <w:t xml:space="preserve">2. </w:t>
      </w:r>
      <w:r>
        <w:rPr>
          <w:color w:val="000000"/>
        </w:rPr>
        <w:t>Τεχνολογίες εξαγωγής για την παραγωγή αγαθών μηδενικού αντίκτυπου.</w:t>
      </w:r>
    </w:p>
    <w:p>
      <w:pPr>
        <w:pStyle w:val="P68B1DB1Normal84"/>
        <w:widowControl w:val="false"/>
        <w:spacing w:lineRule="auto" w:line="240"/>
        <w:ind w:left="283" w:right="0" w:hanging="0"/>
        <w:jc w:val="left"/>
        <w:rPr/>
      </w:pPr>
      <w:r>
        <w:rPr>
          <w:color w:val="BD1271"/>
        </w:rPr>
        <w:t xml:space="preserve">3. </w:t>
      </w:r>
      <w:r>
        <w:rPr>
          <w:color w:val="000000"/>
        </w:rPr>
        <w:t>Χρησιμεύει ως συμβολή (δημόσιος χώρος, αγορά) μεταξύ Ανατολής και Δύσης, προωθώντας πολιτιστικές ανταλλαγές και κοινές πολιτιστικές πρωτοβουλίες (όπως οι Παγκόσμιες Ημέρες Τέχνης, που θα διοργανωθούν με τη σειρά τους στις διάφορες ευρωπαϊκές πρωτεύουσες, με ένα καλλιτεχνικό πρόγραμμα που θα περιλαμβάνει καλλιτέχνες της Δύσης και της Ανατολής).</w:t>
      </w:r>
    </w:p>
    <w:p>
      <w:pPr>
        <w:pStyle w:val="P68B1DB1Normal84"/>
        <w:widowControl w:val="false"/>
        <w:spacing w:lineRule="auto" w:line="240"/>
        <w:ind w:left="283" w:right="560" w:hanging="0"/>
        <w:jc w:val="left"/>
        <w:rPr/>
      </w:pPr>
      <w:r>
        <w:rPr>
          <w:color w:val="BD1271"/>
        </w:rPr>
        <w:t xml:space="preserve">4. </w:t>
      </w:r>
      <w:r>
        <w:rPr>
          <w:color w:val="000000"/>
        </w:rPr>
        <w:t>Δημιουργία ενός ευρωπαϊκού δεοντολογικού μοντέλου για τη διαχείριση των μεταναστευτικών διαδικασιών που μπορούν να μοιραστούν διεθνώς.</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Τελική αξιολόγηση από τους συμμετέχοντες </w:t>
      </w:r>
    </w:p>
    <w:p>
      <w:pPr>
        <w:pStyle w:val="P68B1DB1Normal76"/>
        <w:widowControl w:val="false"/>
        <w:spacing w:lineRule="auto" w:line="240" w:before="106" w:after="0"/>
        <w:ind w:left="0" w:right="0" w:hanging="0"/>
        <w:jc w:val="both"/>
        <w:rPr/>
      </w:pPr>
      <w:r>
        <w:rPr/>
        <w:t xml:space="preserve">Στο τέλος των δύο εργάσιμων ημερών, ζητήθηκε από όλους τους συμμετέχοντες να συμπληρώσουν ένα σύντομο ερωτηματολόγιο για την αξιολόγηση της εμπειρίας τους. Το ερωτηματολόγιο αξιολόγησης εστάλη δύο ημέρες μετά τη λήξη της επιτροπής, προκειμένου να δοθεί χρόνος σε όλους τους συμμετέχοντες να κάνουν ένα βήμα πίσω από την εμπειρία και να είναι σε θέση να απαντήσουν πιο αντικειμενικά. </w:t>
      </w:r>
    </w:p>
    <w:p>
      <w:pPr>
        <w:pStyle w:val="Normal"/>
        <w:widowControl w:val="false"/>
        <w:spacing w:lineRule="auto" w:line="240" w:before="78" w:after="0"/>
        <w:ind w:left="0" w:right="2" w:hanging="0"/>
        <w:jc w:val="left"/>
        <w:rPr/>
      </w:pPr>
      <w:r>
        <w:rPr>
          <w:color w:val="000000"/>
        </w:rPr>
        <w:t xml:space="preserve">Τα αποτελέσματα που συλλέγονται αποκαλύπτουν ένα ιδιαίτερα υψηλό επίπεδο ικανοποίησης, τόσο όσον αφορά το ενδιαφέρον και την ευκολία συμμετοχής όσο και την αίσθηση της ακρόασης και της ένταξης.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Φόρμα 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3"/>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Ικανοποίηση από τη συμμετοχή στο πάνελ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Συνολική ικανοποίηση από την εμπειρία</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Ποιότητα των συνεισφορών των συμμετεχόντων</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Συνοχή μεταξύ των συστάσεων που διατυπώθηκαν και της συζήτησης</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Ευκολία χρήσης της πλατφόρμας</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Σεβασμός στη διαφορετικότητα των απόψεων</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Ικανότητα των συντονιστών να δίνουν φωνή στους συμμετέχοντες και να ακούν τις παρεμβάσεις τους</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Ενδιαφέρον για τα θέματα που εξετάζονται</w:t>
                              </w:r>
                            </w:p>
                          </w:txbxContent>
                        </wps:txbx>
                        <wps:bodyPr lIns="90000" rIns="90000" tIns="45000" bIns="45000">
                          <a:noAutofit/>
                        </wps:bodyPr>
                      </wps:wsp>
                    </wpg:wgp>
                  </a:graphicData>
                </a:graphic>
              </wp:anchor>
            </w:drawing>
          </mc:Choice>
          <mc:Fallback>
            <w:pict>
              <v:group id="shape_0" alt="Φόρμα 8" style="position:absolute;margin-left:0.05pt;margin-top:3.95pt;width:472.1pt;height:238.2pt" coordorigin="1,79" coordsize="9442,4764">
                <v:shape id="shape_0" stroked="f" style="position:absolute;left:3991;top:846;width:5321;height:3996" type="shapetype_75">
                  <v:imagedata r:id="rId113"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Ικανοποίηση από τη συμμετοχή στο πάνελ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Συνολική ικανοποίηση από την εμπειρία</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Ποιότητα των συνεισφορών των συμμετεχόντων</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Συνοχή μεταξύ των συστάσεων που διατυπώθηκαν και της συζήτησης</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Ευκολία χρήσης της πλατφόρμας</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Σεβασμός στη διαφορετικότητα των απόψεων</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Ικανότητα των συντονιστών να δίνουν φωνή στους συμμετέχοντες και να ακούν τις παρεμβάσεις τους</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Ενδιαφέρον για τα θέματα που εξετάζονται</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Αν και αρχικά είχαν διαφορετικές εμπειρίες, δεξιότητες και κίνητρα, οι συμμετέχοντες αισθάνθηκαν έντονη συμμετοχή: Το 98 % των ερωτηθέντων στο ερωτηματολόγιο αξιολόγησης θεώρησε ότι συμμετείχε ενεργά και συνέβαλε θετικά στη συζήτηση.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Σε γενικές γραμμές, η χρησιμότητα αυτής της εμπειρίας, η οποία θεωρήθηκε πρωτίστως ως μια ευκαιρία για ενεργό συμμετοχή και η οποία έδωσε μια αίσθηση μεγαλύτερης εγγύτητας με τα ευρωπαϊκά θεσμικά όργανα, έγινε ιδιαίτερα αισθητή. Αυτό οδήγησε σχεδόν όλους τους ερωτηθέντες να ζητήσουν την επανάληψη αυτού του είδους πρωτοβουλίας με την πάροδο του χρόνου.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Φόρμα 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4"/>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ΑΞΙΟΛΌΓΗΣΗ ΤΟΥ ΕΝΔΙΑΦΈΡΟΝΤΟΣ ΤΗΣ «ΙΤΑΛΙΚΉΣ ΟΜΆΔΑΣ ΓΙΑ ΤΗ ΔΙΆΣΚΕΨΗ ΓΙΑ ΤΟ ΜΈΛΛΟΝ ΤΗΣ ΕΥΡΏΠΗΣ»</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Πρέπει να γίνεται πιο συχνά</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Είναι χρήσιμο για να ακουστεί η φωνή των πολιτών στα ευρωπαϊκά θεσμικά όργανα</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Μπορεί να συμβάλει θετικά στη βελτίωση του μέλλοντος της Ευρώπης</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Φέρνοντας τα ευρωπαϊκά θεσμικά όργανα πιο κοντά στους πολίτες</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Ήταν χάσιμο χρόνου</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Συμφωνώ απόλυτα</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Προτιμώ να συμφωνήσω.</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Χωρίς συμφωνία και χωρίς συμφωνία</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Δεν συμφωνώ.</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Δεν συμφωνώ καθόλου.</w:t>
                              </w:r>
                            </w:p>
                          </w:txbxContent>
                        </wps:txbx>
                        <wps:bodyPr lIns="90000" rIns="90000" tIns="45000" bIns="45000">
                          <a:noAutofit/>
                        </wps:bodyPr>
                      </wps:wsp>
                    </wpg:wgp>
                  </a:graphicData>
                </a:graphic>
              </wp:anchor>
            </w:drawing>
          </mc:Choice>
          <mc:Fallback>
            <w:pict>
              <v:group id="shape_0" alt="Φόρμα 9" style="position:absolute;margin-left:0pt;margin-top:5.6pt;width:476.15pt;height:248.3pt" coordorigin="0,112" coordsize="9523,4966">
                <v:shape id="shape_0" stroked="f" style="position:absolute;left:430;top:675;width:9092;height:4095" type="shapetype_75">
                  <v:imagedata r:id="rId114"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ΑΞΙΟΛΌΓΗΣΗ ΤΟΥ ΕΝΔΙΑΦΈΡΟΝΤΟΣ ΤΗΣ «ΙΤΑΛΙΚΉΣ ΟΜΆΔΑΣ ΓΙΑ ΤΗ ΔΙΆΣΚΕΨΗ ΓΙΑ ΤΟ ΜΈΛΛΟΝ ΤΗΣ ΕΥΡΏΠΗΣ»</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Πρέπει να γίνεται πιο συχνά</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Είναι χρήσιμο για να ακουστεί η φωνή των πολιτών στα ευρωπαϊκά θεσμικά όργανα</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Μπορεί να συμβάλει θετικά στη βελτίωση του μέλλοντος της Ευρώπης</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Φέρνοντας τα ευρωπαϊκά θεσμικά όργανα πιο κοντά στους πολίτες</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Ήταν χάσιμο χρόνου</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Συμφωνώ απόλυτα</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Προτιμώ να συμφωνήσω.</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Χωρίς συμφωνία και χωρίς συμφωνία</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Δεν συμφωνώ.</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Δεν συμφωνώ καθόλου.</w:t>
                        </w:r>
                      </w:p>
                    </w:txbxContent>
                  </v:textbox>
                  <w10:wrap type="square"/>
                  <v:fill o:detectmouseclick="t" on="false"/>
                  <v:stroke color="#3465a4" joinstyle="round" endcap="flat"/>
                </v:rect>
              </v:group>
            </w:pict>
          </mc:Fallback>
        </mc:AlternateContent>
      </w:r>
      <w:r>
        <w:rPr>
          <w:color w:val="000000"/>
        </w:rPr>
        <w:t>Όλοι οι συμμετέχοντες ανέφεραν ότι εάν μια τέτοια πρωτοβουλία επρόκειτο να οργανωθεί εκ νέου, όχι μόνο θα ήταν πρόθυμοι να συμμετάσχουν, αλλά θα συνιστούσαν επίσης στους φίλους τους να συμμετάσχουν.</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Ε Εθνικές ομάδες: Λιθουανία</w:t>
      </w:r>
    </w:p>
    <w:p>
      <w:pPr>
        <w:pStyle w:val="P68B1DB1Normal95"/>
        <w:widowControl w:val="false"/>
        <w:spacing w:lineRule="exact" w:line="393"/>
        <w:ind w:left="0" w:right="0" w:hanging="0"/>
        <w:jc w:val="left"/>
        <w:rPr>
          <w:rFonts w:ascii="Arial" w:hAnsi="Arial"/>
          <w:color w:val="5A5A5A"/>
          <w:sz w:val="28"/>
        </w:rPr>
      </w:pPr>
      <w:r>
        <w:rPr/>
        <w:t xml:space="preserve">Ομάδα πολιτών της Λιθουανίας για το μέλλον της Ευρώπης </w:t>
      </w:r>
    </w:p>
    <w:p>
      <w:pPr>
        <w:pStyle w:val="P68B1DB1Normal95"/>
        <w:widowControl w:val="false"/>
        <w:spacing w:lineRule="exact" w:line="460"/>
        <w:ind w:left="4320" w:right="0" w:hanging="0"/>
        <w:jc w:val="left"/>
        <w:rPr>
          <w:rFonts w:ascii="Arial" w:hAnsi="Arial"/>
          <w:color w:val="5A5A5A"/>
          <w:sz w:val="28"/>
        </w:rPr>
      </w:pPr>
      <w:r>
        <w:rPr/>
        <w:t xml:space="preserve">ΕΚΘΕΣΗ </w:t>
      </w:r>
    </w:p>
    <w:p>
      <w:pPr>
        <w:pStyle w:val="P68B1DB1Normal76"/>
        <w:widowControl w:val="false"/>
        <w:spacing w:lineRule="exact" w:line="227" w:before="87" w:after="0"/>
        <w:ind w:left="0" w:right="2" w:hanging="0"/>
        <w:jc w:val="both"/>
        <w:rPr/>
      </w:pPr>
      <w:r>
        <w:rPr/>
        <w:t xml:space="preserve">Η παρούσα έκθεση αποτελείται από τέσσερα μέρη. Το πρώτο παρουσιάζει εν συντομία την πρόοδο της εκδήλωσης. Το δεύτερο περιγράφει τις συστάσεις των συμμετεχόντων στην ομάδα πολιτών για τις πολιτικές της ΕΕ και της Λιθουανίας. Η τρίτη παρέχει μια σύντομη ανάλυση των συζητήσεων στις ομάδες και των κυριότερων αποτελεσμάτων του φόρουμ. Το τέταρτο συγκρίνει τα αποτελέσματα της ομάδας πολιτών με εκείνα των ερευνών πολιτών της Λιθουανίας σχετικά με το κράτος και το μέλλον της Ευρώπης.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Διεξαγωγή της Εθνικής Επιτροπής Πολιτών</w:t>
      </w:r>
    </w:p>
    <w:p>
      <w:pPr>
        <w:pStyle w:val="Normal"/>
        <w:widowControl w:val="false"/>
        <w:spacing w:lineRule="exact" w:line="253" w:before="95" w:after="0"/>
        <w:ind w:left="0" w:right="0" w:hanging="0"/>
        <w:jc w:val="both"/>
        <w:rPr/>
      </w:pPr>
      <w:r>
        <w:rPr>
          <w:color w:val="000000"/>
        </w:rPr>
        <w:t>Σύμφωνα με τις κατευθυντήριες γραμμές για την οργάνωση των εθνικών ομάδων πολιτών στο πλαίσιο της Διάσκεψης για το Μέλλον της Ευρώπης, το ερευνητικό ινστιτούτο Kantar TNS LT ανέπτυξε τον Δεκέμβριο του 2021, κατόπιν αιτήματος του Υπουργείου Εξωτερικών (MAE), μια στρωματοποιημένη μέθοδο τυχαίας επιλογής αντιπροσωπευτικού δείγματος του λιθουανικού πληθυσμού, βάσει της οποίας η Kantar TNS επέλεξε 25 Λιθουανούς πολίτες ηλικίας 18 έως 65 ετών που εκπροσωπούν διαφορετικές κοινωνικοοικονομικές ομάδες και όλες τις γεωγραφικές περιοχές της Λιθουανίας</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Στις 4 Ιανουαρίου, οι επιλεγέντες πολίτες κλήθηκαν σε μια εικονική εισαγωγική συνεδρία κατά τη διάρκεια της οποίας παρουσιάστηκε η ιδέα της Εθνικής Ομάδας Πολιτών και πραγματοποιήθηκαν ανταλλαγές σχετικά με τα θέματα που έχουν μεγαλύτερη σημασία για το μέλλον της Ευρώπης. Στο τέλος της εκδήλωσης, οι συμμετέχοντες έλαβαν ενημερωτικό έγγραφο με λεπτομερή περιγραφή των θεμάτων που συζητήθηκαν και των πηγών πληροφόρησης. </w:t>
      </w:r>
    </w:p>
    <w:p>
      <w:pPr>
        <w:pStyle w:val="P68B1DB1Normal76"/>
        <w:widowControl w:val="false"/>
        <w:spacing w:lineRule="exact" w:line="253"/>
        <w:ind w:left="0" w:right="2" w:hanging="0"/>
        <w:jc w:val="both"/>
        <w:rPr/>
      </w:pPr>
      <w:r>
        <w:rPr/>
        <w:t xml:space="preserve">Στις 15 Ιανουαρίου, μια ομάδα εθνικών πολιτών για το μέλλον της Ευρώπης πραγματοποιήθηκε στο ΕΕΣ, που διοργανώθηκε από το Κέντρο Μελέτης Ανατολικής Ευρώπης (RESC) του ΕΕΣ και το ινστιτούτο δημοσκοπήσεων Kantar TNS LT, στο οποίο συμμετείχαν άμεσα 25 επιλεγμένοι πολίτες.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 xml:space="preserve">Οι συμμετέχοντες συζήτησαν δύο θέματα σχετικά με τις πολιτικές της ΕΕ: </w:t>
      </w:r>
      <w:r>
        <w:rPr>
          <w:b/>
        </w:rPr>
        <w:t>ο ρόλος και οι αρμοδιότητες που θα μπορούσε να έχει η ΕΕ στην εξωτερική πολιτική</w:t>
      </w:r>
      <w:r>
        <w:rPr/>
        <w:t xml:space="preserve">, καθώς και </w:t>
      </w:r>
      <w:r>
        <w:rPr>
          <w:b/>
        </w:rPr>
        <w:t>ο οικονομικός ρόλος της ΕΕ</w:t>
      </w:r>
      <w:r>
        <w:rPr/>
        <w:t>.</w:t>
      </w:r>
      <w:r>
        <w:rPr>
          <w:b/>
        </w:rPr>
        <w:t xml:space="preserve"> </w:t>
      </w:r>
      <w:r>
        <w:rPr/>
        <w:t xml:space="preserve">Στην εκδήλωση αυτή, καθένα από τα θέματα αυτά αποτέλεσε αντικείμενο χωριστής συνεδρίασης στην αρχή της οποίας οι εμπειρογνώμονες πολιτικής της ΕΕ Linas Kojala (RESC) και Ramūnas Vilpišauskas (καθηγητής στο Πανεπιστήμιο του Βίλνιους) παρουσίασαν εν συντομία στους πολίτες την επικαιρότητα και τα θέματα του θέματος της συνόδου. Κατά τη διάρκεια της συζήτησης, οι πολίτες μπόρεσαν να υποβάλουν ερωτήσεις και να μοιραστούν τις απόψεις τους. Μετά τις παρουσιάσεις εμπειρογνωμόνων, οι συμμετέχοντες χωρίστηκαν σε τρεις μικρότερες αντιπροσωπευτικές ομάδες για κάθε προβληματισμό σχετικά με ένα διαφορετικό θέμα που σχετίζεται με το θέμα της συνεδρίασης. Τα θέματα εξωτερικής πολιτικής που συζητήθηκαν ήταν τα εξής: </w:t>
      </w:r>
    </w:p>
    <w:p>
      <w:pPr>
        <w:pStyle w:val="P68B1DB1Normal76"/>
        <w:widowControl w:val="false"/>
        <w:spacing w:lineRule="exact" w:line="253"/>
        <w:ind w:left="720" w:right="1" w:hanging="0"/>
        <w:jc w:val="left"/>
        <w:rPr/>
      </w:pPr>
      <w:r>
        <w:rPr>
          <w:b/>
        </w:rPr>
        <w:t>1.1.</w:t>
      </w:r>
      <w:r>
        <w:rPr/>
        <w:t xml:space="preserve"> Υπάρχει ανάγκη για αυτόνομη αμυντική και εξωτερική πολιτική της ΕΕ;</w:t>
      </w:r>
    </w:p>
    <w:p>
      <w:pPr>
        <w:pStyle w:val="P68B1DB1Normal76"/>
        <w:widowControl w:val="false"/>
        <w:spacing w:lineRule="exact" w:line="253"/>
        <w:ind w:left="720" w:right="1" w:hanging="0"/>
        <w:jc w:val="left"/>
        <w:rPr/>
      </w:pPr>
      <w:r>
        <w:rPr>
          <w:b/>
        </w:rPr>
        <w:t>1.2.</w:t>
      </w:r>
      <w:r>
        <w:rPr/>
        <w:t xml:space="preserve"> Ποιες θα πρέπει να είναι οι σχέσεις της ΕΕ με τους γείτονές της στην Ανατολική Ευρώπη, τη Βόρεια Αφρική και την Τουρκία; </w:t>
      </w:r>
    </w:p>
    <w:p>
      <w:pPr>
        <w:pStyle w:val="P68B1DB1Normal76"/>
        <w:widowControl w:val="false"/>
        <w:spacing w:lineRule="exact" w:line="379"/>
        <w:ind w:left="720" w:right="0" w:hanging="0"/>
        <w:jc w:val="left"/>
        <w:rPr/>
      </w:pPr>
      <w:r>
        <w:rPr>
          <w:b/>
        </w:rPr>
        <w:t>1.3.</w:t>
      </w:r>
      <w:r>
        <w:rPr/>
        <w:t xml:space="preserve"> Ποια πρέπει να είναι η μεταναστευτική πολιτική της ΕΕ; </w:t>
      </w:r>
    </w:p>
    <w:p>
      <w:pPr>
        <w:pStyle w:val="P68B1DB1Normal76"/>
        <w:widowControl w:val="false"/>
        <w:spacing w:lineRule="exact" w:line="254"/>
        <w:ind w:left="0" w:right="0" w:hanging="0"/>
        <w:jc w:val="left"/>
        <w:rPr/>
      </w:pPr>
      <w:r>
        <w:rPr/>
        <w:t xml:space="preserve">Η σύνοδος σχετικά με τον οικονομικό ρόλο της ΕΕ οδήγησε σε προβληματισμό σχετικά με τα ακόλουθα ζητήματα: </w:t>
      </w:r>
    </w:p>
    <w:p>
      <w:pPr>
        <w:pStyle w:val="P68B1DB1Normal76"/>
        <w:widowControl w:val="false"/>
        <w:spacing w:lineRule="exact" w:line="254"/>
        <w:ind w:left="720" w:right="0" w:hanging="0"/>
        <w:jc w:val="left"/>
        <w:rPr/>
      </w:pPr>
      <w:r>
        <w:rPr>
          <w:b/>
        </w:rPr>
        <w:t xml:space="preserve">2.1. </w:t>
      </w:r>
      <w:r>
        <w:rPr/>
        <w:t xml:space="preserve">Υπάρχει ανάγκη για μεγαλύτερη ανακατανομή κονδυλίων από τον προϋπολογισμό της ΕΕ, από το κοινό χρέος της ΕΕ; </w:t>
      </w:r>
    </w:p>
    <w:p>
      <w:pPr>
        <w:pStyle w:val="P68B1DB1Normal76"/>
        <w:widowControl w:val="false"/>
        <w:spacing w:lineRule="exact" w:line="379"/>
        <w:ind w:left="720" w:right="0" w:hanging="0"/>
        <w:jc w:val="left"/>
        <w:rPr/>
      </w:pPr>
      <w:r>
        <w:rPr>
          <w:b/>
        </w:rPr>
        <w:t xml:space="preserve">2.2. </w:t>
      </w:r>
      <w:r>
        <w:rPr/>
        <w:t>Πρέπει να ρυθμιστούν τα κοινωνικά πρότυπα σε επίπεδο ΕΕ;</w:t>
      </w:r>
      <w:r>
        <w:rPr>
          <w:b/>
        </w:rPr>
        <w:t xml:space="preserve"> </w:t>
      </w:r>
    </w:p>
    <w:p>
      <w:pPr>
        <w:pStyle w:val="P68B1DB1Normal76"/>
        <w:widowControl w:val="false"/>
        <w:spacing w:lineRule="exact" w:line="379"/>
        <w:ind w:left="720" w:right="0" w:hanging="0"/>
        <w:jc w:val="left"/>
        <w:rPr/>
      </w:pPr>
      <w:r>
        <w:rPr>
          <w:b/>
        </w:rPr>
        <w:t>2.3.</w:t>
      </w:r>
      <w:r>
        <w:rPr/>
        <w:t xml:space="preserve"> Πώς μπορεί να ενισχυθεί η οικονομία της ΕΕ; </w:t>
      </w:r>
    </w:p>
    <w:p>
      <w:pPr>
        <w:pStyle w:val="P68B1DB1Normal76"/>
        <w:widowControl w:val="false"/>
        <w:spacing w:lineRule="auto" w:line="240"/>
        <w:ind w:left="0" w:right="0" w:hanging="0"/>
        <w:jc w:val="both"/>
        <w:rPr/>
      </w:pPr>
      <w:r>
        <w:rPr/>
        <w:t xml:space="preserve">Στο τέλος της συνόδου, κάθε ομάδα έπρεπε να διατυπώσει τα κύρια συμπεράσματα της συζήτησης, να προβεί σε δηλώσεις αρχών ή συγκεκριμένες προτάσεις σχετικά με ζητήματα πολιτικής της ΕΕ. Κατά τη διάρκεια της συζήτησης με ολόκληρη την ομάδα, ο εκπρόσωπος της κάθε ομάδας παρουσίασε τα ευρήματα αυτά στους άλλους συμμετέχοντες. Όσοι ήταν σε άλλες ομάδες ήταν σε θέση να κάνουν ερωτήσεις και να συμπληρώσουν τις προτάσεις με τις ιδέες τους. Μετά τις παρουσιάσεις και τις συζητήσεις, οι πολίτες ψήφισαν ο καθένας δύο μεταξύ αυτών των συμπερασμάτων, με ψήφο υπέρ της σημαντικότερης πρότασης ή δήλωσης για τον ρόλο της Λιθουανίας στην ενίσχυση της ΕΕ και την επιτυχία της ΕΕ ακόμη και σε ολόκληρη την Ευρώπη· και η άλλη ψήφος υπέρ της δήλωσης ή της πρότασης φαίνεται ότι είναι η πιο σημαντική για την προσωπική τους ιδιότητα, προς το συμφέρον τους ως κάτοικος της ΕΕ. Μετά την ψηφοφορία αυτή, πραγματοποιήθηκε συζήτηση στην επιτροπή και συζητήθηκαν οι βασικές ιδέες που προέκυψαν από τις συζητήσεις. </w:t>
      </w:r>
    </w:p>
    <w:p>
      <w:pPr>
        <w:pStyle w:val="P68B1DB1Normal76"/>
        <w:widowControl w:val="false"/>
        <w:spacing w:lineRule="auto" w:line="240"/>
        <w:ind w:left="0" w:right="0" w:hanging="0"/>
        <w:jc w:val="both"/>
        <w:rPr/>
      </w:pPr>
      <w:r>
        <w:rPr/>
        <w:t xml:space="preserve">Την εβδομάδα που ακολούθησε η εκδήλωση, οι εμπειρογνώμονες εξέτασαν το περιεχόμενο των συζητήσεων και αποκάλυψαν την ουσία των ιδεών που πρότειναν οι πολίτες. Στις 25 Ιανουαρίου πραγματοποιήθηκε εικονική ανακεφαλαιωτική συνεδρίαση και οι συστάσεις από το περιεχόμενο των συζητήσεών τους κοινοποιήθηκαν στους πολίτες. Οι πολίτες είχαν την ευκαιρία να δηλώσουν αν ενέκριναν τις συστάσεις, να τις συμπληρώσουν επί της ουσίας και να τις αξιολογήσουν. Όλοι οι συμμετέχοντες είχαν αυτή την ευκαιρία και πάλι μία εβδομάδα μετά την ανακεφαλαιωτική συνεδρία, στέλνοντας τις απόψεις και τα σχόλιά τους γραπτώς στους διοργανωτές του πάνελ.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Αποτελέσματα της Εθνικής Ομάδας Πολιτών</w:t>
      </w:r>
      <w:r>
        <w:rPr/>
        <w:t xml:space="preserve"> </w:t>
      </w:r>
    </w:p>
    <w:p>
      <w:pPr>
        <w:pStyle w:val="P68B1DB1Normal76"/>
        <w:widowControl w:val="false"/>
        <w:spacing w:lineRule="auto" w:line="240" w:before="70" w:after="0"/>
        <w:ind w:left="0" w:right="1" w:hanging="0"/>
        <w:jc w:val="both"/>
        <w:rPr/>
      </w:pPr>
      <w:r>
        <w:rPr/>
        <w:t xml:space="preserve">Αυτό το μέρος της έκθεσης παρουσιάζει τα αποτελέσματα της ομάδας πολιτών, με τις συστάσεις των συμμετεχόντων στις ομάδες εργασίας και τις θέσεις τους σχετικά με το ρόλο της ΕΕ στην εξωτερική πολιτική και την οικονομία.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Πρώτη συνεδρία:</w:t>
      </w:r>
      <w:r>
        <w:rPr/>
        <w:t xml:space="preserve"> </w:t>
      </w:r>
      <w:r>
        <w:rPr>
          <w:b/>
        </w:rPr>
        <w:t>ρόλος και αρμοδιότητες της ΕΕ στην εξωτερική πολιτική</w:t>
      </w:r>
    </w:p>
    <w:p>
      <w:pPr>
        <w:pStyle w:val="P68B1DB1Normal99"/>
        <w:widowControl w:val="false"/>
        <w:spacing w:lineRule="auto" w:line="240" w:before="39" w:after="0"/>
        <w:ind w:left="468" w:right="0" w:hanging="0"/>
        <w:jc w:val="left"/>
        <w:rPr/>
      </w:pPr>
      <w:r>
        <w:rPr/>
        <w:t xml:space="preserve">1. Καλούμε την ΕΕ να αναπτύξει μια πιο αποτελεσματική πολιτική έναντι της Κίνας. Η Λιθουανία πρέπει να υποστηριχθεί πιο αποφασιστικά, αλλά θα πρέπει επίσης να ευθυγραμμίσει καλύτερα τη θέση της με εκείνη των εταίρων της ΕΕ. Προκειμένου να διασφαλιστεί ότι τα συμφέροντα μπορούν να εξισορροπηθούν καλύτερα εντός της ΕΕ και ότι υπάρχει μόνο μία πολιτική έναντι της Κίνας, καθώς και για άλλα θέματα εξωτερικής πολιτικής, συνιστούμε να εξεταστεί το ενδεχόμενο σύστασης υπουργού Εξωτερικών της ΕΕ. </w:t>
      </w:r>
    </w:p>
    <w:p>
      <w:pPr>
        <w:pStyle w:val="P68B1DB1Normal99"/>
        <w:widowControl w:val="false"/>
        <w:spacing w:lineRule="auto" w:line="240" w:before="78" w:after="0"/>
        <w:ind w:left="468" w:right="341" w:hanging="0"/>
        <w:jc w:val="left"/>
        <w:rPr/>
      </w:pPr>
      <w:r>
        <w:rPr/>
        <w:t xml:space="preserve">2. Συνιστούμε να τεθεί στην ημερήσια διάταξη το ζήτημα των ποσοστώσεων των μεταναστών σε επίπεδο ΕΕ. </w:t>
      </w:r>
    </w:p>
    <w:p>
      <w:pPr>
        <w:pStyle w:val="P68B1DB1Normal99"/>
        <w:widowControl w:val="false"/>
        <w:spacing w:lineRule="auto" w:line="240" w:before="78" w:after="0"/>
        <w:ind w:left="468" w:right="0" w:hanging="0"/>
        <w:jc w:val="left"/>
        <w:rPr/>
      </w:pPr>
      <w:r>
        <w:rPr/>
        <w:t>3. Συνιστούμε τη σύσταση ειδικής επιτροπής σε επίπεδο ΕΕ για την αντιμετώπιση των μεταναστευτικών ζητημάτων, η οποία θα διασφαλίζει την ταχύτερη αντιμετώπιση των μεταναστευτικών κρίσεων και το δικαίωμα των κρατών μελών να εξηγούν και να υπερασπίζονται τα εθνικά τους συμφέροντα και να αναπτύσσουν και να εφαρμόζουν κοινές κατευθυντήριες γραμμές για τη διαχείριση της μετανάστευσης.</w:t>
      </w:r>
    </w:p>
    <w:p>
      <w:pPr>
        <w:pStyle w:val="P68B1DB1Normal99"/>
        <w:widowControl w:val="false"/>
        <w:spacing w:lineRule="auto" w:line="240" w:before="78" w:after="0"/>
        <w:ind w:left="468" w:right="0" w:hanging="0"/>
        <w:jc w:val="left"/>
        <w:rPr/>
      </w:pPr>
      <w:r>
        <w:rPr/>
        <w:t xml:space="preserve">4. Συνιστούμε την ενίσχυση των οικονομικών και ανθρωπιστικών δεσμών με τις χώρες της Βόρειας Αφρικής, χωρίς να παραβλέπονται οι πολιτικές πραγματικότητες, ιδίως με σκοπό τη μείωση της επιρροής της Κίνας, της Ρωσίας και άλλων κρατών της περιοχής. </w:t>
      </w:r>
    </w:p>
    <w:p>
      <w:pPr>
        <w:pStyle w:val="P68B1DB1Normal99"/>
        <w:widowControl w:val="false"/>
        <w:spacing w:lineRule="auto" w:line="240" w:before="78" w:after="0"/>
        <w:ind w:left="468" w:right="466" w:hanging="0"/>
        <w:jc w:val="left"/>
        <w:rPr/>
      </w:pPr>
      <w:r>
        <w:rPr/>
        <w:t xml:space="preserve">5. Συνιστούμε την ενίσχυση των δεσμών με την Ανατολική Ευρώπη και την ενθάρρυνση οικονομικών μέτρων σε προσωπικό επίπεδο. </w:t>
      </w:r>
    </w:p>
    <w:p>
      <w:pPr>
        <w:pStyle w:val="P68B1DB1Normal99"/>
        <w:widowControl w:val="false"/>
        <w:spacing w:lineRule="auto" w:line="240" w:before="78" w:after="0"/>
        <w:ind w:left="468" w:right="286" w:hanging="0"/>
        <w:jc w:val="left"/>
        <w:rPr/>
      </w:pPr>
      <w:r>
        <w:rPr/>
        <w:t xml:space="preserve">6. Επιμένουμε οι κυρώσεις που επιβάλλονται από την ΕΕ σε ξένους παράγοντες να είναι αυστηρότερες, πιο στοχευμένες και να αφορούν σημαντικά πρόσωπα του κράτους στο οποίο έχει επιβληθεί κυρώσεις (π.χ. πολιτικούς ηγέτες). </w:t>
      </w:r>
    </w:p>
    <w:p>
      <w:pPr>
        <w:pStyle w:val="P68B1DB1Normal99"/>
        <w:widowControl w:val="false"/>
        <w:spacing w:lineRule="auto" w:line="240" w:before="78" w:after="0"/>
        <w:ind w:left="466" w:right="295" w:hanging="0"/>
        <w:jc w:val="left"/>
        <w:rPr/>
      </w:pPr>
      <w:r>
        <w:rPr/>
        <w:t>7. Επιμένουμε ότι η κοινή εξωτερική πολιτική και πολιτική ασφάλειας της ΕΕ βασίζεται στη θεμελιώδη αρχή της αλληλεγγύης μεταξύ των διαφόρων κρατών μελών της ΕΕ και των διαφόρων ευρωπαϊκών περιφερειών και κοινωνιών.</w:t>
      </w:r>
    </w:p>
    <w:p>
      <w:pPr>
        <w:pStyle w:val="P68B1DB1Normal99"/>
        <w:widowControl w:val="false"/>
        <w:spacing w:lineRule="auto" w:line="240" w:before="78" w:after="0"/>
        <w:ind w:left="466" w:right="295" w:hanging="0"/>
        <w:jc w:val="left"/>
        <w:rPr/>
      </w:pPr>
      <w:r>
        <w:rPr/>
        <w:t xml:space="preserve">8. Συνιστούμε στην ΕΕ να επανεξετάσει μέχρι στιγμής την πολιτική του ανοικτού χαρακτήρα όσον αφορά τη μετανάστευση, η οποία προκαλεί προβλήματα ασφάλειας, αύξηση της εγκληματικότητας και καθιέρωση του κοινοτισμού στην κοινωνία. </w:t>
      </w:r>
    </w:p>
    <w:p>
      <w:pPr>
        <w:pStyle w:val="P68B1DB1Normal99"/>
        <w:widowControl w:val="false"/>
        <w:spacing w:lineRule="auto" w:line="240" w:before="78" w:after="0"/>
        <w:ind w:left="468" w:right="0" w:hanging="0"/>
        <w:jc w:val="left"/>
        <w:rPr/>
      </w:pPr>
      <w:r>
        <w:rPr/>
        <w:t xml:space="preserve">9. Καλούμε τη Λιθουανία να μιλήσει πιο ενεργά για θέματα μεταναστευτικής πολιτικής και να ξεκινήσει συζητήσεις για θέματα που σχετίζονται με τη μετανάστευση. </w:t>
      </w:r>
    </w:p>
    <w:p>
      <w:pPr>
        <w:pStyle w:val="P68B1DB1Normal99"/>
        <w:widowControl w:val="false"/>
        <w:spacing w:lineRule="auto" w:line="240" w:before="78" w:after="0"/>
        <w:ind w:left="468" w:right="0" w:hanging="0"/>
        <w:jc w:val="left"/>
        <w:rPr>
          <w:rFonts w:ascii="Arial" w:hAnsi="Arial"/>
          <w:color w:val="000000"/>
          <w:sz w:val="20"/>
        </w:rPr>
      </w:pPr>
      <w:r>
        <w:rPr/>
        <w:t xml:space="preserve">10. Συνιστούμε στην ΕΕ να ακολουθήσει μια ενεργή και αυστηρή πολιτική έναντι των κρατών που χρησιμοποιούν τις μεταναστευτικές ροές ως όπλο σε υβριδικές επιθέσεις: αφενός, με την επιβολή αυστηρότερων κυρώσεων και, αφετέρου, με διάλογο μαζί τους με σκοπό την αποκλιμάκωση.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Δεύτερη συνεδρία: ο οικονομικός ρόλος της ΕΕ </w:t>
      </w:r>
    </w:p>
    <w:p>
      <w:pPr>
        <w:pStyle w:val="P68B1DB1Normal99"/>
        <w:widowControl w:val="false"/>
        <w:spacing w:lineRule="auto" w:line="240"/>
        <w:ind w:left="828" w:right="142" w:hanging="359"/>
        <w:jc w:val="both"/>
        <w:rPr/>
      </w:pPr>
      <w:r>
        <w:rPr/>
        <w:t xml:space="preserve">1. Συνιστούμε στην ΕΕ να ενισχύσει την ασφάλεια εφοδιασμού με βασικά αγαθά με διάφορα μέσα: προτεραιότητα στο εσωτερικό εμπόριο της ΕΕ, προώθηση της παραγωγής προηγμένων τεχνολογιών και περαιτέρω διαφοροποίηση των πηγών εισαγωγών. Συνιστούμε επίσης τη διερεύνηση νέων εξαγωγικών αγορών. </w:t>
      </w:r>
    </w:p>
    <w:p>
      <w:pPr>
        <w:pStyle w:val="P68B1DB1Normal99"/>
        <w:widowControl w:val="false"/>
        <w:spacing w:lineRule="auto" w:line="240" w:before="83" w:after="0"/>
        <w:ind w:left="828" w:right="143" w:hanging="359"/>
        <w:jc w:val="both"/>
        <w:rPr/>
      </w:pPr>
      <w:r>
        <w:rPr/>
        <w:t xml:space="preserve">2. Συνιστούμε την επανεξέταση των διαπραγματευτικών πρακτικών των συμβάσεων φυσικού αερίου, με σκοπό τόσο τις βραχυπρόθεσμες όσο και τις μακροπρόθεσμες συμβάσεις. Συνιστούμε περαιτέρω διαφοροποίηση των πηγών ενεργειακού εφοδιασμού. </w:t>
      </w:r>
    </w:p>
    <w:p>
      <w:pPr>
        <w:pStyle w:val="P68B1DB1Normal99"/>
        <w:widowControl w:val="false"/>
        <w:spacing w:lineRule="auto" w:line="240" w:before="83" w:after="0"/>
        <w:ind w:left="828" w:right="143" w:hanging="359"/>
        <w:jc w:val="both"/>
        <w:rPr/>
      </w:pPr>
      <w:r>
        <w:rPr/>
        <w:t xml:space="preserve">3. Συνιστούμε να αξιολογηθούν τα μέτρα της Πράσινης Συμφωνίας και η εφαρμογή τους, λαμβάνοντας υπόψη τις πιθανές αρνητικές κοινωνικοοικονομικές επιπτώσεις. Για την υλοποίηση των στόχων της Πράσινης Συμφωνίας, συνιστούμε τη χρήση της πυρηνικής ενέργειας και του φυσικού αερίου επιπλέον της χρήσης ανανεώσιμων πηγών ενέργειας. </w:t>
      </w:r>
    </w:p>
    <w:p>
      <w:pPr>
        <w:pStyle w:val="P68B1DB1Normal99"/>
        <w:widowControl w:val="false"/>
        <w:spacing w:lineRule="auto" w:line="240" w:before="83" w:after="0"/>
        <w:ind w:left="828" w:right="143" w:hanging="359"/>
        <w:jc w:val="both"/>
        <w:rPr/>
      </w:pPr>
      <w:r>
        <w:rPr/>
        <w:t xml:space="preserve">4. Τονίζουμε ότι είναι ιδιαίτερα σημαντικό όλα τα κράτη μέλη να σέβονται την αρχή της υπεροχής του δικαίου της ΕΕ. Ζητούμε με παράδειγμα η Λιθουανία να έχει σαφή θέση επί των αρχών επί του θέματος. </w:t>
      </w:r>
    </w:p>
    <w:p>
      <w:pPr>
        <w:pStyle w:val="P68B1DB1Normal99"/>
        <w:widowControl w:val="false"/>
        <w:spacing w:lineRule="auto" w:line="240" w:before="83" w:after="0"/>
        <w:ind w:left="828" w:right="142" w:hanging="359"/>
        <w:jc w:val="both"/>
        <w:rPr/>
      </w:pPr>
      <w:r>
        <w:rPr/>
        <w:t>5. Συνιστούμε στη Λιθουανία να χρησιμοποιήσει πιο ενεργά τις ορθές πρακτικές των χωρών της ΕΕ με στόχο υψηλότερα κοινωνικά πρότυπα, οικονομική επέκταση και ισόρροπη και βιώσιμη ανάπτυξη.</w:t>
      </w:r>
    </w:p>
    <w:p>
      <w:pPr>
        <w:pStyle w:val="P68B1DB1Normal99"/>
        <w:widowControl w:val="false"/>
        <w:spacing w:lineRule="auto" w:line="240" w:before="83" w:after="0"/>
        <w:ind w:left="828" w:right="142" w:hanging="359"/>
        <w:jc w:val="both"/>
        <w:rPr/>
      </w:pPr>
      <w:r>
        <w:rPr/>
        <w:t xml:space="preserve">6. Συνιστούμε να δοθεί μεγαλύτερη προσοχή στην ενίσχυση της ασφάλειας στον κυβερνοχώρο, καθώς και στην προστασία των δεδομένων και των υποδομών. </w:t>
      </w:r>
    </w:p>
    <w:p>
      <w:pPr>
        <w:pStyle w:val="P68B1DB1Normal99"/>
        <w:widowControl w:val="false"/>
        <w:spacing w:lineRule="auto" w:line="240" w:before="83" w:after="0"/>
        <w:ind w:left="821" w:right="143" w:hanging="354"/>
        <w:jc w:val="both"/>
        <w:rPr/>
      </w:pPr>
      <w:r>
        <w:rPr/>
        <w:t xml:space="preserve">7. Συνιστούμε στην ΕΕ και στα κράτη μέλη να δώσουν προτεραιότητα στην ανάπτυξη βασικών οικονομικών γνώσεων μεταξύ των πολιτών, στην εκπαίδευση και στη διάδοση πληροφοριών. </w:t>
      </w:r>
    </w:p>
    <w:p>
      <w:pPr>
        <w:pStyle w:val="P68B1DB1Normal99"/>
        <w:widowControl w:val="false"/>
        <w:spacing w:lineRule="auto" w:line="240" w:before="45" w:after="0"/>
        <w:ind w:left="821" w:right="143" w:hanging="354"/>
        <w:jc w:val="both"/>
        <w:rPr/>
      </w:pPr>
      <w:r>
        <w:rPr/>
        <w:t xml:space="preserve">8. Συνιστούμε οι νέες εμπορικές συμφωνίες της ΕΕ να ενσωματώνουν φιλόδοξα κοινωνικά, εργασιακά και υγειονομικά πρότυπα. Συνιστούμε τη θέσπιση, σε επίπεδο ΕΕ, κατευθυντήριων γραμμών σχετικά με το τι πρέπει να κάνετε και τι δεν θα έχετε το δικαίωμα να χρησιμοποιείτε πλατφόρμες μέσων κοινωνικής δικτύωσης που διαχειρίζονται τα προσωπικά δεδομένα των καταναλωτών και πληροφορίες σχετικά με αυτά. </w:t>
      </w:r>
    </w:p>
    <w:p>
      <w:pPr>
        <w:pStyle w:val="P68B1DB1Normal99"/>
        <w:widowControl w:val="false"/>
        <w:spacing w:lineRule="auto" w:line="240" w:before="42" w:after="0"/>
        <w:ind w:left="821" w:right="143" w:hanging="354"/>
        <w:jc w:val="both"/>
        <w:rPr/>
      </w:pPr>
      <w:r>
        <w:rPr/>
        <w:t>9. Συνιστούμε περαιτέρω προβληματισμό σχετικά με τη δυνατότητα κοινού δανεισμού σε επίπεδο ΕΕ, προκειμένου να επιτευχθούν οι καλύτεροι όροι δανεισμού. Συνιστούμε επίσης την ανάπτυξη μιας οικονομικά υγιούς και υπεύθυνης πολιτικής για τη μείωση της ανάγκης για χρέος για τα κράτη μέλη.</w:t>
      </w:r>
    </w:p>
    <w:p>
      <w:pPr>
        <w:pStyle w:val="P68B1DB1Normal99"/>
        <w:widowControl w:val="false"/>
        <w:spacing w:lineRule="auto" w:line="240" w:before="42" w:after="0"/>
        <w:ind w:left="821" w:right="143" w:hanging="354"/>
        <w:jc w:val="both"/>
        <w:rPr/>
      </w:pPr>
      <w:r>
        <w:rPr/>
        <w:t>10. Συνιστούμε την ενίσχυση της παρακολούθησης της απορρόφησης και της χρήσης των κονδυλίων της ΕΕ, βοηθώντας τις τοπικές αρχές να καθιερώσουν μια πραγματική πρακτική προσαρμογής της χρήσης των πόρων. Δεδομένου ότι η αντικειμενική κατάσταση των δικαιούχων των κονδυλίων της ΕΕ μπορεί να αλλάξει, η σύνδεση μεταξύ των απαιτήσεων διαφάνειας και ευελιξίας έχει ιδιαίτερη σημασία.</w:t>
      </w:r>
    </w:p>
    <w:p>
      <w:pPr>
        <w:pStyle w:val="P68B1DB1Normal99"/>
        <w:widowControl w:val="false"/>
        <w:spacing w:lineRule="auto" w:line="240" w:before="42" w:after="0"/>
        <w:ind w:left="821" w:right="143" w:hanging="354"/>
        <w:jc w:val="both"/>
        <w:rPr/>
      </w:pPr>
      <w:r>
        <w:rPr/>
        <w:t xml:space="preserve">11. Συνιστούμε στη Λιθουανία να συνεχίσει να προωθεί ενεργά την οικονομική ανάπτυξη και τις επενδύσεις στις περιφέρειες της χώρας.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Συζητήσεις στην Εθνική Επιτροπή Πολιτών και ανάλυση των αποτελεσμάτων </w:t>
      </w:r>
    </w:p>
    <w:p>
      <w:pPr>
        <w:pStyle w:val="P68B1DB1Normal76"/>
        <w:widowControl w:val="false"/>
        <w:spacing w:lineRule="auto" w:line="240" w:before="46" w:after="0"/>
        <w:ind w:left="0" w:right="29" w:hanging="0"/>
        <w:jc w:val="both"/>
        <w:rPr/>
      </w:pPr>
      <w:r>
        <w:rPr/>
        <w:t xml:space="preserve">Οι συμμετέχοντες στην Εθνική Ομάδα Πολιτών συζήτησαν τα σημαντικότερα επίκαιρα θέματα για τη Λιθουανία (που συζητήθηκαν σε μεγάλο βαθμό σε εθνικό επίπεδο στον πολιτικό τομέα και τον τομέα των μέσων ενημέρωσης) και τον τρόπο αντιμετώπισής τους. Από τη γενική ψηφοφορία επί των κύριων συμπερασμάτων της επιτροπής προέκυψε ότι σχεδόν το 45 % του συνόλου των ψηφισάντων κατά τη διάρκεια των δύο συνόδων ήταν αφιερωμένο σε προτάσεις για δύο θέματα: σχέσεις με την Κίνα και έλεγχος των μεταναστευτικών ροών (βλ. πίνακα κατωτέρω). Το θέμα της ενεργειακής πολιτικής έχει επίσης συγκεντρώσει μεγάλη προσοχή. Ήταν το αντικείμενο μιας μόνο πρότασης, αλλά έλαβε τις ψήφους σχεδόν του 10 % των συμμετεχόντων. Το αποτέλεσμα αυτών των ψηφοφοριών υποδηλώνει ότι η αντίληψη των πολιτών για το μέλλον της Ευρώπης θα μπορούσε να είναι καθοριστική για τα σημερινά πολιτικά ζητήματα και τις ειδήσεις (σε εθνικό επίπεδο).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ΣΥΣΤΑΣΗ</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ΨΗΦΟΦΟΡΙΑ</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Πρώτη συνεδρία: ρόλος και αρμοδιότητες της ΕΕ στην εξωτερική πολιτική</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Καλούμε την ΕΕ να αναπτύξει μια πιο αποτελεσματική πολιτική έναντι της Κίνας. Η τρέχουσα στήριξη προς τη Λιθουανία δεν επαρκεί, αλλά η Λιθουανία δεν έχει ευθυγραμμίσει επαρκώς τη θέση της με τη θέση των εταίρων της ΕΕ. Προκειμένου να διασφαλιστεί ότι τα συμφέροντα μπορούν να εξισορροπηθούν καλύτερα εντός της ΕΕ και ότι υπάρχει μόνο μία πολιτική έναντι της Κίνας, καθώς και για άλλα θέματα εξωτερικής πολιτικής, συνιστούμε να εξεταστεί το ενδεχόμενο σύστασης υπουργού Εξωτερικών της ΕΕ.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 σημαντικά για όλη την Ευρώπη: 8. με προσωπική ιδιότητα: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Συνιστούμε να τεθεί στην ημερήσια διάταξη το ζήτημα των ποσοστώσεων των μεταναστών σε επίπεδο ΕΕ.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 σημαντικά για όλη την Ευρώπη: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Συνιστούμε τη σύσταση ειδικής επιτροπής σε επίπεδο ΕΕ για την αντιμετώπιση των μεταναστευτικών ζητημάτων, η οποία θα διασφαλίζει ταχύτερη ανταπόκριση στις μεταναστευτικές κρίσεις και το δικαίωμα των κρατών μελών να εξηγούν και να υπερασπίζονται τα εθνικά τους συμφέροντα, καθώς και να αναπτύσσουν και να εφαρμόζουν κοινές κατευθυντήριες γραμμές για τη διαχείριση της μετανάστευσης.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 σημαντικά για όλη την Ευρώπη: 3 με προσωπική ιδιότητα: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Συνιστούμε την ενίσχυση των οικονομικών και ανθρωπιστικών δεσμών με τις χώρες της Βόρειας Αφρικής, χωρίς να παραβλέπονται οι πολιτικές πραγματικότητες, ιδίως με σκοπό τη μείωση της επιρροής της Κίνας, της Ρωσίας και άλλων κρατών της περιοχής.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 σημαντικά από προσωπικής άποψης: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Προτείνουμε την ενίσχυση των δεσμών με την Ανατολική Ευρώπη και την εφαρμογή οικονομικών μέτρων σε επίπεδο ανθρώπων.</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 σημαντικά προσωπικά: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 xml:space="preserve">Δεύτερη συνεδρία: ο οικονομικός ρόλος της ΕΕ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Συνιστούμε στην ΕΕ να λάβει διάφορα μέτρα για την ενίσχυση της ασφάλειας του εφοδιασμού με βασικά αγαθά: προτεραιότητα στο ενδοενωσιακό εμπόριο, προώθηση της παραγωγής προηγμένων τεχνολογιών εντός της ΕΕ και περαιτέρω διαφοροποίηση των πηγών εισαγωγών. Συνιστούμε επίσης τη διερεύνηση νέων εξαγωγικών αγορών.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 σημαντικά για όλη την Ευρώπη: 3 προσωπικά: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Συνιστούμε την επανεξέταση των διαπραγματευτικών πρακτικών των συμβάσεων φυσικού αερίου, με σκοπό τόσο τις βραχυπρόθεσμες όσο και τις μακροπρόθεσμες συμβάσεις. Συνιστούμε περαιτέρω διαφοροποίηση των πηγών ενεργειακού εφοδιασμού.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 σημαντικά για όλη την Ευρώπη: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Συνιστούμε να αξιολογηθούν τα μέτρα της Πράσινης Συμφωνίας και η εφαρμογή τους, λαμβάνοντας υπόψη τις πιθανές αρνητικές κοινωνικοοικονομικές επιπτώσεις. Για την υλοποίηση των στόχων της Πράσινης Συμφωνίας, συνιστούμε τη χρήση της πυρηνικής ενέργειας και του φυσικού αερίου επιπλέον της χρήσης ανανεώσιμων πηγών ενέργειας.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 σημαντικά από προσωπικής άποψης: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Τονίζουμε ότι είναι σημαντικό όλα τα κράτη μέλη να σέβονται την αρχή της υπεροχής του δικαίου της ΕΕ. Ζητούμε με παράδειγμα η Λιθουανία να έχει σαφή θέση επί των αρχών επί του θέματος.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 σημαντικά για όλη την Ευρώπη: 2 με προσωπική ιδιότητα: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Επιπλέον, τα σημαντικότερα ζητήματα για τους πολίτες, δηλαδή οι σχέσεις με την Κίνα, η μετανάστευση ή η ενέργεια, είναι προσωρινά: το ψήφισμά τους θα έχει θεμελιώδη αντίκτυπο στο μακροπρόθεσμο μέλλον της Ευρώπης. Ως εκ τούτου, η πιθανότητα οι πολίτες που σκέφτονται το μέλλον να δώσουν προτεραιότητα σε αυτό που είναι σημαντικό αυτή τη στιγμή δεν είναι προβληματική. Καθώς η οικοδόμηση του μέλλοντος ξεκινά με ένα πλήθος μικρών βημάτων σήμερα, η αντίληψη των προσδοκιών των πολιτών βραχυπρόθεσμα αποτελεί απαραίτητη προϋπόθεση για τη διασφάλιση ενός ισχυρού μακροπρόθεσμου ελέγχου των διαδικασιών και της επίλυσης προβλημάτων. Η κατωτέρω ανάλυση των κύριων αποτελεσμάτων της ομάδας των εθνικών πολιτών βασίζεται σε αυτή την παρατήρηση.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Το ψήφισμα που λαμβάνει τον μεγαλύτερο αριθμό ψήφων (11 ή σχεδόν 12 %) είναι ότι</w:t>
      </w:r>
      <w:r>
        <w:rPr>
          <w:b/>
        </w:rPr>
        <w:t xml:space="preserve"> η ΕΕ χρειάζεται μια πιο αποτελεσματική πολιτική έναντι της Κίνας</w:t>
      </w:r>
      <w:r>
        <w:rPr/>
        <w:t xml:space="preserve">. Το γενικό αυτό συμπέρασμα κάλυπτε διάφορες πιο συγκεκριμένες δηλώσεις. Πρώτον, οι συμμετέχοντες τόνισαν ότι, σε αυτό το στάδιο, η στήριξη της ΕΕ στη Λιθουανία ενόψει της οικονομικής πίεσης από την Κίνα δεν ήταν επαρκής. Δεύτερον, οι εκπρόσωποι της Ομάδας που ανακοίνωσαν το συμπέρασμα τόνισαν ότι η ίδια η Λιθουανία θα πρέπει να καταβάλει μεγαλύτερες προσπάθειες για να εναρμονίσει την πολιτική της έναντι της Κίνας με εκείνη των εταίρων της ΕΕ, ιδίως επειδή είναι σημαντικό για την ΕΕ στο σύνολό της να συνεχίσει τις εμπορικές συναλλαγές με την Κίνα. Τρίτον, οι πολίτες έθεσαν την ιδέα ότι ο συντονισμός των θέσεων και η ανάπτυξη μιας κοινής πολιτικής για την Κίνα, ειδικότερα, θα μπορούσε να είναι αποτελεσματικότερη εάν συσταθεί υπουργός Εξωτερικών της ΕΕ. Οκτώ συμμετέχοντες δήλωσαν ότι αυτό το συμπέρασμα είναι ιδιαίτερα σημαντικό για όλη την Ευρώπη και άλλοι τρεις το δήλωσαν σημαντικό για αυτούς υπό την προσωπική τους ιδιότητα.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Το ζήτημα των σχέσεων με την Κίνα συνδέεται στενά με δύο άλλες προτάσεις με μεγάλο αριθμό φωνών πολιτών. Εννέα συμμετέχοντες ψήφισαν υπέρ του συμπεράσματος στο οποίο κατέληξε στη δεύτερη σύνοδο ότι η </w:t>
      </w:r>
      <w:r>
        <w:rPr>
          <w:b/>
        </w:rPr>
        <w:t>ΕΕ πρέπει να ενισχύσει την ασφάλεια του εφοδιασμού</w:t>
      </w:r>
      <w:r>
        <w:rPr/>
        <w:t xml:space="preserve"> (τρεις συμμετέχοντες δήλωσαν ότι αυτό είναι ιδιαίτερα σημαντικό για όλη την Ευρώπη και έξι ακόμη ότι αυτό είναι για αυτούς υπό την προσωπική τους ιδιότητα). Το συμπέρασμα αυτό περιελάμβανε επίσης διάφορες πτυχές. Πρώτον, οι πολίτες τόνισαν την ανάγκη να δοθεί προτεραιότητα στις αγορές της ΕΕ που χαρακτηρίζονται από αξιόπιστους προμηθευτές και προϊόντα που πληρούν απαιτητικά πρότυπα. Δεύτερον, οι συμμετέχοντες τόνισαν την ανάγκη να ενθαρρυνθεί η παραγωγική ικανότητα υψηλής τεχνολογίας στην ίδια την Ευρώπη. Τρίτον, οι πολίτες εξέφρασαν την υποστήριξή τους για μεγαλύτερη διαφοροποίηση των πηγών εισαγωγών. Κατά τη διατύπωση αυτών των συστάσεων, οι συμμετέχοντες στη συζήτηση αναφέρθηκαν με συνέπεια στον παράγοντα της Κίνας: οι απειλές για την ασφάλεια που σχετίζονται με τα κινεζικά αγαθά, η εξάρτηση από τις κινεζικές πρώτες ύλες που απαιτούνται για την κατασκευή προηγμένων τεχνολογιών, καθώς και οι πρακτικές της Κίνας για αντιγραφή και κλοπή τεχνολογιών από δυτικές εταιρείες που δραστηριοποιούνται στην αγορά της. Η πρόταση για</w:t>
      </w:r>
      <w:r>
        <w:rPr>
          <w:b/>
        </w:rPr>
        <w:t xml:space="preserve"> την ανάπτυξη της οικονομικής και ανθρωπιστικής συνεργασίας της ΕΕ με τις χώρες της Βόρειας Αφρικής</w:t>
      </w:r>
      <w:r>
        <w:rPr/>
        <w:t xml:space="preserve"> έλαβε επίσης έξι ψήφους (σημαντικές με προσωπική ιδιότητα) με την αιτιολογία ότι στην περιοχή αυτή είναι σημαντικό να μειωθεί η επιρροή της Κίνας, καθώς και της Ρωσίας και άλλων φιλικών κρατών.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Τα αποτελέσματα της ψηφοφορίας αντανακλούσαν επίσης τις ανησυχίες των πολιτών σχετικά με τα μεταναστευτικά ζητήματα. Δύο από τα τρία πιο φωνητικά ευρήματα στην εξωτερική πολιτική ήταν αφιερωμένα στη μετανάστευση. Εννέα συμμετέχοντες ψήφισαν υπέρ της πρότασης </w:t>
      </w:r>
      <w:r>
        <w:rPr>
          <w:b/>
        </w:rPr>
        <w:t>να επανέλθει η ΕΕ στη δημιουργία ενός συστήματος υποχρεωτικών ποσοστώσεων υποδοχής μεταναστών για τα κράτη μέλη</w:t>
      </w:r>
      <w:r>
        <w:rPr/>
        <w:t xml:space="preserve"> (όλοι τόνισαν ότι η πρόταση αυτή έχει ιδιαίτερη σημασία για ολόκληρη την Ευρώπη). Οι συμμετέχοντες που κατέληξαν στο συμπέρασμα αυτό εξέφρασαν την υποστήριξή τους για τον καθορισμό εθνικών ποσοστώσεων ανάλογα με τον αριθμό των κατοίκων και για τη συγχρηματοδότηση από την ΕΕ για την κάλυψη των αναγκών των μεταναστών σύμφωνα με τις εν λόγω ποσοστώσεις. Επτά συμμετέχοντες ψήφισαν υπέρ της πρότασης </w:t>
      </w:r>
      <w:r>
        <w:rPr>
          <w:b/>
        </w:rPr>
        <w:t>για τη σύσταση μόνιμης τεχνικής επιτροπής σε επίπεδο ΕΕ για την αντιμετώπιση θεμάτων μετανάστευσης, στην οποία θα αποσπώνται εκπρόσωποι των κρατών μελών</w:t>
      </w:r>
      <w:r>
        <w:rPr/>
        <w:t xml:space="preserve"> (τρεις συμμετέχοντες θεωρούν ότι η πρόταση αυτή έχει ιδιαίτερη σημασία για την Ευρώπη στο σύνολό της, τέσσερις την θεωρούν σημαντική υπό την προσωπική τους ιδιότητα). Οι συμμετέχοντες τόνισαν ότι ένας τέτοιος φορέας θα μπορούσε να επιτρέψει στην ΕΕ να αντιδρά ταχύτερα στις μεταναστευτικές κρίσεις, διασφαλίζοντας παράλληλα την ισορροπία μεταξύ του επαρκούς σεβασμού των γενικών αρχών της ΕΕ και του δικαιώματος των κρατών μελών να υπερασπίζονται τα εθνικά τους συμφέροντα και την ασφάλειά τους.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Κατά τη διάρκεια της συζήτησης για τη μεταναστευτική πολιτική, οι συμμετέχοντες συζήτησαν δύο διαφορετικές κρίσεις στη διαχείριση των μεταναστευτικών ροών: το 2016, η μεταναστευτική κρίση της Μεσογείου και η υβριδική επίθεση της Λευκορωσίας το 2012 στη Λιθουανία, τη Λετονία και την Πολωνία, κατά τη διάρκεια της οποίας το Μινσκ χρησιμοποίησε μετανάστες από ροές από τη Μέση Ανατολή και την Αφρική. Ορισμένοι συμμετέχοντες δήλωσαν ότι η κρίση του 2016 φαινόταν μακρινή και άσχετη, τόσο για τη Λιθουανία στο σύνολό της όσο και για την προσωπική της ιδιότητα, και ότι η πρόταση για τη θέσπιση συστήματος ποσοστώσεων για τους μετανάστες δεν φαινόταν κατάλληλη γι’ αυτούς. Σύμφωνα με τους συμμετέχοντες, η εμπειρία της υβριδικής επίθεσης έκανε το ζήτημα της μετανάστευσης πιο κοντά στην Ανατολική Ευρώπη και αναγκάστηκε να προσεγγίσει τις ποσοστώσεις ως ένα προσαρμοσμένο, αποτελεσματικό και αλληλέγγυο εργαλείο μεταναστευτικής πολιτικής. Ορισμένοι συμμετέχοντες επεσήμαναν ότι, εν μέσω της κρίσης του 2021, είχε καταστεί δύσκολο να γίνει διάκριση μεταξύ εκείνων που βρίσκονται στο έδαφος της χώρας, των προσφύγων, των μεταναστών και εκείνων που συνιστούν απειλή. Όλοι οι συμμετέχοντες στη συζήτηση συμφώνησαν ότι η τρέχουσα «ανοικτή» μεταναστευτική πολιτική της ΕΕ δεν λαμβάνει επαρκώς υπόψη τις απειλές που απορρέουν από τη μετανάστευση, τα εθνικά συμφέροντα των κρατών μελών, την ικανότητά τους να εντάξουν τους μετανάστες κ.λπ. Οι πολίτες επέκριναν επίσης την ΕΕ για τη βραδύτητα ή την έλλειψη ανταπόκρισης στις ανάγκες της Λιθουανίας, καθώς και για την άρνησή της να χρηματοδοτήσει την κατασκευή τείχους στα εξωτερικά σύνορα.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Συνοπτικά, μπορούμε να πούμε ότι δύο στοιχεία των πιο θερμών ειδήσεων της Λιθουανίας το 2021 — οι σχέσεις με την Κίνα και η διαχείριση των μεταναστευτικών ροών — ενθαρρύνουν τους πολίτες της Λιθουανίας να απαιτήσουν από την ΕΕ να παρέμβει περισσότερο και να έχει μια πιο αποτελεσματική κοινή πολιτική. Οι πολίτες ανησυχούν για την πολιτική της Κίνας και την αυξανόμενη επιρροή της στην Ευρώπη και στις γειτονικές χώρες της ΕΕ. Πρέπει να αναγνωριστεί ότι η οικονομική επιρροή της Κίνας αναγκάζει την Ευρώπη να αναζητήσει κατάλληλα και ισορροπημένα μέτρα πολιτικής. Κατά τη γνώμη των πολιτών, η κύρια λύση είναι η ενίσχυση των μέσων κοινής εξωτερικής πολιτικής της ΕΕ, της βιομηχανικής πολιτικής και της συνεργασίας με τις γειτονικές χώρες. Ομοίως, οι πολίτες θεώρησαν ότι η ενιαία δράση σε επίπεδο ΕΕ, καθώς και ένα πιθανό νέο σύστημα ποσοστώσεων μετανάστευσης, ήταν ίσως ο καταλληλότερος τρόπος για να ξεφύγουν από τις απειλές για την ασφάλεια που θέτει η μετανάστευση, καθώς και για να ελέγξουν γρήγορα και αποτελεσματικά τις μεταναστευτικές ροές προς την Ευρώπη. Κατά την άποψη της ειδικής ομάδας, η καλύτερη απάντηση στις αυξανόμενες πιέσεις της Κίνας και στην υβριδική επίθεση της Λευκορωσίας θα ήταν να υπάρξει μια βαθιά και ενισχυμένη κοινή πολιτική της ΕΕ.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Η παρούσα γνωμοδότηση σχετικά με τις υπό συζήτηση κρίσεις μπορεί να συγκριθεί με τις προτάσεις των συμμετεχόντων στην ομάδα για θέματα ενέργειας και κλίματος. Στο τέλος του 2021, πολλοί Λιθουανοί πολίτες αναγκάστηκαν να αντιμετωπίσουν άμεσα την αύξηση των τιμών θέρμανσης και η κρίση των τιμών της ενέργειας γρήγορα αποδείχθηκε μεταξύ των σημαντικότερων ειδήσεων για τη Λιθουανία. Η ανησυχία σχετικά με τις τιμές της ενέργειας αντικατοπτρίζεται επίσης στην ψηφοφορία των συμμετεχόντων: εννέα πολίτες ψήφισαν μάλιστα υπέρ του συμπεράσματος ότι το ζήτημα αυτό είναι το πιο σημαντικό για όλη την Ευρώπη. Η κύρια σύσταση των συμμετεχόντων ήταν</w:t>
      </w:r>
      <w:r>
        <w:rPr>
          <w:b/>
        </w:rPr>
        <w:t xml:space="preserve"> να επανεξετάσουν την τρέχουσα πρακτική των κρατών μελών, συνάπτοντας συμβάσεις ενεργειακού εφοδιασμού με διαφορετικούς προμηθευτές και προσπαθώντας να τις συνάψουν τόσο βραχυπρόθεσμα όσο και μακροπρόθεσμα.</w:t>
      </w:r>
      <w:r>
        <w:rPr/>
        <w:t xml:space="preserve"> Με άλλα λόγια, οι πολίτες υποστήριξαν την πολιτική διαφοροποίησης των πηγών ενεργειακού εφοδιασμού, αλλά δεν διατύπωσαν συστάσεις σχετικά με τις γενικές πολιτικές της ΕΕ και δεν πρότειναν περαιτέρω ενσωμάτωση των ενεργειακών πολιτικών.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Όσον αφορά την πολιτική για το κλίμα, οι πολίτες πρότειναν </w:t>
      </w:r>
      <w:r>
        <w:rPr>
          <w:b/>
        </w:rPr>
        <w:t>την αξιολόγηση των μέτρων της Πράσινης Συμφωνίας, λαμβάνοντας υπόψη τον αναμενόμενο κοινωνικοοικονομικό αντίκτυπο και φιλοδοξία.</w:t>
      </w:r>
      <w:r>
        <w:rPr/>
        <w:t xml:space="preserve"> Η πρόταση αυτή έλαβε τη φωνή έξι συμμετεχόντων, καθένας από τους οποίους το θεώρησε σημαντικό υπό την προσωπική του ιδιότητα. Ορισμένοι συμμετέχοντες εξέφρασαν την ανησυχία τους για τον υπερβολικά γρήγορο ρυθμό της λεγόμενης «πράσινης μετάβασης» και δήλωσαν ότι η Λιθουανία θα πρέπει να αξιολογήσει πιο προσεκτικά εάν μια τέτοια πολιτική θα υπονόμευε τα συμφέροντα της χώρας και των πολιτών της. Ορισμένοι συμμετέχοντες αναβίωσαν επίσης την ανάγκη χρήσης όχι μόνο ανανεώσιμων πηγών ενέργειας, αλλά και πυρηνικής ενέργειας και φυσικού αερίου. Προς στήριξη αυτής της θέσης, αναφέρθηκαν στην απόφαση της Γερμανίας να συνεχίσει να χρησιμοποιεί φυσικό αέριο, καθώς και στο δυναμικό των νέων «τροποποιημένων» πυρηνικών αντιδραστήρων. Ως εκ τούτου, όσον αφορά την πολιτική για το κλίμα, η ομάδα έδωσε προτεραιότητα στις πολιτικές των κρατών μελών σύμφωνα με τις εθνικές ανάγκες και όχι σε μια φιλόδοξη κοινή πολιτική της ΕΕ για την κλιματική διακυβέρνηση.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Δεδομένου του σχετικά μικρού αριθμού συμμετεχόντων στην ομάδα και της ανομοιογένειας των απαντήσεων των πολιτών (περισσότερη ενότητα δράσης ή μεγαλύτερη ευελιξία) στις διάφορες κρίσεις, θα ήταν λάθος να εξεταστούν εδώ ανακεφαλαιωτικά και ευρέως εφαρμόσιμα μέτρα. Ωστόσο, αυτή η δυναμική έκφρασης απόψεων μπορεί να οδηγήσει στην πρόταση θεμάτων ενδιαφέροντος για μελλοντικές μελέτες γνωμοδότησης των Λιθουανών πολιτών σχετικά με θέματα ένταξης στην ΕΕ, στις οποίες θα πρέπει να λαμβάνονται υπόψη οι απόψεις των πολιτών σχετικά με τις αυτόνομες πολιτικές της ΕΕ, τις αλλαγές στις θεσμικές ρυθμίσεις και τις διαφορές.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Αποτελέσματα της ομάδας πολιτών στο ευρύτερο πλαίσιο της κοινής γνώμης στη Λιθουανία </w:t>
      </w:r>
    </w:p>
    <w:p>
      <w:pPr>
        <w:pStyle w:val="Normal"/>
        <w:widowControl w:val="false"/>
        <w:spacing w:lineRule="auto" w:line="240"/>
        <w:ind w:left="0" w:right="1" w:hanging="0"/>
        <w:jc w:val="both"/>
        <w:rPr/>
      </w:pPr>
      <w:r>
        <w:rPr>
          <w:color w:val="000000"/>
        </w:rPr>
        <w:t xml:space="preserve">Προκειμένου να συμπεριλάβουν τα αποτελέσματα της εθνικής ομάδας πολιτών, τα αποτελέσματα αυτά συγκρίνονται εν συντομία στο τελευταίο μέρος με τα αποτελέσματα δύο τρεχουσών ερευνών γνωμοδότησης, καθώς και με τα ενδιάμεσα αποτελέσματα άλλων προπαρασκευαστικών εργασιών για τη Διάσκεψη για το Μέλλον της Ευρώπης. Το πρώτο μέρος της παρούσας έκθεσης αφορά μια έρευνα του παρομέτρου </w:t>
      </w:r>
      <w:hyperlink r:id="rId115">
        <w:r>
          <w:rPr>
            <w:rStyle w:val="LienInternet"/>
            <w:color w:val="0563C1"/>
          </w:rPr>
          <w:t>των</w:t>
        </w:r>
      </w:hyperlink>
      <w:r>
        <w:rPr>
          <w:color w:val="000000"/>
        </w:rPr>
        <w:t>πολιτών</w:t>
      </w:r>
      <w:hyperlink r:id="rId116">
        <w:r>
          <w:rPr>
            <w:color w:val="000000"/>
          </w:rPr>
          <w:t xml:space="preserve"> </w:t>
        </w:r>
      </w:hyperlink>
      <w:hyperlink r:id="rId117">
        <w:r>
          <w:rPr>
            <w:rStyle w:val="LienInternet"/>
            <w:color w:val="0563C1"/>
          </w:rPr>
          <w:t>της</w:t>
        </w:r>
      </w:hyperlink>
      <w:r>
        <w:rPr>
          <w:color w:val="000000"/>
        </w:rPr>
        <w:t xml:space="preserve">ΕΕ που πραγματοποιήθηκε τον Οκτώβριο και τον Νοέμβριο του 2020 σχετικά με τη Διάσκεψη για το Μέλλον της Ευρώπης· το δεύτερο για το τελευταίο </w:t>
      </w:r>
      <w:hyperlink r:id="rId118">
        <w:r>
          <w:rPr>
            <w:rStyle w:val="LienInternet"/>
            <w:color w:val="0563C1"/>
          </w:rPr>
          <w:t>τακτικό Ευρωβαρόμετρο</w:t>
        </w:r>
      </w:hyperlink>
      <w:r>
        <w:rPr>
          <w:color w:val="000000"/>
        </w:rPr>
        <w:t xml:space="preserve"> που πραγματοποιήθηκε το καλοκαίρι του 2021. Στο βαθμό που ορισμένα από τα ερωτήματα των μελετών αυτών επικεντρώθηκαν σε άλλα πολιτικά θέματα και στις προσδοκίες των πολιτών από την ίδια τη διάσκεψη, γίνεται κατωτέρω σύγκριση με τα ζητήματα που πραγματεύθηκαν στην ομάδα. Η εξέταση των αποτελεσμάτων των προπαρασκευαστικών εργασιών της Διάσκεψης για το Μέλλον της Ευρώπης βασίστηκε στην προκαταρκτική έκθεση της RESC, η οποία περιελάμβανε δηλώσεις πολιτών που συμμετείχαν στις εργασίες για διάφορα θέματα πολιτικής της ΕΕ.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Τα αποτελέσματα των ερευνών του Ευρωβαρόμετρου δείχνουν ότι οι συζητήσεις και οι ψήφοι των συμμετεχόντων στην ομάδα πολιτών αντικατοπτρίζουν αρκετά καλά τις απόψεις που επικρατούν στη λιθουανική κοινωνία. Οι συστάσεις των συμμετεχόντων στην ομάδα για την ενίσχυση της κοινής εξωτερικής και μεταναστευτικής πολιτικής, συμμετέχοντας στις αποφάσεις σε επίπεδο ΕΕ, αντιστοιχούν στα πορίσματα των ερευνών της ευρύτερης κοινής γνώμης: </w:t>
      </w:r>
    </w:p>
    <w:p>
      <w:pPr>
        <w:pStyle w:val="P68B1DB1Normal76"/>
        <w:widowControl w:val="false"/>
        <w:spacing w:lineRule="auto" w:line="240"/>
        <w:ind w:left="361" w:right="1" w:hanging="0"/>
        <w:jc w:val="left"/>
        <w:rPr/>
      </w:pPr>
      <w:r>
        <w:rPr>
          <w:rFonts w:ascii="Garamond" w:hAnsi="Garamond"/>
        </w:rPr>
        <w:t>—</w:t>
      </w:r>
      <w:r>
        <w:rPr/>
        <w:t xml:space="preserve"> </w:t>
      </w:r>
      <w:r>
        <w:rPr/>
        <w:t xml:space="preserve">Οι πολίτες της Λιθουανίας υποστηρίζουν την κοινή αμυντική πολιτική της ΕΕ περισσότερο από τον μέσο όρο της ΕΕ (90 % έναντι 78 %)· </w:t>
      </w:r>
    </w:p>
    <w:p>
      <w:pPr>
        <w:pStyle w:val="P68B1DB1Normal76"/>
        <w:widowControl w:val="false"/>
        <w:spacing w:lineRule="auto" w:line="240"/>
        <w:ind w:left="361" w:right="3" w:hanging="0"/>
        <w:jc w:val="left"/>
        <w:rPr/>
      </w:pPr>
      <w:r>
        <w:rPr>
          <w:rFonts w:ascii="Garamond" w:hAnsi="Garamond"/>
        </w:rPr>
        <w:t>—</w:t>
      </w:r>
      <w:r>
        <w:rPr/>
        <w:t xml:space="preserve"> </w:t>
      </w:r>
      <w:r>
        <w:rPr/>
        <w:t xml:space="preserve">Οι πολίτες της Λιθουανίας υποστηρίζουν την κοινή μεταναστευτική πολιτική της ΕΕ περισσότερο από τον μέσο όρο της ΕΕ (76 % έναντι 71 %· η διαφορά αυτή βρίσκεται εντός του περιθωρίου σφάλματος)· </w:t>
      </w:r>
    </w:p>
    <w:p>
      <w:pPr>
        <w:pStyle w:val="P68B1DB1Normal76"/>
        <w:widowControl w:val="false"/>
        <w:spacing w:lineRule="auto" w:line="240"/>
        <w:ind w:left="360" w:right="2" w:hanging="0"/>
        <w:jc w:val="left"/>
        <w:rPr/>
      </w:pPr>
      <w:r>
        <w:rPr>
          <w:rFonts w:ascii="Garamond" w:hAnsi="Garamond"/>
        </w:rPr>
        <w:t>—</w:t>
      </w:r>
      <w:r>
        <w:rPr/>
        <w:t xml:space="preserve"> </w:t>
      </w:r>
      <w:r>
        <w:rPr/>
        <w:t xml:space="preserve">Οι πολίτες της Λιθουανίας θεωρούν τη μετανάστευση ως ένα από τα δύο κύρια προβλήματα της ΕΕ· </w:t>
      </w:r>
    </w:p>
    <w:p>
      <w:pPr>
        <w:pStyle w:val="P68B1DB1Normal76"/>
        <w:widowControl w:val="false"/>
        <w:spacing w:lineRule="auto" w:line="240"/>
        <w:ind w:left="360" w:right="3" w:hanging="0"/>
        <w:jc w:val="left"/>
        <w:rPr/>
      </w:pPr>
      <w:r>
        <w:rPr>
          <w:rFonts w:ascii="Garamond" w:hAnsi="Garamond"/>
        </w:rPr>
        <w:t>Οι</w:t>
      </w:r>
      <w:r>
        <w:rPr/>
        <w:t xml:space="preserve"> πολίτες της Λιθουανίας επιθυμούν να επιλυθούν περισσότερα προβλήματα σε επίπεδο ΕΕ (49 % έναντι 42 %). </w:t>
      </w:r>
    </w:p>
    <w:p>
      <w:pPr>
        <w:pStyle w:val="P68B1DB1Normal76"/>
        <w:widowControl w:val="false"/>
        <w:spacing w:lineRule="auto" w:line="240" w:before="83" w:after="0"/>
        <w:ind w:left="0" w:right="3" w:hanging="0"/>
        <w:jc w:val="both"/>
        <w:rPr/>
      </w:pPr>
      <w:r>
        <w:rPr/>
        <w:t xml:space="preserve">Οι πολίτες της Λιθουανίας που συμμετείχαν στις προπαρασκευαστικές εκδηλώσεις της Διάσκεψης για το Μέλλον της Ευρώπης τόνισαν επίσης τη σημασία της συνεργασίας στον τομέα της άμυνας και ότι η κοινή μεταναστευτική πολιτική της ΕΕ και η εξωτερική πολιτική της ΕΕ είναι τομείς στους οποίους η Λιθουανία θα επωφεληθεί από ισχυρότερη παρέμβαση της ΕΕ.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Τα στοιχεία του Ευρωβαρόμετρου θα μπορούσαν να αναδείξουν τις απόψεις των συμμετεχόντων σε πάνελ σχετικά με τις σχέσεις με την Κίνα και τις τιμές της ενέργειας: Οι Λιθουανοί ανησυχούν περισσότερο από τον μέσο όρο της ΕΕ για την κατανομή των σχέσεων μεταξύ χωρών σε όλο τον κόσμο και τις επακόλουθες αυξανόμενες γεωπολιτικές εντάσεις (33 % έναντι 18 %). Τα συμπεράσματα της ειδικής ομάδας σχετικά με την ανάγκη για μια πιο φιλόδοξη πολιτική έναντι της Κίνας επικαλύπτονται επίσης με αυτά τα δεδομένα, καθώς και με την προαναφερθείσα θέση υπέρ της λήψης αποφάσεων σε επίπεδο ΕΕ και μιας κοινής αμυντικής πολιτικής της ΕΕ. Από την άλλη πλευρά, η ανησυχία των συμμετεχόντων σε πάνελ σχετικά με διάφορες αποφάσεις μείωσης των τιμών της ενέργειας μπορεί να σχετίζεται με το γεγονός ότι οι Λιθουανοί ανησυχούν πολύ περισσότερο από τον μέσο όρο της ΕΕ σχετικά με την αύξηση του πληθωρισμού και την αύξηση των τιμών (53 % έναντι 23 %). Η ευαισθησία στον αυξανόμενο πληθωρισμό οφείλεται στο γεγονός ότι ο έλεγχος των αυξήσεων των τιμών φαίνεται να είναι σημαντικότερος από τη γενική χάραξη πολιτικής της ΕΕ ή από άλλους στόχους πολιτικής.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Τα στοιχεία του Ευρωβαρόμετρου υποδηλώνουν επίσης μια ενδιαφέρουσα εξέλιξη της αντίληψης των Λιθουανών για το ζήτημα της μετανάστευσης από πολιτική άποψη. Στην έρευνα του 2020, οι Λιθουανοί ανέφεραν τη μετανάστευση ως σημαντική πρόκληση για το μέλλον της ΕΕ (16 % έναντι 27 %) από τον μέσο όρο της ΕΕ· Στην έρευνα του 2021, το 32 % όσων απάντησαν στη Λιθουανία θεωρούσαν τη μετανάστευση ως ένα από τα κύρια προβλήματα στην ΕΕ (έναντι 25 % κατά μέσο όρο στην ΕΕ συνολικά). Αν και αυτή η αλλαγή απόψεων μπορεί να οφείλεται σε διαφορές στη διατύπωση του ζητήματος, επικαλύπτεται με αυτό που είπαν οι συμμετέχοντες στο πάνελ στις συζητήσεις σχετικά με την εξέλιξη των απόψεών τους σε θέματα μετανάστευσης.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Επιπλέον, από τη σύγκριση των αποτελεσμάτων της ομάδας πολιτών με τα στοιχεία του Ευρωβαρόμετρου προκύπτει ένα χάσμα μεταξύ, αφενός, μιας σχετικά επιφυλακτικής άποψης των συμμετεχόντων της ομάδας σχετικά με την πολιτική της ΕΕ και, αφετέρου, της ανησυχίας των πολιτών της Λιθουανίας για θέματα κλιματικής αλλαγής. Μολονότι οι συμμετέχοντες στην ομάδα ενθάρρυναν να αξιολογήσουν κατά πόσον η Πράσινη Συμφωνία δεν ήταν υπερβολικά φιλόδοξη και δεν θα έβλαπτε τα συμφέροντα της Λιθουανίας, οι Λιθουανοί, σύμφωνα με μελέτες του Ευρωβαρόμετρου, προσδιόρισαν με συνέπεια την κλιματική αλλαγή ως μία από τις κύριες προκλήσεις για την ΕΕ. Στην έρευνα του 2020, το 47 % όσων απάντησαν στη Λιθουανία θεωρούσαν το κλίμα μία από τις σημαντικότερες προκλήσεις για το μέλλον της Ευρώπης (έναντι 45 % κατά μέσο όρο στην ΕΕ συνολικά)· Στην έρευνα του 2021, αυτό συνέβη για το 28 % των λιθουανών απαντησάντων (από 25 % κατά μέσο όρο στην ΕΕ συνολικά). Θα πρέπει να σημειωθεί ότι οι πολίτες που συμμετείχαν στις άλλες προπαρασκευαστικές εκδηλώσεις της Διάσκεψης για το Μέλλον της Ευρώπης αναφέρθηκαν επίσης στην πολιτική για το κλίμα ως έναν από τους τομείς στους οποίους η Λιθουανία θα είχε το μεγαλύτερο ενδιαφέρον για ισχυρότερη παρέμβαση της ΕΕ. Αυτή η απόκλιση μπορεί πιθανώς να εξηγηθεί από το κίνητρο της ψηφοφορίας των συμμετεχόντων στο πάνελ: όλοι όσοι ψήφισαν υπέρ της σύστασης για επαναξιολόγηση των μέτρων της Πράσινης Συμφωνίας το προσδιόρισαν ως σημαντικό για αυτούς από προσωπική άποψη. Με άλλα λόγια, η προσωπική αντίθεση δεν θα ήταν ασύμβατη με τη διαπίστωση ότι η κλιματική αλλαγή είναι μία από τις σημαντικότερες προκλήσεις για την πολιτική της ΕΕ.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ΙΙ ΣΤ Εθνικές επιτροπές: Κάτω Χώρες</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ΕΙΚΟΝΑ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ΕΙΚΟΝΑ46" descr=""/>
                    <pic:cNvPicPr>
                      <a:picLocks noChangeAspect="1" noChangeArrowheads="1"/>
                    </pic:cNvPicPr>
                  </pic:nvPicPr>
                  <pic:blipFill>
                    <a:blip r:embed="rId119"/>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Τ</w:t>
      </w:r>
      <w:r>
        <w:rPr>
          <w:rFonts w:ascii="Calibri" w:hAnsi="Calibri"/>
          <w:b/>
          <w:i/>
          <w:color w:val="000000"/>
          <w:sz w:val="48"/>
        </w:rPr>
        <w:t>ο όραμά μας για την Ευρώπη</w:t>
      </w:r>
    </w:p>
    <w:p>
      <w:pPr>
        <w:pStyle w:val="P68B1DB1Normal103"/>
        <w:widowControl w:val="false"/>
        <w:spacing w:lineRule="exact" w:line="499" w:before="100" w:after="0"/>
        <w:ind w:left="0" w:right="0" w:hanging="0"/>
        <w:jc w:val="left"/>
        <w:rPr>
          <w:rFonts w:ascii="Calibri" w:hAnsi="Calibri"/>
          <w:i/>
          <w:i/>
          <w:color w:val="000000"/>
          <w:sz w:val="32"/>
        </w:rPr>
      </w:pPr>
      <w:r>
        <w:rPr/>
        <w:t xml:space="preserve">Γνώμες, ιδέες και συστάσεις </w:t>
      </w:r>
    </w:p>
    <w:p>
      <w:pPr>
        <w:pStyle w:val="P68B1DB1Normal104"/>
        <w:widowControl w:val="false"/>
        <w:spacing w:lineRule="exact" w:line="339" w:before="101" w:after="0"/>
        <w:ind w:left="0" w:right="0" w:hanging="0"/>
        <w:jc w:val="left"/>
        <w:rPr>
          <w:rFonts w:ascii="Calibri" w:hAnsi="Calibri"/>
          <w:color w:val="000000"/>
          <w:sz w:val="21"/>
        </w:rPr>
      </w:pPr>
      <w:r>
        <w:rPr/>
        <w:t xml:space="preserve">ΘΕΜΑΤΑ ΘΕΜΑΤΩΝ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Αξίες και δικαιώματα, κράτος δικαίου και ασφάλεια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Ισχυρότερη οικονομία, κοινωνική δικαιοσύνη και απασχόληση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Ευρωπαϊκή Δημοκρατία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Ψηφιακός μετασχηματισμός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Εκπαίδευση, πολιτισμός, νεολαία και αθλητισμός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3 Δεκεμβρίου 2021 </w:t>
      </w:r>
    </w:p>
    <w:p>
      <w:pPr>
        <w:pStyle w:val="Normal"/>
        <w:widowControl w:val="false"/>
        <w:spacing w:lineRule="exact" w:line="282" w:before="1" w:after="0"/>
        <w:ind w:left="0" w:right="37" w:hanging="0"/>
        <w:jc w:val="left"/>
        <w:rPr/>
      </w:pPr>
      <w:r>
        <w:rPr>
          <w:rFonts w:ascii="Calibri" w:hAnsi="Calibri"/>
          <w:color w:val="000000"/>
          <w:sz w:val="21"/>
        </w:rPr>
        <w:t xml:space="preserve">Το παρόν έγγραφο αποτελεί μετάφραση της έκθεσης με τίτλο «Eleven kijk op Europa· Meningen, ideeën en Aanbevelingen«(«Το όραμά μας για την Ευρώπη: γνώμες, ιδέες και συστάσεις»), η οποία δημοσιεύθηκε στα ολλανδικά στις 3 Δεκεμβρίου 2021 στη διεύθυνση www.kijkopeuropa.nl. Αυτή η μετάφραση είναι μια απλοποιημένη έκδοση της έκθεσης στην οποία η πρωτότυπη παρουσίαση (εικονίσεις και άλλα γραφικά στοιχεία) έχει τροποποιηθεί για μεταφραστικούς σκοπούς.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Το όραμά μας για...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Περίληψη της έκθεσης: όλες οι συστάσεις εν συντομία </w:t>
      </w:r>
    </w:p>
    <w:p>
      <w:pPr>
        <w:pStyle w:val="P68B1DB1Normal104"/>
        <w:widowControl w:val="false"/>
        <w:spacing w:lineRule="exact" w:line="282" w:before="185" w:after="0"/>
        <w:ind w:left="0" w:right="25" w:hanging="0"/>
        <w:jc w:val="left"/>
        <w:rPr/>
      </w:pPr>
      <w:r>
        <w:rPr/>
        <w:t xml:space="preserve">Μέσω του διαλόγου με τους πολίτες που διοργανώθηκε με θέμα «Όραμα της Ευρώπης», συγκεντρώσαμε τις απόψεις και τις ιδέες των Ολλανδών πολιτών για το μέλλον της Ευρώπης. Αυτό οδήγησε στις ακόλουθες συστάσεις προς την Ευρωπαϊκή Ένωση για τα πέντε πρώτα θέματα.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Αξίες και δικαιώματα, κράτος δικαίου και ασφάλεια </w:t>
      </w:r>
    </w:p>
    <w:p>
      <w:pPr>
        <w:pStyle w:val="P68B1DB1Normal104"/>
        <w:widowControl w:val="false"/>
        <w:spacing w:lineRule="exact" w:line="282" w:before="178" w:after="0"/>
        <w:ind w:left="0" w:right="105" w:hanging="0"/>
        <w:jc w:val="left"/>
        <w:rPr/>
      </w:pPr>
      <w:r>
        <w:rPr/>
        <w:t xml:space="preserve">Είναι σημαντικό η ΕΕ να προστατεύει το κράτος δικαίου. Ταυτόχρονα, οι Κάτω Χώρες πιστεύουν ότι πρέπει να δοθεί προσοχή στην ποικιλομορφία των παραδόσεων και των πολιτισμών που υπάρχουν στην Ευρώπη. Η συνεργασία εντός της ΕΕ μπορεί να αποφέρει πολλά οφέλη σε διάφορες μορφές, αλλά πρέπει να προσδώσει προστιθέμενη αξία σε όλα τα ενδιαφερόμενα μέρη. Το ίδιο ισχύει και για την ανταλλαγή πληροφοριών ασφαλείας. Η ανταλλαγή όλων των πληροφοριών καθιστά γρήγορα αναποτελεσματική τη συνεργασία.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Βεβαιωθείτε ότι ο καθένας μπορεί να αισθάνεται ελεύθερος και ασφαλής</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Διεύρυνση της ΕΕ μόνο εάν προσφέρει προστιθέμενη αξία</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Συνεργασία κυρίως για την καταπολέμηση του διεθνούς εγκλήματος και της τρομοκρατίας</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Ισχυρότερη οικονομία, κοινωνική δικαιοσύνη και απασχόληση </w:t>
      </w:r>
    </w:p>
    <w:p>
      <w:pPr>
        <w:pStyle w:val="P68B1DB1Normal104"/>
        <w:widowControl w:val="false"/>
        <w:spacing w:lineRule="exact" w:line="282" w:before="178" w:after="0"/>
        <w:ind w:left="0" w:right="18" w:hanging="0"/>
        <w:jc w:val="left"/>
        <w:rPr/>
      </w:pPr>
      <w:r>
        <w:rPr/>
        <w:t xml:space="preserve">Οι Ολλανδοί πιστεύουν ότι υπάρχουν πολλές ευκαιρίες για την ενίσχυση της ευρωπαϊκής οικονομίας. Αλλά οι χώρες δεν μπορούν πάντα να συγκριθούν μεταξύ τους. Ειδικότερα, το φορολογικό σύστημα θα πρέπει να είναι δικαιότερο και σαφέστερο. Και, στην Ευρώπη, θα πρέπει να επικεντρωθούμε περισσότερο στα δυνατά μας σημεία, όπως η ποιότητα και η ποικιλομορφία. Επιπλέον, οι χώρες της ΕΕ μπορούν να συνεργαστούν για να εξασφαλίσουν ίσες ευκαιρίες στην ευρωπαϊκή αγορά εργασίας.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Να λαμβάνονται υπόψη οι ομοιότητες και οι διαφορές</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Μεγαλύτερη αξιοποίηση των πλεονεκτημάτων της Ευρώπης</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Ανάπτυξη δίκαιου και σαφούς φορολογικού συστήματος</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Διασφάλιση της συμμετοχής όλων στην </w:t>
      </w:r>
      <w:r>
        <w:rPr>
          <w:rFonts w:ascii="Calibri" w:hAnsi="Calibri"/>
          <w:b/>
          <w:i/>
          <w:sz w:val="24"/>
        </w:rPr>
        <w:t xml:space="preserve">ευρωπαϊκή δημοκρατία </w:t>
      </w:r>
    </w:p>
    <w:p>
      <w:pPr>
        <w:pStyle w:val="P68B1DB1Normal104"/>
        <w:widowControl w:val="false"/>
        <w:spacing w:lineRule="exact" w:line="282" w:before="178" w:after="0"/>
        <w:ind w:left="0" w:right="323" w:hanging="0"/>
        <w:jc w:val="both"/>
        <w:rPr/>
      </w:pPr>
      <w:r>
        <w:rPr/>
        <w:t xml:space="preserve">Οι Ολλανδοί δεν χρειάζεται να γνωρίζουν τα πάντα για την Ευρωπαϊκή Ένωση, αλλά θέλουν περισσότερη διαφάνεια και περισσότερες πληροφορίες. Για παράδειγμα, η γνώση των απόψεων άλλων χωρών της ΕΕ μπορεί να συμβάλει στην καλύτερη επισκόπηση. Επιπλέον, οι Κάτω Χώρες πιστεύουν ότι η ΕΕ θα πρέπει να συνεργάζεται συχνότερα και κατά προτίμηση σε μόνιμη βάση με τους πολίτες. Στο πλαίσιο αυτό, είναι σημαντικό όχι μόνο να λαμβάνονται υπόψη τα διαφορετικά συμφέροντα, αλλά και να λαμβάνονται αποφάσεις ταχύτερα από ό,τι συμβαίνει σήμερα.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Καλύτερη επισκόπηση της Ευρώπης</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Βρείτε νέους τρόπους για να ακούτε συνεχώς τους πολίτες</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Μεγαλύτερη διαφάνεια και σαφήνεια όσον αφορά τις αποφάσεις που λαμβάνονται</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Διασφάλιση ότι τα ακανθώδη ζητήματα μπορούν να επιλυθούν ταχύτερα</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Ψηφιακός μετασχηματισμός </w:t>
      </w:r>
    </w:p>
    <w:p>
      <w:pPr>
        <w:pStyle w:val="P68B1DB1Normal104"/>
        <w:widowControl w:val="false"/>
        <w:spacing w:lineRule="exact" w:line="282" w:before="178" w:after="0"/>
        <w:ind w:left="0" w:right="54" w:hanging="0"/>
        <w:jc w:val="left"/>
        <w:rPr/>
      </w:pPr>
      <w:r>
        <w:rPr/>
        <w:t xml:space="preserve">Η κοινωνία εξαρτάται όλο και περισσότερο από το διαδίκτυο και οι μεγάλες εταιρείες τεχνολογίας γίνονται όλο και πιο ισχυρές. Αυτό μερικές φορές ανησυχεί πολύ τον ολλανδικό λαό. Ως εκ τούτου, είναι χρήσιμο για την ΕΕ να αναπτύξει ευρωπαϊκούς κανόνες και πρότυπα (προστασίας της ιδιωτικής ζωής). Ωστόσο, είναι σημαντικό ο καθένας να μπορεί να κατανοήσει και να εφαρμόσει αυτούς τους κανόνες και τα πρότυπα. Οι Ολλανδοί προτιμούν να λαμβάνουν υποστήριξη και πληροφορίες από τις εθνικές αρχές στη δική τους γλώσσα.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Εξασφάλιση ενός γρήγορου, ασφαλούς και σταθερού διαδικτύου παντού</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Καθορισμός σαφών κανόνων και προτύπων για τις εταιρείες διαδικτύου</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Προσθήκη εφαρμογής και πρακτικών εξηγήσεων στους κανόνες προστασίας της ιδιωτικής ζωής</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Εκπαίδευση, πολιτισμός, νεολαία και αθλητισμός </w:t>
      </w:r>
    </w:p>
    <w:p>
      <w:pPr>
        <w:pStyle w:val="P68B1DB1Normal104"/>
        <w:widowControl w:val="false"/>
        <w:spacing w:lineRule="exact" w:line="282" w:before="178" w:after="0"/>
        <w:ind w:left="0" w:right="166" w:hanging="0"/>
        <w:jc w:val="left"/>
        <w:rPr/>
      </w:pPr>
      <w:r>
        <w:rPr/>
        <w:t>Οι νέοι που σπουδάζουν στο εξωτερικό θα πρέπει να μπορούν να μαθαίνουν περισσότερα από τη χώρα υποδοχής απ’ ό,τι</w:t>
      </w:r>
      <w:r>
        <w:rPr/>
        <w:commentReference w:id="21"/>
      </w:r>
      <w:r>
        <w:rPr/>
        <w:t xml:space="preserve"> σήμερα. Και οι χώρες με χαμηλότερο επίπεδο γνώσης δεν πρέπει να χάνουν όλα τα ταλέντα τους, τα οποία πηγαίνουν στο εξωτερικό. Οι Κάτω Χώρες θεωρούν ότι θέματα όπως ο πολιτισμός και η κατάχρηση στον αθλητισμό είναι θέματα που θα έπρεπε μάλλον να αποτελούν ευθύνη των ίδιων των κρατών μελών. Και θεωρούν πολύ σημαντικό να έχει κανείς τη δική του εθνική γλώσσα. Σε γενικές γραμμές, στην Ευρώπη, κάθε άνθρωπος πρέπει πάνω απ’ όλα να αισθάνεται ελεύθερος και να είναι σε θέση να είναι ο εαυτός του.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Ενθάρρυνση των φοιτητών να σπουδάσουν στο εξωτερικό έξυπνα</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Να δοθεί στα κράτη μέλη η δυνατότητα να επικεντρωθούν σε θέματα όπως ο πολιτισμός και ο αθλητισμός</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Διασφάλιση ότι οι Ευρωπαίοι γνωρίζονται καλύτερα και σέβονται ο ένας τον άλλον</w:t>
      </w:r>
      <w:r>
        <w:rPr>
          <w:color w:val="000000"/>
          <w:sz w:val="21"/>
        </w:rPr>
        <w:t xml:space="preserve"> </w:t>
      </w:r>
      <w:r>
        <w:br w:type="page"/>
      </w:r>
    </w:p>
    <w:p>
      <w:pPr>
        <w:pStyle w:val="P68B1DB1Normal109"/>
        <w:rPr>
          <w:rFonts w:ascii="Calibri" w:hAnsi="Calibri"/>
          <w:b/>
          <w:b/>
          <w:i/>
          <w:i/>
          <w:color w:val="000000"/>
          <w:sz w:val="32"/>
        </w:rPr>
      </w:pPr>
      <w:r>
        <w:rPr/>
        <w:t xml:space="preserve">Εισαγωγή </w:t>
      </w:r>
    </w:p>
    <w:p>
      <w:pPr>
        <w:pStyle w:val="P68B1DB1Normal110"/>
        <w:widowControl w:val="false"/>
        <w:spacing w:lineRule="exact" w:line="274" w:before="31" w:after="0"/>
        <w:ind w:left="0" w:right="113" w:hanging="0"/>
        <w:jc w:val="left"/>
        <w:rPr/>
      </w:pPr>
      <w:r>
        <w:rPr>
          <w:sz w:val="21"/>
        </w:rPr>
        <w:t xml:space="preserve">Ο διάλογος με τους πολίτες «Όραμα της Ευρώπης», που πραγματοποιήθηκε από την 1η Σεπτεμβρίου έως τα μέσα Νοεμβρίου, επέτρεψε σε όλους τους Ολλανδούς να εκφράσουν τις απόψεις και τις ιδέες τους για το μέλλον της Ευρώπης. Οι Κάτω Χώρες υποβάλλουν στην Ευρωπαϊκή Ένωση (ΕΕ) τις συστάσεις επί των οποίων οδήγησε ο διάλογος, καθώς και τις ιδέες και τις απόψεις που εκφράζονται. Στην παρούσα έκθεση, εστιάζουμε στα πρώτα πέντε θέματα. Τα άλλα τέσσερα θέματα θα εξεταστούν σε προσεχή έκθεση στις αρχές του 2022. </w:t>
      </w:r>
      <w:r>
        <w:rPr>
          <w:b/>
          <w:i/>
          <w:sz w:val="24"/>
        </w:rPr>
        <w:t>Σχετικά με το όραμα της Ευρώπης</w:t>
      </w:r>
    </w:p>
    <w:p>
      <w:pPr>
        <w:pStyle w:val="P68B1DB1Normal104"/>
        <w:widowControl w:val="false"/>
        <w:spacing w:lineRule="exact" w:line="257" w:before="34" w:after="0"/>
        <w:ind w:left="0" w:right="200" w:hanging="0"/>
        <w:jc w:val="left"/>
        <w:rPr/>
      </w:pPr>
      <w:r>
        <w:rPr/>
        <w:t xml:space="preserve">Η Ευρωπαϊκή Ένωση θέλει οι πολίτες της να μοιράζονται τη γνώμη τους για την Ευρώπη. Αυτός είναι ο λόγος για τον οποίο η ΕΕ διοργανώνει τη Διάσκεψη για το Μέλλον της Ευρώπης. Οι απόψεις και οι ιδέες των πολιτών σε ολόκληρη την Ευρωπαϊκή Ένωση θα τροφοδοτήσουν στη συνέχεια τα σχέδια για το μέλλον της Ευρώπης. Στο πλαίσιο της διάσκεψης, οι Κάτω Χώρες οργάνωσαν τον διάλογο με τους πολίτες «Όραμα της Ευρώπης» σε εθνικό επίπεδο.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Ο διάλογος για το όραμα της Ευρώπης ξεκίνησε την 1η Σεπτεμβρίου με τη διαδικτυακή συγκέντρωση απόψεων και ιδεών μέσω έρευνας αντιπροσωπευτικής ομάδας. Προκειμένου να εμβαθυνθούν τα αρχικά αποτελέσματα της έρευνας της ομάδας και να διατυπωθούν συγκεκριμένες συστάσεις, οργανώσαμε θεματικούς διαδικτυακούς διαλόγους. Όποιος θέλει να συμμετάσχει μπορεί να συμμετάσχει. Ταξιδέψαμε επίσης στη χώρα για να διεξαγάγουμε συζητήσεις με νέους και άλλες ομάδες (δύσκολο να το προσεγγίσουμε). </w:t>
      </w:r>
    </w:p>
    <w:p>
      <w:pPr>
        <w:pStyle w:val="P68B1DB1Normal111"/>
        <w:widowControl w:val="false"/>
        <w:spacing w:lineRule="exact" w:line="269" w:before="28" w:after="0"/>
        <w:ind w:left="0" w:right="113" w:hanging="0"/>
        <w:jc w:val="left"/>
        <w:rPr/>
      </w:pPr>
      <w:r>
        <w:rPr/>
        <w:t xml:space="preserve">Από μαθητές, μαθητές επαγγελματικής δευτεροβάθμιας εκπαίδευσης και μαθητές έως τον υπουργό, αγρότες και μετανάστες </w:t>
      </w:r>
    </w:p>
    <w:p>
      <w:pPr>
        <w:pStyle w:val="P68B1DB1Normal104"/>
        <w:widowControl w:val="false"/>
        <w:spacing w:lineRule="exact" w:line="257" w:before="26" w:after="0"/>
        <w:ind w:left="0" w:right="44" w:hanging="0"/>
        <w:jc w:val="left"/>
        <w:rPr/>
      </w:pPr>
      <w:r>
        <w:rPr/>
        <w:t xml:space="preserve">Τον Οκτώβριο και τον Νοέμβριο πραγματοποιήθηκαν συνολικά οκτώ επιγραμμικοί θεματικοί διάλογοι, με μέσο όρο 30 συμμετέχοντες ανά συνεδρίαση. Οργανώσαμε επίσης διαδικτυακό θεματικό διάλογο και επτά επί τόπου θεματικούς διαλόγους με διάφορες ομάδες Ολλανδών πολιτών. Μιλήσαμε με την τουρκική κοινότητα στο Schiedam και προσκληθήκαμε από τους εθελοντές του Ιδρύματος Piëzo στο Zoetermeer. Στη δεύτερη περίπτωση, ο υπουργός Εξωτερικών Ben Knapen ήταν επίσης παρών στο τέλος του διαλόγου. Ο Υπουργός συζήτησε με τους συμμετέχοντες σχετικά με τον διάλογο και τις απόψεις που εκφράστηκαν για το μέλλον της Ευρώπης. Τέλος, οργανώσαμε έξι συναντήσεις με διαφορετικές ομάδες νέων. Για παράδειγμα, μας καλωσόρισαν σε ένα γυμνάσιο στο Helmond, ένα επαγγελματικό σχολείο δευτεροβάθμιας εκπαίδευσης στο Doetinchem και στο Πανεπιστήμιο του Leiden.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Πάντα μου αρέσει να εκφράζω τη γνώμη μου μπροστά στην καφετιέρα. Γι’ αυτό νόμιζα ότι έπρεπε να συμμετάσχω. </w:t>
      </w:r>
    </w:p>
    <w:p>
      <w:pPr>
        <w:pStyle w:val="P68B1DB1Normal110"/>
        <w:widowControl w:val="false"/>
        <w:spacing w:lineRule="exact" w:line="346" w:before="41" w:after="0"/>
        <w:ind w:left="0" w:right="6639" w:hanging="0"/>
        <w:jc w:val="left"/>
        <w:rPr/>
      </w:pPr>
      <w:r>
        <w:rPr>
          <w:sz w:val="21"/>
        </w:rPr>
        <w:t xml:space="preserve">Συμμετέχων στον θεματικό </w:t>
      </w:r>
      <w:r>
        <w:rPr>
          <w:b/>
          <w:i/>
          <w:sz w:val="24"/>
        </w:rPr>
        <w:t xml:space="preserve">διάλογο Σχετικά με την παρούσα έκθεση </w:t>
      </w:r>
    </w:p>
    <w:p>
      <w:pPr>
        <w:pStyle w:val="P68B1DB1Normal104"/>
        <w:widowControl w:val="false"/>
        <w:spacing w:lineRule="exact" w:line="257" w:before="178" w:after="0"/>
        <w:ind w:left="0" w:right="56" w:hanging="0"/>
        <w:jc w:val="left"/>
        <w:rPr/>
      </w:pPr>
      <w:r>
        <w:rPr/>
        <w:t xml:space="preserve">Με βάση τις ιδέες και τις γνωμοδοτήσεις που έχουμε συγκεντρώσει τους τελευταίους μήνες, καταρτίσαμε μια σειρά συστάσεων που κάνουν οι Ολλανδοί πολίτες προς την Ευρωπαϊκή Ένωση. Κατά τη διάρκεια των συζητήσεων μεταξύ των Ολλανδών πολιτών, πραγματοποιήθηκαν ενδιαφέρουσες ανταλλαγές απόψεων και προτάθηκαν καινοτόμες ιδέες. Έγιναν επίσης προτάσεις μέσω του πάνελ και της δημόσιας έρευνας. Ορισμένες από αυτές τις ιδέες έχουν ενσωματωθεί στην παρούσα έκθεση. Ως εκ τούτου, το περιεχόμενο της παρούσας έκθεσης είναι η φωνή των Κάτω Χωρών: το όραμά μας για την Ευρώπη.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Όπως υπάρχουν διαφορές απόψεων μεταξύ χωρών και ευρωπαίων πολιτών, δεν συμφωνούμε πάντα μεταξύ τους εντός των Κάτω Χωρών. Αυτές οι διαφορές απόψεων, ακριβώς, είναι πολύτιμες: είναι ένα σημαντικό χαρακτηριστικό μιας δημοκρατίας. Οι συστάσεις αντλούνται από τις πιο συχνά εκφρασμένες ιδέες και απόψεις των συμμετεχόντων στην έρευνα για το όραμα της Ευρώπης. Περιγράφουμε επίσης ανησυχίες, ιδέες και συναισθήματα που μπορεί να είναι λιγότερο διαδεδομένα, αλλά έχουν τραβήξει την προσοχή μας κατά τη διάρκεια των διαλόγων και της διαδικτυακής έρευνας. </w:t>
      </w:r>
      <w:r>
        <w:br w:type="page"/>
      </w:r>
    </w:p>
    <w:p>
      <w:pPr>
        <w:pStyle w:val="P68B1DB1Normal113"/>
        <w:spacing w:lineRule="auto" w:line="240"/>
        <w:rPr/>
      </w:pPr>
      <w:r>
        <w:rPr/>
        <w:t xml:space="preserve">Ήταν ωραίο να μπορείς να μιλάς σε μικρές ομάδες με οπαδούς και αντιπάλους. Είναι πολύ διαφορετικό από το πώς γίνονται συνήθως οι συζητήσεις στα social media. </w:t>
      </w:r>
    </w:p>
    <w:p>
      <w:pPr>
        <w:pStyle w:val="P68B1DB1Normal76"/>
        <w:widowControl w:val="false"/>
        <w:spacing w:lineRule="auto" w:line="240" w:before="267" w:after="0"/>
        <w:ind w:left="0" w:right="0" w:hanging="0"/>
        <w:jc w:val="left"/>
        <w:rPr/>
      </w:pPr>
      <w:r>
        <w:rPr>
          <w:rFonts w:ascii="Calibri" w:hAnsi="Calibri"/>
          <w:sz w:val="21"/>
        </w:rPr>
        <w:t>Συμμετέχων στον θεματικό διάλογο</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Εννέα θέματα προσδιορίστηκαν για τη Διάσκεψη για το Μέλλον της Ευρώπης. Τα θέματα αυτά βρίσκονται επίσης στο επίκεντρο του διαλόγου για το όραμα της Ευρώπης με τους Ολλανδούς πολίτες. Τον Οκτώβριο, δημοσιεύσαμε μια ενδιάμεση έκθεση με μια αρχική επισκόπηση των αποτελεσμάτων και των συμπληρωματικών ερωτήσεων με βάση την έρευνα της ομάδας. Στη δεύτερη αυτή έκθεση, παρουσιάζουμε τις γνωμοδοτήσεις, τις ιδέες και τις συστάσεις σχετικά με τα πέντε πρώτα θέματα της συνόδου ολομέλειας της Διάσκεψης για το Μέλλον της Ευρώπης τον Δεκέμβριο. Η ακόλουθη έκθεση, η οποία θα εξετάσει τα τέσσερα εναπομείναντα θέματα, θα δημοσιευθεί στα μέσα Ιανουαρίου. </w:t>
      </w:r>
    </w:p>
    <w:p>
      <w:pPr>
        <w:pStyle w:val="Normal"/>
        <w:rPr/>
      </w:pPr>
      <w:r>
        <w:rPr/>
        <w:t xml:space="preserve">Τρέχουσα έκθεση — Δεκέμβριος 2021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Αξίες και δικαιώματα, κράτος δικαίου και ασφάλεια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Ισχυρότερη οικονομία, κοινωνική δικαιοσύνη και απασχόληση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Ευρωπαϊκή Δημοκρατία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Ψηφιακός μετασχηματισμός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Εκπαίδευση, πολιτισμός, νεολαία και αθλητισμός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Επόμενη έκθεση — Ιανουάριος 2022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Κλιματική αλλαγή και περιβάλλον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ΜΕΤΑΝΑΣΤΕΥΣΗ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Υγεία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Η ΕΕ στον κόσμο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Τα επόμενα βήματα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Η Διάσκεψη για το Μέλλον της Ευρώπης συγκεντρώνει τις ιδέες, τις γνώμες και τις συστάσεις όλων των πολιτών της ΕΕ. Οι συνεδριάσεις θα αφιερωθούν όχι μόνο στα αποτελέσματα όλων των διαλόγων με τους πολίτες σε εθνικό επίπεδο, αλλά και στα αποτελέσματα άλλων πρωτοβουλιών που δρομολογήθηκαν στο πλαίσιο της διάσκεψης. Για παράδειγμα, υπάρχουν επίσης ομάδες ευρωπαίων πολιτών και όλοι οι πολίτες της ΕΕ (συμπεριλαμβανομένων των Ολλανδών πολιτών) μπορούν να έχουν πρόσβαση σε μια ευρωπαϊκή ψηφιακή πλατφόρμα. </w:t>
      </w:r>
    </w:p>
    <w:p>
      <w:pPr>
        <w:pStyle w:val="P68B1DB1Normal113"/>
        <w:widowControl w:val="false"/>
        <w:spacing w:lineRule="auto" w:line="240" w:before="203" w:after="0"/>
        <w:ind w:left="1080" w:right="1083" w:hanging="0"/>
        <w:jc w:val="center"/>
        <w:rPr/>
      </w:pPr>
      <w:r>
        <w:rPr/>
        <w:t xml:space="preserve">«Είναι θετικό το γεγονός ότι η ΕΕ αναλαμβάνει αυτή την πρωτοβουλία. Ελπίζω ότι τα αποτελέσματα θα ληφθούν πραγματικά υπόψη. </w:t>
      </w:r>
    </w:p>
    <w:p>
      <w:pPr>
        <w:pStyle w:val="P68B1DB1Normal104"/>
        <w:widowControl w:val="false"/>
        <w:spacing w:lineRule="auto" w:line="240" w:before="307" w:after="0"/>
        <w:ind w:left="0" w:right="0" w:hanging="0"/>
        <w:jc w:val="left"/>
        <w:rPr>
          <w:rFonts w:ascii="Calibri" w:hAnsi="Calibri"/>
          <w:color w:val="000000"/>
          <w:sz w:val="21"/>
        </w:rPr>
      </w:pPr>
      <w:r>
        <w:rPr/>
        <w:t xml:space="preserve">Συμμετέχων στον θεματικό διάλογο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Η διάσκεψη θα ολοκληρωθεί την άνοιξη του 2022. Στη συνέχεια, οι Κάτω Χώρες θα συντάξουν τελική έκθεση σχετικά με τον διάλογο με τους πολίτες: σύνταξη της παρούσας έκθεσης και της ακόλουθης έκθεσης (συμπεριλαμβανομένων άλλων θεμάτων). Μετά τη Διάσκεψη, θα διατυπωθούν συστάσεις προς τον πρόεδρο της Διάσκεψης: οι Πρόεδροι του Ευρωπαϊκού Κοινοβουλίου, του Συμβουλίου των Υπουργών και της Ευρωπαϊκής Επιτροπής. Δεσμεύτηκαν να διερευνήσουν τρόπους και μέσα για την εφαρμογή των συστάσεων. Για την ολλανδική κυβέρνηση, τα αποτελέσματα αποτελούν επίσης πολύτιμη συμβολή στην ανάπτυξη των ευρωπαϊκών πολιτικών των Κάτω Χωρών.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Συνοπτικά, η διαδικασία έως την άνοιξη του 2022 θα οργανωθεί ως εξής: </w:t>
      </w:r>
      <w:r>
        <w:br w:type="page"/>
      </w:r>
    </w:p>
    <w:p>
      <w:pPr>
        <w:pStyle w:val="P68B1DB1Normal107"/>
        <w:spacing w:lineRule="auto" w:line="240"/>
        <w:rPr/>
      </w:pPr>
      <w:r>
        <w:rPr/>
        <w:t xml:space="preserve">Χρονολόγηση </w:t>
      </w:r>
    </w:p>
    <w:p>
      <w:pPr>
        <w:pStyle w:val="P68B1DB1Normal114"/>
        <w:spacing w:lineRule="auto" w:line="240"/>
        <w:rPr/>
      </w:pPr>
      <w:r>
        <w:rPr/>
        <w:t xml:space="preserve">Όραμα της Ευρώπης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Τα πρώτα εφτά.</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12 Οκτωβρίου</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22/23 Οκτωβρίου</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15 Νοέμβρη.</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17/18 Δεκεμβρίου</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21/22 Ιανουαρίου</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22/24 Απριλίου</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Συλλογή ιδεών στο διαδίκτυο</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Θεματικοί διάλογοι</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Ενδιάμεσα αποτελέσματα (ενδιάμεση έκθεση)</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Ενδιάμεση έκθεση για την «Οικονομική» και τη «Δημοκρατία»</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Ενδιάμεση έκθεση με θέμα «Κλίμα» και «Η ΕΕ στον κόσμο»</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Τελική έκθεση «Το όραμά μας για την Ευρώπη»</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ΓΩΝΙΑΚΌΣ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ΓΩΝΙΑΚΌΣ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ΓΩΝΙΑΚΌΣ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ΓΩΝΙΑΚΌΣ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ΣΥΝΕΔΡΙΑΣΗ ΤΗΣ ΣΥΝΕΔΡΙΑΣΗΣ</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ΣΥΝΕΔΡΙΑΣΗ ΤΗΣ ΣΥΝΕΔΡΙΑΣΗΣ</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ΣΥΝΕΔΡΙΑΣΗ ΤΗΣ ΣΥΝΕΔΡΙΑΣΗΣ</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Κλείσιμο της διάσκεψης</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ΑΡΧΙΚΉ ΣΕΛΊΔΑ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Συστάσεις προς τους προέδρους </w:t>
              <w:br/>
              <w:t xml:space="preserve">• Ευρωπαϊκό Κοινοβούλιο </w:t>
              <w:br/>
              <w:t xml:space="preserve">• Ευρωπαϊκή Επιτροπή </w:t>
              <w:br/>
              <w:t>• Συμβούλιο Υπουργών</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Περισσότερες γνώμες και ιδέες για το μέλλον της Ευρώπης:</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Διάλογοι με τους πολίτες</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Ομάδες Ευρωπαίων πολιτών</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Ευρωπαϊκή Ψηφιακή Πλατφόρμα (και για Ολλανδούς πολίτες)</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Εξηγήσεις για τη διευκόλυνση της ανάγνωσης </w:t>
      </w:r>
    </w:p>
    <w:p>
      <w:pPr>
        <w:pStyle w:val="P68B1DB1Normal104"/>
        <w:widowControl w:val="false"/>
        <w:spacing w:lineRule="auto" w:line="240" w:before="125" w:after="0"/>
        <w:ind w:left="0" w:right="0" w:hanging="0"/>
        <w:jc w:val="left"/>
        <w:rPr/>
      </w:pPr>
      <w:r>
        <w:rPr/>
        <w:t xml:space="preserve">Στην έκθεση αυτή συζητήσαμε πέντε θέματα. Για κάθε θέμα, έχουμε συμπεριλάβει διαδοχικά: </w:t>
      </w:r>
    </w:p>
    <w:p>
      <w:pPr>
        <w:pStyle w:val="P68B1DB1Normal104"/>
        <w:widowControl w:val="false"/>
        <w:spacing w:lineRule="auto" w:line="240"/>
        <w:ind w:left="0" w:right="0" w:hanging="0"/>
        <w:jc w:val="left"/>
        <w:rPr>
          <w:rFonts w:ascii="Calibri" w:hAnsi="Calibri"/>
          <w:color w:val="000000"/>
          <w:sz w:val="21"/>
        </w:rPr>
      </w:pPr>
      <w:r>
        <w:rPr/>
        <w:t xml:space="preserve">συστάσεις που βασίζονται σε όλες τις πτυχές του διαλόγου με τους πολίτες· </w:t>
      </w:r>
    </w:p>
    <w:p>
      <w:pPr>
        <w:pStyle w:val="P68B1DB1Normal104"/>
        <w:widowControl w:val="false"/>
        <w:spacing w:lineRule="auto" w:line="240" w:before="1" w:after="0"/>
        <w:ind w:left="0" w:right="0" w:hanging="0"/>
        <w:jc w:val="left"/>
        <w:rPr/>
      </w:pPr>
      <w:r>
        <w:rPr/>
        <w:t xml:space="preserve">επισκόπηση των απόψεων, των ιδεών και των απόψεων που ανταλλάχθηκαν (επιγραμμικά και με φυσική παρουσία) κατά τη διάρκεια θεματικών διαλόγων και προτάσεων από την επιγραμμική έρευνα, με λόγια και εικόνες.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Περιγραφή της μεθοδολογίας που χρησιμοποιήθηκε στην έρευνα μπορεί να βρεθεί στο τέλος της παρούσας έκθεσης.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Αξίες και δικαιώματα, κράτος δικαίου και ασφάλεια </w:t>
      </w:r>
    </w:p>
    <w:p>
      <w:pPr>
        <w:pStyle w:val="P68B1DB1Normal104"/>
        <w:widowControl w:val="false"/>
        <w:spacing w:lineRule="auto" w:line="240" w:before="36" w:after="0"/>
        <w:ind w:left="0" w:right="0" w:hanging="0"/>
        <w:jc w:val="both"/>
        <w:rPr/>
      </w:pPr>
      <w:r>
        <w:rPr/>
        <w:t xml:space="preserve">Η ΕΕ παρακολουθεί το κράτος δικαίου σε όλες τις χώρες της ΕΕ και προσπαθεί να μειώσει τις ανισότητες εντός της ΕΕ. Η ΕΕ επιθυμεί επίσης να προστατεύσει όλους τους Ευρωπαίους από την τρομοκρατία και το έγκλημα. Για να επιτευχθεί αυτό, η ΕΕ εφαρμόζει μέτρα και κανόνες και οι χώρες της ΕΕ συνεργάζονται εντατικά.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Ποιο είναι το όραμα της Ολλανδίας γι’ αυτό;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Συστάσεις — Το όραμά μας για την ασφάλεια και το κράτος δικαίου </w:t>
      </w:r>
    </w:p>
    <w:p>
      <w:pPr>
        <w:pStyle w:val="P68B1DB1Normal69"/>
        <w:widowControl w:val="false"/>
        <w:spacing w:lineRule="auto" w:line="240" w:before="41" w:after="0"/>
        <w:ind w:left="0" w:right="0" w:hanging="0"/>
        <w:jc w:val="left"/>
        <w:rPr/>
      </w:pPr>
      <w:r>
        <w:rPr/>
        <w:t xml:space="preserve">Το 68 % των Ολλανδών πιστεύει ότι η ασφάλεια και το κράτος δικαίου αποτελούν σημαντικό ζήτημα και ότι η ΕΕ πρέπει να παρέμβει σε αυτόν τον τομέα.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Βεβαιωθείτε ότι ο καθένας μπορεί να αισθάνεται ελεύθερος και ασφαλής </w:t>
      </w:r>
    </w:p>
    <w:p>
      <w:pPr>
        <w:pStyle w:val="P68B1DB1Normal104"/>
        <w:widowControl w:val="false"/>
        <w:spacing w:lineRule="auto" w:line="240" w:before="25" w:after="0"/>
        <w:ind w:left="0" w:right="0" w:hanging="0"/>
        <w:jc w:val="left"/>
        <w:rPr/>
      </w:pPr>
      <w:r>
        <w:rPr/>
        <w:t xml:space="preserve">Το 78 % των Ολλανδών πιστεύει ότι είναι σημαντικό για την ΕΕ να προστατεύσει το κράτος δικαίου και τα θεμελιώδη δικαιώματα και ελευθερίες μας. Και δίνουμε επίσης σημασία στην προστασία των δικαιωμάτων των καταναλωτών: η συντριπτική πλειονότητα των πολιτών πιστεύει ότι είναι θετικό το γεγονός ότι η ΕΕ απαιτεί από τους κατασκευαστές να περιλαμβάνουν τις ίδιες πληροφορίες στις ετικέτες σε όλες τις χώρες. Ωστόσο, πολλοί Ολλανδοί πιστεύουν ότι η ΕΕ πρέπει να δώσει προσοχή στις διαφορές στις παραδόσεις και τους πολιτισμούς (διακυβέρνησης) εντός της Ευρώπης. Και αυτό, μεταξύ άλλων, επειδή, διαφορετικά, θα ήταν δύσκολο να συνεργαστούμε αποτελεσματικά. Πιστεύουμε ότι είναι ιδιαίτερα σημαντικό να αισθάνονται όλοι ελεύθεροι και ασφαλείς στην Ευρώπη. Αυτό περιλαμβάνει μια στέγη πάνω από το κεφάλι σας, αλλά και την εκπαίδευση και τη φροντίδα. Και αυτό αφορά επίσης το γεγονός ότι τα προϊόντα που βρίσκονται στα ευρωπαϊκά καταστήματα είναι </w:t>
      </w:r>
    </w:p>
    <w:p>
      <w:pPr>
        <w:pStyle w:val="P68B1DB1Normal104"/>
        <w:widowControl w:val="false"/>
        <w:spacing w:lineRule="auto" w:line="240"/>
        <w:ind w:left="0" w:right="0" w:hanging="0"/>
        <w:jc w:val="left"/>
        <w:rPr>
          <w:rFonts w:ascii="Calibri" w:hAnsi="Calibri"/>
          <w:color w:val="000000"/>
          <w:sz w:val="21"/>
        </w:rPr>
      </w:pPr>
      <w:r>
        <w:rPr/>
        <w:t xml:space="preserve">πάντα σιγουριά.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Διεύρυνση της ΕΕ μόνο εάν προσφέρει προστιθέμενη αξία </w:t>
      </w:r>
    </w:p>
    <w:p>
      <w:pPr>
        <w:pStyle w:val="P68B1DB1Normal104"/>
        <w:widowControl w:val="false"/>
        <w:spacing w:lineRule="auto" w:line="240" w:before="25" w:after="0"/>
        <w:ind w:left="0" w:right="0" w:hanging="0"/>
        <w:jc w:val="left"/>
        <w:rPr/>
      </w:pPr>
      <w:r>
        <w:rPr/>
        <w:t xml:space="preserve">Το 44 % των Ολλανδών δεν πιστεύει ότι η ΕΕ θα πρέπει να επεκταθεί σε περισσότερες χώρες. Από την άλλη πλευρά, το 25 % είναι υπέρ της διεύρυνσης. Σημειώνουμε ότι υπάρχει ήδη πολλή συζήτηση μεταξύ των σημερινών κρατών μελών. Πολλοί Ολλανδοί πιστεύουν ότι πρέπει πρώτα να επικεντρωθούμε σε αυτό το θέμα. Και αν νέες χώρες προσχωρήσουν στην Ένωση, πρέπει πραγματικά να είναι σε θέση να ανταποκριθούν στις προϋποθέσεις μας. Σήμερα και στο μέλλον. Πολλοί Ολλανδοί θεωρούν ότι τα σημερινά κράτη μέλη πρέπει επίσης να αντιλαμβάνονται την προστιθέμενη αξία της διεύρυνσης. Πιστεύουμε επίσης ότι υπάρχουν και άλλες ευκαιρίες να συνεργαστούμε ως χώρα για την ασφάλεια και τη σταθερότητα. Για παράδειγμα, μερικές φορές ανησυχούμε για την επιρροή της Ρωσίας στις χώρες στα ανατολικά σύνορα της ΕΕ. Είναι σημαντικό για την ΕΕ να δώσει προσοχή.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 xml:space="preserve">«Η διεύρυνση δεν θα πρέπει να επικεντρώνεται στο κόστος και τα οφέλη, αλλά σε ένα όραμα σταθερότητας.» </w:t>
      </w:r>
    </w:p>
    <w:p>
      <w:pPr>
        <w:pStyle w:val="P68B1DB1Normal111"/>
        <w:widowControl w:val="false"/>
        <w:spacing w:lineRule="auto" w:line="240" w:before="40" w:after="0"/>
        <w:ind w:left="0" w:right="0" w:hanging="0"/>
        <w:jc w:val="left"/>
        <w:rPr/>
      </w:pPr>
      <w:r>
        <w:rPr/>
        <w:t xml:space="preserve">3. Συνεργασία κυρίως για την καταπολέμηση του διεθνούς εγκλήματος και της τρομοκρατίας </w:t>
      </w:r>
    </w:p>
    <w:p>
      <w:pPr>
        <w:pStyle w:val="P68B1DB1Normal104"/>
        <w:widowControl w:val="false"/>
        <w:spacing w:lineRule="auto" w:line="240" w:before="26" w:after="0"/>
        <w:ind w:left="0" w:right="0" w:hanging="0"/>
        <w:jc w:val="left"/>
        <w:rPr/>
      </w:pPr>
      <w:r>
        <w:rPr/>
        <w:t xml:space="preserve">Το 68 % των Ολλανδών πιστεύει ότι οι υπηρεσίες ασφαλείας της ΕΕ θα πρέπει να μοιράζονται τις πληροφορίες τους. Πιστεύουμε, ωστόσο, ότι είναι σημαντικό οι χώρες να μπορούν επίσης να συνεχίσουν να αποφασίζουν οι ίδιες εν μέρει ποιες πληροφορίες επιθυμούν να παράσχουν ή όχι. Η ανταλλαγή όλων των πληροφοριών καθιστά γρήγορα αναποτελεσματική τη συνεργασία. Και η ΕΕ είναι τόσο μεγάλη σήμερα που πρέπει να συνεχίσουμε να εξετάζουμε κριτικά πού φθάνουν ή είναι πιθανό να συμβούν ευαίσθητες πληροφορίες. Θέλουμε να συνεχίσουμε να πιστεύουμε ότι η ιδιωτικότητά μας προστατεύεται. Πιστεύουμε ότι έχει πρωτίστως νόημα η συνεργασία για την καταπολέμηση του σοβαρού διεθνούς εγκλήματος, όπως το έγκλημα στον κυβερνοχώρο, η διακίνηση ναρκωτικών και η τρομοκρατία. </w:t>
      </w:r>
    </w:p>
    <w:p>
      <w:pPr>
        <w:pStyle w:val="P68B1DB1Normal113"/>
        <w:widowControl w:val="false"/>
        <w:spacing w:lineRule="auto" w:line="240" w:before="28" w:after="0"/>
        <w:ind w:left="0" w:right="0" w:hanging="0"/>
        <w:jc w:val="center"/>
        <w:rPr/>
      </w:pPr>
      <w:r>
        <w:rPr/>
        <w:t xml:space="preserve">Αν κάψετε μια φορά ένα κόκκινο φως στην Ολλανδία, δεν υπάρχει πραγματικά κανένας λόγος γι’ αυτό να είναι γνωστό στην Ισπανία.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Διαδικτυακές και επιτόπιες συζητήσεις και ιδέες </w:t>
      </w:r>
    </w:p>
    <w:p>
      <w:pPr>
        <w:pStyle w:val="P68B1DB1Normal118"/>
        <w:widowControl w:val="false"/>
        <w:spacing w:lineRule="auto" w:line="240" w:before="118" w:after="0"/>
        <w:ind w:left="0" w:right="0" w:hanging="0"/>
        <w:jc w:val="left"/>
        <w:rPr>
          <w:rFonts w:ascii="Calibri" w:hAnsi="Calibri"/>
          <w:i/>
          <w:i/>
          <w:color w:val="000000"/>
          <w:sz w:val="21"/>
        </w:rPr>
      </w:pPr>
      <w:r>
        <w:rPr/>
        <w:t xml:space="preserve">Εάν επιβάλλετε κυρώσεις σε μια χώρα που δεν σέβεται τους κανόνες, είναι τα πρώτα θύματα των φτωχότερων κατοίκων αυτής της χώρας. Γι’ αυτό νομίζω ότι είναι καλύτερο να μιλάμε παρά να επιβάλλουμε κυρώσεις. </w:t>
      </w:r>
    </w:p>
    <w:p>
      <w:pPr>
        <w:pStyle w:val="P68B1DB1Normal118"/>
        <w:widowControl w:val="false"/>
        <w:spacing w:lineRule="auto" w:line="240" w:before="87" w:after="0"/>
        <w:ind w:left="0" w:right="0" w:hanging="0"/>
        <w:jc w:val="left"/>
        <w:rPr>
          <w:rFonts w:ascii="Calibri" w:hAnsi="Calibri"/>
          <w:i/>
          <w:i/>
          <w:color w:val="000000"/>
          <w:sz w:val="21"/>
        </w:rPr>
      </w:pPr>
      <w:r>
        <w:rPr/>
        <w:t xml:space="preserve">Πρέπει πρώτα να εξασφαλίσουμε σταθερότητα εντός της σημερινής ομάδας. Και τότε σκεφτείτε μόνο τη διεύρυνση. </w:t>
      </w:r>
    </w:p>
    <w:p>
      <w:pPr>
        <w:pStyle w:val="P68B1DB1Normal118"/>
        <w:widowControl w:val="false"/>
        <w:spacing w:lineRule="auto" w:line="240" w:before="85" w:after="0"/>
        <w:ind w:left="0" w:right="392" w:hanging="0"/>
        <w:jc w:val="left"/>
        <w:rPr/>
      </w:pPr>
      <w:r>
        <w:rPr/>
        <w:t xml:space="preserve">Πρέπει επίσης να εξετάσουμε κριτικά το δικό μας κράτος δικαίου. Υπάρχει σίγουρα η μία ή η άλλη δυσλειτουργία. </w:t>
      </w:r>
    </w:p>
    <w:p>
      <w:pPr>
        <w:pStyle w:val="P68B1DB1Normal118"/>
        <w:widowControl w:val="false"/>
        <w:spacing w:lineRule="auto" w:line="240" w:before="85" w:after="0"/>
        <w:ind w:left="0" w:right="244" w:hanging="0"/>
        <w:jc w:val="left"/>
        <w:rPr/>
      </w:pPr>
      <w:r>
        <w:rPr/>
        <w:t xml:space="preserve">Η ΙΔΈΑ: «Καθιερώνουν αυστηρούς κανόνες ακεραιότητας για τους πολιτικούς σε ολόκληρη την Ευρώπη, ώστε να μην επηρεάζονται πολύ εύκολα.» </w:t>
      </w:r>
    </w:p>
    <w:p>
      <w:pPr>
        <w:pStyle w:val="P68B1DB1Normal118"/>
        <w:widowControl w:val="false"/>
        <w:spacing w:lineRule="auto" w:line="240" w:before="85" w:after="0"/>
        <w:ind w:left="0" w:right="0" w:hanging="0"/>
        <w:jc w:val="left"/>
        <w:rPr>
          <w:rFonts w:ascii="Calibri" w:hAnsi="Calibri"/>
          <w:i/>
          <w:i/>
          <w:color w:val="000000"/>
          <w:sz w:val="21"/>
        </w:rPr>
      </w:pPr>
      <w:r>
        <w:rPr/>
        <w:t xml:space="preserve">Η ΙΔΈΑ: «Ενίσχυση της συνεργασίας μεταξύ της αστυνομίας και του δικαστικού σώματος στις χώρες της ΕΕ.» </w:t>
      </w:r>
    </w:p>
    <w:p>
      <w:pPr>
        <w:pStyle w:val="P68B1DB1Normal111"/>
        <w:widowControl w:val="false"/>
        <w:spacing w:lineRule="auto" w:line="240" w:before="84" w:after="0"/>
        <w:ind w:left="0" w:right="67" w:hanging="0"/>
        <w:jc w:val="left"/>
        <w:rPr/>
      </w:pPr>
      <w:r>
        <w:rPr/>
        <w:t xml:space="preserve">Μαθητές Επαγγελματικού Γυμνασίου Doetinchem: Όσοι επιθυμούν να είναι μέλη της ΕΕ πρέπει να σέβονται τους κανόνες. </w:t>
      </w:r>
    </w:p>
    <w:p>
      <w:pPr>
        <w:pStyle w:val="P68B1DB1Normal104"/>
        <w:widowControl w:val="false"/>
        <w:spacing w:lineRule="auto" w:line="240" w:before="100" w:after="0"/>
        <w:ind w:left="0" w:right="0" w:hanging="0"/>
        <w:jc w:val="left"/>
        <w:rPr/>
      </w:pPr>
      <w:r>
        <w:rPr/>
        <w:t xml:space="preserve">Στο Graafschap College στο Doetinchem, περίπου 20 φοιτητές νοσηλευτικής συζήτησαν το ερώτημα ποια, κατά την άποψή τους, ήταν τα μεγαλύτερα οφέλη της ΕΕ: η ελεύθερη αγορά, το ευρώ ως κοινό νόμισμα και το γεγονός ότι ως Ευρωπαίοι μπορούν εύκολα να εγκατασταθούν και να εργαστούν σε άλλες χώρες της ΕΕ. Και το γεγονός ότι οι χώρες της ΕΕ μπορούν να αλληλοϋποστηρίζονται. Η ένωση είναι δύναμη», δήλωσε ένας από τους μαθητές που ήταν παρόντες. Συζητήθηκε επίσης η σημασία των κανόνων. Εάν οι χώρες δεν τις σέβονται, είναι συχνά δύσκολο να τιμωρηθούν σκληρά. Σύμφωνα με τους μαθητές, θα μπορούσε να είναι χρήσιμο για αυτό να γίνει λίγο πιο εύκολο. Ένας από αυτούς ανέφερε επίσης το αποτρεπτικό αποτέλεσμα. Εάν επιβάλλετε αυστηρές κυρώσεις, άλλες χώρες βλέπουν τι μπορεί να συμβεί όταν δεν ακολουθήσετε τους κανόνες. </w:t>
      </w:r>
    </w:p>
    <w:p>
      <w:pPr>
        <w:pStyle w:val="P68B1DB1Normal111"/>
        <w:widowControl w:val="false"/>
        <w:spacing w:lineRule="auto" w:line="240" w:before="88" w:after="0"/>
        <w:ind w:left="0" w:right="0" w:hanging="0"/>
        <w:jc w:val="left"/>
        <w:rPr>
          <w:rFonts w:ascii="Calibri" w:hAnsi="Calibri"/>
          <w:b/>
          <w:b/>
          <w:color w:val="000000"/>
          <w:sz w:val="22"/>
        </w:rPr>
      </w:pPr>
      <w:r>
        <w:rPr/>
        <w:t xml:space="preserve">Hindutanis από το Σουρινάμ στην Ουτρέχτη: Μερικές φορές λείπει η εμπιστοσύνη στο κράτος δικαίου </w:t>
      </w:r>
    </w:p>
    <w:p>
      <w:pPr>
        <w:pStyle w:val="Normal"/>
        <w:widowControl w:val="false"/>
        <w:spacing w:lineRule="auto" w:line="240" w:before="97" w:after="0"/>
        <w:ind w:left="0" w:right="34" w:hanging="0"/>
        <w:jc w:val="left"/>
        <w:rPr/>
      </w:pPr>
      <w:r>
        <w:rPr>
          <w:rFonts w:ascii="Calibri" w:hAnsi="Calibri"/>
          <w:color w:val="000000"/>
          <w:sz w:val="21"/>
        </w:rPr>
        <w:t xml:space="preserve">Το Ίδρυμα Asha είναι μια οργάνωση εθελοντών Hindustanis από το Σουρινάμ στον δήμο της Ουτρέχτης. Οι συμμετέχοντες στον θεματικό διάλογο συζήτησαν ειδικότερα τη σημασία των δικαιωμάτων των πολιτών: το δικαίωμα να έχει μια στέγη πάνω από το κεφάλι, αλλά και, για παράδειγμα, το δικαίωμα στην απαγόρευση των διακρίσεων. Σύμφωνα με τους παρόντες εθελοντές, πρέπει να υπάρχουν κανόνες που να προστατεύουν αυτά τα δικαιώματα για όλους τους ευρωπαίους πολίτες. Δεν είναι πάντα γνωστό τι ρυθμίζεται σήμερα στις Κάτω Χώρες και τι ρυθμίζεται επί του παρόντος σε ευρωπαϊκό επίπεδο. Ως εκ τούτου, μερικές φορές είναι δύσκολο να υπάρχει εμπιστοσύνη στις δημόσιες αρχές. Ειδικά επειδή μερικές φορές υπάρχουν κάποιες δυσλειτουργίες στις δημόσιες αρχές. «Μπορεί να πείτε ότι οι αρχές πρέπει να με υπερασπιστούν, αλλά μερικές φορές καταφέρνουν να σπείρουν κουπί, όπως συνέβη στην περίπτωση του επιδόματος», δήλωσε ένας από τους συμμετέχοντες. «Η ΕΕ θα πρέπει να διασφαλίσει ότι οι κανόνες τηρούνται πραγματικά», δήλωσε ένας άλλος συμμετέχων. </w:t>
      </w:r>
      <w:r>
        <w:br w:type="page"/>
      </w:r>
    </w:p>
    <w:p>
      <w:pPr>
        <w:pStyle w:val="P68B1DB1Normal117"/>
        <w:spacing w:lineRule="auto" w:line="240"/>
        <w:ind w:left="0" w:right="0" w:hanging="0"/>
        <w:rPr>
          <w:rFonts w:ascii="Calibri" w:hAnsi="Calibri"/>
          <w:b/>
          <w:b/>
          <w:i/>
          <w:i/>
          <w:color w:val="000000"/>
          <w:sz w:val="28"/>
        </w:rPr>
      </w:pPr>
      <w:r>
        <w:rPr/>
        <w:t xml:space="preserve">Ισχυρότερη οικονομία, κοινωνική δικαιοσύνη και απασχόληση </w:t>
      </w:r>
    </w:p>
    <w:p>
      <w:pPr>
        <w:pStyle w:val="P68B1DB1Normal104"/>
        <w:widowControl w:val="false"/>
        <w:spacing w:lineRule="auto" w:line="240" w:before="139" w:after="0"/>
        <w:ind w:left="0" w:right="0" w:hanging="0"/>
        <w:jc w:val="left"/>
        <w:rPr/>
      </w:pPr>
      <w:r>
        <w:rPr/>
        <w:t xml:space="preserve">Οι μικρομεσαίες επιχειρήσεις αποτελούν τη ραχοκοκαλιά της ευρωπαϊκής οικονομίας. Ως εκ τούτου, η ΕΕ επιθυμεί οι χώρες της ΕΕ να συνεργαστούν για σχέδια ανάκαμψης ώστε να εξέλθουν οικονομικά ισχυρότερα από την κρίση COVID-19. Μακροπρόθεσμα, στόχος της ΕΕ είναι να καταστήσει την ευρωπαϊκή οικονομία πιο υγιή, πιο πράσινη και ψηφιακή. Ποιο είναι το όραμα της Ολλανδίας γι’ αυτό;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Συστάσεις — Το όραμά μας για την οικονομία και την απασχόληση </w:t>
      </w:r>
    </w:p>
    <w:p>
      <w:pPr>
        <w:pStyle w:val="P68B1DB1Normal35"/>
        <w:widowControl w:val="false"/>
        <w:spacing w:lineRule="auto" w:line="240" w:before="123" w:after="0"/>
        <w:ind w:left="0" w:right="0" w:hanging="0"/>
        <w:jc w:val="left"/>
        <w:rPr/>
      </w:pPr>
      <w:r>
        <w:rPr>
          <w:rFonts w:ascii="Calibri" w:hAnsi="Calibri"/>
          <w:sz w:val="20"/>
        </w:rPr>
        <w:t>Το 61 % των Κάτω Χωρών πιστεύει ότι η οικονομία και η απασχόληση αποτελούν σημαντικό θέμα και ότι η ΕΕ πρέπει να παρέμβει σε αυτόν τον τομέα.</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Να λαμβάνονται υπόψη οι ομοιότητες και οι διαφορές </w:t>
      </w:r>
    </w:p>
    <w:p>
      <w:pPr>
        <w:pStyle w:val="P68B1DB1Normal104"/>
        <w:widowControl w:val="false"/>
        <w:spacing w:lineRule="auto" w:line="240" w:before="97" w:after="0"/>
        <w:ind w:left="0" w:right="0" w:hanging="0"/>
        <w:jc w:val="left"/>
        <w:rPr/>
      </w:pPr>
      <w:r>
        <w:rPr/>
        <w:t xml:space="preserve">Το 71 % των Κάτω Χωρών πιστεύει ότι η ΕΕ θα πρέπει να διασφαλίσει ότι οι επιχειρήσεις συνεργάζονται περισσότερο, ενισχύοντας έτσι την ευρωπαϊκή οικονομία. Ωστόσο, από αυτούς τους ανθρώπους, μόνο ένα μικρό μέρος πιστεύει ότι η ΕΕ πρέπει να πληρώσει περισσότερα χρήματα στις επιχειρήσεις. Πάνω απ’ όλα, πιστεύουμε ότι η συνεργασία μπορεί να είναι πιο αποτελεσματική. Σήμερα βλέπουμε ότι διαφορετικές εταιρείες επενδύουν στην ίδια νέα τεχνολογία, μερικές φορές ακόμη και με δημόσιους πόρους. Εάν είχαμε ένα ευρωπαϊκό όραμα για την οικονομία, θα μπορούσαμε να χρησιμοποιήσουμε αυτά τα χρήματα πιο αποτελεσματικά. Στο πλαίσιο αυτό, ωστόσο, θα πρέπει να δοθεί ιδιαίτερη προσοχή στις διαφορές μεταξύ των χωρών. </w:t>
      </w:r>
    </w:p>
    <w:p>
      <w:pPr>
        <w:pStyle w:val="P68B1DB1Normal113"/>
        <w:widowControl w:val="false"/>
        <w:spacing w:lineRule="auto" w:line="240" w:before="306" w:after="0"/>
        <w:ind w:left="0" w:right="0" w:hanging="0"/>
        <w:jc w:val="center"/>
        <w:rPr/>
      </w:pPr>
      <w:r>
        <w:rPr/>
        <w:t xml:space="preserve">Ο αγροτικός τομέας στις Κάτω Χώρες είναι τόσο σύγχρονος. Δεν είναι πάντα δυνατό να συγκριθεί με αυτό των άλλων χωρών.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Μεγαλύτερη αξιοποίηση των πλεονεκτημάτων της Ευρώπης </w:t>
      </w:r>
    </w:p>
    <w:p>
      <w:pPr>
        <w:pStyle w:val="P68B1DB1Normal104"/>
        <w:widowControl w:val="false"/>
        <w:spacing w:lineRule="auto" w:line="240" w:before="97" w:after="0"/>
        <w:ind w:left="0" w:right="0" w:hanging="0"/>
        <w:jc w:val="left"/>
        <w:rPr/>
      </w:pPr>
      <w:r>
        <w:rPr/>
        <w:t>Οι Ολλανδοί πιστεύουν ότι υπάρχουν πολλές ευκαιρίες για την ενίσχυση της ευρωπαϊκής οικονομίας, αλλά ότι πρέπει να γίνουν επιλογές. Αυτός είναι ο λόγος για τον οποίο πιστεύουμε ότι η ΕΕ πρέπει να επικεντρωθεί πάνω από όλα στα δυνατά της σημεία. Για παράδειγμα, θεωρούμε ότι η Ευρώπη είναι καλή στην</w:t>
      </w:r>
    </w:p>
    <w:p>
      <w:pPr>
        <w:pStyle w:val="P68B1DB1Normal104"/>
        <w:widowControl w:val="false"/>
        <w:spacing w:lineRule="auto" w:line="240"/>
        <w:ind w:left="0" w:right="0" w:hanging="0"/>
        <w:jc w:val="left"/>
        <w:rPr/>
      </w:pPr>
      <w:r>
        <w:rPr/>
        <w:t xml:space="preserve"> </w:t>
      </w:r>
      <w:r>
        <w:rPr/>
        <w:t xml:space="preserve">τομείς όπως η ψηφιακή μετάβαση, η βιωσιμότητα και οι υποδομές. Και τι είναι ίσως πιο σημαντικό: υπερασπιζόμαστε την ποιότητα και τη διαφορετικότητα. Είναι ακριβώς η ποικιλομορφία της ηπείρου μας, με διαφορετικές απόψεις και ιδέες, που πρέπει να εκμεταλλευτούμε πολύ περισσότερο ως οικονομικό πλεονέκτημα. Αυτό μπορεί να επιτρέψει στην Ευρώπη να διακριθεί, για παράδειγμα, από την κινεζική οικονομία.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Ανάπτυξη δίκαιου και σαφούς φορολογικού συστήματος </w:t>
      </w:r>
    </w:p>
    <w:p>
      <w:pPr>
        <w:pStyle w:val="P68B1DB1Normal104"/>
        <w:widowControl w:val="false"/>
        <w:spacing w:lineRule="auto" w:line="240" w:before="95" w:after="0"/>
        <w:ind w:left="0" w:right="0" w:hanging="0"/>
        <w:jc w:val="left"/>
        <w:rPr/>
      </w:pPr>
      <w:r>
        <w:rPr/>
        <w:t xml:space="preserve">Το 82 % των Ολλανδών πιστεύει ότι οι χώρες της ΕΕ πρέπει συλλογικά να διασφαλίσουν ότι όλες οι εταιρείες της ΕΕ πληρώνουν δίκαιους φόρους. Αυτό περιλαμβάνει πολύ μεγάλες εταιρείες. Σήμερα, μερικές φορές εγκαθίστανται σε άλλες χώρες για τον απλό λόγο ότι πληρώνουν λιγότερους φόρους. Η ΕΕ θα πρέπει να καταπολεμήσει αυτό το φαινόμενο, π.χ. θεσπίζοντας ένα ελάχιστο ποσοστό για όλες τις χώρες. Από την άλλη πλευρά, πιστεύουμε ότι η φορολογία είναι μια αρμοδιότητα που ανήκει σε χώρες, οι οποίες έχουν τους δικούς τους στόχους και πλαίσια. Θεωρούμε ότι η φορολογία είναι γενικά ένα περίπλοκο ζήτημα. Ακριβώς γι’ αυτόν τον λόγο θα θέλαμε ένα καλύτερο φορολογικό σύστημα, το οποίο θα είναι δίκαιο και σαφές για όλους στην Ευρώπη. </w:t>
      </w:r>
    </w:p>
    <w:p>
      <w:pPr>
        <w:pStyle w:val="P68B1DB1Normal113"/>
        <w:widowControl w:val="false"/>
        <w:spacing w:lineRule="auto" w:line="240" w:before="256" w:after="0"/>
        <w:ind w:left="0" w:right="0" w:hanging="0"/>
        <w:jc w:val="center"/>
        <w:rPr/>
      </w:pPr>
      <w:r>
        <w:rPr/>
        <w:t xml:space="preserve">Τα αγγούρια πρέπει να έχουν το ίδιο σχήμα παντού, αλλά οι φορολογικοί κανόνες είναι διαφορετικοί. Είναι τρελό, έτσι δεν είναι;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Βεβαιωθείτε ότι όλοι μπορούν να συμμετάσχουν </w:t>
      </w:r>
    </w:p>
    <w:p>
      <w:pPr>
        <w:pStyle w:val="P68B1DB1Normal104"/>
        <w:widowControl w:val="false"/>
        <w:spacing w:lineRule="auto" w:line="240" w:before="97" w:after="0"/>
        <w:ind w:left="0" w:right="0" w:hanging="0"/>
        <w:jc w:val="left"/>
        <w:rPr/>
      </w:pPr>
      <w:r>
        <w:rPr/>
        <w:t xml:space="preserve">Το 71 % των Ολλανδών πιστεύει ότι η ΕΕ θα πρέπει να συμβάλει στην τόνωση της απασχόλησης. Από αυτή την άποψη, πιστεύουμε ότι θα πρέπει να δοθεί ιδιαίτερη προσοχή σε ορισμένες ομάδες, όπως οι νέοι και οι άνθρωποι μακριά από την αγορά εργασίας. Αυτό μπορεί να επιτευχθεί μέσω κανόνων ή επιδοτήσεων για τις επιχειρήσεις, αλλά και με την παροχή ειδικής στήριξης στους εργοδότες και τους εργαζομένους. Σκεφτόμαστε, για παράδειγμα, δραστηριότητες ευαισθητοποίησης ή πολύ πρακτικά ζητήματα. Είναι πιθανό, σε ορισμένες περιπτώσεις, η στήριξη αυτή να μπορεί να οργανωθεί αποτελεσματικότερα σε επίπεδο ΕΕ και σε άλλες να αποτελεί καθήκον και όχι για τα ίδια τα κράτη μέλη. Οι χώρες της ΕΕ θα πρέπει τελικά να συνεργαστούν για να εξασφαλίσουν ίσες ευκαιρίες στην ευρωπαϊκή αγορά εργασίας.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Διαδικτυακές και επιτόπιες συζητήσεις και ιδέες </w:t>
      </w:r>
    </w:p>
    <w:p>
      <w:pPr>
        <w:pStyle w:val="P68B1DB1Normal118"/>
        <w:widowControl w:val="false"/>
        <w:spacing w:lineRule="auto" w:line="240" w:before="115" w:after="0"/>
        <w:ind w:left="0" w:right="0" w:hanging="0"/>
        <w:jc w:val="left"/>
        <w:rPr>
          <w:rFonts w:ascii="Calibri" w:hAnsi="Calibri"/>
          <w:i/>
          <w:i/>
          <w:color w:val="000000"/>
          <w:sz w:val="21"/>
        </w:rPr>
      </w:pPr>
      <w:r>
        <w:rPr/>
        <w:t xml:space="preserve">Επιτάχυνση της αυτοματοποίησης στην Ευρώπη, έτσι ώστε τα προϊόντα που έρχονται αυτή τη στιγμή από την Κίνα να κατασκευάζονται και πάλι εδώ. </w:t>
      </w:r>
    </w:p>
    <w:p>
      <w:pPr>
        <w:pStyle w:val="P68B1DB1Normal118"/>
        <w:widowControl w:val="false"/>
        <w:spacing w:lineRule="auto" w:line="240" w:before="85" w:after="0"/>
        <w:ind w:left="0" w:right="0" w:hanging="0"/>
        <w:jc w:val="left"/>
        <w:rPr/>
      </w:pPr>
      <w:r>
        <w:rPr/>
        <w:t xml:space="preserve">Πάρτε στα σοβαρά την επανάσταση των bitcoins και άλλων κρυπτονομισμάτων. Οι άνθρωποι που ενδιαφέρονται για αυτό αντιμετωπίζονται ως φοροαπατεώνες, ενώ αυτός ο τύπος τεχνολογίας blockchain είναι το μέλλον. </w:t>
      </w:r>
    </w:p>
    <w:p>
      <w:pPr>
        <w:pStyle w:val="P68B1DB1Normal118"/>
        <w:widowControl w:val="false"/>
        <w:spacing w:lineRule="auto" w:line="240" w:before="87" w:after="0"/>
        <w:ind w:left="0" w:right="0" w:hanging="0"/>
        <w:jc w:val="left"/>
        <w:rPr/>
      </w:pPr>
      <w:r>
        <w:rPr/>
        <w:t xml:space="preserve">Οι μέτοχοι δεν είναι οι μόνοι παράγοντες της ευρωπαϊκής οικονομίας. Τίποτα δεν είναι δυνατό χωρίς τους εργαζόμενους.«Η Ευρώπη πρέπει να κάνει περισσότερα για τα άτομα με αναπηρία. Είναι πάρα πολύ δύσκολο για αυτούς να βρουν μια κατάλληλη δουλειά σήμερα. </w:t>
      </w:r>
    </w:p>
    <w:p>
      <w:pPr>
        <w:pStyle w:val="P68B1DB1Normal118"/>
        <w:widowControl w:val="false"/>
        <w:spacing w:lineRule="auto" w:line="240" w:before="85" w:after="0"/>
        <w:ind w:left="0" w:right="0" w:hanging="0"/>
        <w:jc w:val="left"/>
        <w:rPr/>
      </w:pPr>
      <w:r>
        <w:rPr/>
        <w:t xml:space="preserve">Πολλοί ευρωπαϊκοί κανόνες είναι περίπλοκοι και αλλάζουν τακτικά. Ως εκ τούτου, είναι δύσκολο για τις επιχειρήσεις να καινοτομήσουν. </w:t>
      </w:r>
    </w:p>
    <w:p>
      <w:pPr>
        <w:pStyle w:val="P68B1DB1Normal118"/>
        <w:widowControl w:val="false"/>
        <w:spacing w:lineRule="auto" w:line="240" w:before="85" w:after="0"/>
        <w:ind w:left="0" w:right="0" w:hanging="0"/>
        <w:jc w:val="both"/>
        <w:rPr/>
      </w:pPr>
      <w:r>
        <w:rPr/>
        <w:t xml:space="preserve">Σε περίπτωση μετασχηματισμού μέσα στην εταιρεία μου, ο τοπικός εργολάβος μου θα μπορούσε να είχε ξεκινήσει εδώ και πολύ καιρό. Αλλά πρώτα έπρεπε να προκηρύξω μια ευρωπαϊκή πρόσκληση υποβολής προσφορών. Είναι κρίμα. </w:t>
      </w:r>
    </w:p>
    <w:p>
      <w:pPr>
        <w:pStyle w:val="P68B1DB1Normal111"/>
        <w:widowControl w:val="false"/>
        <w:spacing w:lineRule="auto" w:line="240" w:before="85" w:after="0"/>
        <w:ind w:left="0" w:right="0" w:hanging="0"/>
        <w:jc w:val="both"/>
        <w:rPr>
          <w:rFonts w:ascii="Calibri" w:hAnsi="Calibri"/>
          <w:b/>
          <w:b/>
          <w:color w:val="000000"/>
          <w:sz w:val="22"/>
        </w:rPr>
      </w:pPr>
      <w:r>
        <w:rPr/>
        <w:t xml:space="preserve">Συμμετέχοντες στον διαδικτυακό διάλογο: «Συνεξετάζοντας το θέμα των μεγάλων επιχειρήσεων» </w:t>
      </w:r>
    </w:p>
    <w:p>
      <w:pPr>
        <w:pStyle w:val="P68B1DB1Normal104"/>
        <w:widowControl w:val="false"/>
        <w:spacing w:lineRule="auto" w:line="240" w:before="97" w:after="0"/>
        <w:ind w:left="0" w:right="0" w:hanging="0"/>
        <w:jc w:val="left"/>
        <w:rPr/>
      </w:pPr>
      <w:r>
        <w:rPr/>
        <w:t>Κατά τη διάρκεια ενός από τους διαδικτυακούς θεματικούς διαλόγους, προέκυψε μια συζήτηση σχετικά με την αυξανόμενη δύναμη των μεγάλων εταιρειών. Ορισμένοι συμμετέχοντες θα ήθελαν η ΕΕ</w:t>
      </w:r>
      <w:r>
        <w:rPr/>
        <w:commentReference w:id="22"/>
      </w:r>
      <w:r>
        <w:rPr/>
        <w:t xml:space="preserve"> να αναλάβει ισχυρότερη δράση εν προκειμένω. Πράγματι, ορισμένες εταιρείες κάνουν μερικές φορές σημαντικά κέρδη για τα οποία πληρώνουν ελάχιστους φόρους χάρη σε εξελιγμένες ρυθμίσεις. Άλλοι συμμετέχοντες ζήτησαν να εξετάσουν τα πράγματα στο σύνολό τους: οι επιχειρήσεις αυτές δημιουργούν υψηλό επίπεδο απασχόλησης και ωφελούν την εθνική οικονομία. «Δεν πρέπει να τους κυνηγάς», είπε κάποιος. Ένας άλλος συμμετέχων θεώρησε ότι είναι σε κάθε περίπτωση σημαντικό για τις χώρες της ΕΕ να εξετάσουν από κοινού το θέμα αυτό. Οι μεγάλες εταιρείες μπορούν επί του παρόντος να ανταγωνιστούν μεταξύ των χωρών. Αυτός είναι ο λόγος για τον οποίο πρέπει να παρουσιάσουμε ένα πιο ενωμένο μέτωπο ως ΕΕ. </w:t>
      </w:r>
    </w:p>
    <w:p>
      <w:pPr>
        <w:pStyle w:val="P68B1DB1Normal111"/>
        <w:widowControl w:val="false"/>
        <w:spacing w:lineRule="auto" w:line="240" w:before="97" w:after="0"/>
        <w:ind w:left="0" w:right="0" w:hanging="0"/>
        <w:jc w:val="left"/>
        <w:rPr>
          <w:rFonts w:ascii="Calibri" w:hAnsi="Calibri"/>
          <w:b/>
          <w:b/>
          <w:color w:val="000000"/>
          <w:sz w:val="22"/>
        </w:rPr>
      </w:pPr>
      <w:r>
        <w:rPr/>
        <w:t xml:space="preserve">Οι γεωργοί που λαμβάνουν υπόψη τη φύση: «Καθορισμός στόχων και όχι ποσοστώσεων» </w:t>
      </w:r>
    </w:p>
    <w:p>
      <w:pPr>
        <w:pStyle w:val="P68B1DB1Normal104"/>
        <w:widowControl w:val="false"/>
        <w:spacing w:lineRule="auto" w:line="240" w:before="95" w:after="0"/>
        <w:ind w:left="0" w:right="0" w:hanging="0"/>
        <w:jc w:val="left"/>
        <w:rPr/>
      </w:pPr>
      <w:r>
        <w:rPr/>
        <w:t xml:space="preserve">Η BoerenNatuur είναι ένωση αγροτικών ομάδων. Μια μικρή ομάδα μελών συζήτησε, μεταξύ άλλων, τους κανόνες της ΕΕ για τους γεωργούς. Από τη μία πλευρά, πιστεύουν ότι η ΕΕ φέρνει πολλά θετικά πράγματα, όπως η ευκολία των εξαγωγών σε άλλες χώρες. Από την άλλη πλευρά, πιστεύουν ότι οι πολιτικές θα μπορούσαν συχνά να είναι ακόμη πιο σαφείς. «Όμως όλοι ήδη εργάζονται όλο και περισσότερο προς την ίδια κατεύθυνση», είπε κάποιος. Ειδικότερα, είναι δυνατή η βελτίωση των διαδικασιών: είναι συχνά πολύ διοικητικές και χρονοβόρες. Κατά την άποψη ενός συμμετέχοντος, οι κανόνες δεν πρέπει να είναι υπερβολικά λεπτομερείς. Προτιμήστε σαφείς στόχους, όπως το καθαρό νερό. Στη συνέχεια, μπορούμε να αποφασίσουμε μόνοι μας ως αποτέλεσμα του πλάτους μιας τάφρου.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ΕΥΡΩΠΑΪΚΗ ΔΗΜΟΚΡΑΤΙΑ </w:t>
      </w:r>
    </w:p>
    <w:p>
      <w:pPr>
        <w:pStyle w:val="P68B1DB1Normal104"/>
        <w:widowControl w:val="false"/>
        <w:spacing w:lineRule="auto" w:line="240"/>
        <w:ind w:left="0" w:right="0" w:hanging="0"/>
        <w:jc w:val="left"/>
        <w:rPr/>
      </w:pPr>
      <w:r>
        <w:rPr/>
        <w:t xml:space="preserve">Η ΕΕ ενθαρρύνει τους Ευρωπαίους να ψηφίσουν και επιθυμεί επίσης τη συμμετοχή τους στη διαδικασία λήψης αποφάσεων και στις ευρωπαϊκές πολιτικές εκτός της εκλογικής περιόδου. Η ΕΕ αναλαμβάνει επίσης πρωτοβουλίες για την ενίσχυση της δημοκρατίας, για παράδειγμα με την ανάπτυξη ενός σχεδίου δράσης με επίκεντρο τις ελεύθερες και δίκαιες εκλογές και την ελευθερία του Τύπου. Ποιο είναι το όραμα της Ολλανδίας γι’ αυτό;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Συστάσεις — Το όραμά μας για την ευρωπαϊκή δημοκρατία </w:t>
      </w:r>
    </w:p>
    <w:p>
      <w:pPr>
        <w:pStyle w:val="P68B1DB1Normal69"/>
        <w:widowControl w:val="false"/>
        <w:spacing w:lineRule="auto" w:line="240"/>
        <w:ind w:left="0" w:right="0" w:hanging="0"/>
        <w:jc w:val="left"/>
        <w:rPr/>
      </w:pPr>
      <w:r>
        <w:rPr/>
        <w:t xml:space="preserve">Το 60 % των Ολλανδών πιστεύει ότι η ευρωπαϊκή δημοκρατία είναι ένα σημαντικό ζήτημα και ότι η ΕΕ πρέπει να παρέμβει σε αυτόν τον τομέα.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Καλύτερη επισκόπηση της Ευρώπης </w:t>
      </w:r>
    </w:p>
    <w:p>
      <w:pPr>
        <w:pStyle w:val="P68B1DB1Normal104"/>
        <w:widowControl w:val="false"/>
        <w:spacing w:lineRule="auto" w:line="240"/>
        <w:ind w:left="0" w:right="0" w:hanging="0"/>
        <w:jc w:val="left"/>
        <w:rPr/>
      </w:pPr>
      <w:r>
        <w:rPr/>
        <w:t xml:space="preserve">Οι Κάτω Χώρες επισημαίνουν ότι η Ευρώπη εμφανίζεται συχνά σε περίπτωση κρίσης στα μέσα ενημέρωσης. Από την άλλη πλευρά, έχουμε ελάχιστες πληροφορίες για τις καθημερινές αποφάσεις. Ως πολίτες, δεν χρειάζεται να γνωρίζουμε τα πάντα, αλλά για να διαμορφώσουμε μια καλή γνώμη, θα ήταν καλό να έχουμε μια καλύτερη επισκόπηση. Για παράδειγμα, θα ήταν ενδιαφέρον να ακούμε συχνότερα τις απόψεις άλλων χωρών για την ΕΕ. Τα μέσα ενημέρωσης και η εκπαίδευση μπορούν να διαδραματίσουν σημαντικό ρόλο εν προκειμένω. Αλλά τα μέσα ενημέρωσης πρέπει να είναι σε θέση να κάνουν τις δικές τους επιλογές. Επειδή οι Ολλανδοί θεωρούν ότι η ελευθερία του Τύπου είναι πολύ σημαντική για τη δημοκρατία μας. </w:t>
      </w:r>
    </w:p>
    <w:p>
      <w:pPr>
        <w:pStyle w:val="P68B1DB1Normal113"/>
        <w:widowControl w:val="false"/>
        <w:spacing w:lineRule="auto" w:line="240" w:before="184" w:after="0"/>
        <w:ind w:left="0" w:right="0" w:hanging="0"/>
        <w:jc w:val="center"/>
        <w:rPr/>
      </w:pPr>
      <w:r>
        <w:rPr/>
        <w:t xml:space="preserve">«Τις περισσότερες φορές, ακούμε για την ΕΕ μόνο σε περίπτωση κρίσης. Αυτός είναι ο λόγος για τον οποίο το συναίσθημα προς την Ευρώπη παραμένει αρνητικό.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Βρείτε νέους τρόπους για να ακούτε συνεχώς τους πολίτες </w:t>
      </w:r>
    </w:p>
    <w:p>
      <w:pPr>
        <w:pStyle w:val="P68B1DB1Normal104"/>
        <w:widowControl w:val="false"/>
        <w:spacing w:lineRule="auto" w:line="240"/>
        <w:ind w:left="0" w:right="0" w:hanging="0"/>
        <w:jc w:val="left"/>
        <w:rPr/>
      </w:pPr>
      <w:r>
        <w:rPr/>
        <w:t xml:space="preserve">Το 51 % των Ολλανδών πιστεύει ότι η ΕΕ δεν γνωρίζει επαρκώς τι συμβαίνει στην κοινωνία. Για να βελτιωθεί αυτή η κατάσταση, η ΕΕ θα πρέπει να συμμετέχει συχνότερα, και κατά προτίμηση σε μόνιμη βάση, σε διάλογο με τους πολίτες. Ως εκ τούτου, πολλοί Ολλανδοί πιστεύουν ότι η Διάσκεψη για το Μέλλον της Ευρώπης είναι μια καλή πρωτοβουλία. Τα δημοψηφίσματα μπορούν επίσης να αποτελέσουν πολύτιμο εργαλείο, αλλά οι Ολλανδοί έχουν διαφορετικές απόψεις σχετικά με αυτό. Για ορισμένα θέματα, είναι επίσης μερικές φορές απαραίτητο να έχουμε εξειδικευμένες γνώσεις. Σε κάθε περίπτωση, η επικοινωνία με τους πολίτες δεν θα πρέπει να είναι απλή τυπικότητα. Πιστεύουμε ότι είναι σημαντικό να λάβουμε σοβαρά υπόψη μας.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Μεγαλύτερη διαφάνεια και σαφήνεια όσον αφορά τις αποφάσεις που λαμβάνονται </w:t>
      </w:r>
    </w:p>
    <w:p>
      <w:pPr>
        <w:pStyle w:val="P68B1DB1Normal104"/>
        <w:widowControl w:val="false"/>
        <w:spacing w:lineRule="auto" w:line="240"/>
        <w:ind w:left="0" w:right="0" w:hanging="0"/>
        <w:jc w:val="left"/>
        <w:rPr/>
      </w:pPr>
      <w:r>
        <w:rPr/>
        <w:t xml:space="preserve">Οι Ολλανδοί μερικές φορές βρίσκουν την Ευρώπη αρκετά περίπλοκη. Δεν έχουν όλοι το ίδιο επίπεδο βασικών γνώσεων. Η ΕΕ πρέπει να το λάβει περισσότερο υπόψη. Θέλουμε η ΕΕ να γίνει πιο διαφανής και να διευκολύνει την ενημέρωση. Οι ολλανδικές αρχές έχουν επίσης να διαδραματίσουν κάποιο ρόλο στο θέμα αυτό. Πολλοί Ολλανδοί ενδιαφέρονται για τις ευρωπαϊκές αποφάσεις, αλλά αισθάνονται ότι οι επίσημοι δίαυλοι είναι πολύ δύσκολο να βρεθούν ή πολύ περίπλοκοι. Επιπλέον, ο καθένας έχει διαφορετικά συμφέροντα και ανάγκες. Ως εκ τούτου, θα ήταν απαραίτητο να είμαστε σε θέση να επιλέξουμε τα θέματα για τα οποία θα θέλαμε να μάθουμε περισσότερα. Οι νέοι συχνά ενδιαφέρονται για την Ευρώπη, αλλά βλέπουν ελάχιστες πληροφορίες σχετικά με αυτό στα κοινωνικά τους δίκτυα, για παράδειγμα. </w:t>
      </w:r>
    </w:p>
    <w:p>
      <w:pPr>
        <w:pStyle w:val="P68B1DB1Normal113"/>
        <w:widowControl w:val="false"/>
        <w:spacing w:lineRule="auto" w:line="240" w:before="184" w:after="0"/>
        <w:ind w:left="0" w:right="0" w:hanging="0"/>
        <w:jc w:val="center"/>
        <w:rPr/>
      </w:pPr>
      <w:r>
        <w:rPr/>
        <w:t xml:space="preserve">Ενώ ήμουν σε διακοπές στην Ουγγαρία, είδα μια μεγάλη πινακίδα κοντά σε μια νέα δασική φυτεία που έλεγε: «Αυτή η φυτεία ήταν δυνατή χάρη στην ΕΕ». Παρόλο που είμαι σκεπτικιστής για την Ευρώπη, εξακολουθώ να αισθάνομαι περήφανος.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Διασφάλιση ότι τα ακανθώδη ζητήματα μπορούν να επιλυθούν ταχύτερα </w:t>
      </w:r>
    </w:p>
    <w:p>
      <w:pPr>
        <w:pStyle w:val="P68B1DB1Normal104"/>
        <w:widowControl w:val="false"/>
        <w:spacing w:lineRule="auto" w:line="240"/>
        <w:ind w:left="0" w:right="0" w:hanging="0"/>
        <w:jc w:val="left"/>
        <w:rPr/>
      </w:pPr>
      <w:r>
        <w:rPr/>
        <w:t>Οι Ολλανδοί δυσκολεύονται να κατανοήσουν πώς λειτουργεί η ευρωπαϊκή δημοκρατία, αλλά φαίνεται ότι η λήψη αποφάσεων στην ΕΕ είναι συχνά πολύ αργή. Στις ευρωεκλογές βλέπουμε πάνω απ’ όλα συμμαχίες μεταξύ</w:t>
      </w:r>
      <w:r>
        <w:rPr/>
        <w:commentReference w:id="23"/>
      </w:r>
      <w:r>
        <w:rPr/>
        <w:t xml:space="preserve"> εθνικών κομμάτων. Μπορεί επίσης να υπάρχουν και άλλοι τρόποι αντιμετώπισης των ευρωπαϊκών συμφερόντων. Περίπου το ένα τρίτο των Ολλανδών πιστεύει ότι, στις εκλογές για το Ευρωπαϊκό Κοινοβούλιο, θα πρέπει να είναι δυνατή η ψήφος ξένων υποψηφίων. Ένας σχεδόν ίσος αριθμός πολιτών πιστεύει ότι αυτό δεν θα πρέπει να είναι εφικτό. Αυτό που έχει μεγαλύτερη σημασία είναι ότι τα διάφορα διακυβευόμενα συμφέροντα λαμβάνονται επαρκώς υπόψη. Ταυτόχρονα, είναι δυνατόν να επιλυθούν ακανθώδη ζητήματα πιο γρήγορα από ό, τι συμβαίνει σήμερα. </w:t>
      </w:r>
    </w:p>
    <w:p>
      <w:pPr>
        <w:pStyle w:val="P68B1DB1Normal113"/>
        <w:widowControl w:val="false"/>
        <w:spacing w:lineRule="auto" w:line="240" w:before="201" w:after="0"/>
        <w:ind w:left="0" w:right="0" w:hanging="0"/>
        <w:jc w:val="center"/>
        <w:rPr/>
      </w:pPr>
      <w:r>
        <w:rPr/>
        <w:t xml:space="preserve">Στις εκλογές, εύχομαι να μπορούσα να ταυτιστώ με κάποιον και να ξέρω τι υπερασπίζεται. Δεν χρειάζεται απαραίτητα να είναι συμπατριώτης.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Διαδικτυακές και επιτόπιες συζητήσεις και ιδέες </w:t>
      </w:r>
    </w:p>
    <w:p>
      <w:pPr>
        <w:pStyle w:val="P68B1DB1Normal118"/>
        <w:widowControl w:val="false"/>
        <w:spacing w:lineRule="auto" w:line="240" w:before="3" w:after="0"/>
        <w:ind w:left="0" w:right="0" w:hanging="0"/>
        <w:jc w:val="left"/>
        <w:rPr>
          <w:rFonts w:ascii="Calibri" w:hAnsi="Calibri"/>
          <w:i/>
          <w:i/>
          <w:color w:val="000000"/>
          <w:sz w:val="21"/>
        </w:rPr>
      </w:pPr>
      <w:r>
        <w:rPr/>
        <w:t xml:space="preserve">Κατάργηση της εξουσίας αρνησικυρίας των χωρών. Η πλειοψηφία πρέπει να αποφασίσει. </w:t>
      </w:r>
    </w:p>
    <w:p>
      <w:pPr>
        <w:pStyle w:val="Normal"/>
        <w:widowControl w:val="false"/>
        <w:spacing w:lineRule="auto" w:line="240" w:before="85" w:after="0"/>
        <w:ind w:left="0" w:right="0" w:hanging="0"/>
        <w:jc w:val="left"/>
        <w:rPr/>
      </w:pPr>
      <w:r>
        <w:rPr>
          <w:rFonts w:ascii="Calibri" w:hAnsi="Calibri"/>
          <w:i/>
          <w:color w:val="000000"/>
          <w:sz w:val="21"/>
        </w:rPr>
        <w:t xml:space="preserve">Για σημαντικές αποφάσεις, συγκροτήστε ομάδες συζήτησης </w:t>
      </w:r>
      <w:commentRangeStart w:id="24"/>
      <w:r>
        <w:rPr>
          <w:rFonts w:ascii="Calibri" w:hAnsi="Calibri"/>
          <w:i/>
          <w:color w:val="000000"/>
          <w:sz w:val="21"/>
        </w:rPr>
        <w:t xml:space="preserve"> </w:t>
      </w:r>
      <w:r>
        <w:rPr>
          <w:rFonts w:ascii="Calibri" w:hAnsi="Calibri"/>
          <w:i/>
          <w:color w:val="000000"/>
          <w:sz w:val="21"/>
        </w:rPr>
      </w:r>
      <w:commentRangeEnd w:id="24"/>
      <w:r>
        <w:commentReference w:id="24"/>
      </w:r>
      <w:r>
        <w:rPr>
          <w:rFonts w:ascii="Calibri" w:hAnsi="Calibri"/>
          <w:i/>
          <w:color w:val="000000"/>
          <w:sz w:val="21"/>
        </w:rPr>
        <w:t>αποτελούμενες από πολίτες, ίσως σε (ημι) υποχρεωτική βάση, όπως γίνεται για τις επιτροπές των Ηνωμένων Πολιτειών.</w:t>
      </w:r>
    </w:p>
    <w:p>
      <w:pPr>
        <w:pStyle w:val="P68B1DB1Normal118"/>
        <w:widowControl w:val="false"/>
        <w:spacing w:lineRule="auto" w:line="240" w:before="85" w:after="0"/>
        <w:ind w:left="0" w:right="0" w:hanging="0"/>
        <w:jc w:val="left"/>
        <w:rPr/>
      </w:pPr>
      <w:r>
        <w:rPr/>
        <w:t xml:space="preserve">«Εξασφαλίστε ότι πολιτικοί και αξιωματούχοι της ΕΕ επισκέπτονται την ενδοχώρα σε τακτική βάση» και δεν θα παραμείνουν εντελώς κλεισμένοι στη φούσκα των Βρυξελλών. </w:t>
      </w:r>
    </w:p>
    <w:p>
      <w:pPr>
        <w:pStyle w:val="P68B1DB1Normal118"/>
        <w:widowControl w:val="false"/>
        <w:spacing w:lineRule="auto" w:line="240" w:before="85" w:after="0"/>
        <w:ind w:left="0" w:right="0" w:hanging="0"/>
        <w:jc w:val="left"/>
        <w:rPr/>
      </w:pPr>
      <w:r>
        <w:rPr/>
        <w:t xml:space="preserve">Η ΙΔΈΑ: Στην πραγματικότητα, τα τηλεοπτικά νέα θα πρέπει να αφιερώνουν λίγα λεπτά στην Ευρώπη σε καθεμία από τις εκδόσεις της. Ή θα μπορούσαμε να ξεκινήσουμε μια καθημερινή ή εβδομαδιαία εφημερίδα αφιερωμένη στην Ευρώπη. </w:t>
      </w:r>
    </w:p>
    <w:p>
      <w:pPr>
        <w:pStyle w:val="P68B1DB1Normal118"/>
        <w:widowControl w:val="false"/>
        <w:spacing w:lineRule="auto" w:line="240" w:before="85" w:after="0"/>
        <w:ind w:left="0" w:right="0" w:hanging="0"/>
        <w:jc w:val="left"/>
        <w:rPr/>
      </w:pPr>
      <w:r>
        <w:rPr/>
        <w:t xml:space="preserve">Η ΙΔΈΑ: Ίσως οι ευρωπαίοι πολιτικοί θα πρέπει να συμμετέχουν συχνότερα σε τηλεοπτικά προγράμματα. </w:t>
      </w:r>
    </w:p>
    <w:p>
      <w:pPr>
        <w:pStyle w:val="P68B1DB1Normal118"/>
        <w:widowControl w:val="false"/>
        <w:spacing w:lineRule="auto" w:line="240" w:before="85" w:after="0"/>
        <w:ind w:left="0" w:right="0" w:hanging="0"/>
        <w:jc w:val="left"/>
        <w:rPr/>
      </w:pPr>
      <w:r>
        <w:rPr/>
        <w:t xml:space="preserve">Ως νέος, σχεδόν ποτέ δεν διάβασα τίποτα για την Ευρώπη. Ωστόσο, είμαι περίεργος να μάθω περισσότερα, αλλά χωρίς να χρειάζεται να κάνω πάρα πολύ προσπάθεια για να πάρω πληροφορίες. </w:t>
      </w:r>
    </w:p>
    <w:p>
      <w:pPr>
        <w:pStyle w:val="P68B1DB1Normal111"/>
        <w:widowControl w:val="false"/>
        <w:spacing w:lineRule="auto" w:line="240" w:before="84" w:after="0"/>
        <w:ind w:left="0" w:right="0" w:hanging="0"/>
        <w:jc w:val="left"/>
        <w:rPr>
          <w:rFonts w:ascii="Calibri" w:hAnsi="Calibri"/>
          <w:b/>
          <w:b/>
          <w:color w:val="000000"/>
          <w:sz w:val="22"/>
        </w:rPr>
      </w:pPr>
      <w:r>
        <w:rPr/>
        <w:t xml:space="preserve">Νεαρά μέλη της Coalitie-Y στην Ουτρέχτη: συζήτηση σχετικά με τη χρήση των δημοψηφισμάτων </w:t>
      </w:r>
    </w:p>
    <w:p>
      <w:pPr>
        <w:pStyle w:val="P68B1DB1Normal104"/>
        <w:widowControl w:val="false"/>
        <w:spacing w:lineRule="auto" w:line="240"/>
        <w:ind w:left="0" w:right="0" w:hanging="0"/>
        <w:jc w:val="left"/>
        <w:rPr/>
      </w:pPr>
      <w:r>
        <w:rPr/>
        <w:t xml:space="preserve">Τα μέλη της Coalitie-Y — μια συνεργασία μεταξύ διαφόρων οργανώσεων νεολαίας — διεξήγαγαν ζωηρή συζήτηση σχετικά με τη χρήση των δημοψηφισμάτων. Οι αντίπαλοι ανέφεραν τον κίνδυνο να έχουν συζητήσεις όπου τα πάντα είναι ασπρόμαυρα, ενώ τα θέματα είναι συχνά πολύ πιο περίπλοκα. Ένας από τους συμμετέχοντες δήλωσε περαιτέρω: Μπορούμε να ψηφίσουμε υπέρ της ΕΕ και να ψηφίσουμε ως υποψήφιοι. Τα δημοψηφίσματα στην πραγματικότητα υπονομεύουν αυτή την αρχή." Οι υποστηρικτές του δημοψηφίσματος δήλωσαν ότι θεωρούν χρήσιμο για τους υπεύθυνους χάραξης πολιτικής να γνωρίζουν τι σκέφτονται οι πολίτες για ένα συγκεκριμένο θέμα: αυτό θα μπορούσε να βοηθήσει στην παροχή καθοδήγησης. Τα δημοψηφίσματα θα μπορούσαν επίσης να συμβάλουν στην ευαισθητοποίηση του κοινού σχετικά με την ΕΕ στο σύνολό της: ποια είναι τα θέματα της ημερήσιας διάταξης και ποιες είναι οι επιλογές που πρέπει να κάνετε; </w:t>
      </w:r>
    </w:p>
    <w:p>
      <w:pPr>
        <w:pStyle w:val="P68B1DB1Normal111"/>
        <w:widowControl w:val="false"/>
        <w:spacing w:lineRule="auto" w:line="240" w:before="38" w:after="0"/>
        <w:ind w:left="0" w:right="0" w:hanging="0"/>
        <w:jc w:val="left"/>
        <w:rPr>
          <w:rFonts w:ascii="Calibri" w:hAnsi="Calibri"/>
          <w:b/>
          <w:b/>
          <w:color w:val="000000"/>
          <w:sz w:val="22"/>
        </w:rPr>
      </w:pPr>
      <w:r>
        <w:rPr/>
        <w:t xml:space="preserve">Κοινωνικοί Εθελοντές: Πρέπει να υπάρξει καλύτερη αμοιβαία κατανόηση μεταξύ των χωρών. </w:t>
      </w:r>
    </w:p>
    <w:p>
      <w:pPr>
        <w:pStyle w:val="Normal"/>
        <w:widowControl w:val="false"/>
        <w:spacing w:lineRule="auto" w:line="240"/>
        <w:ind w:left="0" w:right="0" w:hanging="0"/>
        <w:jc w:val="left"/>
        <w:rPr/>
      </w:pPr>
      <w:r>
        <w:rPr>
          <w:rFonts w:ascii="Calibri" w:hAnsi="Calibri"/>
          <w:color w:val="000000"/>
          <w:sz w:val="21"/>
        </w:rPr>
        <w:t xml:space="preserve">Το Ίδρυμα Piëzo στο Zoetermeer αποτελείται από εθελοντές που δραστηριοποιούνται με διάφορους τρόπους στον τομέα της κοινωνικής συμμετοχής. Οι συμμετέχοντες στον θεματικό διάλογο εξέφρασαν την ανησυχία τους για το αυξανόμενο χάσμα στην Ευρώπη. Αυτές είναι, για παράδειγμα, οι απόψεις που έχουν οι χώρες σχετικά με την κοινότητα των ΛΟΑΤΚΙ. Εάν οι χώρες δεν κατανοούν τις αντίστοιχες απόψεις τους, είναι δύσκολο να συνεργαστούν. «Για αυτόν τον λόγο είναι σημαντικό να γνωριστούμε καλύτερα», δήλωσε ένας συμμετέχων. Σήμερα, απλά δεν ξέρουμε τι σκέφτονται οι άνθρωποι σε άλλες χώρες. Δεν κατανοούμε επαρκώς τον πολιτισμό και το πλαίσιο των αντίστοιχων χωρών μας. Αυτό είναι απαραίτητο αν θέλουμε να πάρουμε μαζί καλές αποφάσεις. </w:t>
      </w:r>
      <w:r>
        <w:br w:type="page"/>
      </w:r>
    </w:p>
    <w:p>
      <w:pPr>
        <w:pStyle w:val="P68B1DB1Normal117"/>
        <w:spacing w:lineRule="auto" w:line="240"/>
        <w:ind w:left="0" w:right="0" w:hanging="0"/>
        <w:rPr>
          <w:rFonts w:ascii="Calibri" w:hAnsi="Calibri"/>
          <w:b/>
          <w:b/>
          <w:i/>
          <w:i/>
          <w:color w:val="000000"/>
          <w:sz w:val="28"/>
        </w:rPr>
      </w:pPr>
      <w:r>
        <w:rPr/>
        <w:t xml:space="preserve">Ψηφιακός μετασχηματισμός </w:t>
      </w:r>
    </w:p>
    <w:p>
      <w:pPr>
        <w:pStyle w:val="P68B1DB1Normal104"/>
        <w:widowControl w:val="false"/>
        <w:spacing w:lineRule="auto" w:line="240" w:before="62" w:after="0"/>
        <w:ind w:left="0" w:right="0" w:hanging="0"/>
        <w:jc w:val="left"/>
        <w:rPr/>
      </w:pPr>
      <w:r>
        <w:rPr/>
        <w:t xml:space="preserve">Στον εικονικό κόσμο, οι απαιτήσεις για τη συνδεσιμότητα στο διαδίκτυο, την ασφάλεια και την ιδιωτική ζωή αυξάνονται. Η ΕΕ αισθάνεται υπεύθυνη εν προκειμένω και δεσμεύεται να διασφαλίσει ότι κανείς δεν θα μείνει στο περιθώριο στην ψηφιακή κοινωνία. Επιπλέον, η ΕΕ επενδύει σε ψηφιακές λύσεις σε κοινωνικές προκλήσεις. Ποιο είναι το όραμα της Ολλανδίας γι’ αυτό;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Προτάσεις — Η εικονική μας κοσμοθεωρία </w:t>
      </w:r>
    </w:p>
    <w:p>
      <w:pPr>
        <w:pStyle w:val="P68B1DB1Normal69"/>
        <w:widowControl w:val="false"/>
        <w:spacing w:lineRule="auto" w:line="240" w:before="65" w:after="0"/>
        <w:ind w:left="0" w:right="0" w:hanging="0"/>
        <w:jc w:val="left"/>
        <w:rPr/>
      </w:pPr>
      <w:r>
        <w:rPr/>
        <w:t xml:space="preserve">Το 45 % των Ολλανδών πιστεύει ότι ο εικονικός κόσμος είναι ένα σημαντικό θέμα και ότι η ΕΕ πρέπει να παρέμβει σε αυτόν τον τομέα.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Εξασφάλιση ενός γρήγορου, ασφαλούς και σταθερού διαδικτύου παντού </w:t>
      </w:r>
    </w:p>
    <w:p>
      <w:pPr>
        <w:pStyle w:val="P68B1DB1Normal104"/>
        <w:widowControl w:val="false"/>
        <w:spacing w:lineRule="auto" w:line="240" w:before="49" w:after="0"/>
        <w:ind w:left="0" w:right="0" w:hanging="0"/>
        <w:jc w:val="left"/>
        <w:rPr/>
      </w:pPr>
      <w:r>
        <w:rPr/>
        <w:t xml:space="preserve">Το 61 % των Ολλανδών πιστεύει ότι η ΕΕ θα πρέπει να διασφαλίσει ότι κάθε άτομο στην Ευρώπη έχει πρόσβαση σε ένα γρήγορο και σταθερό διαδίκτυο. Όλοι βλέπουμε ότι το διαδίκτυο παίζει όλο και πιο σημαντικό ρόλο στη ζωή μας. Τα παιδιά μας μεγαλώνουν με την ψηφιακή εκπαίδευση. Και η επικοινωνία γίνεται όλο και περισσότερο μέσω του διαδικτύου, τόσο σε εθνικό όσο και σε διεθνές επίπεδο. Μερικές φορές ανησυχούμε για την υψηλή εξάρτηση από το διαδίκτυο. Ως εκ τούτου, πολλοί Ολλανδοί πιστεύουν ότι η ΕΕ είναι η πλέον κατάλληλη για να διαθέσει κονδύλια σε αυτήν, υπό την προϋπόθεση ότι χρησιμοποιούνται αποτελεσματικά. Η προστασία από το διαδικτυακό έγκλημα είναι, κατά την άποψή μας, το σημαντικότερο ζήτημα που πρέπει να αντιμετωπιστεί σε ευρωπαϊκό επίπεδο. Ωστόσο, θα πρέπει επίσης να δοθεί προσοχή στην καταπολέμηση της εγκληματικότητας στο Διαδίκτυο σε εθνικό επίπεδο. </w:t>
      </w:r>
    </w:p>
    <w:p>
      <w:pPr>
        <w:pStyle w:val="P68B1DB1Normal113"/>
        <w:widowControl w:val="false"/>
        <w:spacing w:lineRule="auto" w:line="240" w:before="54" w:after="0"/>
        <w:ind w:left="0" w:right="0" w:hanging="0"/>
        <w:jc w:val="center"/>
        <w:rPr/>
      </w:pPr>
      <w:r>
        <w:rPr/>
        <w:t xml:space="preserve">Η ιδέα μιας κυβερνοεπίθεσης στο σύστημα προστασίας του νερού με κάνει να νιώθω ευάλωτος.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Καθορισμός σαφών κανόνων και προτύπων για τις εταιρείες διαδικτύου </w:t>
      </w:r>
    </w:p>
    <w:p>
      <w:pPr>
        <w:pStyle w:val="P68B1DB1Normal104"/>
        <w:widowControl w:val="false"/>
        <w:spacing w:lineRule="auto" w:line="240" w:before="49" w:after="0"/>
        <w:ind w:left="0" w:right="0" w:hanging="0"/>
        <w:jc w:val="left"/>
        <w:rPr/>
      </w:pPr>
      <w:r>
        <w:rPr/>
        <w:t xml:space="preserve">Το 75 % των Ολλανδών πιστεύει ότι η ΕΕ θα πρέπει να διασφαλίσει ότι οι διαδικτυακές αγορές μπορούν να πραγματοποιούνται με το ίδιο επίπεδο ασφάλειας σε όλες τις χώρες της ΕΕ. Όλοι αγοράζουμε όλο και περισσότερο στο εξωτερικό και μοιραζόμαστε ευαίσθητα προσωπικά δεδομένα με αυτόν τον τρόπο. Αυτό μερικές φορές φαίνεται επικίνδυνο. Είναι δύσκολο να προσδιοριστεί ποιες ιστοσελίδες είναι αξιόπιστες. Είναι θετικό το γεγονός ότι η ΕΕ αναπτύσσει ευρωπαϊκούς κανόνες και πρότυπα προστασίας της ιδιωτικής ζωής, τα οποία ο καθένας μπορεί να κατανοήσει. Η δύναμη των μεγάλων εταιρειών διαδικτύου είναι επίσης μια τακτική πηγή ανησυχίας για εμάς. Πιστεύουμε ότι είναι δική μας ευθύνη να είμαστε προσεκτικοί στη χρήση των δεδομένων μας. Αλλά πιστεύουμε επίσης ότι η ΕΕ μπορεί να διαδραματίσει κάποιο ρόλο σε αυτό το πλαίσιο. Οι χώρες της ΕΕ πρέπει να συνεργαστούν για να διασφαλίσουν ότι εταιρείες όπως η Google και το Facebook δεν θα έχουν υπερβολική ισχύ. </w:t>
      </w:r>
    </w:p>
    <w:p>
      <w:pPr>
        <w:pStyle w:val="P68B1DB1Normal113"/>
        <w:widowControl w:val="false"/>
        <w:spacing w:lineRule="auto" w:line="240" w:before="54" w:after="0"/>
        <w:ind w:left="0" w:right="0" w:hanging="0"/>
        <w:jc w:val="center"/>
        <w:rPr/>
      </w:pPr>
      <w:r>
        <w:rPr/>
        <w:t xml:space="preserve">Αντιμέτωποι με έναν παγκόσμιο παίκτη όπως το Facebook, είμαστε σχετικά φτωχοί ως μια μικρή χώρα. </w:t>
      </w:r>
    </w:p>
    <w:p>
      <w:pPr>
        <w:pStyle w:val="P68B1DB1Normal111"/>
        <w:widowControl w:val="false"/>
        <w:spacing w:lineRule="auto" w:line="240" w:before="71" w:after="0"/>
        <w:ind w:left="0" w:right="0" w:hanging="0"/>
        <w:jc w:val="left"/>
        <w:rPr/>
      </w:pPr>
      <w:r>
        <w:rPr/>
        <w:t xml:space="preserve">3. Προσθήκη εφαρμογής και πρακτικών εξηγήσεων στους κανόνες προστασίας της ιδιωτικής ζωής </w:t>
      </w:r>
    </w:p>
    <w:p>
      <w:pPr>
        <w:pStyle w:val="Normal"/>
        <w:widowControl w:val="false"/>
        <w:spacing w:lineRule="auto" w:line="240" w:before="49" w:after="0"/>
        <w:ind w:left="0" w:right="0" w:hanging="0"/>
        <w:jc w:val="left"/>
        <w:rPr/>
      </w:pPr>
      <w:r>
        <w:rPr>
          <w:rFonts w:ascii="Calibri" w:hAnsi="Calibri"/>
          <w:color w:val="000000"/>
          <w:sz w:val="21"/>
        </w:rPr>
        <w:t xml:space="preserve">Με την εισαγωγή του Γενικού Κανονισμού για την Προστασία Δεδομένων (ΓΚΠΔ), οι Κάτω Χώρες γνωρίζουν ότι όλες οι χώρες πρέπει να συμμορφώνονται με τους ίδιους νόμους και κανονισμούς για την προστασία της ιδιωτικής ζωής. Πιστεύουμε ότι είναι καλό να μπορούμε να υπολογίζουμε σε αυτό, επειδή η ιδιωτικότητα είναι ένα σημαντικό ζήτημα. Ωστόσο, ορισμένοι Ολλανδοί θεωρούν ότι οι κανόνες προστασίας της ιδιωτικής ζωής είναι μερικές φορές υπερβολικοί ή παράλογοι. Επιπλέον, αυτή η νομοθεσία μπορεί να δημιουργήσει πολλή δουλειά για τους επιχειρηματίες. Ως εκ τούτου, πιστεύουμε ότι θα πρέπει να δοθεί μεγαλύτερη προσοχή στην πρακτική εφαρμογή της νομοθεσίας για την προστασία της ιδιωτικής ζωής: υποστήριξη και ενημέρωση τόσο των πολιτών όσο και των επιχειρήσεων. Ειδικότερα, πιστεύουμε ότι τα κράτη μέλη πρέπει να διαδραματίσουν κάποιο ρόλο. Τα ζητήματα προστασίας της ιδιωτικής ζωής ή τα ζητήματα που αφορούν την προστασία της ιδιωτικής ζωής διαχειρίζονται καλύτερα οι εθνικές μας αρχές στη δική μας γλώσσα. </w:t>
      </w:r>
      <w:r>
        <w:br w:type="page"/>
      </w:r>
    </w:p>
    <w:p>
      <w:pPr>
        <w:pStyle w:val="P68B1DB1Normal108"/>
        <w:spacing w:lineRule="auto" w:line="240"/>
        <w:ind w:left="0" w:right="0" w:hanging="0"/>
        <w:rPr>
          <w:rFonts w:ascii="Calibri" w:hAnsi="Calibri"/>
          <w:b/>
          <w:b/>
          <w:i/>
          <w:i/>
          <w:color w:val="000000"/>
          <w:sz w:val="24"/>
        </w:rPr>
      </w:pPr>
      <w:r>
        <w:rPr/>
        <w:t xml:space="preserve">Διαδικτυακές και επιτόπιες συζητήσεις και ιδέες </w:t>
      </w:r>
    </w:p>
    <w:p>
      <w:pPr>
        <w:pStyle w:val="P68B1DB1Normal118"/>
        <w:widowControl w:val="false"/>
        <w:spacing w:lineRule="auto" w:line="240" w:before="120" w:after="0"/>
        <w:ind w:left="0" w:right="889" w:hanging="0"/>
        <w:jc w:val="left"/>
        <w:rPr/>
      </w:pPr>
      <w:r>
        <w:rPr/>
        <w:t xml:space="preserve">Η ΙΔΈΑ: Να ορίσετε αυστηρότερα κριτήρια για τους προγραμματιστές και τις επιχειρήσεις, απαγορεύοντας τις επικίνδυνες γλώσσες προγραμματισμού. </w:t>
      </w:r>
    </w:p>
    <w:p>
      <w:pPr>
        <w:pStyle w:val="P68B1DB1Normal118"/>
        <w:widowControl w:val="false"/>
        <w:spacing w:lineRule="auto" w:line="240" w:before="87" w:after="0"/>
        <w:ind w:left="0" w:right="0" w:hanging="0"/>
        <w:jc w:val="left"/>
        <w:rPr>
          <w:rFonts w:ascii="Calibri" w:hAnsi="Calibri"/>
          <w:i/>
          <w:i/>
          <w:color w:val="000000"/>
          <w:sz w:val="21"/>
        </w:rPr>
      </w:pPr>
      <w:r>
        <w:rPr/>
        <w:t xml:space="preserve">Να προτείνει ένα ελεύθερο ευρωπαϊκό λογισμικό προστασίας από ιούς για τη δημιουργία ενός ευρωπαϊκού τείχους προστασίας. </w:t>
      </w:r>
    </w:p>
    <w:p>
      <w:pPr>
        <w:pStyle w:val="P68B1DB1Normal118"/>
        <w:widowControl w:val="false"/>
        <w:spacing w:lineRule="auto" w:line="240" w:before="85" w:after="0"/>
        <w:ind w:left="0" w:right="42" w:hanging="0"/>
        <w:jc w:val="left"/>
        <w:rPr/>
      </w:pPr>
      <w:r>
        <w:rPr/>
        <w:t xml:space="preserve">Όταν περνάω τα σύνορα στη Γερμανία, ξαφνικά δεν έχω πλέον ένα δίκτυο στο κινητό μου τηλέφωνο. Δεν θα έπρεπε να συμβαίνει πια, έτσι δεν είναι; </w:t>
      </w:r>
    </w:p>
    <w:p>
      <w:pPr>
        <w:pStyle w:val="P68B1DB1Normal118"/>
        <w:widowControl w:val="false"/>
        <w:spacing w:lineRule="auto" w:line="240" w:before="85" w:after="0"/>
        <w:ind w:left="0" w:right="959" w:hanging="0"/>
        <w:jc w:val="left"/>
        <w:rPr/>
      </w:pPr>
      <w:r>
        <w:rPr/>
        <w:t xml:space="preserve">Με τα iPhones μας, μπορούμε να παρακολουθούμε όλα τα ταξίδια μας. Έχουμε επίσης το μερίδιο ευθύνης μας. </w:t>
      </w:r>
    </w:p>
    <w:p>
      <w:pPr>
        <w:pStyle w:val="P68B1DB1Normal118"/>
        <w:widowControl w:val="false"/>
        <w:spacing w:lineRule="auto" w:line="240" w:before="83" w:after="0"/>
        <w:ind w:left="0" w:right="0" w:hanging="0"/>
        <w:jc w:val="left"/>
        <w:rPr/>
      </w:pPr>
      <w:r>
        <w:rPr/>
        <w:t xml:space="preserve">Δεν είναι βολικό να πρέπει να συμπληρώσετε ένα διαφορετικό είδος φόρμας απορρήτου σε κάθε χώρα. </w:t>
      </w:r>
    </w:p>
    <w:p>
      <w:pPr>
        <w:pStyle w:val="P68B1DB1Normal118"/>
        <w:widowControl w:val="false"/>
        <w:spacing w:lineRule="auto" w:line="240" w:before="87" w:after="0"/>
        <w:ind w:left="0" w:right="0" w:hanging="0"/>
        <w:jc w:val="left"/>
        <w:rPr>
          <w:rFonts w:ascii="Calibri" w:hAnsi="Calibri"/>
          <w:i/>
          <w:i/>
          <w:color w:val="000000"/>
          <w:sz w:val="21"/>
        </w:rPr>
      </w:pPr>
      <w:r>
        <w:rPr/>
        <w:t xml:space="preserve">Η ΙΔΈΑ: Πρέπει να δημιουργήσουμε μια ευρωπαϊκή κυβερνοαστυνομία. Αυτό είναι σαφώς κάτι για την ΕΕ. </w:t>
      </w:r>
    </w:p>
    <w:p>
      <w:pPr>
        <w:pStyle w:val="P68B1DB1Normal111"/>
        <w:widowControl w:val="false"/>
        <w:spacing w:lineRule="auto" w:line="240" w:before="84" w:after="0"/>
        <w:ind w:left="0" w:right="823" w:hanging="0"/>
        <w:jc w:val="left"/>
        <w:rPr/>
      </w:pPr>
      <w:r>
        <w:rPr/>
        <w:t xml:space="preserve">Συμμετέχοντες στον διαδικτυακό διάλογο: Η πρόσβαση στο διαδίκτυο παντού είναι επίσης προς το συμφέρον μας. </w:t>
      </w:r>
    </w:p>
    <w:p>
      <w:pPr>
        <w:pStyle w:val="P68B1DB1Normal104"/>
        <w:widowControl w:val="false"/>
        <w:spacing w:lineRule="auto" w:line="240" w:before="97" w:after="0"/>
        <w:ind w:left="0" w:right="236" w:hanging="0"/>
        <w:jc w:val="left"/>
        <w:rPr/>
      </w:pPr>
      <w:r>
        <w:rPr/>
        <w:t xml:space="preserve">Κατά τη διάρκεια ενός από τους διαδικτυακούς θεματικούς διαλόγους, γεννήθηκε μια ενδιαφέρουσα συζήτηση σχετικά με τον ρόλο της ΕΕ στον εικονικό κόσμο. Όλοι οι συμμετέχοντες συμφώνησαν ότι ήταν καλό και σημαντικό να υπάρχει καλή σύνδεση στο διαδίκτυο σε όλη την Ευρώπη. Εξαρτάται όμως από την ΕΕ να το αντιμετωπίσει; Αρκετοί συμμετέχοντες ανέφεραν ότι αυτό ήταν έργο κυρίως για τα επιμέρους κράτη μέλη. Ένας άλλος συμμετέχων τόνισε ότι ένα σταθερό και ποιοτικό διαδίκτυο στο εξωτερικό αποτελεί επίσης πλεονέκτημα για τις Κάτω Χώρες: Βγάζουμε δισεκατομμύρια δολάρια από το εμπόριο με άλλες χώρες της ΕΕ. Επομένως, είναι προς το συμφέρον μας να λειτουργούν αυτές οι χώρες καλά. </w:t>
      </w:r>
    </w:p>
    <w:p>
      <w:pPr>
        <w:pStyle w:val="P68B1DB1Normal111"/>
        <w:widowControl w:val="false"/>
        <w:spacing w:lineRule="auto" w:line="240" w:before="40" w:after="0"/>
        <w:ind w:left="0" w:right="0" w:hanging="0"/>
        <w:jc w:val="left"/>
        <w:rPr>
          <w:rFonts w:ascii="Calibri" w:hAnsi="Calibri"/>
          <w:b/>
          <w:b/>
          <w:color w:val="000000"/>
          <w:sz w:val="22"/>
        </w:rPr>
      </w:pPr>
      <w:r>
        <w:rPr/>
        <w:t xml:space="preserve">Φοιτητές σε Χέλμοντ: Πανομοιότυποι κανόνες και κυρώσεις για τους κυβερνοεγκληματίες </w:t>
      </w:r>
    </w:p>
    <w:p>
      <w:pPr>
        <w:pStyle w:val="Normal"/>
        <w:widowControl w:val="false"/>
        <w:spacing w:lineRule="auto" w:line="240" w:before="95" w:after="0"/>
        <w:ind w:left="0" w:right="32" w:hanging="0"/>
        <w:jc w:val="left"/>
        <w:rPr/>
      </w:pPr>
      <w:r>
        <w:rPr>
          <w:rFonts w:ascii="Calibri" w:hAnsi="Calibri"/>
          <w:color w:val="000000"/>
          <w:sz w:val="21"/>
        </w:rPr>
        <w:t xml:space="preserve">Στο Knippenberg College στο Helmond, φοιτητές ηλικίας 15 και 16 ετών συζήτησαν το πρόβλημα της εγκληματικότητας στο Διαδίκτυο. Ακούν τακτικά τις ειδήσεις. Για παράδειγμα, όταν υπάρχει διαρροή δεδομένων σε μια εταιρεία. Ή όταν μια χώρα όπως η Ρωσία ή η Κίνα προσπαθούν να κλέψουν δεδομένα. Δεδομένου ότι οι εγκληματίες του κυβερνοχώρου συχνά εργάζονται σε διασυνοριακό επίπεδο, θεωρούν λογικό για τις ευρωπαϊκές χώρες να συνεργάζονται. Στο πλαίσιο αυτό, εξετάζουν την ανάπτυξη κανόνων, αλλά και τον ορισμό των κυρώσεων. Εάν οι Ρώσοι κυβερνοπειρατές προσπαθήσουν να εισβάλουν στα σπίτια μας, η ΕΕ πρέπει να αναλάβει ισχυρή δράση για να τους αποτρέψει. </w:t>
      </w:r>
      <w:r>
        <w:br w:type="page"/>
      </w:r>
    </w:p>
    <w:p>
      <w:pPr>
        <w:pStyle w:val="P68B1DB1Normal117"/>
        <w:spacing w:lineRule="auto" w:line="240"/>
        <w:ind w:left="0" w:right="0" w:hanging="0"/>
        <w:rPr>
          <w:rFonts w:ascii="Calibri" w:hAnsi="Calibri"/>
          <w:b/>
          <w:b/>
          <w:i/>
          <w:i/>
          <w:color w:val="000000"/>
          <w:sz w:val="28"/>
        </w:rPr>
      </w:pPr>
      <w:r>
        <w:rPr/>
        <w:t xml:space="preserve">Εκπαίδευση, πολιτισμός, νεολαία και αθλητισμός </w:t>
      </w:r>
    </w:p>
    <w:p>
      <w:pPr>
        <w:pStyle w:val="P68B1DB1Normal104"/>
        <w:widowControl w:val="false"/>
        <w:spacing w:lineRule="auto" w:line="240" w:before="93" w:after="0"/>
        <w:ind w:left="0" w:right="0" w:hanging="0"/>
        <w:jc w:val="left"/>
        <w:rPr/>
      </w:pPr>
      <w:r>
        <w:rPr/>
        <w:t xml:space="preserve">Οι χώρες της ΕΕ είναι άμεσα υπεύθυνες για την εκπαίδευση, τον πολιτισμό, τη νεολαία και τον αθλητισμό. Η ΕΕ μπορεί και θα ήθελε να τους βοηθήσει στο θέμα αυτό, για παράδειγμα προωθώντας την ποιοτική εκπαίδευση, την πολυγλωσσία, την προστασία της πολιτιστικής κληρονομιάς και τη στήριξη του πολιτιστικού και αθλητικού τομέα. Ποιο είναι το όραμα της Ολλανδίας γι’ αυτό;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Συστάσεις — Το όραμά μας για την εκπαίδευση, τον πολιτισμό, τη νεολαία και τον αθλητισμό </w:t>
      </w:r>
    </w:p>
    <w:p>
      <w:pPr>
        <w:pStyle w:val="P68B1DB1Normal69"/>
        <w:widowControl w:val="false"/>
        <w:spacing w:lineRule="auto" w:line="240" w:before="123" w:after="0"/>
        <w:ind w:left="0" w:right="0" w:hanging="0"/>
        <w:jc w:val="left"/>
        <w:rPr/>
      </w:pPr>
      <w:r>
        <w:rPr/>
        <w:t xml:space="preserve">Το 45 % των Ολλανδών πιστεύει ότι η εκπαίδευση είναι ένα σημαντικό ζήτημα και ότι η ΕΕ πρέπει να παρέμβει σε αυτόν τον τομέα. Για τη νεολαία, τον πολιτισμό και τον αθλητισμό, το ποσοστό αυτό ανέρχεται σε 39 %, 23 % και 19 % αντίστοιχα.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Ενθάρρυνση των φοιτητών να σπουδάσουν στο εξωτερικό έξυπνα </w:t>
      </w:r>
    </w:p>
    <w:p>
      <w:pPr>
        <w:pStyle w:val="P68B1DB1Normal104"/>
        <w:widowControl w:val="false"/>
        <w:spacing w:lineRule="auto" w:line="240"/>
        <w:ind w:left="0" w:right="0" w:hanging="0"/>
        <w:jc w:val="left"/>
        <w:rPr/>
      </w:pPr>
      <w:r>
        <w:rPr/>
        <w:t xml:space="preserve">Πολλοί Ολλανδοί πιστεύουν ότι οι σπουδές στο εξωτερικό έχουν θετικό αντίκτυπο στους νέους. Αυτό συμβάλλει στην προσωπική ανάπτυξη. Επιπλέον, οι σπουδές στο εξωτερικό μπορούν να βοηθήσουν τους Ευρωπαίους να κατανοήσουν καλύτερα ο ένας τον άλλον. Μπορεί επίσης να συμβάλει στην καλύτερη ολοκλήρωση. Ως εκ τούτου, πολλοί Ολλανδοί θεωρούν θετικό το γεγονός ότι υπάρχει ένα πρόγραμμα Erasmus που ενθαρρύνει τις σπουδές στο εξωτερικό. Αλλά πιστεύουμε ότι η ΕΕ θα πρέπει επίσης να συνεχίσει να αντιμετωπίζει με κριτικό πνεύμα αυτό το ζήτημα. Στην πράξη, για παράδειγμα, φαίνεται ότι οι διεθνείς φοιτητές μένουν ως επί το πλείστον μεταξύ τους και δεν μαθαίνουν πάντα πολλά για τη χώρα στην οποία βρίσκονται. Η ΕΕ πρέπει επίσης να εμποδίσει τις χώρες με χαμηλότερο επίπεδο γνώσεων να «κενώσουν» επειδή όλα τα ταλέντα θα σπουδάσουν στο εξωτερικό. </w:t>
      </w:r>
    </w:p>
    <w:p>
      <w:pPr>
        <w:pStyle w:val="P68B1DB1Normal113"/>
        <w:widowControl w:val="false"/>
        <w:spacing w:lineRule="auto" w:line="240" w:before="167" w:after="0"/>
        <w:ind w:left="0" w:right="0" w:hanging="0"/>
        <w:jc w:val="center"/>
        <w:rPr/>
      </w:pPr>
      <w:r>
        <w:rPr/>
        <w:t xml:space="preserve">«Ανάπτυξη προγραμμάτων ανταλλαγών και σε επίπεδο δευτεροβάθμιας επαγγελματικής εκπαίδευσης.» </w:t>
      </w:r>
    </w:p>
    <w:p>
      <w:pPr>
        <w:pStyle w:val="Normal"/>
        <w:widowControl w:val="false"/>
        <w:spacing w:lineRule="auto" w:line="240" w:before="136" w:after="0"/>
        <w:ind w:left="0" w:right="0" w:hanging="0"/>
        <w:jc w:val="left"/>
        <w:rPr/>
      </w:pPr>
      <w:r>
        <w:rPr>
          <w:rFonts w:ascii="Calibri" w:hAnsi="Calibri"/>
          <w:b/>
          <w:color w:val="000000"/>
        </w:rPr>
        <w:t>2. Να δοθεί στα κράτη μέλη η δυνατότητα να επικεντρωθούν σε θέματα όπως ο πολιτισμός και ο αθλητισμός</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Το 58 % των Ολλανδών πιστεύει ότι η ΕΕ θα πρέπει να προστατεύει καλύτερα την πολιτιστική κληρονομιά στην Ευρώπη. Σκεφτόμαστε, για παράδειγμα, τους ναούς στην Ελλάδα. Από την άλλη πλευρά, διαπιστώνουμε ότι ο τοπικός πολιτισμός είναι πρωτίστως ευθύνη των ίδιων των χωρών. Το ίδιο ισχύει, για παράδειγμα, για την κακοποίηση στον αθλητισμό. Θεωρούμε ότι πρόκειται για σημαντικό ζήτημα, αλλά όχι ως κύρια αποστολή της ΕΕ. Η Ευρώπη πρέπει κατ’ ανάγκη να θέσει προτεραιότητες και απαιτούνται σημαντικοί χρηματοδοτικοί πόροι για άλλα θέματα. Μπορεί μερικές φορές να συνεισφέρουμε οικονομικά, αλλά μερικές φορές μπορούμε να συνεργαστούμε και με άλλους τρόπους, για παράδειγμα με την ανταλλαγή γνώσεων και ιδεών. </w:t>
      </w:r>
    </w:p>
    <w:p>
      <w:pPr>
        <w:pStyle w:val="P68B1DB1Normal113"/>
        <w:widowControl w:val="false"/>
        <w:spacing w:lineRule="auto" w:line="240" w:before="167" w:after="0"/>
        <w:ind w:left="0" w:right="0" w:hanging="0"/>
        <w:jc w:val="center"/>
        <w:rPr/>
      </w:pPr>
      <w:r>
        <w:rPr/>
        <w:t xml:space="preserve">Η προστασία του πολιτισμού ανήκει στις ίδιες τις χώρες. Αλλά αν η παγκόσμια κληρονομιά παραμεληθεί, τότε νομίζω ότι η ΕΕ πρέπει να παρέμβει.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Διασφάλιση ότι οι Ευρωπαίοι γνωρίζονται καλύτερα και σέβονται ο ένας τον άλλον </w:t>
      </w:r>
    </w:p>
    <w:p>
      <w:pPr>
        <w:pStyle w:val="P68B1DB1Normal104"/>
        <w:widowControl w:val="false"/>
        <w:spacing w:lineRule="auto" w:line="240"/>
        <w:ind w:left="0" w:right="0" w:hanging="0"/>
        <w:jc w:val="left"/>
        <w:rPr/>
      </w:pPr>
      <w:r>
        <w:rPr/>
        <w:t xml:space="preserve">Οι Ολλανδοί εκτιμούν όταν άλλοι Ευρωπαίοι μιλούν καλά αγγλικά. Απλουστεύει τα πράγματα όταν είμαστε στο εξωτερικό. Και όταν, για παράδειγμα, θέλουμε να επικοινωνήσουμε με τους μετανάστες εργαζόμενους στις Κάτω Χώρες. Ταυτόχρονα, πολλοί Ολλανδοί θεωρούν πολύ σημαντικό να συνεχίσουμε να μιλάμε και να εκτιμούμε τη δική μας γλώσσα. Ως εκ τούτου, επιθυμούμε επίσης να γίνουν σεβαστές και άλλες διαφορές εντός της Ευρώπης. Είτε πρόκειται για πολιτισμό, εκπαίδευση ή αθλητισμό, κάθε άτομο πρέπει να αισθάνεται ελεύθερος και να είναι σε θέση να είναι ο εαυτός του. Οι διαφορές μπορεί μερικές φορές να προκαλέσουν εντάσεις, αλλά και να κάνουν την ευρωπαϊκή ήπειρο πλούσια. Πολλοί Ολλανδοί πιστεύουν ότι θα πρέπει να δοθεί χρόνος στις χώρες να εξοικειωθούν με τις αντίστοιχες συνήθειες και ιδέες τους. </w:t>
      </w:r>
    </w:p>
    <w:p>
      <w:pPr>
        <w:pStyle w:val="P68B1DB1Normal113"/>
        <w:widowControl w:val="false"/>
        <w:spacing w:lineRule="auto" w:line="240" w:before="167" w:after="0"/>
        <w:ind w:left="0" w:right="0" w:hanging="0"/>
        <w:jc w:val="center"/>
        <w:rPr/>
      </w:pPr>
      <w:r>
        <w:rPr/>
        <w:t xml:space="preserve">Για μένα, η ΕΕ είναι σαν μια ομάδα φίλων. Σεβόμαστε τις διαφορές μας και μπορώ να ζητήσω βοήθεια αν τις χρειαστώ.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Διαδικτυακές και επιτόπιες συζητήσεις και ιδέες </w:t>
      </w:r>
    </w:p>
    <w:p>
      <w:pPr>
        <w:pStyle w:val="P68B1DB1Normal118"/>
        <w:widowControl w:val="false"/>
        <w:spacing w:lineRule="auto" w:line="240" w:before="120" w:after="0"/>
        <w:ind w:left="0" w:right="0" w:hanging="0"/>
        <w:jc w:val="left"/>
        <w:rPr/>
      </w:pPr>
      <w:r>
        <w:rPr/>
        <w:t xml:space="preserve">Η ΙΔΈΑ: Εκτός από το τοπικό πρόγραμμα σπουδών, θα πρέπει να καθιερωθεί ένα κοινό ευρωπαϊκό πρόγραμμα σπουδών σε όλες τις βαθμίδες της εκπαίδευσης. </w:t>
      </w:r>
    </w:p>
    <w:p>
      <w:pPr>
        <w:pStyle w:val="P68B1DB1Normal118"/>
        <w:widowControl w:val="false"/>
        <w:spacing w:lineRule="auto" w:line="240" w:before="254" w:after="0"/>
        <w:ind w:left="0" w:right="0" w:hanging="0"/>
        <w:jc w:val="left"/>
        <w:rPr>
          <w:rFonts w:ascii="Calibri" w:hAnsi="Calibri"/>
          <w:i/>
          <w:i/>
          <w:color w:val="000000"/>
          <w:sz w:val="21"/>
        </w:rPr>
      </w:pPr>
      <w:r>
        <w:rPr/>
        <w:t xml:space="preserve">Η ΙΔΈΑ: Εκτός από μια πρωτεύουσα του πολιτισμού, θα πρέπει επίσης να επιλέξετε μια πρωτεύουσα (ή χώρα) κάθε χρόνο στον τομέα της εκπαίδευσης, της νεολαίας και του αθλητισμού. </w:t>
      </w:r>
    </w:p>
    <w:p>
      <w:pPr>
        <w:pStyle w:val="P68B1DB1Normal118"/>
        <w:widowControl w:val="false"/>
        <w:spacing w:lineRule="auto" w:line="240" w:before="85" w:after="0"/>
        <w:ind w:left="0" w:right="0" w:hanging="0"/>
        <w:jc w:val="left"/>
        <w:rPr/>
      </w:pPr>
      <w:r>
        <w:rPr/>
        <w:t xml:space="preserve">Αυτό που μας ενώνει στην ΕΕ είναι ακριβώς το γεγονός ότι όλοι έχουμε τη δική μας εθνική κουλτούρα. Και ως εκ τούτου δεν μπορούν να συγκεντρωθούν κάτω από τη σημαία ενός μόνο πολιτισμού. </w:t>
      </w:r>
    </w:p>
    <w:p>
      <w:pPr>
        <w:pStyle w:val="P68B1DB1Normal118"/>
        <w:widowControl w:val="false"/>
        <w:spacing w:lineRule="auto" w:line="240" w:before="87" w:after="0"/>
        <w:ind w:left="0" w:right="0" w:hanging="0"/>
        <w:jc w:val="left"/>
        <w:rPr>
          <w:rFonts w:ascii="Calibri" w:hAnsi="Calibri"/>
          <w:i/>
          <w:i/>
          <w:color w:val="000000"/>
          <w:sz w:val="21"/>
        </w:rPr>
      </w:pPr>
      <w:r>
        <w:rPr/>
        <w:t xml:space="preserve">Αντί να επισημάνουμε τα αρνητικά πράγματα, είναι καλύτερο να προσπαθήσουμε να προωθήσουμε το άθλημα. </w:t>
      </w:r>
    </w:p>
    <w:p>
      <w:pPr>
        <w:pStyle w:val="P68B1DB1Normal118"/>
        <w:widowControl w:val="false"/>
        <w:spacing w:lineRule="auto" w:line="240" w:before="85" w:after="0"/>
        <w:ind w:left="0" w:right="0" w:hanging="0"/>
        <w:jc w:val="left"/>
        <w:rPr/>
      </w:pPr>
      <w:r>
        <w:rPr/>
        <w:t xml:space="preserve">Είμαι ενσωματωμένος εδώ, πληρώνω φόρους, αλλά είμαι και παραμένω Λατινοαμερικάνος. Αγαπώ τη γλώσσα, τη μουσική και το φαγητό μου. Δεν έχει να κάνει με την Ευρώπη. </w:t>
      </w:r>
    </w:p>
    <w:p>
      <w:pPr>
        <w:pStyle w:val="P68B1DB1Normal118"/>
        <w:widowControl w:val="false"/>
        <w:spacing w:lineRule="auto" w:line="240" w:before="87" w:after="0"/>
        <w:ind w:left="0" w:right="0" w:hanging="0"/>
        <w:jc w:val="left"/>
        <w:rPr>
          <w:rFonts w:ascii="Calibri" w:hAnsi="Calibri"/>
          <w:i/>
          <w:i/>
          <w:color w:val="000000"/>
          <w:sz w:val="21"/>
        </w:rPr>
      </w:pPr>
      <w:r>
        <w:rPr/>
        <w:t xml:space="preserve">Μιλάμε πάρα πολύ για την οικονομία στην Ευρώπη. Και πολύ λίγη ευημερία. </w:t>
      </w:r>
    </w:p>
    <w:p>
      <w:pPr>
        <w:pStyle w:val="P68B1DB1Normal111"/>
        <w:widowControl w:val="false"/>
        <w:spacing w:lineRule="auto" w:line="240" w:before="84" w:after="0"/>
        <w:ind w:left="0" w:right="0" w:hanging="0"/>
        <w:jc w:val="left"/>
        <w:rPr>
          <w:rFonts w:ascii="Calibri" w:hAnsi="Calibri"/>
          <w:b/>
          <w:b/>
          <w:color w:val="000000"/>
          <w:sz w:val="22"/>
        </w:rPr>
      </w:pPr>
      <w:r>
        <w:rPr/>
        <w:t xml:space="preserve">Φοιτητές από το Πανεπιστήμιο του Leiden: Η γλώσσα είναι σημαντική, αλλά πρέπει να παραμείνει ελεύθερη επιλογή </w:t>
      </w:r>
    </w:p>
    <w:p>
      <w:pPr>
        <w:pStyle w:val="P68B1DB1Normal104"/>
        <w:widowControl w:val="false"/>
        <w:spacing w:lineRule="auto" w:line="240" w:before="100" w:after="0"/>
        <w:ind w:left="0" w:right="0" w:hanging="0"/>
        <w:jc w:val="left"/>
        <w:rPr/>
      </w:pPr>
      <w:r>
        <w:rPr/>
        <w:t xml:space="preserve">Στο Πανεπιστήμιο Leiden, οι φοιτητές της ιστορίας μίλησαν μεταξύ τους. Θεωρούν ότι είναι σημαντικό για τους ανθρώπους να μιλούν πολλές γλώσσες. Πιστεύουν ότι η εκμάθηση πολλών γλωσσών είναι μεγάλη για την προσωπική της ανάπτυξη και είναι καλό για τις εμπορικές και πολιτικές σχέσεις εντός της ΕΕ. Ωστόσο, πιστεύουν ότι οι γλώσσες πρέπει να προσφέρονται στο σχολείο και να μην καθίστανται υποχρεωτικές. Πιστεύουν επίσης ότι μια δεύτερη γλώσσα δεν χρειάζεται απαραίτητα να είναι ευρωπαϊκή γλώσσα. «Αν ζείτε στην Ανατολική Ευρώπη και επιλέξετε να μάθετε ρωσικά, αυτό είναι δικαίωμά σας», δήλωσε ένας από τους συμμετέχοντες. </w:t>
      </w:r>
    </w:p>
    <w:p>
      <w:pPr>
        <w:pStyle w:val="P68B1DB1Normal110"/>
        <w:widowControl w:val="false"/>
        <w:spacing w:lineRule="auto" w:line="240" w:before="223" w:after="0"/>
        <w:ind w:left="0" w:right="0" w:hanging="0"/>
        <w:jc w:val="left"/>
        <w:rPr/>
      </w:pPr>
      <w:r>
        <w:rPr>
          <w:b/>
        </w:rPr>
        <w:t xml:space="preserve">Τουρκική Κοινότητα Schiedam: </w:t>
      </w:r>
      <w:r>
        <w:rPr>
          <w:sz w:val="21"/>
        </w:rPr>
        <w:t xml:space="preserve">Στο Ίδρυμα Hakder στο Schiedam, η τοπική τουρκική κοινότητα συζήτησε τη σημασία των δίκαιων ευκαιριών απασχόλησης για όλους. Όλοι οι συμμετέχοντες συμφώνησαν ότι η ΕΕ θα πρέπει να υποχρεώνει τις εταιρείες να προσφέρουν πρακτική άσκηση ή θέσεις εργασίας σε νέους με περιορισμένες προοπτικές. Ανέφεραν ότι οι νέοι μετανάστες, ιδίως, δυσκολεύονται να βρουν πρακτική άσκηση ή εργασία. Μερικές φορές δεν τολμούν καν να πάνε στο GP επειδή φοβούνται να πληρώσουν οι ίδιοι για την επίσκεψη. Για να μην αναφέρουμε την τόλμη να υποβάλουν αίτηση για πρακτική άσκηση ή εργασία», δήλωσε ένας από τους συμμετέχοντες. «Οι επιχειρήσεις πρέπει να είναι πιο προσεκτικοί και η ΕΕ μπορεί να τις ενθαρρύνει να το πράξουν.»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Περιγραφή της μεθοδολογίας που χρησιμοποιήθηκε στην έρευνα</w:t>
      </w:r>
      <w:r>
        <w:rPr>
          <w:color w:val="365F91"/>
        </w:rPr>
        <w:t xml:space="preserve"> </w:t>
      </w:r>
    </w:p>
    <w:p>
      <w:pPr>
        <w:pStyle w:val="P68B1DB1Normal104"/>
        <w:widowControl w:val="false"/>
        <w:spacing w:lineRule="auto" w:line="240" w:before="137" w:after="0"/>
        <w:ind w:left="0" w:right="0" w:hanging="0"/>
        <w:jc w:val="left"/>
        <w:rPr/>
      </w:pPr>
      <w:r>
        <w:rPr/>
        <w:t xml:space="preserve">Η έρευνα «Όραμα της Ευρώπης» αποτελείται από διάφορες μορφές διαλόγου για τη συγκέντρωση των απόψεων και των ιδεών των Ολλανδών πολιτών σχετικά με το μέλλον της Ευρώπης και της ΕΕ. Το παρόν κεφάλαιο περιγράφει τη μεθοδολογία που χρησιμοποιείται για να διασφαλιστεί ότι οι σχετικές μορφές διαλόγου συνάδουν με τις κατευθυντήριες γραμμές για τις εθνικές ομάδες πολιτών στο πλαίσιο της Διάσκεψης για το Μέλλον της Ευρώπης. </w:t>
      </w:r>
    </w:p>
    <w:p>
      <w:pPr>
        <w:pStyle w:val="P68B1DB1Normal110"/>
        <w:widowControl w:val="false"/>
        <w:spacing w:lineRule="auto" w:line="240" w:before="236" w:after="0"/>
        <w:ind w:left="0" w:right="0" w:hanging="0"/>
        <w:jc w:val="both"/>
        <w:rPr/>
      </w:pPr>
      <w:r>
        <w:rPr>
          <w:b/>
          <w:i/>
          <w:sz w:val="24"/>
        </w:rPr>
        <w:t xml:space="preserve">Σχεδιασμός των σχετικών μορφών διαλόγου </w:t>
      </w:r>
      <w:r>
        <w:rPr>
          <w:sz w:val="21"/>
        </w:rPr>
        <w:t xml:space="preserve">Οι ακόλουθες μορφές διαλόγου χρησιμοποιούνται: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Έρευνα ενός πάνελ</w:t>
      </w:r>
    </w:p>
    <w:p>
      <w:pPr>
        <w:pStyle w:val="P68B1DB1Normal104"/>
        <w:widowControl w:val="false"/>
        <w:spacing w:lineRule="auto" w:line="240"/>
        <w:ind w:left="0" w:right="0" w:hanging="0"/>
        <w:jc w:val="left"/>
        <w:rPr>
          <w:rFonts w:ascii="Calibri" w:hAnsi="Calibri"/>
          <w:color w:val="000000"/>
          <w:sz w:val="21"/>
        </w:rPr>
      </w:pPr>
      <w:r>
        <w:rPr/>
        <w:t xml:space="preserve">Έρευνα σε αντιπροσωπευτικό δείγμα του πληθυσμού των Κάτω Χωρών.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Επιγραμμικοί θεματικοί διάλογοι για την εμβάθυνση</w:t>
      </w:r>
    </w:p>
    <w:p>
      <w:pPr>
        <w:pStyle w:val="P68B1DB1Normal104"/>
        <w:widowControl w:val="false"/>
        <w:spacing w:lineRule="auto" w:line="240"/>
        <w:ind w:left="0" w:right="0" w:hanging="0"/>
        <w:jc w:val="left"/>
        <w:rPr/>
      </w:pPr>
      <w:r>
        <w:rPr/>
        <w:t xml:space="preserve">Διάλογοι που διοργανώνονται κάθε φορά με ομάδα ολλανδικών με στόχο την εμβάθυνση των συμπερασμάτων της πρώτης ενδιάμεσης έκθεσης «Το όραμά μας για την Ευρώπη» (8 Οκτωβρίου 2021), παρέχοντας μια αρχική επισκόπηση των αποτελεσμάτων και των συμπληρωματικών ερωτήσεων.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Διάλογοι με συγκεκριμένες ομάδες</w:t>
      </w:r>
    </w:p>
    <w:p>
      <w:pPr>
        <w:pStyle w:val="P68B1DB1Normal104"/>
        <w:widowControl w:val="false"/>
        <w:spacing w:lineRule="auto" w:line="240"/>
        <w:ind w:left="0" w:right="0" w:hanging="0"/>
        <w:jc w:val="left"/>
        <w:rPr>
          <w:rFonts w:ascii="Calibri" w:hAnsi="Calibri"/>
          <w:color w:val="000000"/>
          <w:sz w:val="21"/>
        </w:rPr>
      </w:pPr>
      <w:r>
        <w:rPr/>
        <w:t xml:space="preserve">Συναντήσεις με Ολλανδούς που δεν έχουν συνηθίσει να συμμετέχουν σε έρευνες και ομάδες (online).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Διάλογοι με τους νέους</w:t>
      </w:r>
    </w:p>
    <w:p>
      <w:pPr>
        <w:pStyle w:val="P68B1DB1Normal104"/>
        <w:widowControl w:val="false"/>
        <w:spacing w:lineRule="auto" w:line="240"/>
        <w:ind w:left="0" w:right="0" w:hanging="0"/>
        <w:jc w:val="left"/>
        <w:rPr>
          <w:rFonts w:ascii="Calibri" w:hAnsi="Calibri"/>
          <w:color w:val="000000"/>
          <w:sz w:val="21"/>
        </w:rPr>
      </w:pPr>
      <w:r>
        <w:rPr/>
        <w:t xml:space="preserve">Συναντήσεις με επίκεντρο τα πλέον συναφή ευρωπαϊκά θέματα για τους νέους.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Διαδικτυακή δημόσια έρευνα: Ερωτηματολόγιο και «Swipen naar de toekomst» (</w:t>
      </w:r>
      <w:commentRangeStart w:id="25"/>
      <w:r>
        <w:rPr>
          <w:rFonts w:ascii="Calibri" w:hAnsi="Calibri"/>
          <w:b/>
          <w:color w:val="000000"/>
          <w:sz w:val="21"/>
        </w:rPr>
        <w:t xml:space="preserve">Swiper </w:t>
      </w:r>
      <w:r>
        <w:rPr>
          <w:rFonts w:ascii="Calibri" w:hAnsi="Calibri"/>
          <w:b/>
          <w:color w:val="000000"/>
          <w:sz w:val="21"/>
        </w:rPr>
      </w:r>
      <w:commentRangeEnd w:id="25"/>
      <w:r>
        <w:commentReference w:id="25"/>
      </w:r>
      <w:r>
        <w:rPr>
          <w:rFonts w:ascii="Calibri" w:hAnsi="Calibri"/>
          <w:b/>
          <w:color w:val="000000"/>
          <w:sz w:val="21"/>
        </w:rPr>
        <w:t xml:space="preserve">to the future) </w:t>
      </w:r>
    </w:p>
    <w:p>
      <w:pPr>
        <w:pStyle w:val="P68B1DB1Normal104"/>
        <w:widowControl w:val="false"/>
        <w:spacing w:lineRule="auto" w:line="240"/>
        <w:ind w:left="0" w:right="0" w:hanging="0"/>
        <w:jc w:val="left"/>
        <w:rPr/>
      </w:pPr>
      <w:r>
        <w:rPr/>
        <w:t xml:space="preserve">Το ερωτηματολόγιο της ειδικής ομάδας θα μπορούσε επίσης να συμπληρωθεί από όλους τους Ολλανδούς, συμπεριλαμβανομένων εκείνων που διαμένουν στο εξωτερικό. Το ερωτηματολόγιο αυτό ήταν διαθέσιμο από την 1η Σεπτεμβρίου 2021 έως τις 14 Νοεμβρίου 2021. Επιπλέον, κατά την ίδια περίοδο, κάθε Ολλανδός ήταν σε θέση να συμμετάσχει στη δράση «Swipen naar de toekomst» (Swiper to the future), ένα διαδικτυακό εργαλείο που παρουσιάζει 20 αξιώσεις.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Έρευνα ενός πάνελ </w:t>
      </w:r>
    </w:p>
    <w:p>
      <w:pPr>
        <w:pStyle w:val="P68B1DB1Normal104"/>
        <w:widowControl w:val="false"/>
        <w:spacing w:lineRule="auto" w:line="240" w:before="118" w:after="0"/>
        <w:ind w:left="0" w:right="0" w:hanging="0"/>
        <w:jc w:val="left"/>
        <w:rPr/>
      </w:pPr>
      <w:r>
        <w:rPr/>
        <w:t xml:space="preserve">Ο διάλογος με τους πολίτες των Κάτω Χωρών «Όραμα της Ευρώπης» ξεκίνησε την 1η Σεπτεμβρίου με μια έρευνα πάνελ. Σε αυτή την περιγραφή της μεθοδολογίας της έρευνας, εξηγούμε συνοπτικά τον σχεδιασμό και την υλοποίηση αυτής της έρευνας σε μια ομάδα. </w:t>
      </w:r>
    </w:p>
    <w:p>
      <w:pPr>
        <w:pStyle w:val="P68B1DB1Normal107"/>
        <w:widowControl w:val="false"/>
        <w:spacing w:lineRule="auto" w:line="240" w:before="43" w:after="0"/>
        <w:ind w:left="0" w:right="0" w:hanging="0"/>
        <w:jc w:val="left"/>
        <w:rPr>
          <w:rFonts w:ascii="Calibri" w:hAnsi="Calibri"/>
          <w:i/>
          <w:i/>
          <w:color w:val="000000"/>
          <w:sz w:val="24"/>
        </w:rPr>
      </w:pPr>
      <w:r>
        <w:rPr/>
        <w:t xml:space="preserve">Στοχευόμενος και στοχευόμενος πληθυσμός </w:t>
      </w:r>
    </w:p>
    <w:p>
      <w:pPr>
        <w:pStyle w:val="Normal"/>
        <w:widowControl w:val="false"/>
        <w:spacing w:lineRule="auto" w:line="240" w:before="123" w:after="0"/>
        <w:ind w:left="0" w:right="0" w:hanging="0"/>
        <w:jc w:val="left"/>
        <w:rPr/>
      </w:pPr>
      <w:r>
        <w:rPr>
          <w:rFonts w:ascii="Calibri" w:hAnsi="Calibri"/>
          <w:color w:val="000000"/>
          <w:sz w:val="21"/>
        </w:rPr>
        <w:t>Η έρευνα «Όραμα της Ευρώπης» ξεκίνησε με ένα διαδικτυακό ερωτηματολόγιο σχετικά με το πώς οι Ολλανδοί βλέπουν το μέλλον της Ευρώπης. Το ερωτηματολόγιο αυτό έχει υποβληθεί σε αντιπροσωπευτική ομάδα και είναι επίσης ανοικτό σε όλους τους Ολλανδούς (συμπεριλαμβανομένων εκείνων που διαμένουν στο εξωτερικό). Επιπλέον, κάθε άτομο ήταν σε θέση να συμμετάσχει στη δράση «Swipen naar de toekomst»</w:t>
      </w:r>
      <w:commentRangeStart w:id="26"/>
      <w:r>
        <w:rPr>
          <w:rFonts w:ascii="Calibri" w:hAnsi="Calibri"/>
          <w:color w:val="000000"/>
          <w:sz w:val="21"/>
        </w:rPr>
        <w:t>(Swiper</w:t>
      </w:r>
      <w:r>
        <w:rPr>
          <w:rFonts w:ascii="Calibri" w:hAnsi="Calibri"/>
          <w:color w:val="000000"/>
          <w:sz w:val="21"/>
        </w:rPr>
      </w:r>
      <w:commentRangeEnd w:id="26"/>
      <w:r>
        <w:commentReference w:id="26"/>
      </w:r>
      <w:r>
        <w:rPr>
          <w:rFonts w:ascii="Calibri" w:hAnsi="Calibri"/>
          <w:color w:val="000000"/>
          <w:sz w:val="21"/>
        </w:rPr>
        <w:t xml:space="preserve"> to the future), ένα διαδικτυακό εργαλείο που παρουσιάζει 20 αξιώσεις. Τα αποτελέσματα της έρευνας της ομάδας τροφοδότησαν διάφορους θεματικούς διαλόγους που διοργανώθηκαν ως συνέχεια της διαδικασίας διαλόγου με τους πολίτες «Όραμα της Ευρώπης».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Ο πληθυσμός-στόχος της έρευνας περιλαμβάνει όλους τους Ολλανδούς ηλικίας 18 ετών και άνω που ήταν εγγεγραμμένοι ως κάτοικοι στο μητρώο πληθυσμού κατά τον χρόνο έναρξης της επιτόπιας έρευνας. Σύμφωνα με την Εθνική Στατιστική Υπηρεσία των Κάτω Χωρών (Centraal Bureau voor de Statistiek — CBS), αυτή η ομάδα-στόχος είχε 14.190.874 άτομα από την 1η Ιανουαρίου 2021. Το κατώτατο όριο των 18 ετών αντιστοιχεί στην εκλογική πλειοψηφία. Το ονομάζουμε πληθυσμό της έρευνας πάνελ.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Επιτόπιες εργασίες </w:t>
      </w:r>
    </w:p>
    <w:p>
      <w:pPr>
        <w:pStyle w:val="P68B1DB1Normal104"/>
        <w:widowControl w:val="false"/>
        <w:spacing w:lineRule="auto" w:line="240" w:before="127" w:after="0"/>
        <w:ind w:left="0" w:right="0" w:hanging="0"/>
        <w:jc w:val="left"/>
        <w:rPr/>
      </w:pPr>
      <w:r>
        <w:rPr/>
        <w:t xml:space="preserve">Ένα πάνελ με περισσότερους από 100.000 συμμετέχοντες από όλη τη χώρα (πιστοποιημένο από ISO, Research Keurmerk groep, Nederlandse Marktonderzoek Associatie) χρησιμοποιήθηκε για να αποκτήσει μια ψηφιακή εικόνα του «Medium Dutch». Οι συμμετέχοντες αυτοί εντάχθηκαν στο πάνελ της έρευνας για να εκφράσουν τις απόψεις τους για ένα ευρύ φάσμα θεμάτων σε τακτική βάση. Εκτός από το εγγενές κίνητρό τους να συνεισφέρουν, πληρώνονται για να απαντήσουν στα ερωτηματολόγια. Αρκετές επιστημονικές μελέτες δείχνουν ότι οι ερωτηθέντες που λαμβάνουν αποζημίωση για τη συμπλήρωση ερωτηματολογίου δεν δίνουν σημαντικά διαφορετικές απαντήσεις (πηγή: Η χρήση κινήτρων έρευνας υποβαθμίζει την ποιότητα των δεδομένων;Cole,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Οι επιτόπιες εργασίες ξεκίνησαν στις 11 Αυγούστου 2021 και ολοκληρώθηκαν στις 19 Σεπτεμβρίου 2021. Για την εφαρμογή, χρησιμοποιήθηκε μόνο μία μέθοδος συλλογής δεδομένων, δηλαδή η έρευνα στο Διαδίκτυο. Τα μέλη της επιτροπής έρευνας έλαβαν ηλεκτρονικό μήνυμα με προσωπικό σύνδεσμο προς το ηλεκτρονικό ερωτηματολόγιο. Μετά από δύο εβδομάδες, οι συμμετέχοντες έλαβαν μια υπενθύμιση. Οι προσκλήσεις συμμετοχής στάλθηκαν σε παρτίδες και διαστρωματοποιήθηκαν (με την εξασφάλιση ισότιμης κατανομής των υποομάδων) έως ότου επιτευχθεί ο απαιτούμενος αριθμός συμμετεχόντων. </w:t>
      </w:r>
    </w:p>
    <w:p>
      <w:pPr>
        <w:pStyle w:val="P68B1DB1Normal107"/>
        <w:widowControl w:val="false"/>
        <w:spacing w:lineRule="auto" w:line="240" w:before="42" w:after="0"/>
        <w:ind w:left="0" w:right="0" w:hanging="0"/>
        <w:jc w:val="left"/>
        <w:rPr>
          <w:rFonts w:ascii="Calibri" w:hAnsi="Calibri"/>
          <w:i/>
          <w:i/>
          <w:color w:val="000000"/>
          <w:sz w:val="24"/>
        </w:rPr>
      </w:pPr>
      <w:r>
        <w:rPr/>
        <w:t xml:space="preserve">Δειγματοληψία και κατανομή </w:t>
      </w:r>
    </w:p>
    <w:p>
      <w:pPr>
        <w:pStyle w:val="P68B1DB1Normal104"/>
        <w:widowControl w:val="false"/>
        <w:spacing w:lineRule="auto" w:line="240" w:before="123" w:after="0"/>
        <w:ind w:left="0" w:right="0" w:hanging="0"/>
        <w:jc w:val="left"/>
        <w:rPr/>
      </w:pPr>
      <w:r>
        <w:rPr/>
        <w:t xml:space="preserve">Ο σχεδιασμός της έρευνας βασίζεται στην αρχή ότι τουλάχιστον 3.600 συμμετέχοντες πρέπει να συμμετάσχουν στην έρευνα προκειμένου να διασφαλιστεί καλή στατιστική αξιοπιστία. Επιπλέον, ο αριθμός αυτός επιτρέπει μια καλή κατανομή μεταξύ των διαφόρων γενικών χαρακτηριστικών του πληθυσμού. Δεν υπάρχει μόνο ένας τύπος Ολλανδού. Ως εκ τούτου, διασφαλίσαμε εκ των προτέρων ότι το δείγμα κατανέμεται καλά σε διάφορα χαρακτηριστικά. Οι Κάτω Χώρες είναι μια σχετικά μικρή χώρα, αλλά οι απόψεις μπορεί να διαφέρουν ανάλογα με την περιοχή. Η θέση και η σημασία που δίνεται στα θέματα μπορεί να καθοριστεί (εν μέρει) από την περιοχή στην οποία ζείτε. Για παράδειγμα, οι άνθρωποι που ζουν σε αγροτικές περιοχές μπορούν να κατανοήσουν ένα θέμα όπως η ασφάλεια διαφορετικά από εκείνα των αστικών περιοχών. Η έρευνα του Ολλανδικού Γραφείου Κοινωνικού και Πολιτιστικού Σχεδιασμού δείχνει επίσης ότι τα άτομα με υψηλότερο επίπεδο σπουδών είναι συχνότερα υποστηρικτές της ΕΕ σε σχέση με τα άτομα με χαμηλότερο επίπεδο σπουδών και ότι οι νέοι υποστηρίζουν περισσότερο την ΕΕ απ’ ό,τι οι ηλικιωμένοι (πηγή: Wat willen Nederlanders van de Europese Unie?Ολλανδικό Κοινωνικό και Πολιτιστικό Γραφείο, Χάγη,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Αυτός είναι ο λόγος για τον οποίο έχουμε προηγουμένως αποδώσει τα ακόλουθα τρία χαρακτηριστικά αναλογικά, προκειμένου να διασφαλιστεί η αντιπροσωπευτικότητα του δείγματος: (1) διαμονή σε περιφέρειες COROP, (2) επίπεδο ηλικίας και (3) εκπαίδευσης. Η κατανομή του δείγματος παρουσιάστηκε επίσης σύμφωνα με τα ακόλουθα γενικά χαρακτηριστικά: φύλο, καταγωγή, κύρια απασχόληση, πολιτικός προσανατολισμός.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Οι περιφέρειες COROP έχουν αναπτυχθεί με βάση την αρχή της κομβικής σημασίας (μια «καρδιά» με μια περιοχή έλξης ή μια περιφερειακή λειτουργία), με βάση τη ροή των ατόμων που μετακινούνται. Ορισμένες παραβιάσεις της αρχής του κομβικού έχουν παραχωρηθεί έτσι ώστε οι περιφέρειες να ακολουθούν τα επαρχιακά όρια. Μετά την αναδιοργάνωση των δήμων πέραν των ορίων του COROP, η κατανομή προσαρμόστηκε (πηγή: Εθνική Στατιστική Υπηρεσία της Ολλανδίας). Εντός των περιφερειών COROP, διασφαλίσαμε μια καλή κατανομή μεταξύ των ηλικιακών ομάδων, με την ακόλουθη κατανομή: ηλικίες 18-34, 35-54, 55-75 και άνω των 75 ετών.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Τέλος, διασφαλίσαμε μια αντιπροσωπευτική κατανομή των εκπαιδευτικών επιπέδων. Στο δείγμα, η κατανομή των ερωτηθέντων αντιστοιχεί στην κατανομή σε εθνικό επίπεδο του υψηλότερου επιπέδου εκπαίδευσης, η οποία έχει ως εξής: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Ανώτατο επίπεδο εκπαίδευσης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Χαμηλή τιμή: πρωτοβάθμια εκπαίδευση, προπαρασκευαστική επαγγελματική εκπαίδευση, 1η έως 3η τάξη της γενικής ανώτερης δευτεροβάθμιας εκπαίδευσης/προπανεπιστημιακή εκπαίδευση, επίπεδο δευτεροβάθμιας επαγγελματικής εκπαίδευσης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Μεσαίος: γενική ανώτερη δευτεροβάθμια εκπαίδευση/προπανεπιστημιακή εκπαίδευση, δευτεροβάθμια επαγγελματική εκπαίδευση επιπέδου 2 έως 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Υψηλή τιμή: τριτοβάθμια επαγγελματική εκπαίδευση ή πανεπιστημιακή εκπαίδευση</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Άγνωστος</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Ποσοστό απάντησης </w:t>
      </w:r>
    </w:p>
    <w:p>
      <w:pPr>
        <w:pStyle w:val="P68B1DB1Normal104"/>
        <w:widowControl w:val="false"/>
        <w:spacing w:lineRule="exact" w:line="283" w:before="87" w:after="0"/>
        <w:ind w:left="0" w:right="368" w:hanging="0"/>
        <w:jc w:val="left"/>
        <w:rPr/>
      </w:pPr>
      <w:r>
        <w:rPr/>
        <w:t xml:space="preserve">Στην έρευνα συμμετείχαν συνολικά 4.086 άτομα ανά πάνελ. Ως εκ τούτου, επιτυγχάνεται ο στόχος των 3.600 πλήρως συμπληρωμένων ερωτηματολογίων.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Απαντήσεις από τις περιφέρειες και την ηλικία του COROP</w:t>
            </w:r>
          </w:p>
        </w:tc>
        <w:tc>
          <w:tcPr>
            <w:tcW w:w="1348" w:type="dxa"/>
            <w:tcBorders/>
            <w:shd w:fill="auto" w:val="clear"/>
            <w:vAlign w:val="bottom"/>
          </w:tcPr>
          <w:p>
            <w:pPr>
              <w:pStyle w:val="P68B1DB1Contenudetableau122"/>
              <w:spacing w:before="57" w:after="57"/>
              <w:jc w:val="left"/>
              <w:rPr>
                <w:b/>
                <w:b/>
                <w:color w:val="000000"/>
              </w:rPr>
            </w:pPr>
            <w:r>
              <w:rPr/>
              <w:t>18 έως 34 ετών</w:t>
            </w:r>
          </w:p>
        </w:tc>
        <w:tc>
          <w:tcPr>
            <w:tcW w:w="1348" w:type="dxa"/>
            <w:tcBorders/>
            <w:shd w:fill="auto" w:val="clear"/>
            <w:vAlign w:val="bottom"/>
          </w:tcPr>
          <w:p>
            <w:pPr>
              <w:pStyle w:val="P68B1DB1Contenudetableau122"/>
              <w:spacing w:before="57" w:after="57"/>
              <w:jc w:val="left"/>
              <w:rPr>
                <w:b/>
                <w:b/>
                <w:color w:val="000000"/>
              </w:rPr>
            </w:pPr>
            <w:r>
              <w:rPr/>
              <w:t>35 έως 54 ετών</w:t>
            </w:r>
          </w:p>
        </w:tc>
        <w:tc>
          <w:tcPr>
            <w:tcW w:w="1574" w:type="dxa"/>
            <w:tcBorders/>
            <w:shd w:fill="auto" w:val="clear"/>
            <w:vAlign w:val="bottom"/>
          </w:tcPr>
          <w:p>
            <w:pPr>
              <w:pStyle w:val="P68B1DB1Contenudetableau122"/>
              <w:spacing w:before="57" w:after="57"/>
              <w:jc w:val="left"/>
              <w:rPr>
                <w:b/>
                <w:b/>
                <w:color w:val="000000"/>
              </w:rPr>
            </w:pPr>
            <w:r>
              <w:rPr/>
              <w:t>Από 55 έως 75 ετών</w:t>
            </w:r>
          </w:p>
        </w:tc>
        <w:tc>
          <w:tcPr>
            <w:tcW w:w="1352" w:type="dxa"/>
            <w:tcBorders/>
            <w:shd w:fill="auto" w:val="clear"/>
            <w:vAlign w:val="bottom"/>
          </w:tcPr>
          <w:p>
            <w:pPr>
              <w:pStyle w:val="P68B1DB1Contenudetableau122"/>
              <w:spacing w:before="57" w:after="57"/>
              <w:jc w:val="left"/>
              <w:rPr>
                <w:b/>
                <w:b/>
                <w:color w:val="000000"/>
              </w:rPr>
            </w:pPr>
            <w:r>
              <w:rPr/>
              <w:t xml:space="preserve"> </w:t>
            </w:r>
            <w:r>
              <w:rPr/>
              <w:t>άνω των 75 ετών</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Βόρεια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Νοτιοανατολικά της Ντρέντε</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Νοτιοδυτικά της Ντρέντε</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Φλέβολαντ</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Βόρειο Φρίσλαντ</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Νοτιοανατολικά της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Νοτιοδυτικά της Φρίσλαντ</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Νοτιοδυτικά του Γκέλντερλαντ</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Ξενοδοχεία κοντά σε: 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Ανατολικό Γκρόνινγκεν</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Υπόλοιπο Γκρόνινγκεν</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Κέντρο του Λιμβούργου</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Βόρειο Λιμβούργο</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Νότιο Λιμβούργο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Ξενοδοχεία κοντά σε: North Brabant</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t xml:space="preserve">Απαντήσεις από τις περιφέρειες και την ηλικία του COROP </w:t>
            </w:r>
          </w:p>
        </w:tc>
        <w:tc>
          <w:tcPr>
            <w:tcW w:w="1393" w:type="dxa"/>
            <w:tcBorders/>
            <w:shd w:fill="auto" w:val="clear"/>
            <w:vAlign w:val="bottom"/>
          </w:tcPr>
          <w:p>
            <w:pPr>
              <w:pStyle w:val="P68B1DB1Contenudetableau122"/>
              <w:spacing w:before="57" w:after="57"/>
              <w:jc w:val="left"/>
              <w:rPr>
                <w:b/>
                <w:b/>
                <w:color w:val="000000"/>
              </w:rPr>
            </w:pPr>
            <w:r>
              <w:rPr/>
              <w:t>18 έως 34 ετών</w:t>
            </w:r>
          </w:p>
        </w:tc>
        <w:tc>
          <w:tcPr>
            <w:tcW w:w="1393" w:type="dxa"/>
            <w:tcBorders/>
            <w:shd w:fill="auto" w:val="clear"/>
            <w:vAlign w:val="bottom"/>
          </w:tcPr>
          <w:p>
            <w:pPr>
              <w:pStyle w:val="P68B1DB1Contenudetableau122"/>
              <w:spacing w:before="57" w:after="57"/>
              <w:jc w:val="left"/>
              <w:rPr>
                <w:b/>
                <w:b/>
                <w:color w:val="000000"/>
              </w:rPr>
            </w:pPr>
            <w:r>
              <w:rPr/>
              <w:t>35 έως 54 ετών</w:t>
            </w:r>
          </w:p>
        </w:tc>
        <w:tc>
          <w:tcPr>
            <w:tcW w:w="1370" w:type="dxa"/>
            <w:tcBorders/>
            <w:shd w:fill="auto" w:val="clear"/>
            <w:vAlign w:val="bottom"/>
          </w:tcPr>
          <w:p>
            <w:pPr>
              <w:pStyle w:val="P68B1DB1Contenudetableau122"/>
              <w:spacing w:before="57" w:after="57"/>
              <w:jc w:val="left"/>
              <w:rPr>
                <w:b/>
                <w:b/>
                <w:color w:val="000000"/>
              </w:rPr>
            </w:pPr>
            <w:r>
              <w:rPr/>
              <w:t>Από 55 έως 75 ετών</w:t>
            </w:r>
          </w:p>
        </w:tc>
        <w:tc>
          <w:tcPr>
            <w:tcW w:w="1376" w:type="dxa"/>
            <w:tcBorders/>
            <w:shd w:fill="auto" w:val="clear"/>
            <w:vAlign w:val="bottom"/>
          </w:tcPr>
          <w:p>
            <w:pPr>
              <w:pStyle w:val="P68B1DB1Contenudetableau122"/>
              <w:spacing w:before="57" w:after="57"/>
              <w:jc w:val="left"/>
              <w:rPr>
                <w:b/>
                <w:b/>
                <w:color w:val="000000"/>
              </w:rPr>
            </w:pPr>
            <w:r>
              <w:rPr/>
              <w:t>άνω των 75 ετών</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Βορειοανατολικά της Βόρειας Βραβάντης</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Δυτικά της Βόρειας Βραβάντης</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Νοτιοανατολικά της Βόρειας Βραβάντης</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Οικισμός Haarlem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και τα περίχωρά της</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Μεγάλο Άμστερνταμ</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Οι Gooi και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Άκρο της Βόρειας Ολλανδίας</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Περιοχή Zaan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Βόρειο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Νοτιοδυτικά του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Ουτρέχτη</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Υπόλοιπη Ζέελαντ</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Ζίλαντ Φλάνδρα</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Οικισμός του Leiden και περιοχή βολβών</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Οικισμός της Χάγης</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Ντελφτ και Γουέστλαντ</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Ξενοδοχεία κοντά σε: Grand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Ανατολικά της Νότιας Ολλανδίας</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Νοτιοανατολικά της Νότιας Ολλανδίας</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Απαντήσεις ανά επίπεδο εκπαίδευσης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Χαμηλή</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Μεσάζων</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Υψηλή</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Άγνωστος</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Αξιοπιστία και αντιπροσωπευτικότητα </w:t>
      </w:r>
    </w:p>
    <w:p>
      <w:pPr>
        <w:pStyle w:val="P68B1DB1Normal104"/>
        <w:widowControl w:val="false"/>
        <w:spacing w:lineRule="auto" w:line="240" w:before="87" w:after="0"/>
        <w:ind w:left="0" w:right="0" w:hanging="0"/>
        <w:jc w:val="left"/>
        <w:rPr/>
      </w:pPr>
      <w:r>
        <w:rPr/>
        <w:t xml:space="preserve">Ο αριθμός των απαντησάντων 4.886 καθιστά δυνατή την υποβολή παρατηρήσεων για το σύνολο του πληθυσμού με επίπεδο εμπιστοσύνης 95 % και περιθώριο σφάλματος 1,53 %. Το επίπεδο εμπιστοσύνης και το περιθώριο σφάλματος των αποτελεσμάτων καθορίζονται από το μέγεθος του δείγματος. Όσο μεγαλύτερο είναι το δείγμα, τόσο πιο αξιόπιστα και ακριβή τα αποτελέσματα μπορούν να προεκτεθούν σε ολόκληρο τον πληθυσμό.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Το επίπεδο εμπιστοσύνης ορίζεται ως 1 (100 %) μείον το επίπεδο του νοήματος. Είναι σύνηθες να βασίζεται σε ένα επίπεδο έννοιας 5 %. Μιλάμε για ένα επίπεδο εμπιστοσύνης 95 %. Με άλλα λόγια, εάν η έρευνα επαναλαμβανόταν με τον ίδιο τρόπο και υπό τις ίδιες συνθήκες, τα αποτελέσματα θα ήταν τα ίδια στο 95 % των περιπτώσεων. </w:t>
      </w:r>
    </w:p>
    <w:p>
      <w:pPr>
        <w:pStyle w:val="P68B1DB1Normal104"/>
        <w:widowControl w:val="false"/>
        <w:spacing w:lineRule="auto" w:line="240"/>
        <w:ind w:left="0" w:right="0" w:hanging="0"/>
        <w:jc w:val="left"/>
        <w:rPr/>
      </w:pPr>
      <w:r>
        <w:rPr/>
        <w:t xml:space="preserve">Η ακρίβεια (εκφραζόμενη κατά περιθώριο σφάλματος) υποδηλώνει το εύρος τιμών εντός του οποίου βρίσκεται η πραγματική τιμή στον πληθυσμό. Με άλλα λόγια: ποια θα ήταν η μέγιστη διαφορά μεταξύ των αποτελεσμάτων του δείγματος και των αποτελεσμάτων που θα προέκυπταν από τον πληθυσμό στο σύνολό του; Ένα περιθώριο σφάλματος 1,53 % σημαίνει ότι η πραγματική τιμή εντός του συνολικού πληθυσμού μπορεί να είναι 1,53 % υψηλότερη ή χαμηλότερη από την τιμή του δείγματος. Για παράδειγμα, εάν μια έρευνα σε δείγμα ατόμων δείξει ότι το 50 % των ερωτηθέντων θεωρεί ότι ένα συγκεκριμένο θέμα είναι σημαντικό, το πραγματικό ποσοστό είναι 1,53 % υψηλότερο ή χαμηλότερο από αυτό το 50 %, δηλαδή μεταξύ 48,47 και 51,53 %. Ένα μέγιστο περιθώριο σφάλματος 5 % είναι σύνηθες και γενικά αποδεκτό στις ποσοτικές μελέτες (στατιστικές). </w:t>
      </w:r>
    </w:p>
    <w:p>
      <w:pPr>
        <w:pStyle w:val="P68B1DB1Normal104"/>
        <w:widowControl w:val="false"/>
        <w:spacing w:lineRule="auto" w:line="240"/>
        <w:ind w:left="0" w:right="0" w:hanging="0"/>
        <w:jc w:val="left"/>
        <w:rPr/>
      </w:pPr>
      <w:r>
        <w:rPr/>
        <w:t xml:space="preserve">Εκτός από την αξιοπιστία, η αντιπροσωπευτικότητα του δείγματος είναι σημαντική. Δεδομένου ότι οι προσκλήσεις συμμετοχής στάλθηκαν σε παρτίδες και διαστρωματώθηκαν, τα αποτελέσματα είναι αντιπροσωπευτικά όσον αφορά τα χαρακτηριστικά της περιφέρειας COROP και τις ηλικιακές ομάδες ανά περιφέρεια COROP. Οι απαντήσεις είναι επίσης αντιπροσωπευτικές από την άποψη του επιπέδου εκπαίδευσης σε σύγκριση με το υψηλότερο επίπεδο εκπαίδευσης που επιτυγχάνεται σε εθνικό επίπεδο. </w:t>
      </w:r>
    </w:p>
    <w:p>
      <w:pPr>
        <w:pStyle w:val="P68B1DB1Normal107"/>
        <w:widowControl w:val="false"/>
        <w:spacing w:lineRule="auto" w:line="240"/>
        <w:ind w:left="0" w:right="0" w:hanging="0"/>
        <w:jc w:val="left"/>
        <w:rPr>
          <w:rFonts w:ascii="Calibri" w:hAnsi="Calibri"/>
          <w:i/>
          <w:i/>
          <w:color w:val="000000"/>
          <w:sz w:val="24"/>
        </w:rPr>
      </w:pPr>
      <w:r>
        <w:rPr/>
        <w:t xml:space="preserve">Άλλα γενικά χαρακτηριστικά </w:t>
      </w:r>
    </w:p>
    <w:p>
      <w:pPr>
        <w:pStyle w:val="P68B1DB1Normal104"/>
        <w:widowControl w:val="false"/>
        <w:spacing w:lineRule="auto" w:line="240" w:before="5" w:after="0"/>
        <w:ind w:left="0" w:right="0" w:hanging="0"/>
        <w:jc w:val="left"/>
        <w:rPr/>
      </w:pPr>
      <w:r>
        <w:rPr/>
        <w:t xml:space="preserve">Ζητήθηκε από το πάνελ μια σειρά επιπρόσθετων ερωτήσεων σχετικά με τα συμφραζόμενα. Σε αυτά περιλαμβάνονται το φύλο, ο εντοπισμός θέσης στην ΕΕ, η καταγωγή, το κύριο επάγγελμα και το πολιτικό κόμμα για το οποίο το πρόσωπο θα ψηφίσει σε περίπτωση εκλογών. </w:t>
      </w:r>
    </w:p>
    <w:p>
      <w:pPr>
        <w:pStyle w:val="P68B1DB1Normal104"/>
        <w:widowControl w:val="false"/>
        <w:spacing w:lineRule="auto" w:line="240"/>
        <w:ind w:left="0" w:right="0" w:hanging="0"/>
        <w:jc w:val="left"/>
        <w:rPr/>
      </w:pPr>
      <w:r>
        <w:rPr/>
        <w:t xml:space="preserve">Το 49 % των ερωτηθέντων είναι άνδρες, το 50 % είναι γυναίκες και το 1 % προτιμούν να μην απαντήσουν σε αυτή την ερώτηση. </w:t>
      </w:r>
    </w:p>
    <w:p>
      <w:pPr>
        <w:pStyle w:val="Normal"/>
        <w:widowControl w:val="false"/>
        <w:spacing w:lineRule="auto" w:line="240"/>
        <w:ind w:left="0" w:right="0" w:hanging="0"/>
        <w:jc w:val="left"/>
        <w:rPr/>
      </w:pPr>
      <w:r>
        <w:rPr>
          <w:rFonts w:ascii="Calibri" w:hAnsi="Calibri"/>
          <w:color w:val="000000"/>
          <w:sz w:val="21"/>
        </w:rPr>
        <w:t xml:space="preserve">Το 51 % των ερωτηθέντων πιστεύει ότι είναι καλό για τις Κάτω Χώρες να είναι μέλος της ΕΕ, το 13 % πιστεύει ότι είναι κακό και το 36 % είναι ουδέτερο ή δεν έχει γνώμη. </w:t>
      </w:r>
      <w:r>
        <w:br w:type="page"/>
      </w:r>
    </w:p>
    <w:p>
      <w:pPr>
        <w:pStyle w:val="P68B1DB1Normal104"/>
        <w:spacing w:lineRule="auto" w:line="240"/>
        <w:ind w:left="0" w:right="0" w:hanging="0"/>
        <w:rPr/>
      </w:pPr>
      <w:r>
        <w:rPr/>
        <w:t xml:space="preserve">Το 95 % των ερωτηθέντων γεννήθηκαν στην Ολλανδία. Το 89 % των ερωτηθέντων δήλωσε ότι και οι δύο γονείς γεννήθηκαν στην Ολλανδία. Το 5 % γεννήθηκε από δύο γονείς που γεννήθηκαν στο εξωτερικό.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Ο τρέχων πολιτικός προσανατολισμός των ερωτηθέντων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Το πάρτι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(Λαϊκό Κόμμα για την Ελευθερία και τη Δημοκρατία)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(Κόμμα για την Ελευθερία)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(σοσιαλιστικό κόμμα)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(Δημοκρατικοί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(Χριστιανικό Δημοκρατικό κάλεσμα)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(Εργατικό Κόμμα)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(Κόμμα των Ζώων)</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(Πράσινη Αριστερά)</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(Χριστιανική Ένωση)</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(Κίνημα αγροτών)</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(Φόρουμ για τη Δημοκρατία)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ΣΓΠ (μεταρρυθμισμένο πολιτικό κόμμα)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Βολτ</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Ο ΝΤΕΝΚ</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Γκρουπ Βαν Χάγκα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Άλλα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Λευκή ψήφος</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Προτιμώ να μην απαντήσω</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Δεν ψηφίζω</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P68B1DB1Normal107"/>
        <w:spacing w:lineRule="auto" w:line="240"/>
        <w:ind w:left="0" w:right="0" w:hanging="0"/>
        <w:rPr>
          <w:rFonts w:ascii="Calibri" w:hAnsi="Calibri"/>
          <w:i/>
          <w:i/>
          <w:color w:val="000000"/>
          <w:sz w:val="24"/>
        </w:rPr>
      </w:pPr>
      <w:r>
        <w:rPr/>
        <w:t xml:space="preserve">Ποιο είναι σήμερα το κύριο επάγγελμά σας;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Η Κατοχή </w:t>
            </w:r>
          </w:p>
        </w:tc>
        <w:tc>
          <w:tcPr>
            <w:tcW w:w="3514" w:type="dxa"/>
            <w:tcBorders/>
            <w:shd w:fill="auto" w:val="clear"/>
            <w:vAlign w:val="bottom"/>
          </w:tcPr>
          <w:p>
            <w:pPr>
              <w:pStyle w:val="P68B1DB1Contenudetableau122"/>
              <w:spacing w:before="57" w:after="57"/>
              <w:jc w:val="left"/>
              <w:rPr>
                <w:b/>
                <w:b/>
                <w:color w:val="000000"/>
              </w:rPr>
            </w:pPr>
            <w:r>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Φοιτητής/φοιτητής</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Υπάλληλος μερικής απασχόλησης</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Υπάλληλος πλήρους απασχόλησης</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Ανεξάρτητος ανάδοχος</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Άτομο στο σπίτι</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Άτομο που αναζητά εργασία</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Εθελοντής</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Ανικανότητα προς εργασία</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Συνταξιούχος</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Άλλα</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Προτιμώ να μην απαντήσω</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Ερωτηματολόγια</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Το ερωτηματολόγιο και η παρούσα έκθεση καταρτίστηκαν από ανεξάρτητο εξωτερικό οργανισμό κατόπιν αιτήματος του Υπουργείου Εξωτερικών. Το ερωτηματολόγιο παρουσιάζει μια αρθρωτή δομή και περιλαμβάνει τις ακόλουθες ενότητες ερωτήσεων, σύμφωνα με τα θέματα που καθορίστηκαν για τη Διάσκεψη για το Μέλλον της Ευρώπης: Σημαντικά θέματα και ο ρόλος της Ευρώπης </w:t>
      </w:r>
    </w:p>
    <w:p>
      <w:pPr>
        <w:pStyle w:val="P68B1DB1Normal104"/>
        <w:widowControl w:val="false"/>
        <w:spacing w:lineRule="auto" w:line="240" w:before="1" w:after="0"/>
        <w:ind w:left="0" w:right="0" w:hanging="0"/>
        <w:jc w:val="left"/>
        <w:rPr>
          <w:rFonts w:ascii="Calibri" w:hAnsi="Calibri"/>
          <w:color w:val="000000"/>
          <w:sz w:val="21"/>
        </w:rPr>
      </w:pPr>
      <w:r>
        <w:rPr/>
        <w:t xml:space="preserve">Κλιματική αλλαγή και περιβάλλον </w:t>
      </w:r>
    </w:p>
    <w:p>
      <w:pPr>
        <w:pStyle w:val="P68B1DB1Normal104"/>
        <w:widowControl w:val="false"/>
        <w:spacing w:lineRule="auto" w:line="240"/>
        <w:ind w:left="0" w:right="0" w:hanging="0"/>
        <w:jc w:val="left"/>
        <w:rPr>
          <w:rFonts w:ascii="Calibri" w:hAnsi="Calibri"/>
          <w:color w:val="000000"/>
          <w:sz w:val="21"/>
        </w:rPr>
      </w:pPr>
      <w:r>
        <w:rPr/>
        <w:t xml:space="preserve">ΥΓΕΙΑ </w:t>
      </w:r>
    </w:p>
    <w:p>
      <w:pPr>
        <w:pStyle w:val="P68B1DB1Normal104"/>
        <w:widowControl w:val="false"/>
        <w:spacing w:lineRule="auto" w:line="240" w:before="1" w:after="0"/>
        <w:ind w:left="0" w:right="0" w:hanging="0"/>
        <w:jc w:val="left"/>
        <w:rPr>
          <w:rFonts w:ascii="Calibri" w:hAnsi="Calibri"/>
          <w:color w:val="000000"/>
          <w:sz w:val="21"/>
        </w:rPr>
      </w:pPr>
      <w:r>
        <w:rPr/>
        <w:t xml:space="preserve">Οικονομία και απασχόληση </w:t>
      </w:r>
    </w:p>
    <w:p>
      <w:pPr>
        <w:pStyle w:val="P68B1DB1Normal104"/>
        <w:widowControl w:val="false"/>
        <w:spacing w:lineRule="auto" w:line="240"/>
        <w:ind w:left="0" w:right="0" w:hanging="0"/>
        <w:jc w:val="left"/>
        <w:rPr>
          <w:rFonts w:ascii="Calibri" w:hAnsi="Calibri"/>
          <w:color w:val="000000"/>
          <w:sz w:val="21"/>
        </w:rPr>
      </w:pPr>
      <w:r>
        <w:rPr/>
        <w:t xml:space="preserve">Ο ρόλος της Ευρωπαϊκής Ένωσης στον κόσμο </w:t>
      </w:r>
    </w:p>
    <w:p>
      <w:pPr>
        <w:pStyle w:val="P68B1DB1Normal104"/>
        <w:widowControl w:val="false"/>
        <w:spacing w:lineRule="auto" w:line="240" w:before="1" w:after="0"/>
        <w:ind w:left="0" w:right="0" w:hanging="0"/>
        <w:jc w:val="left"/>
        <w:rPr>
          <w:rFonts w:ascii="Calibri" w:hAnsi="Calibri"/>
          <w:color w:val="000000"/>
          <w:sz w:val="21"/>
        </w:rPr>
      </w:pPr>
      <w:r>
        <w:rPr/>
        <w:t xml:space="preserve">Ασφάλεια και κράτος δικαίου </w:t>
      </w:r>
    </w:p>
    <w:p>
      <w:pPr>
        <w:pStyle w:val="P68B1DB1Normal104"/>
        <w:widowControl w:val="false"/>
        <w:spacing w:lineRule="auto" w:line="240"/>
        <w:ind w:left="0" w:right="0" w:hanging="0"/>
        <w:jc w:val="left"/>
        <w:rPr>
          <w:rFonts w:ascii="Calibri" w:hAnsi="Calibri"/>
          <w:color w:val="000000"/>
          <w:sz w:val="21"/>
        </w:rPr>
      </w:pPr>
      <w:r>
        <w:rPr/>
        <w:t xml:space="preserve">Ο Εικονικός Κόσμος </w:t>
      </w:r>
    </w:p>
    <w:p>
      <w:pPr>
        <w:pStyle w:val="P68B1DB1Normal104"/>
        <w:widowControl w:val="false"/>
        <w:spacing w:lineRule="auto" w:line="240" w:before="1" w:after="0"/>
        <w:ind w:left="0" w:right="0" w:hanging="0"/>
        <w:jc w:val="left"/>
        <w:rPr>
          <w:rFonts w:ascii="Calibri" w:hAnsi="Calibri"/>
          <w:color w:val="000000"/>
          <w:sz w:val="21"/>
        </w:rPr>
      </w:pPr>
      <w:r>
        <w:rPr/>
        <w:t xml:space="preserve">ΕΥΡΩΠΑΪΚΗ ΔΗΜΟΚΡΑΤΙΑ </w:t>
      </w:r>
    </w:p>
    <w:p>
      <w:pPr>
        <w:pStyle w:val="P68B1DB1Normal104"/>
        <w:widowControl w:val="false"/>
        <w:spacing w:lineRule="auto" w:line="240"/>
        <w:ind w:left="0" w:right="0" w:hanging="0"/>
        <w:jc w:val="left"/>
        <w:rPr>
          <w:rFonts w:ascii="Calibri" w:hAnsi="Calibri"/>
          <w:color w:val="000000"/>
          <w:sz w:val="21"/>
        </w:rPr>
      </w:pPr>
      <w:r>
        <w:rPr/>
        <w:t xml:space="preserve">Μετανάστευση και πρόσφυγες </w:t>
      </w:r>
    </w:p>
    <w:p>
      <w:pPr>
        <w:pStyle w:val="P68B1DB1Normal104"/>
        <w:widowControl w:val="false"/>
        <w:spacing w:lineRule="auto" w:line="240" w:before="1" w:after="0"/>
        <w:ind w:left="0" w:right="0" w:hanging="0"/>
        <w:jc w:val="left"/>
        <w:rPr>
          <w:rFonts w:ascii="Calibri" w:hAnsi="Calibri"/>
          <w:color w:val="000000"/>
          <w:sz w:val="21"/>
        </w:rPr>
      </w:pPr>
      <w:r>
        <w:rPr/>
        <w:t xml:space="preserve">Εκπαίδευση/Πολιτισμός/Νεολαία/Αθλητισμός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Κατά την προετοιμασία του ερωτηματολογίου δόθηκε μεγάλη προσοχή στην ποιότητα, την αξιοπιστία και την εγκυρότητα των ερωτήσεων. Για το λόγο αυτό, ζητήθηκε μια ουδέτερη, μη καθοδηγούμενη διατύπωση ερωτήσεων, ισχυρισμών και επιλογών απάντησης και επαληθεύτηκε ότι οι ερωτήσεις διατυπώθηκαν σε κατανοητή γλώσσα (επίπεδο Β1).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Το ερωτηματολόγιο υποβλήθηκε σε δοκιμές ποιότητας μέσω προσωπικών συνεντεύξεων με συμμετέχοντες που ανήκουν στην ομάδα-στόχο. Αυτό μας επέτρεψε να μελετήσουμε πώς οι ερωτήσεις γίνονται κατανοητές από διαφορετικούς τύπους ερωτηθέντων. Αν μια ερώτηση φαινόταν να αντιπροσωπεύει ένα υπερβολικά μεγάλο (πολύ σύνθετο) γνωστικό φορτίο, ήταν κατάλληλο. </w:t>
      </w:r>
      <w:r>
        <w:br w:type="page"/>
      </w:r>
    </w:p>
    <w:p>
      <w:pPr>
        <w:pStyle w:val="P68B1DB1Normal107"/>
        <w:spacing w:lineRule="auto" w:line="240"/>
        <w:ind w:left="0" w:right="0" w:hanging="0"/>
        <w:rPr>
          <w:rFonts w:ascii="Calibri" w:hAnsi="Calibri"/>
          <w:i/>
          <w:i/>
          <w:color w:val="000000"/>
          <w:sz w:val="24"/>
        </w:rPr>
      </w:pPr>
      <w:r>
        <w:rPr/>
        <w:t xml:space="preserve">Μέθοδοι ανάλυσης </w:t>
      </w:r>
    </w:p>
    <w:p>
      <w:pPr>
        <w:pStyle w:val="P68B1DB1Normal104"/>
        <w:widowControl w:val="false"/>
        <w:spacing w:lineRule="auto" w:line="240" w:before="127" w:after="0"/>
        <w:ind w:left="0" w:right="0" w:hanging="0"/>
        <w:jc w:val="left"/>
        <w:rPr>
          <w:rFonts w:ascii="Calibri" w:hAnsi="Calibri"/>
          <w:color w:val="000000"/>
          <w:sz w:val="21"/>
        </w:rPr>
      </w:pPr>
      <w:r>
        <w:rPr/>
        <w:t xml:space="preserve">Στην παρούσα έρευνα χρησιμοποιήθηκαν δύο μέθοδοι ανάλυσης: </w:t>
      </w:r>
    </w:p>
    <w:p>
      <w:pPr>
        <w:pStyle w:val="P68B1DB1Normal111"/>
        <w:widowControl w:val="false"/>
        <w:spacing w:lineRule="auto" w:line="240" w:before="38" w:after="0"/>
        <w:ind w:left="0" w:right="0" w:hanging="0"/>
        <w:jc w:val="left"/>
        <w:rPr>
          <w:rFonts w:ascii="Calibri" w:hAnsi="Calibri"/>
          <w:b/>
          <w:b/>
          <w:color w:val="000000"/>
          <w:sz w:val="22"/>
        </w:rPr>
      </w:pPr>
      <w:r>
        <w:rPr/>
        <w:t xml:space="preserve">Μονομεταβλητές αναλύσεις </w:t>
      </w:r>
    </w:p>
    <w:p>
      <w:pPr>
        <w:pStyle w:val="P68B1DB1Normal104"/>
        <w:widowControl w:val="false"/>
        <w:spacing w:lineRule="auto" w:line="240" w:before="97" w:after="0"/>
        <w:ind w:left="0" w:right="0" w:hanging="0"/>
        <w:jc w:val="left"/>
        <w:rPr/>
      </w:pPr>
      <w:r>
        <w:rPr/>
        <w:t xml:space="preserve">Οι περιγραφικές στατιστικές χρησιμοποιούνται για την περιγραφή των μεταβλητών μιας έρευνας. Οι συχνότητες και οι μέσοι όροι χρησιμοποιούνται σε αυτή την έρευνα. </w:t>
      </w:r>
    </w:p>
    <w:p>
      <w:pPr>
        <w:pStyle w:val="P68B1DB1Normal111"/>
        <w:widowControl w:val="false"/>
        <w:spacing w:lineRule="auto" w:line="240" w:before="41" w:after="0"/>
        <w:ind w:left="0" w:right="0" w:hanging="0"/>
        <w:jc w:val="left"/>
        <w:rPr>
          <w:rFonts w:ascii="Calibri" w:hAnsi="Calibri"/>
          <w:b/>
          <w:b/>
          <w:color w:val="000000"/>
          <w:sz w:val="22"/>
        </w:rPr>
      </w:pPr>
      <w:r>
        <w:rPr/>
        <w:t xml:space="preserve">Ανάλυση διμεταβλητών </w:t>
      </w:r>
    </w:p>
    <w:p>
      <w:pPr>
        <w:pStyle w:val="P68B1DB1Normal104"/>
        <w:widowControl w:val="false"/>
        <w:spacing w:lineRule="auto" w:line="240" w:before="95" w:after="0"/>
        <w:ind w:left="0" w:right="0" w:hanging="0"/>
        <w:jc w:val="left"/>
        <w:rPr/>
      </w:pPr>
      <w:r>
        <w:rPr/>
        <w:t xml:space="preserve">Οι διμεταβλητές αναλύσεις καθιστούν δυνατή την εξέταση της σχέσης μεταξύ δύο μεταβλητών, εν προκειμένω της σχέσης μεταξύ της σημασίας των διαφόρων θεμάτων και του ζητήματος αν η ΕΕ πρέπει να παρέμβει στον τομέα αυτό και του γενικού χαρακτηριστικού της ηλικίας. Διενεργήθηκε επανεξέταση για να διαπιστωθεί κατά πόσον διαφορετικές ηλικιακές ομάδες αποδίδουν διαφορετική σημασία σε ένα θέμα και αν υπάρχουν διαφορετικές απόψεις σχετικά με τον βαθμό στον οποίο αυτά είναι ζητήματα στα οποία θα πρέπει να συμμετέχει η ΕΕ. </w:t>
      </w:r>
    </w:p>
    <w:p>
      <w:pPr>
        <w:pStyle w:val="P68B1DB1Normal107"/>
        <w:widowControl w:val="false"/>
        <w:spacing w:lineRule="auto" w:line="240" w:before="43" w:after="0"/>
        <w:ind w:left="0" w:right="0" w:hanging="0"/>
        <w:jc w:val="left"/>
        <w:rPr>
          <w:rFonts w:ascii="Calibri" w:hAnsi="Calibri"/>
          <w:i/>
          <w:i/>
          <w:color w:val="000000"/>
          <w:sz w:val="24"/>
        </w:rPr>
      </w:pPr>
      <w:r>
        <w:rPr/>
        <w:t xml:space="preserve">Δημοσίευση πληροφοριών και πληρότητα </w:t>
      </w:r>
    </w:p>
    <w:p>
      <w:pPr>
        <w:pStyle w:val="P68B1DB1Normal104"/>
        <w:widowControl w:val="false"/>
        <w:spacing w:lineRule="auto" w:line="240" w:before="123" w:after="0"/>
        <w:ind w:left="0" w:right="0" w:hanging="0"/>
        <w:jc w:val="left"/>
        <w:rPr/>
      </w:pPr>
      <w:r>
        <w:rPr/>
        <w:t xml:space="preserve">Η παρούσα έκθεση περιλαμβάνει (οπτική) παρουσίαση των αποτελεσμάτων όλων των ερωτήσεων που υποβλήθηκαν στους ερωτηθέντες της ομάδας έρευνας. Για ορισμένες ερωτήσεις, ο απαντών είχε την ευκαιρία να παράσχει «ανοικτές» (δηλαδή όχι προκαθορισμένες) απαντήσεις. Στη συνέχεια, οι ανοιχτές απαντήσεις κατηγοριοποιήθηκαν και συμπεριλήφθηκαν στη δημοσίευση. Οι ιδέες που συμμερίζονται οι ερωτηθέντες στα δωρεάν σχόλια χρησιμοποιούνται για να τροφοδοτήσουν τους διάφορους θεματικούς διαλόγους που διοργανώνονται ως συνέχεια της διαδικασίας διαλόγου με τους πολίτες «Όραμα της Ευρώπης».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Επιγραμμικοί θεματικοί διάλογοι για την εμβάθυνση </w:t>
      </w:r>
    </w:p>
    <w:p>
      <w:pPr>
        <w:pStyle w:val="P68B1DB1Normal104"/>
        <w:widowControl w:val="false"/>
        <w:spacing w:lineRule="auto" w:line="240" w:before="17" w:after="0"/>
        <w:ind w:left="0" w:right="0" w:hanging="0"/>
        <w:jc w:val="left"/>
        <w:rPr/>
      </w:pPr>
      <w:r>
        <w:rPr/>
        <w:t xml:space="preserve">Τα θέματα που βρίσκονται στο επίκεντρο της Διάσκεψης για το Μέλλον της Ευρώπης έχουν εμβαθυνθεί μέσω οκτώ διαδικτυακών θεματικών διαλόγων. Σκοπός αυτών των διαλόγων ήταν να ανακαλύψουμε τους λόγους για τις απόψεις που εκφράστηκαν, καθώς και τα κίνητρα και τα συναισθήματα πίσω από αυτές. Ποιες είναι οι αντιληπτές ανησυχίες και ευκαιρίες; Οι συζητήσεις επέτρεψαν επίσης στους συμμετέχοντες να διατυπώσουν προτάσεις και ιδέες για τα θέματα αυτά, καθώς και να εγείρουν ζητήματα που δεν αποτελούν μέρος του συνεδρίου αλλά παραμένουν σημαντικά για αυτούς.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Οι θεματικοί διάλογοι πραγματοποιήθηκαν στις 12-14 Οκτωβρίου και στις 9-11 Νοεμβρίου. Τον Οκτώβριο διοργανώθηκαν τέσσερις επιγραμμικοί θεματικοί διάλογοι με θέμα «Οικονομική» και «Δημοκρατία». Τον Νοέμβριο πραγματοποιήθηκαν τέσσερις επιγραμμικοί θεματικοί διάλογοι σχετικά με τα θέματα «Κλίμα» και «Η ΕΕ στον κόσμο». Κατά μέσο όρο, 29 άτομα συμμετείχαν σε κάθε συνεδρίαση συζήτησης (231 συνολικά). Οι συμμετέχοντες προσλήφθηκαν μεταξύ των μελών της επιτροπής (βλ. σημείο 1) και μέσω των μέσων κοινωνικής δικτύωσης.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Διάλογοι με συγκεκριμένες ομάδες </w:t>
      </w:r>
    </w:p>
    <w:p>
      <w:pPr>
        <w:pStyle w:val="P68B1DB1Normal104"/>
        <w:widowControl w:val="false"/>
        <w:spacing w:lineRule="auto" w:line="240" w:before="12" w:after="0"/>
        <w:ind w:left="0" w:right="0" w:hanging="0"/>
        <w:jc w:val="left"/>
        <w:rPr/>
      </w:pPr>
      <w:r>
        <w:rPr/>
        <w:t xml:space="preserve">Ορισμένες ολλανδικές ομάδες είναι γνωστό ότι είναι λιγότερο συνηθισμένες να συμμετέχουν σε έρευνες και πάνελ (online). Για να αποκτήσουν μια αντιπροσωπευτική εικόνα της «φωνής των Κάτω Χωρών», ήταν σημαντικό οι εν λόγω πολίτες να είναι επίσης σε θέση να εκφράσουν τις ιδέες και τις απόψεις τους. Αυτός είναι ο λόγος για τον οποίο διοργανώσαμε επίσης σειρά επιτόπιων διαλόγων για την έρευνα «Όραμα της Ευρώπης». Οι απόψεις και οι ιδέες που μπορέσαμε να συγκεντρώσουμε χρησιμοποιήθηκαν ως βάση (μεταξύ άλλων) για τη διατύπωση των συστάσεων.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Ομάδες-στόχοι </w:t>
      </w:r>
    </w:p>
    <w:p>
      <w:pPr>
        <w:pStyle w:val="P68B1DB1Normal110"/>
        <w:widowControl w:val="false"/>
        <w:spacing w:lineRule="auto" w:line="240" w:before="22" w:after="0"/>
        <w:ind w:left="0" w:right="0" w:hanging="0"/>
        <w:jc w:val="left"/>
        <w:rPr/>
      </w:pPr>
      <w:r>
        <w:rPr>
          <w:sz w:val="21"/>
        </w:rPr>
        <w:t xml:space="preserve">Οι δυσπρόσιτες ομάδες-στόχοι δεν μπορούν να οριστούν με σαφήνεια. Οι μελέτες και η εμπειρία μας επιτρέπουν να γνωρίζουμε ότι οι Ολλανδοί με </w:t>
      </w:r>
      <w:r>
        <w:rPr>
          <w:b/>
          <w:sz w:val="21"/>
        </w:rPr>
        <w:t>μη δυτική καταγωγή</w:t>
      </w:r>
      <w:r>
        <w:rPr>
          <w:sz w:val="21"/>
        </w:rPr>
        <w:t>συμμετέχουν σημαντικά λιγότερο από τον εαυτό τους σε έρευνες και συζητήσεις. Δεδομένου ότι αυτό αντιπροσωπεύει μια μεγάλη ομάδα (14 % των ολλανδικών</w:t>
      </w:r>
      <w:r>
        <w:rPr>
          <w:position w:val="6"/>
          <w:sz w:val="14"/>
        </w:rPr>
        <w:t>1</w:t>
      </w:r>
      <w:r>
        <w:rPr>
          <w:sz w:val="21"/>
        </w:rPr>
        <w:t xml:space="preserve">), επελέγησαν για να συμμετάσχουν στο διάλογο για το όραμα της Ευρώπης. Η ίδια συλλογιστική ακολουθήθηκε όσον αφορά τα </w:t>
      </w:r>
      <w:r>
        <w:rPr>
          <w:b/>
          <w:sz w:val="21"/>
        </w:rPr>
        <w:t>άτομα με μικρή εκπαίδευση</w:t>
      </w:r>
      <w:r>
        <w:rPr>
          <w:sz w:val="21"/>
        </w:rPr>
        <w:t>. Είναι επίσης μια μεγάλη ομάδα (2,5 εκατομμύρια ολλανδικά</w:t>
      </w:r>
      <w:r>
        <w:rPr>
          <w:position w:val="6"/>
          <w:sz w:val="14"/>
        </w:rPr>
        <w:t>2</w:t>
      </w:r>
      <w:r>
        <w:rPr>
          <w:sz w:val="21"/>
        </w:rPr>
        <w:t xml:space="preserve">), η οποία αλληλεπικαλύπτεται εν μέρει με την ομάδα μεταναστών (39 %). Τέλος, πραγματοποιήθηκε διάλογος με μια ομάδα ανθρώπων που σπανίως συναντώνται σε έρευνες και συζητήσεις, οι </w:t>
      </w:r>
      <w:r>
        <w:rPr>
          <w:b/>
          <w:sz w:val="21"/>
        </w:rPr>
        <w:t>οποίοι είναι επικριτικοί απέναντι στην Ευρώπη, αλλά για τους οποίους η Ευρώπη διαδραματίζει σημαντικό ρόλο στον επαγγελματικό τομέα.</w:t>
      </w:r>
      <w:r>
        <w:rPr>
          <w:sz w:val="21"/>
        </w:rPr>
        <w:t xml:space="preserve"> Επιλέχθηκαν επιχειρηματίες από τον αγροτικό τομέα.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Οι προαναφερθείσες ομάδες έχουν προσεγγιστεί μέσω οργανώσεων των οποίων είναι μέλη, όπως οργανώσεις μεταναστών, ενώσεις υπεράσπισης και επαγγελματικές οργανώσεις. Δεδομένου ότι περιορίσαμε τον αριθμό των διαλόγων σε οκτώ, δεν θα μπορούσαμε να είμαστε εντελώς «εξαντλητικοί». Αυτό καθιστά την επιλογή των συμμετεχόντων κάπως αυθαίρετη. Για να κάνουμε αυτή την επιλογή, λάβαμε επίσης υπόψη τον ενθουσιασμό να συμμετάσχουμε και να βοηθήσουμε στην κινητοποίηση της βάσης τους, καθώς και πρακτικά ζητήματα όπως η διαθεσιμότητα σύμφωνα με τις ημερομηνίες και την τοποθεσία.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Πραγματοποιήθηκαν επιτόπιοι διάλογοι με μέλη των ακόλουθων οργανώσεων: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Ίδρυμα Hakder, κοινότητα Alevi,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Ίδρυμα Asha, ινδουιστική κοινότητα, Ουτρέχτη (δύο συνεδριάσεις συζήτησης)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οργάνωση της κοινωνίας των πολιτών,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μια οργάνωση για άτομα χαμηλής εκπαίδευσης, Ουτρέχτη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ένωση γεωργικών ομάδων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μαροκινή κοινότητα, Ουτρέχτη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Γυναίκες για την Ελευθερία, οργάνωση υπεράσπισης γυναικών με μεταναστευτικό υπόβαθρο, Χάγη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Συνολικά 110 άτομα συμμετείχαν σε αυτές τις συναντήσεις.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Διάλογοι με τους νέους </w:t>
      </w:r>
    </w:p>
    <w:p>
      <w:pPr>
        <w:pStyle w:val="P68B1DB1Normal104"/>
        <w:widowControl w:val="false"/>
        <w:spacing w:lineRule="auto" w:line="240" w:before="118" w:after="0"/>
        <w:ind w:left="0" w:right="0" w:hanging="0"/>
        <w:jc w:val="both"/>
        <w:rPr/>
      </w:pPr>
      <w:r>
        <w:rPr/>
        <w:t xml:space="preserve">Οι νέοι αποτελούν ομάδα-στόχο προτεραιότητας της Διάσκεψης για το Μέλλον της Ευρώπης. Προκειμένου να ενθαρρυνθεί ενεργά η συμμετοχή τους στον διάλογο με τους πολίτες «Όραμα της Ευρώπης» και να ακουστούν καλά οι απόψεις και οι ιδέες αυτής της ομάδας, διοργανώθηκαν πέντε συνεδριάσεις συζήτησης με φυσική παρουσία ειδικά για τους νέους. Μια έκτη προγραμματισμένη συνάντηση με νέους δεν θα μπορούσε να πραγματοποιηθεί λόγω των περιοριστικών μέτρων που σχετίζονται με τον κορονοϊό.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Οι συνεδριάσεις πραγματοποιήθηκαν στα ακόλουθα θεσμικά όργανα: </w:t>
      </w:r>
    </w:p>
    <w:p>
      <w:pPr>
        <w:pStyle w:val="P68B1DB1Normal104"/>
        <w:widowControl w:val="false"/>
        <w:spacing w:lineRule="auto" w:line="240"/>
        <w:ind w:left="0" w:right="0" w:hanging="0"/>
        <w:jc w:val="both"/>
        <w:rPr>
          <w:rFonts w:ascii="Calibri" w:hAnsi="Calibri"/>
          <w:color w:val="000000"/>
          <w:sz w:val="21"/>
        </w:rPr>
      </w:pPr>
      <w:r>
        <w:rPr/>
        <w:t xml:space="preserve">Ένωση Φοιτητών Ιστορίας, Πανεπιστήμιο του Leiden </w:t>
      </w:r>
    </w:p>
    <w:p>
      <w:pPr>
        <w:pStyle w:val="P68B1DB1Normal104"/>
        <w:widowControl w:val="false"/>
        <w:spacing w:lineRule="auto" w:line="240"/>
        <w:ind w:left="0" w:right="0" w:hanging="0"/>
        <w:jc w:val="both"/>
        <w:rPr>
          <w:rFonts w:ascii="Calibri" w:hAnsi="Calibri"/>
          <w:color w:val="000000"/>
          <w:sz w:val="21"/>
        </w:rPr>
      </w:pPr>
      <w:r>
        <w:rPr/>
        <w:t xml:space="preserve">Knippenberg College, Γυμνάσιο, Helmond </w:t>
      </w:r>
    </w:p>
    <w:p>
      <w:pPr>
        <w:pStyle w:val="P68B1DB1Normal104"/>
        <w:widowControl w:val="false"/>
        <w:spacing w:lineRule="auto" w:line="240" w:before="1" w:after="0"/>
        <w:ind w:left="0" w:right="0" w:hanging="0"/>
        <w:jc w:val="left"/>
        <w:rPr>
          <w:rFonts w:ascii="Calibri" w:hAnsi="Calibri"/>
          <w:color w:val="000000"/>
          <w:sz w:val="21"/>
        </w:rPr>
      </w:pPr>
      <w:r>
        <w:rPr/>
        <w:t xml:space="preserve">Coalitie-Y, Οικονομικό και Κοινωνικό Συμβούλιο Πλατφόρμα Νεολαίας </w:t>
      </w:r>
    </w:p>
    <w:p>
      <w:pPr>
        <w:pStyle w:val="P68B1DB1Normal104"/>
        <w:widowControl w:val="false"/>
        <w:spacing w:lineRule="auto" w:line="240"/>
        <w:ind w:left="0" w:right="0" w:hanging="0"/>
        <w:jc w:val="left"/>
        <w:rPr>
          <w:rFonts w:ascii="Calibri" w:hAnsi="Calibri"/>
          <w:color w:val="000000"/>
          <w:sz w:val="21"/>
        </w:rPr>
      </w:pPr>
      <w:r>
        <w:rPr/>
        <w:t xml:space="preserve">Graafschap College, Επαγγελματική Δευτεροβάθμια Εκπαίδευση,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δευτεροβάθμια εκπαίδευση που επικεντρώνεται σε τεχνολογικά θέματα, Alkmaar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Στις συζητήσεις συμμετείχαν συνολικά 95 νέοι. </w:t>
      </w:r>
      <w:r>
        <w:br w:type="page"/>
      </w:r>
    </w:p>
    <w:p>
      <w:pPr>
        <w:pStyle w:val="P68B1DB1Normal107"/>
        <w:spacing w:lineRule="auto" w:line="240"/>
        <w:ind w:left="0" w:right="0" w:hanging="0"/>
        <w:rPr>
          <w:rFonts w:ascii="Calibri" w:hAnsi="Calibri"/>
          <w:i/>
          <w:i/>
          <w:color w:val="000000"/>
          <w:sz w:val="24"/>
        </w:rPr>
      </w:pPr>
      <w:r>
        <w:rPr/>
        <w:t xml:space="preserve">Τεχνικές συντήρησης που χρησιμοποιούνται </w:t>
      </w:r>
    </w:p>
    <w:p>
      <w:pPr>
        <w:pStyle w:val="P68B1DB1Normal104"/>
        <w:widowControl w:val="false"/>
        <w:spacing w:lineRule="auto" w:line="240" w:before="10" w:after="0"/>
        <w:ind w:left="0" w:right="0" w:hanging="0"/>
        <w:jc w:val="left"/>
        <w:rPr/>
      </w:pPr>
      <w:r>
        <w:rPr/>
        <w:t xml:space="preserve">Οι επιγραμμικοί θεματικοί διάλογοι, οι διάλογοι με συγκεκριμένες ομάδες και οι διάλογοι με τους νέους διεξήχθησαν με τη χρήση της λεγόμενης «σωκρατικής» μεθόδου συνέντευξης. Αυτή η μέθοδος έχει χρησιμοποιηθεί για πολλά χρόνια την Ημέρα του Διαλόγου, όπου οι άνθρωποι σε όλη την Ολλανδία αλληλεπιδρούν σε θέματα που τους επηρεάζουν. Στο πλαίσιο της μεθόδου σωκρατικής συντήρησης, ο συντονιστής λαμβάνει υπόψη τις ακόλουθες αρχές: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rFonts w:ascii="Verdana" w:hAnsi="Verdana"/>
        </w:rPr>
        <w:t>Αφήστε</w:t>
      </w:r>
      <w:r>
        <w:rPr/>
        <w:t xml:space="preserve"> τον άλλο να πει την ιστορία του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Μην</w:t>
      </w:r>
      <w:r>
        <w:rPr/>
        <w:t xml:space="preserve"> </w:t>
      </w:r>
      <w:r>
        <w:rPr>
          <w:rFonts w:ascii="Calibri" w:hAnsi="Calibri"/>
        </w:rPr>
        <w:t xml:space="preserve">το απαντήσεις αμέσως με μια άλλη ιστορία </w:t>
      </w:r>
    </w:p>
    <w:p>
      <w:pPr>
        <w:pStyle w:val="P68B1DB1Normal105"/>
        <w:widowControl w:val="false"/>
        <w:spacing w:lineRule="auto" w:line="240" w:before="2" w:after="0"/>
        <w:ind w:left="0" w:right="0" w:hanging="0"/>
        <w:jc w:val="left"/>
        <w:rPr/>
      </w:pPr>
      <w:r>
        <w:rPr>
          <w:rFonts w:ascii="Verdana" w:hAnsi="Verdana"/>
        </w:rPr>
        <w:t>Συμπεριφερθείτε</w:t>
      </w:r>
      <w:r>
        <w:rPr/>
        <w:t xml:space="preserve"> </w:t>
      </w:r>
      <w:r>
        <w:rPr>
          <w:rFonts w:ascii="Calibri" w:hAnsi="Calibri"/>
        </w:rPr>
        <w:t xml:space="preserve">στον εαυτό σας με σεβασμό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Μιλήστε για τη δική σας άποψη («Βρίσκομαι» και όχι «λένε»)</w:t>
      </w:r>
      <w:r>
        <w:rPr/>
        <w:t>.</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Ζητήστε περισσότερες εξηγήσεις εάν οι απόψεις που εκφράζονται περιορίζονται σε γενικότητες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Αποφύγετε τις κρίσεις και αναλύστε τις </w:t>
      </w:r>
    </w:p>
    <w:p>
      <w:pPr>
        <w:pStyle w:val="P68B1DB1Normal105"/>
        <w:widowControl w:val="false"/>
        <w:spacing w:lineRule="auto" w:line="240" w:before="5" w:after="0"/>
        <w:ind w:left="0" w:right="0" w:hanging="0"/>
        <w:jc w:val="left"/>
        <w:rPr/>
      </w:pPr>
      <w:r>
        <w:rPr>
          <w:rFonts w:ascii="Verdana" w:hAnsi="Verdana"/>
        </w:rPr>
        <w:t>Δώστε</w:t>
      </w:r>
      <w:r>
        <w:rPr/>
        <w:t xml:space="preserve"> </w:t>
      </w:r>
      <w:r>
        <w:rPr>
          <w:rFonts w:ascii="Calibri" w:hAnsi="Calibri"/>
        </w:rPr>
        <w:t xml:space="preserve">στιγμές σιωπής αν οι άνθρωποι πρέπει να σκεφτούν για μια στιγμή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Κατά τη διάρκεια των διαλόγων, χρησιμοποιείται ο ακόλουθος ρυθμός: απόκλιση — σύγκλιση — απόκλιση. Η αρχή είναι ότι πρέπει πρώτα να αποκλίνετε (να εκφράσετε άμεσα ατομικά συναισθήματα και απόψεις), πριν μπορέσετε να συγκλίνετε (να μιλήσετε πιθανές οδούς) και στη συνέχεια να αποκλίνετε και πάλι (για παράδειγμα, συλλέξτε μεμονωμένες συστάσεις). Η εμπειρία και η θεωρία δείχνουν ότι αυτός ο ρυθμός εξασφαλίζει τη βέλτιστη ροή του διαλόγου.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Όλοι οι διάλογοι διεξήχθησαν από επαγγελματίες διαμεσολαβητές.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Διαδικτυακή δημόσια έρευνα: Ερωτηματολόγιο και «Swipen naar de toekomst» (Swiper to the future)</w:t>
      </w:r>
    </w:p>
    <w:p>
      <w:pPr>
        <w:pStyle w:val="P68B1DB1Normal104"/>
        <w:widowControl w:val="false"/>
        <w:spacing w:lineRule="auto" w:line="240" w:before="229" w:after="0"/>
        <w:ind w:left="0" w:right="0" w:hanging="0"/>
        <w:jc w:val="both"/>
        <w:rPr/>
      </w:pPr>
      <w:r>
        <w:rPr/>
        <w:t xml:space="preserve">Το ερωτηματολόγιο της ειδικής ομάδας ήταν επίσης ανοικτό σε όλους τους Ολλανδούς, συμπεριλαμβανομένων εκείνων που διαμένουν στο εξωτερικό. Το ερωτηματολόγιο αυτό ήταν διαθέσιμο από την 1η Σεπτεμβρίου 2021 έως τις 14 Νοεμβρίου 2021. Επιπλέον, κατά την ίδια περίοδο, κάθε Ολλανδός ήταν σε θέση να συμμετάσχει στη δράση «Swipen naar de toekomst» (Swiper to the future), ένα διαδικτυακό εργαλείο που παρουσιάζει 20 αξιώσεις. </w:t>
      </w:r>
    </w:p>
    <w:p>
      <w:pPr>
        <w:pStyle w:val="P68B1DB1Normal107"/>
        <w:widowControl w:val="false"/>
        <w:spacing w:lineRule="auto" w:line="240" w:before="41" w:after="0"/>
        <w:ind w:left="0" w:right="0" w:hanging="0"/>
        <w:jc w:val="left"/>
        <w:rPr>
          <w:rFonts w:ascii="Calibri" w:hAnsi="Calibri"/>
          <w:i/>
          <w:i/>
          <w:color w:val="000000"/>
          <w:sz w:val="24"/>
        </w:rPr>
      </w:pPr>
      <w:r>
        <w:rPr/>
        <w:t xml:space="preserve">Απαντήσεις και χρήση </w:t>
      </w:r>
    </w:p>
    <w:p>
      <w:pPr>
        <w:pStyle w:val="P68B1DB1Normal104"/>
        <w:widowControl w:val="false"/>
        <w:spacing w:lineRule="auto" w:line="240" w:before="7" w:after="0"/>
        <w:ind w:left="0" w:right="0" w:hanging="0"/>
        <w:jc w:val="left"/>
        <w:rPr/>
      </w:pPr>
      <w:r>
        <w:rPr/>
        <w:t xml:space="preserve">Συνολικά 1,967 συμμετέχοντες συμπλήρωσαν το ερωτηματολόγιο και 6.968 ήταν στο τέλος του εργαλείου σάρωσης οθόνης. Τόσο το ερωτηματολόγιο όσο και το εργαλείο σάρωσης οθόνης ήταν ανοιχτά σε όλους: δεν υπήρχαν προϋποθέσεις ή κριτήρια επιλογής για συμμετοχή. Στο ερωτηματολόγιο, ήταν δυνατή η υποβολή ερωτήσεων (δεν υπήρχαν υποχρεωτικές ερωτήσεις) προκειμένου να μεγιστοποιηθεί το ποσοστό απάντησης. Οι συμμετέχοντες επέλεξαν «Προτιμώ να μην απαντήσω» πολύ πιο συχνά από ό, τι στην έρευνα αντιπροσωπευτικών πάνελ. </w:t>
      </w:r>
    </w:p>
    <w:p>
      <w:pPr>
        <w:pStyle w:val="P68B1DB1Normal104"/>
        <w:widowControl w:val="false"/>
        <w:spacing w:lineRule="auto" w:line="240"/>
        <w:ind w:left="0" w:right="0" w:hanging="0"/>
        <w:jc w:val="left"/>
        <w:rPr/>
      </w:pPr>
      <w:r>
        <w:rPr/>
        <w:t xml:space="preserve">Τα γενικά χαρακτηριστικά των συμμετεχόντων στο ανοικτό ερωτηματολόγιο και το εργαλείο σάρωσης οθόνης διαφέρουν από πολλές απόψεις από εκείνα των συμμετεχόντων στην αντιπροσωπευτική ομάδα. Σε αντίθεση με την έρευνα πάνελ, τα αποτελέσματα του ανοιχτού ερωτηματολογίου και του εργαλείου σάρωσης οθόνης δεν είναι αντιπροσωπευτικά. Τα αποτελέσματα της ανοικτής διαδικτυακής έρευνας χρησιμοποιήθηκαν για να συμπληρώσουν την έρευνα της ομάδας. Δίνουν μια επισκόπηση των συναισθημάτων και των ιδεών που κυκλοφορούν στην Ολλανδία. Οι προτάσεις βελτίωσης που αναφέρονται στα πεδία εισαγωγής χρησιμοποιήθηκαν στην ενότητα «Συζητήσεις και ιδέες στο διαδίκτυο και επί τόπου». Το εργαλείο σάρωσης οθόνης έχει χρησιμοποιηθεί για την καλύτερη κατανόηση ορισμένων από τα συναισθήματα που κυκλοφορούν στην Ολλανδία. Τα αποτελέσματα αυτά ελήφθησαν υπόψη κατά την προετοιμασία των συστάσεων. Λόγω της απαίτησης αντιπροσωπευτικότητας, τα αποτελέσματα της έρευνας που κινήθηκε στο διαδίκτυο ελήφθησαν ελάχιστα υπόψη στην παρούσα έκθεση.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Η παρούσα έκθεση δημοσιεύεται από το Υπουργείο Εξωτερικών. </w:t>
      </w:r>
      <w:hyperlink r:id="rId120">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ΕΙΚΟΝΑ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ΕΙΚΟΝΑ47" descr=""/>
                    <pic:cNvPicPr>
                      <a:picLocks noChangeAspect="1" noChangeArrowheads="1"/>
                    </pic:cNvPicPr>
                  </pic:nvPicPr>
                  <pic:blipFill>
                    <a:blip r:embed="rId121"/>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Εθνική Κυβέρνηση των Κάτω Χωρών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Το όραμά μας για την Ευρώπη </w:t>
      </w:r>
    </w:p>
    <w:p>
      <w:pPr>
        <w:pStyle w:val="Titre4"/>
        <w:numPr>
          <w:ilvl w:val="3"/>
          <w:numId w:val="2"/>
        </w:numPr>
        <w:rPr/>
      </w:pPr>
      <w:bookmarkStart w:id="237" w:name="__RefHeading___Toc298386_1346298689"/>
      <w:bookmarkEnd w:id="237"/>
      <w:r>
        <w:rPr/>
        <w:t>Έκθεση Ιανουαρίου 2022</w:t>
      </w:r>
    </w:p>
    <w:p>
      <w:pPr>
        <w:pStyle w:val="P68B1DB1Normal20"/>
        <w:widowControl w:val="false"/>
        <w:spacing w:lineRule="auto" w:line="240" w:before="105" w:after="0"/>
        <w:ind w:left="0" w:right="0" w:hanging="0"/>
        <w:jc w:val="left"/>
        <w:rPr>
          <w:rFonts w:ascii="Calibri" w:hAnsi="Calibri"/>
          <w:color w:val="000000"/>
          <w:sz w:val="24"/>
        </w:rPr>
      </w:pPr>
      <w:r>
        <w:rPr/>
        <w:t xml:space="preserve">Γνώμες, ιδέες και συστάσεις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ΘΕΜΑΤΑ ΘΕΜΑΤΩΝ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Κλιματική αλλαγή και περιβάλλον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ΜΕΤΑΝΑΣΤΕΥΣΗ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Υγεία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Η ΕΕ στον κόσμο </w:t>
      </w:r>
    </w:p>
    <w:p>
      <w:pPr>
        <w:pStyle w:val="P68B1DB1Normal105"/>
        <w:widowControl w:val="false"/>
        <w:spacing w:lineRule="auto" w:line="240" w:before="7" w:after="0"/>
        <w:ind w:left="0" w:right="0" w:hanging="0"/>
        <w:jc w:val="left"/>
        <w:rPr/>
      </w:pPr>
      <w:r>
        <w:rPr>
          <w:rFonts w:ascii="Verdana" w:hAnsi="Verdana"/>
        </w:rPr>
        <w:t>»</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Ιανουαρίου 2022 </w:t>
      </w:r>
    </w:p>
    <w:p>
      <w:pPr>
        <w:pStyle w:val="P68B1DB1Normal105"/>
        <w:widowControl w:val="false"/>
        <w:spacing w:lineRule="auto" w:line="240" w:before="5" w:after="0"/>
        <w:ind w:left="0" w:right="0" w:hanging="0"/>
        <w:jc w:val="left"/>
        <w:rPr/>
      </w:pPr>
      <w:r>
        <w:rPr>
          <w:rFonts w:ascii="Verdana" w:hAnsi="Verdana"/>
        </w:rPr>
        <w:t>»</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Το παρόν έγγραφο αποτελεί μετάφραση της έκθεσης με τίτλο «Elze kijk op Europa· Meningen, ideeën en Aanbevelingen«(«Το όραμά μας για την Ευρώπη: γνώμες, ιδέες και συστάσεις»), η οποία δημοσιεύθηκε στα ολλανδικά στις 14 Ιανουαρίου 2022 στη διεύθυνση www.kijkopeuropa.nl. Αυτή η μετάφραση είναι μια απλοποιημένη έκδοση της έκθεσης στην οποία η πρωτότυπη παρουσίαση (εικονίσεις και άλλα γραφικά στοιχεία) έχει τροποποιηθεί για μεταφραστικούς σκοπούς.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Το όραμά μας για... </w:t>
      </w:r>
    </w:p>
    <w:p>
      <w:pPr>
        <w:pStyle w:val="P68B1DB1Normal126"/>
        <w:widowControl w:val="false"/>
        <w:spacing w:lineRule="auto" w:line="240" w:before="101" w:after="0"/>
        <w:ind w:left="0" w:right="0" w:hanging="0"/>
        <w:jc w:val="left"/>
        <w:rPr>
          <w:rFonts w:ascii="Calibri" w:hAnsi="Calibri"/>
          <w:color w:val="0070C0"/>
          <w:sz w:val="24"/>
        </w:rPr>
      </w:pPr>
      <w:r>
        <w:rPr/>
        <w:t xml:space="preserve">Περίληψη της έκθεσης: όλες οι συστάσεις εν συντομία </w:t>
      </w:r>
    </w:p>
    <w:p>
      <w:pPr>
        <w:pStyle w:val="P68B1DB1Normal104"/>
        <w:widowControl w:val="false"/>
        <w:spacing w:lineRule="auto" w:line="240" w:before="109" w:after="0"/>
        <w:ind w:left="0" w:right="0" w:hanging="0"/>
        <w:jc w:val="both"/>
        <w:rPr/>
      </w:pPr>
      <w:r>
        <w:rPr/>
        <w:t xml:space="preserve">Μέσω του διαλόγου με τους πολίτες που διοργανώθηκε με θέμα «Όραμα της Ευρώπης», συγκεντρώσαμε τις απόψεις και τις ιδέες των Ολλανδών πολιτών για το μέλλον της Ευρώπης. Αυτό είχε ως αποτέλεσμα τις ακόλουθες συστάσεις προς την Ευρωπαϊκή Ένωση για τα τελευταία τέσσερα θέματα (από τα εννέα συνολικά θέματα). </w:t>
      </w:r>
    </w:p>
    <w:p>
      <w:pPr>
        <w:pStyle w:val="P68B1DB1Normal126"/>
        <w:widowControl w:val="false"/>
        <w:spacing w:lineRule="auto" w:line="240" w:before="108" w:after="0"/>
        <w:ind w:left="0" w:right="0" w:hanging="0"/>
        <w:jc w:val="left"/>
        <w:rPr>
          <w:rFonts w:ascii="Calibri" w:hAnsi="Calibri"/>
          <w:color w:val="0070C0"/>
          <w:sz w:val="24"/>
        </w:rPr>
      </w:pPr>
      <w:r>
        <w:rPr/>
        <w:t xml:space="preserve">Κλιματική αλλαγή και περιβάλλον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Επιλογή σαφούς κατεύθυνσης για την ευρωπαϊκή προσέγγιση της κλιματικής αλλαγής</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Διασφάλιση της στενότερης συνεργασίας των χωρών και των επιχειρήσεων για την εξεύρεση στοχευμένων λύσεων 3.</w:t>
      </w:r>
      <w:r>
        <w:rPr/>
        <w:t xml:space="preserve"> </w:t>
      </w:r>
      <w:r>
        <w:rPr>
          <w:rFonts w:ascii="Calibri" w:hAnsi="Calibri"/>
        </w:rPr>
        <w:t>Δημιουργία ενός συστήματος CO2 που να είναι δίκαιο και εφικτό στην πράξη</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Επικοινωνία με σαφέστερο και θετικότερο τρόπο σχετικά με την κλιματική προσέγγιση</w:t>
      </w:r>
    </w:p>
    <w:p>
      <w:pPr>
        <w:pStyle w:val="P68B1DB1Normal104"/>
        <w:widowControl w:val="false"/>
        <w:spacing w:lineRule="auto" w:line="240" w:before="93" w:after="0"/>
        <w:ind w:left="0" w:right="0" w:hanging="0"/>
        <w:jc w:val="left"/>
        <w:rPr/>
      </w:pPr>
      <w:r>
        <w:rPr/>
        <w:t xml:space="preserve">Οι Κάτω Χώρες πιστεύουν ότι η ΕΕ πρέπει να διαδραματίσει ηγετικό ρόλο στην καταπολέμηση της κλιματικής αλλαγής. Τα κράτη μέλη πρέπει να είναι σε θέση να κάνουν τις δικές τους επιλογές, αλλά παρ’ όλα αυτά πρέπει να συνεργάζονται για την επίτευξη των ίδιων στόχων. Αντί να επισημαίνουν η μία την άλλη, οι χώρες της ΕΕ θα πρέπει να αφιερώνουν περισσότερη ενέργεια στην ανταλλαγή γνώσεων και στην εξεύρεση κοινών λύσεων. Ένα σύστημα φορολόγησης των εκπομπών CO2 μπορεί να είναι αποτελεσματικό, αλλά πρέπει επίσης να είναι δίκαιο, πρακτικό και σαφές. Κατά γενικό κανόνα, οι Κάτω Χώρες πιστεύουν ότι η ΕΕ θα πρέπει να επικοινωνεί πιο αποτελεσματικά και θετικά για τα κλιματικά ζητήματα. </w:t>
      </w:r>
    </w:p>
    <w:p>
      <w:pPr>
        <w:pStyle w:val="P68B1DB1Normal126"/>
        <w:widowControl w:val="false"/>
        <w:spacing w:lineRule="auto" w:line="240" w:before="108" w:after="0"/>
        <w:ind w:left="0" w:right="0" w:hanging="0"/>
        <w:jc w:val="left"/>
        <w:rPr>
          <w:rFonts w:ascii="Calibri" w:hAnsi="Calibri"/>
          <w:color w:val="0070C0"/>
          <w:sz w:val="24"/>
        </w:rPr>
      </w:pPr>
      <w:r>
        <w:rPr/>
        <w:t xml:space="preserve">Μετανάστευση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Πρόληψη των συζητήσεων για το προσφυγικό ζήτημα από το να γίνουν λιγότερο διαφοροποιημένες</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Καθορισμός της δίκαιης και πρακτικής κατανομής των προσφύγων</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Αξιοποίηση των γνώσεων και της εμπειρίας που αποκτήθηκε για να βοηθήσει τις περιφέρειες από τις οποίες προέρχονται οι πρόσφυγες</w:t>
      </w:r>
    </w:p>
    <w:p>
      <w:pPr>
        <w:pStyle w:val="P68B1DB1Normal104"/>
        <w:widowControl w:val="false"/>
        <w:spacing w:lineRule="auto" w:line="240"/>
        <w:ind w:left="0" w:right="0" w:hanging="0"/>
        <w:jc w:val="left"/>
        <w:rPr/>
      </w:pPr>
      <w:r>
        <w:rPr/>
        <w:t xml:space="preserve">Οι Ολλανδοί πιστεύουν ότι είναι σημαντικό να γίνει διάκριση μεταξύ των ανθρώπων που εγκαταλείπουν επικίνδυνες περιοχές και των οικονομικών προσφύγων. Οι συζητήσεις σχετικά με τη μετανάστευση και την ένταξη συχνά στερούνται αποχρώσεων. Για να επιτευχθεί μια δίκαιη κατανομή των προσφύγων στην Ευρώπη, είναι απαραίτητο να συμφωνήσουμε, εντός της ΕΕ, σε σαφή κριτήρια που θα λαμβάνουν υπόψη τόσο τα κράτη μέλη όσο και εκείνα που εγκατέλειψαν. Τέλος, οι Κάτω Χώρες προτείνουν να στηρίξει η ΕΕ τις περιφέρειες από τις οποίες προέρχονται οι πρόσφυγες όχι μόνο οικονομικά, αλλά και μέσω της γνώσης. </w:t>
      </w:r>
    </w:p>
    <w:p>
      <w:pPr>
        <w:pStyle w:val="P68B1DB1Normal126"/>
        <w:widowControl w:val="false"/>
        <w:spacing w:lineRule="auto" w:line="240" w:before="108" w:after="0"/>
        <w:ind w:left="0" w:right="0" w:hanging="0"/>
        <w:jc w:val="left"/>
        <w:rPr>
          <w:rFonts w:ascii="Calibri" w:hAnsi="Calibri"/>
          <w:color w:val="0070C0"/>
          <w:sz w:val="24"/>
        </w:rPr>
      </w:pPr>
      <w:r>
        <w:rPr/>
        <w:t xml:space="preserve">ΥΓΕΙΑ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Να έχουν καλύτερο έλεγχο στη διαχείριση μιας πανδημίας</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Εξασφάλιση της διαθεσιμότητας οικονομικά προσιτών και αξιόπιστων φαρμάκων για όλους</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Οι χώρες πρέπει να επικεντρωθούν στη βελτίωση των συστημάτων υγείας τους και να τα καταστήσουν πιο δίκαια</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rFonts w:ascii="Calibri" w:hAnsi="Calibri"/>
          <w:color w:val="000000"/>
          <w:sz w:val="21"/>
        </w:rPr>
        <w:t xml:space="preserve">Οι Κάτω Χώρες πιστεύουν ότι οι χώρες της ΕΕ πρέπει να συνεργαστούν περισσότερο για την καταπολέμηση μιας πανδημίας. Ο τρόπος με τον οποίο αντιμετωπίζεται η κρίση του κορονοϊού δημιουργεί μερικές φορές σύγχυση. Οι κανόνες θα πρέπει να είναι πιο συνεπείς μεταξύ τους, χωρίς να χρειάζεται να είναι οι ίδιοι παντού. Όσον αφορά τα εμβόλια ή τα φάρμακα, οι Κάτω Χώρες επιθυμούν οι τιμές να παραμείνουν όσο το δυνατόν χαμηλότερες, αλλά θέλουν να είναι σε θέση να βασίζονται στην ποιότητα και την υπεύθυνη παραγωγή. Επιπλέον, πιστεύουμε ότι είναι σημαντικό οι μεγάλες εταιρείες να μην καταχρώνται τη δύναμή τους και πιστεύουμε ότι η υγειονομική περίθαλψη πρέπει να συνεχίσει να βρίσκεται σε εθνικό επίπεδο. </w:t>
      </w:r>
      <w:r>
        <w:br w:type="page"/>
      </w:r>
    </w:p>
    <w:p>
      <w:pPr>
        <w:pStyle w:val="P68B1DB1Normal126"/>
        <w:widowControl w:val="false"/>
        <w:spacing w:lineRule="auto" w:line="240"/>
        <w:ind w:left="0" w:right="0" w:hanging="0"/>
        <w:jc w:val="left"/>
        <w:rPr>
          <w:rFonts w:ascii="Calibri" w:hAnsi="Calibri"/>
          <w:color w:val="0070C0"/>
          <w:sz w:val="24"/>
        </w:rPr>
      </w:pPr>
      <w:r>
        <w:rPr/>
        <w:t xml:space="preserve">Ο ρόλος της ΕΕ στον κόσμο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Αξιοποίηση της ισχύος της ΕΕ σε βασικά διεθνή θέματα κυρίως</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Εντός και εκτός Ευρώπης, επιλέξτε τη συνεργασία και όχι τον αγώνα</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Προσφέροντας, με στοχαστικό τρόπο, βοήθεια σε περίπτωση σύγκρουσης</w:t>
      </w:r>
    </w:p>
    <w:p>
      <w:pPr>
        <w:pStyle w:val="P68B1DB1Normal104"/>
        <w:widowControl w:val="false"/>
        <w:spacing w:lineRule="auto" w:line="240" w:before="84" w:after="0"/>
        <w:ind w:left="0" w:right="0" w:hanging="0"/>
        <w:jc w:val="left"/>
        <w:rPr/>
      </w:pPr>
      <w:r>
        <w:rPr/>
        <w:t xml:space="preserve">Οι Κάτω Χώρες πιστεύουν ότι η ευρωπαϊκή συνεργασία θα πρέπει να επικεντρωθεί κυρίως στα κύρια κοινά συμφέροντα. Η συνεργασία της ΕΕ με τρίτες χώρες πρέπει επίσης να αποτελεί μέρος αυτής της προσέγγισης. Εκτός από την κλιματική αλλαγή και την πανδημία του κορονοϊού, αυτές περιλαμβάνουν, για παράδειγμα, τη διεθνή ασφάλεια και την προστασία της ευρωπαϊκής οικονομίας από αθέμιτες εμπορικές πρακτικές. Εντός και εκτός Ευρώπης, οι Ολλανδοί προτιμούν τη συνεργασία από τον αγώνα. Όσον αφορά την προσέγγιση των συγκρούσεων, είναι πάντα προτιμότερο να επιλύονται χωρίς να καταφεύγουμε στη βία. </w:t>
      </w:r>
    </w:p>
    <w:p>
      <w:pPr>
        <w:pStyle w:val="P68B1DB1Normal125"/>
        <w:widowControl w:val="false"/>
        <w:spacing w:lineRule="auto" w:line="240" w:before="96" w:after="0"/>
        <w:ind w:left="0" w:right="0" w:hanging="0"/>
        <w:jc w:val="left"/>
        <w:rPr>
          <w:rFonts w:ascii="Calibri" w:hAnsi="Calibri"/>
          <w:b/>
          <w:b/>
          <w:color w:val="0070C0"/>
          <w:sz w:val="32"/>
        </w:rPr>
      </w:pPr>
      <w:r>
        <w:rPr/>
        <w:t xml:space="preserve">Εισαγωγή </w:t>
      </w:r>
    </w:p>
    <w:p>
      <w:pPr>
        <w:pStyle w:val="P68B1DB1Normal104"/>
        <w:widowControl w:val="false"/>
        <w:spacing w:lineRule="auto" w:line="240" w:before="183" w:after="0"/>
        <w:ind w:left="0" w:right="0" w:hanging="0"/>
        <w:jc w:val="left"/>
        <w:rPr/>
      </w:pPr>
      <w:r>
        <w:rPr/>
        <w:t xml:space="preserve">Ο διάλογος με τους πολίτες «Όραμα της Ευρώπης», που πραγματοποιήθηκε από την 1η Σεπτεμβρίου έως τα μέσα Νοεμβρίου, επέτρεψε σε όλους τους Ολλανδούς να εκφράσουν τις απόψεις και τις ιδέες τους για το μέλλον της Ευρώπης. Οι Κάτω Χώρες υποβάλλουν στην Ευρωπαϊκή Ένωση (ΕΕ) τις συστάσεις επί των οποίων οδήγησε ο διάλογος, καθώς και τις ιδέες και τις απόψεις που εκφράζονται. Στην παρούσα έκθεση, ασχολούμαστε με τα τέσσερα τελευταία θέματα (από τα εννέα θέματα που εντοπίστηκαν συνολικά). Τα πέντε πρώτα θέματα έχουν ήδη εξεταστεί στην έκθεση που δημοσιεύθηκε στις 3 Δεκεμβρίου 2021. </w:t>
      </w:r>
    </w:p>
    <w:p>
      <w:pPr>
        <w:pStyle w:val="P68B1DB1Normal126"/>
        <w:widowControl w:val="false"/>
        <w:spacing w:lineRule="auto" w:line="240" w:before="79" w:after="0"/>
        <w:ind w:left="0" w:right="0" w:hanging="0"/>
        <w:jc w:val="left"/>
        <w:rPr>
          <w:rFonts w:ascii="Calibri" w:hAnsi="Calibri"/>
          <w:color w:val="0070C0"/>
          <w:sz w:val="24"/>
        </w:rPr>
      </w:pPr>
      <w:r>
        <w:rPr/>
        <w:t xml:space="preserve">Σχετικά με το όραμα της Ευρώπης </w:t>
      </w:r>
    </w:p>
    <w:p>
      <w:pPr>
        <w:pStyle w:val="P68B1DB1Normal104"/>
        <w:widowControl w:val="false"/>
        <w:spacing w:lineRule="auto" w:line="240" w:before="78" w:after="0"/>
        <w:ind w:left="0" w:right="0" w:hanging="0"/>
        <w:jc w:val="left"/>
        <w:rPr/>
      </w:pPr>
      <w:r>
        <w:rPr/>
        <w:t xml:space="preserve">Η Ευρωπαϊκή Ένωση θέλει οι πολίτες της να μοιράζονται τη γνώμη τους για την Ευρώπη. Αυτός είναι ο λόγος για τον οποίο η ΕΕ διοργανώνει τη Διάσκεψη για το Μέλλον της Ευρώπης. Οι απόψεις και οι ιδέες των πολιτών σε ολόκληρη την Ευρωπαϊκή Ένωση θα τροφοδοτήσουν στη συνέχεια τα σχέδια για το μέλλον της Ευρώπης. Στο πλαίσιο της διάσκεψης, οι Κάτω Χώρες οργάνωσαν τον διάλογο με τους πολίτες «Όραμα της Ευρώπης» σε εθνικό επίπεδο. </w:t>
      </w:r>
    </w:p>
    <w:p>
      <w:pPr>
        <w:pStyle w:val="P68B1DB1Normal104"/>
        <w:widowControl w:val="false"/>
        <w:spacing w:lineRule="auto" w:line="240"/>
        <w:ind w:left="0" w:right="0" w:hanging="0"/>
        <w:jc w:val="left"/>
        <w:rPr/>
      </w:pPr>
      <w:r>
        <w:rPr/>
        <w:t xml:space="preserve">Ο διάλογος για το όραμα της Ευρώπης ξεκίνησε την 1η Σεπτεμβρίου με τη διαδικτυακή συγκέντρωση απόψεων και ιδεών μέσω έρευνας αντιπροσωπευτικής ομάδας. Προκειμένου να εμβαθύνουμε τα πρώτα αποτελέσματα της έρευνας της ομάδας και να διατυπώσουμε συγκεκριμένες συστάσεις, διοργανώσαμε θεματικούς διαλόγους στο διαδίκτυο. Όποιος θέλει να συμμετάσχει μπορεί να συμμετάσχει. Ταξιδέψαμε επίσης στη χώρα για να διεξαγάγουμε συζητήσεις με νέους και άλλες ομάδες (δύσκολο να το προσεγγίσουμε).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Από μαθητές, μαθητές επαγγελματικής δευτεροβάθμιας εκπαίδευσης και μαθητές έως τον υπουργό, αγρότες και μετανάστες </w:t>
      </w:r>
    </w:p>
    <w:p>
      <w:pPr>
        <w:pStyle w:val="P68B1DB1Normal104"/>
        <w:widowControl w:val="false"/>
        <w:spacing w:lineRule="auto" w:line="240" w:before="91" w:after="0"/>
        <w:ind w:left="0" w:right="0" w:hanging="0"/>
        <w:jc w:val="both"/>
        <w:rPr/>
      </w:pPr>
      <w:r>
        <w:rPr/>
        <w:t xml:space="preserve">Τον Οκτώβριο και τον Νοέμβριο πραγματοποιήθηκαν συνολικά οκτώ επιγραμμικοί θεματικοί διάλογοι, με μέσο όρο 30 συμμετέχοντες ανά συνεδρίαση. Οργανώσαμε επίσης διαδικτυακό θεματικό διάλογο και επτά επί τόπου θεματικούς διαλόγους με διάφορες ομάδες Ολλανδών πολιτών. Μιλήσαμε με την τουρκική κοινότητα στο Schiedam και προσκληθήκαμε από τους εθελοντές του Ιδρύματος Piëzo στο Zoetermeer. Στη δεύτερη περίπτωση, ο υπουργός Εξωτερικών Ben Knapen ήταν επίσης παρών στο τέλος του διαλόγου. Ο Υπουργός συζήτησε με τους συμμετέχοντες σχετικά με τον διάλογο και τις απόψεις που εκφράστηκαν για το μέλλον της Ευρώπης. Τέλος, οργανώσαμε έξι συναντήσεις με διαφορετικές ομάδες νέων. Για παράδειγμα, μας καλωσόρισαν σε ένα γυμνάσιο στο Helmond, ένα επαγγελματικό σχολείο δευτεροβάθμιας εκπαίδευσης στο Doetinchem και στο Πανεπιστήμιο του Leiden. </w:t>
      </w:r>
    </w:p>
    <w:p>
      <w:pPr>
        <w:pStyle w:val="P68B1DB1Normal113"/>
        <w:widowControl w:val="false"/>
        <w:spacing w:lineRule="auto" w:line="240" w:before="160" w:after="0"/>
        <w:ind w:left="0" w:right="0" w:hanging="0"/>
        <w:jc w:val="center"/>
        <w:rPr/>
      </w:pPr>
      <w:r>
        <w:rPr/>
        <w:t xml:space="preserve">Αυτό είναι το μέλλον των παιδιών μας. Γι’ αυτό πιστεύω ότι είναι σημαντικό να συμμετέχουμε. </w:t>
      </w:r>
    </w:p>
    <w:p>
      <w:pPr>
        <w:pStyle w:val="P68B1DB1Normal104"/>
        <w:widowControl w:val="false"/>
        <w:spacing w:lineRule="auto" w:line="240" w:before="127" w:after="0"/>
        <w:ind w:left="0" w:right="0" w:hanging="0"/>
        <w:jc w:val="left"/>
        <w:rPr>
          <w:rFonts w:ascii="Calibri" w:hAnsi="Calibri"/>
          <w:color w:val="000000"/>
          <w:sz w:val="21"/>
        </w:rPr>
      </w:pPr>
      <w:r>
        <w:rPr/>
        <w:t xml:space="preserve">Συμμετέχων στον θεματικό διάλογο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Σχετικά με αυτή την έκθεση </w:t>
      </w:r>
    </w:p>
    <w:p>
      <w:pPr>
        <w:pStyle w:val="P68B1DB1Normal104"/>
        <w:widowControl w:val="false"/>
        <w:spacing w:lineRule="auto" w:line="240" w:before="88" w:after="0"/>
        <w:ind w:left="0" w:right="0" w:hanging="0"/>
        <w:jc w:val="left"/>
        <w:rPr/>
      </w:pPr>
      <w:r>
        <w:rPr/>
        <w:t xml:space="preserve">Με βάση τις ιδέες και τις γνωμοδοτήσεις που έχουμε συγκεντρώσει τους τελευταίους μήνες, καταρτίσαμε μια σειρά συστάσεων που κάνουν οι Ολλανδοί πολίτες προς την Ευρωπαϊκή Ένωση. Κατά τη διάρκεια των συζητήσεων μεταξύ των Ολλανδών πολιτών, πραγματοποιήθηκαν ενδιαφέρουσες ανταλλαγές απόψεων και διατυπώθηκαν καινοτόμες ιδέες και προτάσεις. Ορισμένες από αυτές τις ιδέες και προτάσεις έχουν ενσωματωθεί στην παρούσα έκθεση. Ως εκ τούτου, το περιεχόμενο της παρούσας έκθεσης είναι η φωνή των Κάτω Χωρών: το όραμά μας για την Ευρώπη.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Όπως υπάρχουν διαφορές απόψεων μεταξύ χωρών και ευρωπαίων πολιτών, δεν συμφωνούμε πάντα μεταξύ τους εντός των Κάτω Χωρών. Αυτές οι διαφορές απόψεων, ακριβώς, είναι πολύτιμες: είναι ένα σημαντικό χαρακτηριστικό μιας δημοκρατίας. Οι συστάσεις αντλούνται από τις πιο συχνά εκφρασμένες ιδέες και απόψεις των συμμετεχόντων στην έρευνα για το όραμα της Ευρώπης. Περιγράφουμε επίσης ανησυχίες, ιδέες και συναισθήματα που μπορεί να είναι λιγότερο διαδεδομένα, αλλά έχουν τραβήξει την προσοχή μας κατά τη διάρκεια των διαλόγων και της διαδικτυακής έρευνας. </w:t>
      </w:r>
    </w:p>
    <w:p>
      <w:pPr>
        <w:pStyle w:val="P68B1DB1Normal113"/>
        <w:widowControl w:val="false"/>
        <w:spacing w:lineRule="auto" w:line="240" w:before="181" w:after="0"/>
        <w:ind w:left="0" w:right="0" w:hanging="0"/>
        <w:jc w:val="center"/>
        <w:rPr/>
      </w:pPr>
      <w:r>
        <w:rPr/>
        <w:t xml:space="preserve">Μου άρεσε να είμαι σε θέση να εκφράσω τη γνώμη μου για θέματα που νομίζω ότι είναι σημαντικά. Και να έχεις την αίσθηση ότι σε ακούνε. </w:t>
      </w:r>
    </w:p>
    <w:p>
      <w:pPr>
        <w:pStyle w:val="P68B1DB1Normal104"/>
        <w:widowControl w:val="false"/>
        <w:spacing w:lineRule="auto" w:line="240" w:before="300" w:after="0"/>
        <w:ind w:left="0" w:right="0" w:hanging="0"/>
        <w:jc w:val="left"/>
        <w:rPr>
          <w:rFonts w:ascii="Calibri" w:hAnsi="Calibri"/>
          <w:color w:val="000000"/>
          <w:sz w:val="21"/>
        </w:rPr>
      </w:pPr>
      <w:r>
        <w:rPr/>
        <w:t xml:space="preserve">Συμμετέχων στον θεματικό διάλογο </w:t>
      </w:r>
    </w:p>
    <w:p>
      <w:pPr>
        <w:pStyle w:val="P68B1DB1Normal104"/>
        <w:widowControl w:val="false"/>
        <w:spacing w:lineRule="auto" w:line="240"/>
        <w:ind w:left="0" w:right="0" w:hanging="0"/>
        <w:jc w:val="left"/>
        <w:rPr/>
      </w:pPr>
      <w:r>
        <w:rPr/>
        <w:t xml:space="preserve">Εννέα θέματα προσδιορίστηκαν για τη Διάσκεψη για το Μέλλον της Ευρώπης. Τα θέματα αυτά βρίσκονται επίσης στο επίκεντρο του διαλόγου για το όραμα της Ευρώπης με τους Ολλανδούς πολίτες. Τον Οκτώβριο, δημοσιεύσαμε μια ενδιάμεση έκθεση με μια αρχική επισκόπηση των αποτελεσμάτων και των συμπληρωματικών ερωτήσεων με βάση την έρευνα της ομάδας. Στις αρχές Δεκεμβρίου, δημοσιεύθηκε μια νέα έκθεση, στην οποία εκτίθενται γνωμοδοτήσεις, ιδέες και συστάσεις σχετικά με τα πέντε πρώτα θέματα. Η παρούσα έκθεση εξετάζει τα υπόλοιπα τέσσερα θέματα.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Προηγούμενη έκθεση — Δεκέμβριος 2021 </w:t>
      </w:r>
    </w:p>
    <w:p>
      <w:pPr>
        <w:pStyle w:val="P68B1DB1Normal104"/>
        <w:widowControl w:val="false"/>
        <w:spacing w:lineRule="auto" w:line="240"/>
        <w:ind w:left="0" w:right="0" w:hanging="0"/>
        <w:jc w:val="left"/>
        <w:rPr>
          <w:rFonts w:ascii="Calibri" w:hAnsi="Calibri"/>
          <w:color w:val="000000"/>
          <w:sz w:val="21"/>
        </w:rPr>
      </w:pPr>
      <w:r>
        <w:rPr/>
        <w:t xml:space="preserve">Αξίες και δικαιώματα, κράτος δικαίου και ασφάλεια </w:t>
      </w:r>
    </w:p>
    <w:p>
      <w:pPr>
        <w:pStyle w:val="P68B1DB1Normal104"/>
        <w:widowControl w:val="false"/>
        <w:spacing w:lineRule="auto" w:line="240"/>
        <w:ind w:left="0" w:right="0" w:hanging="0"/>
        <w:jc w:val="left"/>
        <w:rPr/>
      </w:pPr>
      <w:r>
        <w:rPr/>
        <w:t xml:space="preserve">Ισχυρότερη οικονομία, κοινωνική δικαιοσύνη και απασχόληση Ευρωπαϊκή δημοκρατία </w:t>
      </w:r>
    </w:p>
    <w:p>
      <w:pPr>
        <w:pStyle w:val="P68B1DB1Normal104"/>
        <w:widowControl w:val="false"/>
        <w:spacing w:lineRule="auto" w:line="240"/>
        <w:ind w:left="0" w:right="0" w:hanging="0"/>
        <w:jc w:val="left"/>
        <w:rPr>
          <w:rFonts w:ascii="Calibri" w:hAnsi="Calibri"/>
          <w:color w:val="000000"/>
          <w:sz w:val="21"/>
        </w:rPr>
      </w:pPr>
      <w:r>
        <w:rPr/>
        <w:t xml:space="preserve">Ψηφιακός μετασχηματισμός </w:t>
      </w:r>
    </w:p>
    <w:p>
      <w:pPr>
        <w:pStyle w:val="P68B1DB1Normal104"/>
        <w:widowControl w:val="false"/>
        <w:spacing w:lineRule="auto" w:line="240"/>
        <w:ind w:left="0" w:right="0" w:hanging="0"/>
        <w:jc w:val="left"/>
        <w:rPr>
          <w:rFonts w:ascii="Calibri" w:hAnsi="Calibri"/>
          <w:color w:val="000000"/>
          <w:sz w:val="21"/>
        </w:rPr>
      </w:pPr>
      <w:r>
        <w:rPr/>
        <w:t xml:space="preserve">Εκπαίδευση, πολιτισμός, νεολαία και αθλητισμός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Τρέχουσα έκθεση — Ιανουάριος 2022</w:t>
      </w:r>
    </w:p>
    <w:p>
      <w:pPr>
        <w:pStyle w:val="P68B1DB1Normal104"/>
        <w:widowControl w:val="false"/>
        <w:spacing w:lineRule="auto" w:line="240"/>
        <w:ind w:left="0" w:right="0" w:hanging="0"/>
        <w:jc w:val="left"/>
        <w:rPr/>
      </w:pPr>
      <w:r>
        <w:rPr/>
        <w:t xml:space="preserve">Κλιματική αλλαγή και περιβάλλον </w:t>
      </w:r>
    </w:p>
    <w:p>
      <w:pPr>
        <w:pStyle w:val="P68B1DB1Normal104"/>
        <w:widowControl w:val="false"/>
        <w:spacing w:lineRule="auto" w:line="240"/>
        <w:ind w:left="0" w:right="0" w:hanging="0"/>
        <w:jc w:val="left"/>
        <w:rPr>
          <w:rFonts w:ascii="Calibri" w:hAnsi="Calibri"/>
          <w:color w:val="000000"/>
          <w:sz w:val="21"/>
        </w:rPr>
      </w:pPr>
      <w:r>
        <w:rPr/>
        <w:t xml:space="preserve">Μετανάστευση </w:t>
      </w:r>
    </w:p>
    <w:p>
      <w:pPr>
        <w:pStyle w:val="P68B1DB1Normal104"/>
        <w:widowControl w:val="false"/>
        <w:spacing w:lineRule="auto" w:line="240"/>
        <w:ind w:left="0" w:right="0" w:hanging="0"/>
        <w:jc w:val="left"/>
        <w:rPr>
          <w:rFonts w:ascii="Calibri" w:hAnsi="Calibri"/>
          <w:color w:val="000000"/>
          <w:sz w:val="21"/>
        </w:rPr>
      </w:pPr>
      <w:r>
        <w:rPr/>
        <w:t xml:space="preserve">ΥΓΕΙΑ </w:t>
      </w:r>
    </w:p>
    <w:p>
      <w:pPr>
        <w:pStyle w:val="P68B1DB1Normal104"/>
        <w:widowControl w:val="false"/>
        <w:spacing w:lineRule="auto" w:line="240"/>
        <w:ind w:left="0" w:right="0" w:hanging="0"/>
        <w:jc w:val="left"/>
        <w:rPr>
          <w:rFonts w:ascii="Calibri" w:hAnsi="Calibri"/>
          <w:color w:val="000000"/>
          <w:sz w:val="21"/>
        </w:rPr>
      </w:pPr>
      <w:r>
        <w:rPr/>
        <w:t xml:space="preserve">Η ΕΕ στον κόσμο </w:t>
      </w:r>
    </w:p>
    <w:p>
      <w:pPr>
        <w:pStyle w:val="P68B1DB1Normal126"/>
        <w:widowControl w:val="false"/>
        <w:spacing w:lineRule="auto" w:line="240" w:before="105" w:after="0"/>
        <w:ind w:left="0" w:right="0" w:hanging="0"/>
        <w:jc w:val="left"/>
        <w:rPr>
          <w:rFonts w:ascii="Calibri" w:hAnsi="Calibri"/>
          <w:color w:val="0070C0"/>
          <w:sz w:val="24"/>
        </w:rPr>
      </w:pPr>
      <w:r>
        <w:rPr/>
        <w:t xml:space="preserve">Τα επόμενα βήματα </w:t>
      </w:r>
    </w:p>
    <w:p>
      <w:pPr>
        <w:pStyle w:val="Normal"/>
        <w:widowControl w:val="false"/>
        <w:spacing w:lineRule="auto" w:line="240" w:before="107" w:after="0"/>
        <w:ind w:left="0" w:right="0" w:hanging="0"/>
        <w:jc w:val="left"/>
        <w:rPr/>
      </w:pPr>
      <w:r>
        <w:rPr>
          <w:rFonts w:ascii="Calibri" w:hAnsi="Calibri"/>
          <w:color w:val="000000"/>
          <w:sz w:val="21"/>
        </w:rPr>
        <w:t xml:space="preserve">Η Διάσκεψη για το Μέλλον της Ευρώπης συγκεντρώνει τις ιδέες, τις γνώμες και τις συστάσεις όλων των πολιτών της ΕΕ. Οι συνεδριάσεις θα αφιερωθούν όχι μόνο στα αποτελέσματα όλων των διαλόγων με τους πολίτες σε εθνικό επίπεδο, αλλά και στα αποτελέσματα άλλων πρωτοβουλιών που δρομολογήθηκαν στο πλαίσιο της διάσκεψης. Για παράδειγμα, υπάρχουν επίσης ομάδες ευρωπαίων πολιτών και όλοι οι πολίτες της ΕΕ (συμπεριλαμβανομένων των Ολλανδών πολιτών) μπορούν να έχουν πρόσβαση σε μια ευρωπαϊκή ψηφιακή πλατφόρμα.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 xml:space="preserve">«Ελπίζω ότι οι ηγέτες της ΕΕ θα λάβουν υπόψη την άποψή μου. Και ότι θα τους βοηθήσει να κάνουν τις σωστές επιλογές. </w:t>
      </w:r>
    </w:p>
    <w:p>
      <w:pPr>
        <w:pStyle w:val="P68B1DB1Normal104"/>
        <w:widowControl w:val="false"/>
        <w:spacing w:lineRule="auto" w:line="240" w:before="300" w:after="0"/>
        <w:ind w:left="0" w:right="0" w:hanging="0"/>
        <w:jc w:val="left"/>
        <w:rPr>
          <w:rFonts w:ascii="Calibri" w:hAnsi="Calibri"/>
          <w:color w:val="000000"/>
          <w:sz w:val="21"/>
        </w:rPr>
      </w:pPr>
      <w:r>
        <w:rPr/>
        <w:t xml:space="preserve">Συμμετέχων στον θεματικό διάλογο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Η διάσκεψη θα ολοκληρωθεί την άνοιξη του 2022. Στη συνέχεια, οι Κάτω Χώρες θα συντάξουν τελική έκθεση σχετικά με τον διάλογο με τους πολίτες: σύνταξη της παρούσας έκθεσης και της προηγούμενης έκθεσης, συμπεριλαμβανομένων συστάσεων και για τα εννέα θέματα. Μετά τη Διάσκεψη, θα διατυπωθούν συστάσεις προς τον πρόεδρο της Διάσκεψης: οι Πρόεδροι του Ευρωπαϊκού Κοινοβουλίου, του Συμβουλίου των Υπουργών και της Ευρωπαϊκής Επιτροπής. Δεσμεύτηκαν να διερευνήσουν τρόπους και μέσα για την εφαρμογή των συστάσεων. Για την ολλανδική κυβέρνηση, τα αποτελέσματα αποτελούν επίσης πολύτιμη συμβολή στην ανάπτυξη των ευρωπαϊκών πολιτικών των Κάτω Χωρών.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Συνοπτικά, η διαδικασία έως την άνοιξη του 2022 θα οργανωθεί ως εξής: </w:t>
      </w:r>
      <w:r>
        <w:br w:type="page"/>
      </w:r>
    </w:p>
    <w:p>
      <w:pPr>
        <w:pStyle w:val="P68B1DB1Normal127"/>
        <w:widowControl w:val="false"/>
        <w:spacing w:lineRule="auto" w:line="240" w:before="0" w:after="0"/>
        <w:ind w:left="0" w:right="0" w:hanging="0"/>
        <w:jc w:val="left"/>
        <w:rPr/>
      </w:pPr>
      <w:r>
        <w:rPr>
          <w:color w:val="0070C0"/>
          <w:sz w:val="24"/>
        </w:rPr>
        <w:t>Χρονολόγηση</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Όραμα της Ευρώπης</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 Σεπτεμβρίου</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12 Οκτωβρίου</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22/23 Οκτωβρίου</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15 Νοεμβρίου</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3 ΔΕΚΕΜΒΡΙΟΣ</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14 Ιανουαρίου</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21/22 Ιανουαρίου</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ΦΕΒΡΟΥΑΡΙΟΣ</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18/19 Φεβρουαρίου</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11-12 Μαρτίου</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22/24 Απριλίου</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Συλλογή ιδεών στο διαδίκτυο</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Θεματικοί διάλογοι</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Ενδιάμεσα αποτελέσματα (ενδιάμεση έκθεση)</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Ενδιάμεση έκθεση για την «Οικονομική» και τη «Δημοκρατία»</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Ενδιάμεση έκθεση με θέμα «Κλίμα» και «Η ΕΕ στον κόσμο»</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Τελική έκθεση «Το όραμά μας για την Ευρώπη»</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ΓΩΝΙΑΚΌΣ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ΓΩΝΙΑΚΌΣ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ΓΩΝΙΑΚΌΣ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ΓΩΝΙΑΚΌΣ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ΓΩΝΙΑΚΌΣ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ΣΥΝΕΔΡΙΑΣΗ ΤΗΣ ΣΥΝΕΔΡΙΑΣΗΣ</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ΣΥΝΕΔΡΙΑΣΗ ΤΗΣ ΣΥΝΕΔΡΙΑΣΗΣ</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ΣΥΝΕΔΡΙΑΣΗ </w:t>
              <w:br/>
              <w:t>η ΣΥΝΕΔΡΙΑΣΗ</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(ενδεχομένως) συνεδρίαση της διάσκεψης</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Εκδήλωση λήξης του συνεδρίου</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ΑΡΧΙΚΉ ΣΕΛΊΔΑ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Συστάσεις προς τους προέδρους </w:t>
            </w:r>
          </w:p>
          <w:p>
            <w:pPr>
              <w:pStyle w:val="P68B1DB1Contenudetableau128"/>
              <w:spacing w:before="57" w:after="57"/>
              <w:jc w:val="left"/>
              <w:rPr>
                <w:color w:val="000000"/>
                <w:sz w:val="14"/>
              </w:rPr>
            </w:pPr>
            <w:r>
              <w:rPr/>
              <w:t xml:space="preserve">• </w:t>
            </w:r>
            <w:r>
              <w:rPr/>
              <w:t xml:space="preserve">Ευρωπαϊκό Κοινοβούλιο </w:t>
              <w:br/>
              <w:t xml:space="preserve">• Ευρωπαϊκή Επιτροπή </w:t>
              <w:br/>
              <w:t>• Συμβούλιο Υπουργών</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Περισσότερες γνώμες και ιδέες για το μέλλον της Ευρώπης:</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Διάλογοι με τους πολίτες</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Ομάδες Ευρωπαίων πολιτών</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Ευρωπαϊκή Ψηφιακή Πλατφόρμα (και για Ολλανδούς πολίτες)</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Εξηγήσεις για τη διευκόλυνση της ανάγνωσης </w:t>
      </w:r>
    </w:p>
    <w:p>
      <w:pPr>
        <w:pStyle w:val="P68B1DB1Normal104"/>
        <w:widowControl w:val="false"/>
        <w:spacing w:lineRule="exact" w:line="281" w:before="116" w:after="0"/>
        <w:ind w:left="0" w:right="772" w:hanging="0"/>
        <w:jc w:val="left"/>
        <w:rPr/>
      </w:pPr>
      <w:r>
        <w:rPr/>
        <w:t xml:space="preserve">Στην έκθεση αυτή συζητήσαμε τέσσερα θέματα. Για κάθε θέμα, έχουμε συμπεριλάβει διαδοχικά: </w:t>
      </w:r>
    </w:p>
    <w:p>
      <w:pPr>
        <w:pStyle w:val="P68B1DB1Normal104"/>
        <w:widowControl w:val="false"/>
        <w:spacing w:lineRule="exact" w:line="339" w:before="1" w:after="0"/>
        <w:ind w:left="0" w:right="0" w:hanging="0"/>
        <w:jc w:val="left"/>
        <w:rPr>
          <w:rFonts w:ascii="Calibri" w:hAnsi="Calibri"/>
          <w:color w:val="000000"/>
          <w:sz w:val="21"/>
        </w:rPr>
      </w:pPr>
      <w:r>
        <w:rPr/>
        <w:t xml:space="preserve">συστάσεις που βασίζονται σε όλες τις πτυχές του διαλόγου με τους πολίτες· </w:t>
      </w:r>
    </w:p>
    <w:p>
      <w:pPr>
        <w:pStyle w:val="P68B1DB1Normal104"/>
        <w:widowControl w:val="false"/>
        <w:spacing w:lineRule="exact" w:line="283"/>
        <w:ind w:left="0" w:right="137" w:hanging="0"/>
        <w:jc w:val="left"/>
        <w:rPr/>
      </w:pPr>
      <w:r>
        <w:rPr/>
        <w:t xml:space="preserve">διαδικτυακές και επιτόπιες συζητήσεις και ιδέες: επισκόπηση των απόψεων, των ιδεών και των απόψεων που ανταλλάχθηκαν (επιγραμμικά και με φυσική παρουσία) κατά τη διάρκεια θεματικών διαλόγων.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Περιγραφή της μεθοδολογίας που χρησιμοποιήθηκε στην έρευνα μπορεί να βρεθεί στο τέλος της παρούσας έκθεσης.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Κλιματική αλλαγή και περιβάλλον </w:t>
      </w:r>
    </w:p>
    <w:p>
      <w:pPr>
        <w:pStyle w:val="P68B1DB1Normal126"/>
        <w:widowControl w:val="false"/>
        <w:spacing w:lineRule="auto" w:line="240" w:before="48" w:after="0"/>
        <w:ind w:left="0" w:right="0" w:hanging="0"/>
        <w:jc w:val="left"/>
        <w:rPr>
          <w:rFonts w:ascii="Calibri" w:hAnsi="Calibri"/>
          <w:color w:val="0070C0"/>
          <w:sz w:val="24"/>
        </w:rPr>
      </w:pPr>
      <w:r>
        <w:rPr/>
        <w:t xml:space="preserve">Συστάσεις — Το όραμά μας για την κλιματική αλλαγή και το περιβάλλον </w:t>
      </w:r>
    </w:p>
    <w:p>
      <w:pPr>
        <w:pStyle w:val="P68B1DB1Normal120"/>
        <w:widowControl w:val="false"/>
        <w:spacing w:lineRule="auto" w:line="240" w:before="61" w:after="0"/>
        <w:ind w:left="0" w:right="0" w:hanging="0"/>
        <w:jc w:val="left"/>
        <w:rPr/>
      </w:pPr>
      <w:r>
        <w:rPr/>
        <w:t xml:space="preserve">Το 71 % των Κάτω Χωρών πιστεύει ότι η κλιματική αλλαγή και το περιβάλλον αποτελούν σημαντικό ζήτημα και ότι η ΕΕ πρέπει να παρέμβει σε αυτόν τον τομέα. </w:t>
      </w:r>
    </w:p>
    <w:p>
      <w:pPr>
        <w:pStyle w:val="P68B1DB1Normal110"/>
        <w:widowControl w:val="false"/>
        <w:spacing w:lineRule="auto" w:line="240" w:before="57" w:after="0"/>
        <w:ind w:left="0" w:right="0" w:hanging="0"/>
        <w:jc w:val="left"/>
        <w:rPr/>
      </w:pPr>
      <w:r>
        <w:rPr>
          <w:b/>
        </w:rPr>
        <w:t xml:space="preserve">1. Επιλέγοντας μια σαφή κατεύθυνση για την ευρωπαϊκή προσέγγιση της κλιματικής αλλαγής, το </w:t>
      </w:r>
      <w:r>
        <w:rPr>
          <w:sz w:val="21"/>
        </w:rPr>
        <w:t xml:space="preserve">68 % των Ολλανδών πιστεύει ότι η ΕΕ πρέπει να διαδραματίσει ηγετικό ρόλο στην καταπολέμηση της κλιματικής αλλαγής. Η υπερθέρμανση του πλανήτη είναι ένα πρόβλημα και καμία χώρα δεν μπορεί να το λύσει μόνη της. Ακόμη και αν οι Ολλανδοί δεν συμφωνούν όλοι για την κλιματική αλλαγή, πιστεύουμε ότι η ΕΕ πρέπει ούτως ή άλλως να έχει ένα σαφέστερο όραμα για το μέλλον. Παρά την Πράσινη Συμφωνία, βλέπουμε επί του παρόντος ότι τα κράτη μέλη συχνά δεν είναι ευθυγραμμισμένα. Ενώ οι χώρες πρέπει να είναι σε θέση να συνεχίσουν να κάνουν τις δικές τους επιλογές, πρέπει παρ’ όλα αυτά να συνεργαστούν για την επίτευξη των ίδιων στόχων. Πιστεύουμε επίσης ότι, ως πολίτες, έχουμε επίσης το δικό μας μερίδιο ευθύνης, για παράδειγμα όσον αφορά την προσαρμογή των καταναλωτικών συνηθειών μας. </w:t>
      </w:r>
    </w:p>
    <w:p>
      <w:pPr>
        <w:pStyle w:val="P68B1DB1Normal113"/>
        <w:widowControl w:val="false"/>
        <w:spacing w:lineRule="auto" w:line="240" w:before="135" w:after="0"/>
        <w:ind w:left="0" w:right="0" w:hanging="0"/>
        <w:jc w:val="center"/>
        <w:rPr/>
      </w:pPr>
      <w:r>
        <w:rPr/>
        <w:t xml:space="preserve">Οι Κάτω Χώρες θέλουν να εγκαταλείψουν το φυσικό αέριο, ενώ στη Γερμανία ενθαρρύνονται ακριβώς να το χρησιμοποιήσουν. Μερικές φορές δεν είναι να καταλάβεις τίποτα. </w:t>
      </w:r>
    </w:p>
    <w:p>
      <w:pPr>
        <w:pStyle w:val="P68B1DB1Normal111"/>
        <w:widowControl w:val="false"/>
        <w:spacing w:lineRule="auto" w:line="240" w:before="109" w:after="0"/>
        <w:ind w:left="0" w:right="0" w:hanging="0"/>
        <w:jc w:val="left"/>
        <w:rPr/>
      </w:pPr>
      <w:r>
        <w:rPr/>
        <w:t xml:space="preserve">2. Διασφάλιση της στενότερης συνεργασίας των χωρών και των επιχειρήσεων για την εξεύρεση στοχευμένων λύσεων </w:t>
      </w:r>
    </w:p>
    <w:p>
      <w:pPr>
        <w:pStyle w:val="P68B1DB1Normal104"/>
        <w:widowControl w:val="false"/>
        <w:spacing w:lineRule="auto" w:line="240"/>
        <w:ind w:left="0" w:right="0" w:hanging="0"/>
        <w:jc w:val="left"/>
        <w:rPr/>
      </w:pPr>
      <w:r>
        <w:rPr/>
        <w:t xml:space="preserve">Όσον αφορά την κλιματική αλλαγή και το περιβάλλον, οι Ολλανδοί διαπιστώνουν ότι οι χώρες συχνά δείχνουν τα δάχτυλά τους. Η έμφαση δίνεται συχνά στις διαφορές, για παράδειγμα μεταξύ φτωχών και πλούσιων χωρών εντός της ΕΕ. Ή μεταξύ ιδιαίτερα εκβιομηχανισμένων ή ασθενώς εκβιομηχανισμένων χωρών. Θα προτιμούσαμε να προσπαθήσουμε να καταλήξουμε σε συμφωνίες. Για παράδειγμα, παρόμοιες εταιρείες σε διαφορετικές χώρες θα μπορούσαν να ανταλλάξουν γνώσεις και να σκεφτούν από κοινού λύσεις. Εάν αυτό γινόταν, οι φτωχότερες χώρες θα μπορούσαν να συμμετέχουν περισσότερο στην προσέγγιση της κλιματικής αλλαγής. Θα μπορούσαν να συμμετάσχουν στον προβληματισμό και θα μπορούσαν επίσης να επωφεληθούν από κοινές λύσεις. </w:t>
      </w:r>
    </w:p>
    <w:p>
      <w:pPr>
        <w:pStyle w:val="P68B1DB1Normal113"/>
        <w:widowControl w:val="false"/>
        <w:spacing w:lineRule="auto" w:line="240" w:before="143" w:after="0"/>
        <w:ind w:left="0" w:right="0" w:hanging="0"/>
        <w:jc w:val="center"/>
        <w:rPr/>
      </w:pPr>
      <w:r>
        <w:rPr/>
        <w:t xml:space="preserve">Η προσέγγιση της κλιματικής αλλαγής δεν θα πρέπει να είναι ένας αγώνας δρόμου, αλλά μια συνεργασία.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Δημιουργία ενός συστήματος CO2 που να είναι δίκαιο και εφικτό στην πράξη </w:t>
      </w:r>
    </w:p>
    <w:p>
      <w:pPr>
        <w:pStyle w:val="P68B1DB1Normal104"/>
        <w:widowControl w:val="false"/>
        <w:spacing w:lineRule="auto" w:line="240"/>
        <w:ind w:left="0" w:right="0" w:hanging="0"/>
        <w:jc w:val="left"/>
        <w:rPr/>
      </w:pPr>
      <w:r>
        <w:rPr/>
        <w:t xml:space="preserve">Η προσέγγιση της ΕΕ για την κλιματική αλλαγή δίνει μεγάλη προσοχή στη μείωση των εκπομπών CO2. Οι Κάτω Χώρες θεωρούν ότι υπάρχει ανάγκη για ένα καλύτερο σύστημα για τον σκοπό αυτό, το οποίο θα επέτρεπε τη δίκαιη φορολόγηση τόσο των παραγωγών όσο και των καταναλωτών. Οι Ολλανδοί είναι διχασμένοι ως προς το αν οι χώρες με τους περισσότερους κατοίκους έχουν το δικαίωμα να εκπέμπουν περισσότερο CO2. Ορισμένες χώρες, για παράδειγμα, έχουν μια πολύ ρυπογόνο βιομηχανία. Από την άλλη πλευρά, άλλες χώρες έχουν πολλές ευκαιρίες να παράγουν πράσινη ενέργεια. Οι διαφορές αυτές πρέπει να ληφθούν υπόψη. Χωρίς αυτό να γίνεται πολύ περίπλοκο, γιατί το σύστημα πρέπει να είναι κατανοητό από όλους. </w:t>
      </w:r>
    </w:p>
    <w:p>
      <w:pPr>
        <w:pStyle w:val="P68B1DB1Normal129"/>
        <w:widowControl w:val="false"/>
        <w:spacing w:lineRule="auto" w:line="240" w:before="135" w:after="0"/>
        <w:ind w:left="0" w:right="0" w:hanging="0"/>
        <w:jc w:val="center"/>
        <w:rPr/>
      </w:pPr>
      <w:r>
        <w:rPr>
          <w:sz w:val="26"/>
        </w:rPr>
        <w:t>Οι βιομηχανικές χώρες εξάγουν πολλά. Ως εκ τούτου, πρέπει να επιβαρύνονται</w:t>
      </w:r>
      <w:r>
        <w:rPr>
          <w:position w:val="0"/>
          <w:sz w:val="17"/>
        </w:rPr>
        <w:t>αποκλειστικά με τον φόρο CO2</w:t>
      </w:r>
      <w:r>
        <w:rPr>
          <w:sz w:val="26"/>
        </w:rPr>
        <w:t xml:space="preserve">; Κατά τη γνώμη μου, ο καταναλωτής πρέπει επίσης να πληρώσει.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Επικοινωνήστε με έναν σαφέστερο και πιο θετικό τρόπο σχετικά με την κλιματική προσέγγιση </w:t>
      </w:r>
      <w:r>
        <w:rPr>
          <w:sz w:val="21"/>
        </w:rPr>
        <w:t xml:space="preserve">Οι Ολλανδοί ακούν πολλά για την κλιματική αλλαγή και διαβάζουν πολλά γι’ αυτήν. Ωστόσο, αυτό παραμένει ένα αφηρημένο και πολύπλοκο θέμα για πολλούς ανθρώπους. Συχνά γίνεται αντιληπτό ως κάτι που κοστίζει πολλά χρήματα, ενώ η προσέγγιση της κλιματικής αλλαγής δημιουργεί επίσης ευκαιρίες. Σκεφτόμαστε, για παράδειγμα, την τόνωση της τοπικής παραγωγής τροφίμων και την ανάπτυξη νέων και βιώσιμων τεχνολογιών. Η ΕΕ θα μπορούσε να εκθέσει αυτή την πτυχή πιο συχνά και αποτελεσματικότερα. Πιστεύουμε επίσης ότι οι αρχηγοί κυβερνήσεων των κρατών μελών θα μπορούσαν οι ίδιοι να αποτελέσουν καλύτερο παράδειγμα. Τα ταξίδια λιγότερο — για παράδειγμα μεταξύ Βρυξελλών και Στρασβούργου — και οι πιο συχνές διαδικτυακές συναντήσεις θα μπορούσαν, για παράδειγμα, να συμβάλουν στη στήριξη της βιωσιμότητας. </w:t>
      </w:r>
    </w:p>
    <w:p>
      <w:pPr>
        <w:pStyle w:val="P68B1DB1Normal113"/>
        <w:widowControl w:val="false"/>
        <w:spacing w:lineRule="auto" w:line="240" w:before="61" w:after="0"/>
        <w:ind w:left="0" w:right="0" w:hanging="0"/>
        <w:jc w:val="center"/>
        <w:rPr/>
      </w:pPr>
      <w:r>
        <w:rPr/>
        <w:t xml:space="preserve">Η βιωσιμότητα εξακολουθεί να θεωρείται πολύ συχνά ως κόστος. Θα πρέπει να θεωρηθεί ως ευκαιρία και όχι ως απειλή. </w:t>
      </w:r>
    </w:p>
    <w:p>
      <w:pPr>
        <w:pStyle w:val="P68B1DB1Normal126"/>
        <w:widowControl w:val="false"/>
        <w:spacing w:lineRule="auto" w:line="240" w:before="129" w:after="0"/>
        <w:ind w:left="0" w:right="0" w:hanging="0"/>
        <w:jc w:val="left"/>
        <w:rPr>
          <w:rFonts w:ascii="Calibri" w:hAnsi="Calibri"/>
          <w:color w:val="0070C0"/>
          <w:sz w:val="24"/>
        </w:rPr>
      </w:pPr>
      <w:r>
        <w:rPr/>
        <w:t xml:space="preserve">Διαδικτυακές και επιτόπιες συζητήσεις και ιδέες </w:t>
      </w:r>
    </w:p>
    <w:p>
      <w:pPr>
        <w:pStyle w:val="P68B1DB1Normal129"/>
        <w:widowControl w:val="false"/>
        <w:spacing w:lineRule="auto" w:line="240" w:before="78" w:after="0"/>
        <w:ind w:left="0" w:right="0" w:hanging="0"/>
        <w:jc w:val="left"/>
        <w:rPr/>
      </w:pPr>
      <w:r>
        <w:rPr>
          <w:sz w:val="21"/>
        </w:rPr>
        <w:t>Δεν πρέπει να θεωρούμε τις εκπομπές CO2 ως</w:t>
      </w:r>
      <w:r>
        <w:rPr>
          <w:position w:val="0"/>
          <w:sz w:val="14"/>
        </w:rPr>
        <w:t>δικαίωμα</w:t>
      </w:r>
      <w:r>
        <w:rPr>
          <w:sz w:val="21"/>
        </w:rPr>
        <w:t xml:space="preserve">, αλλά ως μια αμήχανη συνέπεια.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Έχω την εντύπωση ότι στην Ευρώπη αφιερώνουμε περισσότερο χρόνο μιλώντας για την κλιματική αλλαγή παρά για την ανάληψη πραγματικής δράσης για την αντιμετώπισή της.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Οι αυστηρότεροι κλιματικοί κανόνες θα μπορούσαν τελικά να αποδειχθούν επωφελείς για εμάς. Ως ήπειρος που δραστηριοποιείται στο εμπόριο, πρέπει να προσπαθήσουμε να δούμε ευκαιρίες εκεί.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Δεν μπορούμε να περιμένουμε άλλες ηπείρους. Δεν έχουμε χρόνο να περιμένουμε.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Η ΙΔΈΑ:</w:t>
      </w:r>
      <w:r>
        <w:rPr>
          <w:i/>
        </w:rPr>
        <w:t xml:space="preserve"> Επιβραβεύστε τις χώρες οικονομικά εάν αποδείξουν ότι η φύση και η βιοποικιλότητά τους αυξάνονται.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Η ΙΔΈΑ:</w:t>
      </w:r>
      <w:r>
        <w:rPr>
          <w:i/>
        </w:rPr>
        <w:t xml:space="preserve"> «Διέγερση του τουρισμού φιλικού προς τη φύση στις φτωχές περιφέρειες της ΕΕ.»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Μαθητές Επαγγελματικού Γυμνασίου Doetinchem: Τα μακρινά ταξίδια πρέπει να είναι προσβάσιμα σε όλους.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Η θέση ότι οι πτήσεις εντός της ΕΕ θα πρέπει να γίνουν ακριβότερες υποβλήθηκε στους φοιτητές του Graafschap College στο Doetinchem. Μερικοί μαθητές συμφώνησαν ότι πιο ακριβά εισιτήρια θα ενθαρρύνουν τους ανθρώπους να αναζητήσουν φθηνότερες εναλλακτικές λύσεις. Επιπλέον, τονίστηκε ότι η ΕΕ θα πρέπει στη συνέχεια να εξασφαλίσει πιο φιλικές προς το περιβάλλον επιλογές, όπως καλύτερες σιδηροδρομικές συνδέσεις. Άλλοι συμμετέχοντες ανέφεραν ότι δεν ήταν υπέρ των υψηλότερων τιμών των αεροπορικών εισιτηρίων. «Οι πλούσιοι άνθρωποι είναι αυτοί που ταξιδεύουν περισσότερο σήμερα και θα είναι σε θέση να πληρώσουν για αυτό εύκολα», δήλωσε ένας συμμετέχων. Οι υψηλές τιμές δεν θα τους εμποδίσουν να ταξιδέψουν. Ενώ οι μακρινές διακοπές θα γίνουν τότε αδύνατες για τους «συνήθεις» πολίτες. </w:t>
      </w:r>
    </w:p>
    <w:p>
      <w:pPr>
        <w:pStyle w:val="P68B1DB1Normal118"/>
        <w:widowControl w:val="false"/>
        <w:spacing w:lineRule="auto" w:line="240"/>
        <w:ind w:left="0" w:right="0" w:hanging="0"/>
        <w:jc w:val="left"/>
        <w:rPr/>
      </w:pPr>
      <w:r>
        <w:rPr/>
        <w:t xml:space="preserve">Γεωργοί φιλικοί προς τη φύση: «Η ΕΕ θα μπορούσε να συμβάλει στη διάδοση των γνώσεων σχετικά με βιώσιμες λύσεις.»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Η BoerenNatuur είναι ένωση αγροτών. Κατά τη διάρκεια του θεματικού διαλόγου, η συζήτηση επικεντρώθηκε στην κλιματική αλλαγή και το περιβάλλον. </w:t>
      </w:r>
    </w:p>
    <w:p>
      <w:pPr>
        <w:pStyle w:val="Normal"/>
        <w:widowControl w:val="false"/>
        <w:spacing w:lineRule="auto" w:line="240"/>
        <w:ind w:left="0" w:right="0" w:hanging="0"/>
        <w:jc w:val="left"/>
        <w:rPr/>
      </w:pPr>
      <w:r>
        <w:rPr>
          <w:rFonts w:ascii="Calibri" w:hAnsi="Calibri"/>
          <w:color w:val="000000"/>
          <w:sz w:val="21"/>
        </w:rPr>
        <w:t>Αυτό που είναι πιθανό να βελτιωθεί σύμφωνα με τους συμμετέχοντες είναι η εφαρμογή της νομοθεσίας και των κανονισμών της ΕΕ από διάφορες χώρες. Ο φάκελος για το άζωτο αναφέρθηκε ως παράδειγμα. «Η νομοθεσία της ΕΕ αναφέρει μόνο ότι μια φυσική περιοχή «δεν μπορεί να επιδεινωθεί». Αλλά στη νότια Ευρώπη, αυτή η έννοια ερμηνεύεται διαφορετικά από ό, τι στις Κάτω Χώρες.» Οι περισσότεροι από τους παρόντες συμφωνούν ότι η Ευρώπη πρέπει να διαδραματίσει ηγετικό ρόλο στην καταπολέμηση της κλιματικής αλλαγής. Και δεν πρέπει να είμαστε ικανοποιημένοι με την ομιλία, πρέπει να επιτύχουμε αποτελέσματα. Ειδικά μέσω της ανταλλαγής γνώσεων, οι αγρότες πιστεύουν. Στον αγροτικό τομέα, εργαζόμαστε για λύσεις για την</w:t>
      </w:r>
      <w:r>
        <w:rPr>
          <w:rFonts w:ascii="Calibri" w:hAnsi="Calibri"/>
          <w:color w:val="000000"/>
          <w:sz w:val="21"/>
        </w:rPr>
        <w:commentReference w:id="27"/>
      </w:r>
      <w:r>
        <w:rPr>
          <w:rFonts w:ascii="Calibri" w:hAnsi="Calibri"/>
          <w:color w:val="000000"/>
          <w:sz w:val="21"/>
        </w:rPr>
        <w:t xml:space="preserve"> επίτευξη καθαρότερης γεωργίας. Η ΕΕ πρέπει να συμβάλει στην ταχεία διάδοση των γνώσεων στον τομέα αυτό.» </w:t>
      </w:r>
      <w:r>
        <w:br w:type="page"/>
      </w:r>
    </w:p>
    <w:p>
      <w:pPr>
        <w:pStyle w:val="P68B1DB1Normal127"/>
        <w:widowControl w:val="false"/>
        <w:spacing w:lineRule="auto" w:line="240"/>
        <w:ind w:left="0" w:right="0" w:hanging="0"/>
        <w:jc w:val="left"/>
        <w:rPr/>
      </w:pPr>
      <w:r>
        <w:rPr>
          <w:b/>
          <w:color w:val="0070C0"/>
          <w:sz w:val="32"/>
        </w:rPr>
        <w:t>Μετανάστευση</w:t>
      </w:r>
      <w:r>
        <w:rPr>
          <w:color w:val="365F91"/>
          <w:sz w:val="28"/>
        </w:rPr>
        <w:t xml:space="preserve"> </w:t>
      </w:r>
      <w:r>
        <w:rPr>
          <w:color w:val="0070C0"/>
          <w:sz w:val="21"/>
        </w:rPr>
        <w:t xml:space="preserve">(Μετανάστευση και πρόσφυγες)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Τα σύνορα μεταξύ των κρατών μελών της ΕΕ είναι ανοιχτά. Ως εκ τούτου, η συνεργασία πραγματοποιείται εντός της ΕΕ, για παράδειγμα, όσον αφορά τη διαχείριση των εξωτερικών συνόρων και την καταπολέμηση της παράνομης διακίνησης μεταναστών. Συζητείται επίσης η δίκαιη κατανομή των προσφύγων μεταξύ των διαφόρων κρατών μελών της ΕΕ. Ποια είναι η άποψη των Κάτω Χωρών επ’ αυτού; </w:t>
      </w:r>
    </w:p>
    <w:p>
      <w:pPr>
        <w:pStyle w:val="P68B1DB1Normal126"/>
        <w:widowControl w:val="false"/>
        <w:spacing w:lineRule="auto" w:line="240" w:before="93" w:after="0"/>
        <w:ind w:left="0" w:right="0" w:hanging="0"/>
        <w:jc w:val="left"/>
        <w:rPr>
          <w:rFonts w:ascii="Calibri" w:hAnsi="Calibri"/>
          <w:color w:val="0070C0"/>
          <w:sz w:val="24"/>
        </w:rPr>
      </w:pPr>
      <w:r>
        <w:rPr/>
        <w:t xml:space="preserve">Συστάσεις — Το όραμά μας για τη μετανάστευση και τους πρόσφυγες </w:t>
      </w:r>
    </w:p>
    <w:p>
      <w:pPr>
        <w:pStyle w:val="P68B1DB1Normal120"/>
        <w:widowControl w:val="false"/>
        <w:spacing w:lineRule="auto" w:line="240" w:before="90" w:after="0"/>
        <w:ind w:left="0" w:right="0" w:hanging="0"/>
        <w:jc w:val="left"/>
        <w:rPr/>
      </w:pPr>
      <w:r>
        <w:rPr/>
        <w:t xml:space="preserve">Το 65 % των Ολλανδών πιστεύει ότι η μετανάστευση και οι πρόσφυγες αποτελούν σημαντικό ζήτημα και ότι η ΕΕ πρέπει να παρέμβει σε αυτόν τον τομέα.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Αποφύγετε ότι οι συζητήσεις σχετικά με το ζήτημα των προσφύγων είναι υπερβολικά περιορισμένες </w:t>
      </w:r>
    </w:p>
    <w:p>
      <w:pPr>
        <w:pStyle w:val="P68B1DB1Normal104"/>
        <w:widowControl w:val="false"/>
        <w:spacing w:lineRule="auto" w:line="240"/>
        <w:ind w:left="0" w:right="0" w:hanging="0"/>
        <w:jc w:val="left"/>
        <w:rPr/>
      </w:pPr>
      <w:r>
        <w:rPr/>
        <w:t xml:space="preserve">Το 70 % των Ολλανδών θεωρεί ότι τα εξωτερικά σύνορα της Ευρώπης πρέπει να προστατεύονται καλύτερα. Από αυτούς, το 72 % πιστεύει επίσης ότι σημαίνει επιστροφή περισσότερων προσφύγων σε ανασφαλείς χώρες. Οι Ολλανδοί πιστεύουν ότι πρέπει να δοθεί μεγαλύτερη προσοχή στους λόγους που οδηγούν τους ανθρώπους να εγκαταλείψουν μια μη ασφαλή χώρα. Αυτές οι αιτίες συνδέονται μερικές φορές με την κλιματική αλλαγή, μερικές φορές με πολέμους. Αυτά τα πλαίσια αναφέρονται συχνά μόνο με περιορισμένο τρόπο στη συζήτηση για το προσφυγικό ζήτημα. Η προστιθέμενη αξία που φέρνουν αυτοί οι πρόσφυγες σε μια χώρα επίσης σπανίως αντιμετωπίζεται. Τέλος, πιστεύουμε ότι η ΕΕ πρέπει να κάνει σαφέστερη διάκριση μεταξύ των ατόμων από ανασφαλείς περιοχές που παρουσιάζονται στα σύνορα και των οικονομικών προσφύγων. Συνοπτικά, διαπιστώνουμε ότι οι συζητήσεις για τη μετανάστευση και τους πρόσφυγες γενικά στερούνται πλαισίου και αποχρώσεων. Οι ευρωπαίοι πολιτικοί θα μπορούσαν να διορθώσουν αυτή την κατάσταση δίνοντας το παράδειγμα. </w:t>
      </w:r>
    </w:p>
    <w:p>
      <w:pPr>
        <w:pStyle w:val="P68B1DB1Normal113"/>
        <w:widowControl w:val="false"/>
        <w:spacing w:lineRule="auto" w:line="240" w:before="173" w:after="0"/>
        <w:ind w:left="0" w:right="0" w:hanging="0"/>
        <w:jc w:val="center"/>
        <w:rPr/>
      </w:pPr>
      <w:r>
        <w:rPr/>
        <w:t xml:space="preserve">Πρέπει να συνεχίσουμε να θεωρούμε τους πρόσφυγες πρωτίστως ως συμπολίτες μας. Γιατί σχεδόν κανείς δεν θα εγκαταλείψει ένα άτομο που βρίσκεται σε κίνδυνο.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Καθορισμός της δίκαιης και πρακτικής κατανομής των προσφύγων </w:t>
      </w:r>
    </w:p>
    <w:p>
      <w:pPr>
        <w:pStyle w:val="P68B1DB1Normal104"/>
        <w:widowControl w:val="false"/>
        <w:spacing w:lineRule="auto" w:line="240"/>
        <w:ind w:left="0" w:right="0" w:hanging="0"/>
        <w:jc w:val="both"/>
        <w:rPr/>
      </w:pPr>
      <w:r>
        <w:rPr/>
        <w:t xml:space="preserve">Μια ευρωπαϊκή υπηρεσία μετανάστευσης θα πρέπει να διασφαλίζει τη δίκαιη κατανομή των προσφύγων μεταξύ των κρατών μελών της ΕΕ. Οι Κάτω Χώρες θεωρούν επίσης ότι πρέπει να καθοριστούν σαφή κριτήρια για τον καθορισμό της δίκαιης κατανομής. Ένα καλό κοινωνικό σύστημα μπορεί, για παράδειγμα, να καταστήσει μια χώρα ελκυστική για τους πρόσφυγες, αλλά άλλοι παράγοντες είναι επίσης σημαντικοί τόσο για τους πρόσφυγες όσο και για τη συγκεκριμένη χώρα. Στις Κάτω Χώρες, αντιμετωπίζουμε έλλειψη στέγης, ενώ ορισμένες χώρες ή τομείς χρειάζονται απλώς περισσότερους μετανάστες εργαζόμενους. Θεωρούμε σημαντικό για την ΕΕ να λάβει αυτό υπόψη κατά τη διανομή των προσφύγων. Σαφείς μηχανισμοί όχι μόνο εγγυώνται τη διαφάνεια, αλλά και λιγότερες διαφωνίες, κάτι που τελικά είναι προς το συμφέρον όλων. </w:t>
      </w:r>
    </w:p>
    <w:p>
      <w:pPr>
        <w:pStyle w:val="P68B1DB1Normal113"/>
        <w:widowControl w:val="false"/>
        <w:spacing w:lineRule="auto" w:line="240" w:before="173" w:after="0"/>
        <w:ind w:left="0" w:right="0" w:hanging="0"/>
        <w:jc w:val="center"/>
        <w:rPr/>
      </w:pPr>
      <w:r>
        <w:rPr/>
        <w:t xml:space="preserve">Οι πρόσφυγες πρέπει επίσης να είναι σε θέση να εκφράσουν τα ταλέντα τους σε μια χώρα προορισμού.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Αξιοποίηση των γνώσεων και της πείρας που αποκτήθηκε για να βοηθήσει τις προσφυγικές περιφέρειες καταγωγής </w:t>
      </w:r>
    </w:p>
    <w:p>
      <w:pPr>
        <w:pStyle w:val="P68B1DB1Normal104"/>
        <w:widowControl w:val="false"/>
        <w:spacing w:lineRule="auto" w:line="240" w:before="86" w:after="0"/>
        <w:ind w:left="0" w:right="0" w:hanging="0"/>
        <w:jc w:val="left"/>
        <w:rPr/>
      </w:pPr>
      <w:r>
        <w:rPr/>
        <w:t xml:space="preserve">Το 67 % των Ολλανδών πιστεύει ότι η ΕΕ πρέπει να βοηθήσει περαιτέρω τις ανασφαλείς περιοχές για να αναχαιτίσει τις προσφυγικές ροές. Αντιλαμβανόμαστε ότι οι πρόσφυγες δεν εγκαταλείπουν τη χώρα τους με απλή επιλογή. Επομένως, πρέπει να εξετάσουμε τα αίτια, όπως η κλιματική αλλαγή ή οι συγκρούσεις, που καθιστούν τις περιοχές μη ασφαλείς ή μη βιώσιμες. Η ΕΕ μπορεί να βοηθήσει τις προσφυγικές περιφέρειες όχι μόνο με οικονομική στήριξη, αλλά και μέσω της γνώσης. Στις Κάτω Χώρες, για παράδειγμα, έχουμε ισχυρές δεξιότητες στον τομέα της γεωργίας. Με τις σύγχρονες τεχνικές καλλιέργειας, μπορούμε να βοηθήσουμε άλλες χώρες να αντιμετωπίσουν καλύτερα τις ξηρασίες και την αλάτωση. Και οι άνθρωποι που έχουν καταφύγει στην Ευρώπη μπορούν να παρακολουθήσουν κατάρτιση σε μια ευρωπαϊκή χώρα και στη συνέχεια να βοηθήσουν οι ίδιοι τη χώρα καταγωγής τους.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Διαδικτυακές και επιτόπιες συζητήσεις και ιδέες </w:t>
      </w:r>
    </w:p>
    <w:p>
      <w:pPr>
        <w:pStyle w:val="P68B1DB1Normal118"/>
        <w:widowControl w:val="false"/>
        <w:spacing w:lineRule="auto" w:line="240" w:before="85" w:after="0"/>
        <w:ind w:left="0" w:right="0" w:hanging="0"/>
        <w:jc w:val="left"/>
        <w:rPr/>
      </w:pPr>
      <w:r>
        <w:rPr/>
        <w:t xml:space="preserve">«Η ΕΕ πρέπει να θέσει σε εφαρμογή ταχύτερες διαδικασίες ασύλου. Έτσι, θα υπάρχει περισσότερος χώρος για τους ανθρώπους που πραγματικά το χρειάζονται. </w:t>
      </w:r>
    </w:p>
    <w:p>
      <w:pPr>
        <w:pStyle w:val="P68B1DB1Normal118"/>
        <w:widowControl w:val="false"/>
        <w:spacing w:lineRule="auto" w:line="240"/>
        <w:ind w:left="0" w:right="0" w:hanging="0"/>
        <w:jc w:val="left"/>
        <w:rPr/>
      </w:pPr>
      <w:r>
        <w:rPr/>
        <w:t xml:space="preserve">Γνωρίζω πολλούς νέους γύρω μου που θέλουν να αγοράσουν ένα σπίτι, αλλά που δεν βρίσκουν τίποτα προσιτό, ενώ οι πρόσφυγες βλέπουν τους εαυτούς τους να προσφέρουν στέγαση. Δυσκολεύομαι να το δεχτώ. </w:t>
      </w:r>
    </w:p>
    <w:p>
      <w:pPr>
        <w:pStyle w:val="P68B1DB1Normal118"/>
        <w:widowControl w:val="false"/>
        <w:spacing w:lineRule="auto" w:line="240"/>
        <w:ind w:left="0" w:right="0" w:hanging="0"/>
        <w:jc w:val="left"/>
        <w:rPr/>
      </w:pPr>
      <w:r>
        <w:rPr/>
        <w:t xml:space="preserve">Η κλιματική αλλαγή θα συνεχίσει να οδηγεί σε εκτοπισμό του πληθυσμού ούτως ή άλλως. Δεν μπορούμε να σταματήσουμε αυτές τις ροές, αλλά μπορούμε πιθανώς να τις ρυθμίσουμε καλύτερα. </w:t>
      </w:r>
    </w:p>
    <w:p>
      <w:pPr>
        <w:pStyle w:val="P68B1DB1Normal118"/>
        <w:widowControl w:val="false"/>
        <w:spacing w:lineRule="auto" w:line="240"/>
        <w:ind w:left="0" w:right="0" w:hanging="0"/>
        <w:jc w:val="left"/>
        <w:rPr/>
      </w:pPr>
      <w:r>
        <w:rPr/>
        <w:t xml:space="preserve">Ζω στο Μπέτουουε. Κατά τη διάρκεια της εποχής των αχλαδιών και των μήλων, χρειαζόμαστε απλώς πολλούς μετανάστες εργάτες. </w:t>
      </w:r>
    </w:p>
    <w:p>
      <w:pPr>
        <w:pStyle w:val="P68B1DB1Normal118"/>
        <w:widowControl w:val="false"/>
        <w:spacing w:lineRule="auto" w:line="240"/>
        <w:ind w:left="0" w:right="0" w:hanging="0"/>
        <w:jc w:val="left"/>
        <w:rPr/>
      </w:pPr>
      <w:r>
        <w:rPr/>
        <w:t xml:space="preserve">Οι ανασφαλείς περιοχές δεν είναι ασφαλείς για το τίποτα, οι δημόσιες αρχές είναι συχνά αναξιόπιστες. Πώς μπορούμε να ξέρουμε πού πηγαίνουν η βοήθεια και τα χρήματά μας; </w:t>
      </w:r>
    </w:p>
    <w:p>
      <w:pPr>
        <w:pStyle w:val="P68B1DB1Normal104"/>
        <w:widowControl w:val="false"/>
        <w:spacing w:lineRule="auto" w:line="240"/>
        <w:ind w:left="0" w:right="0" w:hanging="0"/>
        <w:jc w:val="left"/>
        <w:rPr/>
      </w:pPr>
      <w:r>
        <w:rPr/>
        <w:t xml:space="preserve">Η ΙΔΈΑ: </w:t>
      </w:r>
      <w:r>
        <w:rPr>
          <w:i/>
        </w:rPr>
        <w:t>Να εξετάσουν επίσης τοπικές στρατηγικές, όπως η συμμετοχή των πολιτών στην τοπική υποδοχή των προσφύγων και η χρηματοδότηση τοπικών πρωτοβουλιών ένταξης.</w:t>
      </w:r>
    </w:p>
    <w:p>
      <w:pPr>
        <w:pStyle w:val="P68B1DB1Normal104"/>
        <w:widowControl w:val="false"/>
        <w:spacing w:lineRule="auto" w:line="240"/>
        <w:ind w:left="0" w:right="0" w:hanging="0"/>
        <w:jc w:val="left"/>
        <w:rPr/>
      </w:pPr>
      <w:r>
        <w:rPr/>
        <w:t>Η ΙΔΈΑ:</w:t>
      </w:r>
      <w:r>
        <w:rPr>
          <w:i/>
        </w:rPr>
        <w:t xml:space="preserve"> Δημιουργία μίνι κατοικιών σε πόλεις όπου οι πρόσφυγες θα μπορούσαν να ζήσουν κατά την άφιξή τους. Αυτό θα μείωνε την πίεση στην αγορά στέγασης και θα αύξανε τη δημόσια στήριξη για την υποδοχή αυτών των ατόμων. </w:t>
      </w:r>
    </w:p>
    <w:p>
      <w:pPr>
        <w:pStyle w:val="P68B1DB1Normal118"/>
        <w:widowControl w:val="false"/>
        <w:spacing w:lineRule="auto" w:line="240"/>
        <w:ind w:left="0" w:right="0" w:hanging="0"/>
        <w:jc w:val="left"/>
        <w:rPr/>
      </w:pPr>
      <w:r>
        <w:rPr/>
        <w:t xml:space="preserve">Εθελοντές που ήταν οι ίδιοι πρόσφυγες: Στην Ευρώπη, οι άνθρωποι συχνά μένουν μακριά ο ένας από τον άλλο.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Το Taal Doet Meer είναι ένας εθελοντής οργανισμός που διασφαλίζει ότι οι νέοι κάτοικοι της Ουτρέχτης μπορούν να συμμετέχουν στην κοινωνία. Ο θεματικός διάλογος με την οργάνωση αυτή επικεντρώθηκε όχι μόνο στη μετανάστευση, αλλά και κυρίως στην ένταξη. Αρκετοί συμμετέχοντες έφτασαν στην Ολλανδία ως πρόσφυγες, συμπεριλαμβανομένου ενός από τη Συρία. Μετά από επτά χρόνια, ακόμα δεν αισθάνομαι Ολλανδός. Επίσης, δεν βρήκα δουλειά, παρόλο που πήρα μεταπτυχιακό. Σημειώνω ότι οι ευρωπαϊκές χώρες ανησυχούν πρωτίστως για τον εαυτό τους και δεν είναι ιδιαίτερα ανοιχτές σε άλλες χώρες και πολιτισμούς». Ένας άλλος συμμετέχων σημείωσε ότι οι Ευρωπαίοι συχνά παραμένουν μακριά ο ένας από τον άλλο. Οι περισσότεροι άνθρωποι είναι μόνοι. όλοι μένουν στη γωνία τους. Βρίσκω, από την πλευρά μου, ότι κάποιος πρέπει να μιλάει ο ένας με τον άλλον και ότι μπορεί να μάθει ο ένας από τον άλλον.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Νέοι από το Εθνικό Συμβούλιο Νεολαίας: Πρέπει να αφήσεις τους ανθρώπους να μπουν μόνο αν μπορείς να τους φροντίσεις. </w:t>
      </w:r>
    </w:p>
    <w:p>
      <w:pPr>
        <w:pStyle w:val="P68B1DB1Normal104"/>
        <w:widowControl w:val="false"/>
        <w:spacing w:lineRule="auto" w:line="240"/>
        <w:ind w:left="0" w:right="0" w:hanging="0"/>
        <w:jc w:val="both"/>
        <w:rPr/>
      </w:pPr>
      <w:r>
        <w:rPr/>
        <w:t xml:space="preserve">Στην Ουτρέχτη, μέλη διαφόρων ομάδων εργασίας του Εθνικού Συμβουλίου Νεολαίας (CNJ) διεξήγαγαν συζήτηση. Οι συμμετέχοντες (ηλικίας 16-23) πιστεύουν ότι κατά τη διανομή των προσφύγων στην Ευρώπη, πρέπει να ληφθούν υπόψη διάφορες πτυχές, όπως ο αριθμός των κατοίκων, το μέγεθος της χώρας, η ευημερία και ο αριθμός των κέντρων αιτούντων άσυλο. «Οι πρόσφυγες θα πρέπει να επιτρέπεται να εισέρχονται στη χώρα μόνο αν μπορούν να φροντίσουν», είπε ένας από αυτούς. </w:t>
      </w:r>
    </w:p>
    <w:p>
      <w:pPr>
        <w:pStyle w:val="Normal"/>
        <w:widowControl w:val="false"/>
        <w:spacing w:lineRule="auto" w:line="240"/>
        <w:ind w:left="0" w:right="0" w:hanging="0"/>
        <w:jc w:val="left"/>
        <w:rPr/>
      </w:pPr>
      <w:r>
        <w:rPr>
          <w:rFonts w:ascii="Calibri" w:hAnsi="Calibri"/>
          <w:color w:val="000000"/>
          <w:sz w:val="21"/>
        </w:rPr>
        <w:t xml:space="preserve">Οι νέοι θεωρούν επίσης ότι πρέπει να υπάρξουν συνέπειες όταν οι χώρες δεν εκπληρώνουν τις δεσμεύσεις τους όσον αφορά τη φιλοξενία προσφύγων. Πρέπει, για παράδειγμα, να τους επιβληθεί πρόστιμο. «Και οι πρόσφυγες πρέπει επίσης να έχουν λόγο στο πού θα πάνε», είπε κάποιος. Για παράδειγμα, αν έχουν ήδη οικογένεια κάπου, δεν μπορούμε να τους στείλουμε κάπου αλλού.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ΥΓΕΙΑ </w:t>
      </w:r>
    </w:p>
    <w:p>
      <w:pPr>
        <w:pStyle w:val="P68B1DB1Normal130"/>
        <w:widowControl w:val="false"/>
        <w:spacing w:lineRule="auto" w:line="240"/>
        <w:ind w:left="0" w:right="0" w:hanging="0"/>
        <w:jc w:val="left"/>
        <w:rPr>
          <w:rFonts w:ascii="Calibri" w:hAnsi="Calibri"/>
          <w:color w:val="0070C0"/>
          <w:sz w:val="21"/>
        </w:rPr>
      </w:pPr>
      <w:r>
        <w:rPr/>
        <w:t xml:space="preserve">(Υγειονομική περίθαλψη) </w:t>
      </w:r>
    </w:p>
    <w:p>
      <w:pPr>
        <w:pStyle w:val="P68B1DB1Normal104"/>
        <w:widowControl w:val="false"/>
        <w:spacing w:lineRule="auto" w:line="240"/>
        <w:ind w:left="0" w:right="0" w:hanging="0"/>
        <w:jc w:val="left"/>
        <w:rPr/>
      </w:pPr>
      <w:r>
        <w:rPr/>
        <w:t xml:space="preserve">Μολονότι η υγειονομική περίθαλψη αποτελεί πρωτίστως ευθύνη των επιμέρους χωρών, μπορεί να υποστηριχθεί και να ενισχυθεί από τις πολιτικές της ΕΕ, για παράδειγμα για την αντιμετώπιση της πανδημίας COVID-19 ή άλλων (μελλοντικών) κρίσεων στον τομέα της υγείας, ή στο πλαίσιο έρευνας σύμπραξης για σοβαρές ασθένειες. Ποια είναι η άποψη των Κάτω Χωρών επ’ αυτού; </w:t>
      </w:r>
    </w:p>
    <w:p>
      <w:pPr>
        <w:pStyle w:val="P68B1DB1Normal126"/>
        <w:widowControl w:val="false"/>
        <w:spacing w:lineRule="auto" w:line="240" w:before="14" w:after="0"/>
        <w:ind w:left="0" w:right="0" w:hanging="0"/>
        <w:jc w:val="left"/>
        <w:rPr>
          <w:rFonts w:ascii="Calibri" w:hAnsi="Calibri"/>
          <w:color w:val="0070C0"/>
          <w:sz w:val="24"/>
        </w:rPr>
      </w:pPr>
      <w:r>
        <w:rPr/>
        <w:t xml:space="preserve">Συστάσεις — Το όραμά μας για την υγειονομική περίθαλψη </w:t>
      </w:r>
    </w:p>
    <w:p>
      <w:pPr>
        <w:pStyle w:val="P68B1DB1Normal120"/>
        <w:widowControl w:val="false"/>
        <w:spacing w:lineRule="auto" w:line="240"/>
        <w:ind w:left="0" w:right="0" w:hanging="0"/>
        <w:jc w:val="left"/>
        <w:rPr/>
      </w:pPr>
      <w:r>
        <w:rPr/>
        <w:t xml:space="preserve">Το 64 % των Κάτω Χωρών πιστεύει ότι η υγειονομική περίθαλψη αποτελεί σημαντικό ζήτημα και ότι η ΕΕ πρέπει να παρέμβει σε αυτόν τον τομέα. </w:t>
      </w:r>
    </w:p>
    <w:p>
      <w:pPr>
        <w:pStyle w:val="P68B1DB1Normal111"/>
        <w:widowControl w:val="false"/>
        <w:spacing w:lineRule="auto" w:line="240" w:before="2" w:after="0"/>
        <w:ind w:left="0" w:right="0" w:hanging="0"/>
        <w:jc w:val="left"/>
        <w:rPr>
          <w:rFonts w:ascii="Calibri" w:hAnsi="Calibri"/>
          <w:b/>
          <w:b/>
          <w:color w:val="000000"/>
          <w:sz w:val="22"/>
        </w:rPr>
      </w:pPr>
      <w:r>
        <w:rPr/>
        <w:t xml:space="preserve">1. Να έχουν καλύτερο έλεγχο στη διαχείριση μιας πανδημίας </w:t>
      </w:r>
    </w:p>
    <w:p>
      <w:pPr>
        <w:pStyle w:val="P68B1DB1Normal104"/>
        <w:widowControl w:val="false"/>
        <w:spacing w:lineRule="auto" w:line="240"/>
        <w:ind w:left="0" w:right="0" w:hanging="0"/>
        <w:jc w:val="left"/>
        <w:rPr/>
      </w:pPr>
      <w:r>
        <w:rPr/>
        <w:t xml:space="preserve">Το 83 % των Ολλανδών πιστεύει ότι οι χώρες της ΕΕ πρέπει να συνεργαστούν περισσότερο για την πρόληψη της εξάπλωσης μιας μεταδοτικής νόσου σε όλο τον κόσμο. Επειδή ένας ιός δεν γνωρίζει σύνορα. Αυτό μπορούμε να το δούμε κατά τη διάρκεια της τρέχουσας πανδημίας. Οι πολιτικές εντός της ΕΕ μερικές φορές συγχέονται. Αυτό δεν είναι καλό για τη συμμόρφωση με τους κανόνες. Πιστεύουμε ότι οι κανόνες για την καταπολέμηση της εξάπλωσης ενός ιού στην Ευρώπη πρέπει να συντονιστούν καλύτερα, χωρίς απαραίτητα να είναι οι ίδιοι παντού. Πρέπει να υπάρχει χώρος για τοπικές επιλογές. Όχι μόνο επειδή ο αριθμός των μολύνσεων μπορεί να διαφέρει, αλλά και επειδή υπάρχουν διαφορετικές κουλτούρες στην Ευρώπη. Ορισμένα μέτρα λειτουργούν καλύτερα σε ορισμένες χώρες από ό, τι σε άλλες. </w:t>
      </w:r>
    </w:p>
    <w:p>
      <w:pPr>
        <w:pStyle w:val="P68B1DB1Normal113"/>
        <w:widowControl w:val="false"/>
        <w:spacing w:lineRule="auto" w:line="240" w:before="164" w:after="0"/>
        <w:ind w:left="0" w:right="0" w:hanging="0"/>
        <w:jc w:val="center"/>
        <w:rPr/>
      </w:pPr>
      <w:r>
        <w:rPr/>
        <w:t xml:space="preserve">Ζω στην Ολλανδία, στα σύνορα με τη Γερμανία. Τα διάφορα μέτρα που έλαβαν οι δύο χώρες για την καταπολέμηση του κορονοϊού με τρελαίνουν.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Εξασφάλιση της διαθεσιμότητας οικονομικά προσιτών και αξιόπιστων φαρμάκων για όλους</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Το 71 % των Κάτω Χωρών πιστεύει ότι η ΕΕ πρέπει να διασφαλίσει ότι χρειαζόμαστε λιγότερες τρίτες χώρες για την ανάπτυξη, την παραγωγή και την παράδοση φαρμάκων. Αλλά αν αυτό σημαίνει ότι περιμένετε περισσότερο για να έχετε φάρμακα, οι απόψεις είναι διχασμένες. Οι Κάτω Χώρες πιστεύουν ότι η παραγωγή και η διανομή φαρμάκων είναι ένα περίπλοκο ζήτημα. Από τη μία πλευρά, το κόστος της υγειονομικής περίθαλψης αυξάνεται κατακόρυφα στις Κάτω Χώρες, οπότε θεωρούμε σημαντικό να διατηρηθούν στο χαμηλότερο δυνατό επίπεδο. Από την άλλη πλευρά, θέλουμε να είμαστε σε θέση να εμπιστευτούμε τα ναρκωτικά, ακόμη και όταν προέρχονται από μακριά. Δεν πρέπει μόνο να είναι ποιοτικές, αλλά και να παράγονται με βιώσιμο και ηθικά υπεύθυνο τρόπο. Σε γενικές γραμμές, πιστεύουμε ότι τα σημαντικά φάρμακα πρέπει να είναι προσβάσιμα σε όλους, συμπεριλαμβανομένων των φτωχότερων χωρών. </w:t>
      </w:r>
    </w:p>
    <w:p>
      <w:pPr>
        <w:pStyle w:val="P68B1DB1Normal113"/>
        <w:widowControl w:val="false"/>
        <w:spacing w:lineRule="auto" w:line="240" w:before="167" w:after="0"/>
        <w:ind w:left="0" w:right="0" w:hanging="0"/>
        <w:jc w:val="both"/>
        <w:rPr/>
      </w:pPr>
      <w:r>
        <w:rPr/>
        <w:t>Το κόστος της υγειονομικής περίθαλψης είναι ήδη δυσβάσταχτο. Γι’ αυτό πρέπει επίσης να προσπαθήσουμε να αγοράσουμε τα νέα φάρμακα στη χαμηλότερη δυνατή τιμή.</w:t>
      </w:r>
      <w:r>
        <w:rPr>
          <w:b/>
        </w:rPr>
        <w:t xml:space="preserve"> </w:t>
      </w:r>
    </w:p>
    <w:p>
      <w:pPr>
        <w:pStyle w:val="P68B1DB1Normal111"/>
        <w:widowControl w:val="false"/>
        <w:spacing w:lineRule="auto" w:line="240" w:before="131" w:after="0"/>
        <w:ind w:left="0" w:right="0" w:hanging="0"/>
        <w:jc w:val="left"/>
        <w:rPr/>
      </w:pPr>
      <w:r>
        <w:rPr/>
        <w:t xml:space="preserve">3. Οι χώρες πρέπει να επικεντρωθούν στη βελτίωση των συστημάτων υγείας τους και να τα καταστήσουν πιο δίκαια </w:t>
      </w:r>
    </w:p>
    <w:p>
      <w:pPr>
        <w:pStyle w:val="P68B1DB1Normal104"/>
        <w:widowControl w:val="false"/>
        <w:spacing w:lineRule="auto" w:line="240" w:before="85" w:after="0"/>
        <w:ind w:left="0" w:right="0" w:hanging="0"/>
        <w:jc w:val="left"/>
        <w:rPr/>
      </w:pPr>
      <w:r>
        <w:rPr/>
        <w:t xml:space="preserve">Οι Κάτω Χώρες νοιάζονται πολύ για την υγειονομική περίθαλψη, και η ανησυχία αυτή υπερβαίνει τον αντίκτυπο της πανδημίας COVID-19. Γνωρίζουμε, για παράδειγμα, προβλήματα διαρθρωτικής ικανότητας στα νοσοκομεία. Ορισμένοι Ολλανδοί δεν έχουν εμπιστοσύνη στις επιπτώσεις των δυνάμεων της αγοράς στον τομέα της υγειονομικής περίθαλψης. Κατανοούμε ότι οι φαρμακευτικές εταιρείες πρέπει να αποσβέσουν τις επενδύσεις τους και ότι τα ταμεία ασφάλισης υγείας θέλουν φθηνή υγειονομική περίθαλψη, αλλά οι μεγάλες εταιρείες δεν πρέπει να καταχρώνται τη δύναμή τους. Η ΕΕ θα πρέπει να θεσπίσει κανόνες για το θέμα αυτό. Πιστεύουμε επίσης ότι η υγειονομική περίθαλψη είναι πρωτίστως εθνικό ζήτημα. Οι χώρες γνωρίζουν καλύτερα ποια είναι τα προβλήματα και οι προτεραιότητες σε τοπικό επίπεδο. Ωστόσο, θεωρούμε σημαντικό οι ευρωπαϊκές χώρες να μπορούν να διδαχθούν η μία από την άλλη προκειμένου να βελτιώσουν την υγειονομική περίθαλψη.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Διαδικτυακές και επιτόπιες συζητήσεις και ιδέες </w:t>
      </w:r>
    </w:p>
    <w:p>
      <w:pPr>
        <w:pStyle w:val="P68B1DB1Normal118"/>
        <w:widowControl w:val="false"/>
        <w:spacing w:lineRule="auto" w:line="240" w:before="95" w:after="0"/>
        <w:ind w:left="0" w:right="0" w:hanging="0"/>
        <w:jc w:val="left"/>
        <w:rPr/>
      </w:pPr>
      <w:r>
        <w:rPr/>
        <w:t xml:space="preserve">Όσον αφορά τη διαθεσιμότητα φαρμάκων στην Ευρώπη, θα μπορούσαμε επίσης να είμαστε λίγο πιο οικονομικοί. Πετάμε πάρα πολλά από αυτά σήμερα.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Είναι πολύ καλό που η Γερμανία καλωσόρισε ασθενείς από τις Κάτω Χώρες με COVID-19. Θα ήθελα να δω μεγαλύτερη αλληλεγγύη στην Ευρώπη.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Όπου κι αν ζείτε στην ΕΕ και αν είστε πλούσιοι ή φτωχοί, όλοι έχουν δικαίωμα σε ποιοτική φροντίδα.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Όταν αγοράζετε ναρκωτικά, πρέπει να εξετάσετε όχι μόνο το κόστος, αλλά και την ηθική. Αυτό σημαίνει, για παράδειγμα, ότι η παιδική εργασία δεν πρέπει να χρησιμοποιείται.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Η ΙΔΈΑ:</w:t>
      </w:r>
      <w:r>
        <w:rPr>
          <w:i/>
        </w:rPr>
        <w:t xml:space="preserve"> «Βελτίωση της υγείας των Ευρωπαίων μέσω της εξασφάλισης μικρότερης πίεσης. Για παράδειγμα, να μειωθεί η διάρκεια της εργάσιμης εβδομάδας.»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Η ΙΔΈΑ:</w:t>
      </w:r>
      <w:r>
        <w:rPr>
          <w:i/>
        </w:rPr>
        <w:t xml:space="preserve"> Επιτρέποντας στους νέους να κάνουν πιο υγιεινές επιλογές μέσα από σοβαρά παιχνίδια επαυξημένης πραγματικότητας.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Των κατοίκων της Ουτρέχτης μαροκινής καταγωγής: Η υγεία μπορεί να έχει μια συγκεκριμένη τιμή.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Το Ίδρυμα Marokkaans Dialoog Overvecht (MDO) (Μαροκινός διάλογος στο Overvecht) είναι αφιερωμένο στη συμμετοχή της μαροκινής κοινότητας στην περιοχή Overvecht της Ουτρέχτης. Για τον σκοπό αυτό, ενθαρρύνει τον διάλογο στη γειτονία και, ως εκ τούτου, καταπολεμά τις ανισότητες. Οι συμμετέχοντες στον θεματικό διάλογο στο πλαίσιο του «Οράματος της Ευρώπης» θεωρούν ότι η ευρωπαϊκή συνεργασία είναι πολύ χρήσιμη. Ωστόσο, ορισμένοι θεωρούν ότι οι Κάτω Χώρες είναι μερικές φορές υπερβολικά εξαρτημένες από άλλες χώρες. Η διαχείριση της κρίσης COVID-19 αναφέρθηκε ως παράδειγμα εν προκειμένω. Οι πολυάριθμες διαβουλεύσεις στην Ευρώπη είχαν ως αποτέλεσμα, σύμφωνα με τους συμμετέχοντες, ότι οι Κάτω Χώρες άρχισαν πολύ αργά τον εμβολιασμό κατά της COVID-19. «Ίσως θα κοστίσει περισσότερο αν η Ολλανδία θέλει να αποφασίσει περισσότερα από μόνη της», είπε κάποιος. Αλλά πρόκειται για την υγεία, μπορεί να κοστίσει λίγο περισσότερο.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Από τους μαθητές του Helmond: Είναι προτιμότερο να μαθαίνουμε έξυπνα ο ένας από τον άλλον παρά να ακολουθούμε την ίδια προσέγγιση.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Στο Knippenberg College στο Helmond, φοιτητές ηλικίας περίπου 16 ετών συζήτησαν την ευρωπαϊκή διαχείριση της πανδημίας COVID-19. Ορισμένοι πιστεύουν ότι τα κράτη μέλη της ΕΕ θα έπρεπε να έχουν καθορίσει από κοινού το πρόγραμμα εμβολιασμού. Οι περισσότεροι συμμετέχοντες θεώρησαν ότι οι ίδιες οι χώρες είχαν καλύτερη ιδέα για το τι χρειάζεται και τι λειτουργεί. Ως εκ τούτου, είναι σε θέση, σύμφωνα με αυτούς, να αποφασίσουν τι είναι σωστό για τον πληθυσμό. Γνωρίζουν καλύτερα, για παράδειγμα, ποιοι τομείς χρειάζονται πρώτα εμβολιασμό και ποιοι μπορούν να περιμένουν. «Είναι φυσικά πολύ καλό για τις χώρες να διαβουλεύονται μεταξύ τους», δήλωσε ένας από τους μαθητές. Αν πολλές χώρες έχουν τη δική τους προσέγγιση, μπορούν να παρατηρήσουν τι κάνουν οι άλλοι και να μάθουν η μία από την άλλη.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Ο ρόλος της ΕΕ στον κόσμο </w:t>
      </w:r>
    </w:p>
    <w:p>
      <w:pPr>
        <w:pStyle w:val="P68B1DB1Normal104"/>
        <w:widowControl w:val="false"/>
        <w:spacing w:lineRule="auto" w:line="240" w:before="126" w:after="0"/>
        <w:ind w:left="0" w:right="0" w:hanging="0"/>
        <w:jc w:val="left"/>
        <w:rPr/>
      </w:pPr>
      <w:r>
        <w:rPr/>
        <w:t xml:space="preserve">Ο κόσμος αντιμετωπίζει μεγάλες προκλήσεις. Η ΕΕ είναι πεπεισμένη ότι ζητήματα όπως η κλιματική αλλαγή και οι πανδημίες μπορούν να αντιμετωπιστούν μόνο μέσω της παγκόσμιας συνεργασίας. Η ΕΕ επιθυμεί να ακουστεί η φωνή της στην παγκόσμια σκηνή από αυτή την άποψη, για παράδειγμα, μαζί με τις ΗΠΑ και την Κίνα. Ποια είναι η άποψη των Κάτω Χωρών επ’ αυτού; </w:t>
      </w:r>
    </w:p>
    <w:p>
      <w:pPr>
        <w:pStyle w:val="P68B1DB1Normal126"/>
        <w:widowControl w:val="false"/>
        <w:spacing w:lineRule="auto" w:line="240" w:before="125" w:after="0"/>
        <w:ind w:left="0" w:right="0" w:hanging="0"/>
        <w:jc w:val="left"/>
        <w:rPr>
          <w:rFonts w:ascii="Calibri" w:hAnsi="Calibri"/>
          <w:color w:val="0070C0"/>
          <w:sz w:val="24"/>
        </w:rPr>
      </w:pPr>
      <w:r>
        <w:rPr/>
        <w:t xml:space="preserve">Συστάσεις — Το όραμά μας για τον ρόλο της ΕΕ στον κόσμο </w:t>
      </w:r>
    </w:p>
    <w:p>
      <w:pPr>
        <w:pStyle w:val="P68B1DB1Normal120"/>
        <w:widowControl w:val="false"/>
        <w:spacing w:lineRule="auto" w:line="240" w:before="126" w:after="0"/>
        <w:ind w:left="0" w:right="0" w:hanging="0"/>
        <w:jc w:val="left"/>
        <w:rPr>
          <w:rFonts w:ascii="Calibri" w:hAnsi="Calibri"/>
          <w:b/>
          <w:b/>
          <w:color w:val="000000"/>
          <w:sz w:val="21"/>
        </w:rPr>
      </w:pPr>
      <w:r>
        <w:rPr/>
        <w:t xml:space="preserve">Το 56 % των Κάτω Χωρών πιστεύει ότι ο ρόλος της ΕΕ στον κόσμο αποτελεί σημαντικό θέμα και ότι η ΕΕ πρέπει να παρέμβει σε αυτόν τον τομέα.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Αξιοποίηση της εξουσίας της ΕΕ κυρίως στο πλαίσιο σημαντικών διεθνών θεμάτων </w:t>
      </w:r>
    </w:p>
    <w:p>
      <w:pPr>
        <w:pStyle w:val="P68B1DB1Normal104"/>
        <w:widowControl w:val="false"/>
        <w:spacing w:lineRule="auto" w:line="240"/>
        <w:ind w:left="0" w:right="0" w:hanging="0"/>
        <w:jc w:val="left"/>
        <w:rPr/>
      </w:pPr>
      <w:r>
        <w:rPr/>
        <w:t xml:space="preserve">Το γεγονός ότι η δημιουργία του έχει συμβάλει στην ειρηνική ζωή των Ευρωπαίων για πάνω από 75 χρόνια θεωρείται από πολλούς Ολλανδούς ως η κύρια προστιθέμενη αξία της ΕΕ. Οι Κάτω Χώρες πιστεύουν επίσης ότι η εξουσία της ΕΕ έγκειται στην από κοινού διαχείριση των μεγάλων διεθνών προκλήσεων. Σκεφτόμαστε, για παράδειγμα, την κλιματική αλλαγή, την πανδημία COVID-19 και την προσφυγική κρίση. Τα κράτη μέλη της ΕΕ μπορούν επίσης να έχουν μεγαλύτερο αντίκτυπο σε τρίτες χώρες, συνάπτοντας συλλογικά διεθνείς συμφωνίες της ΕΕ. Πιστεύουμε ότι η χώρα μας είναι πολύ μικρή για να κάνει τη διαφορά μόνο σε αυτούς τους τομείς. Τούτου λεχθέντος, οι Ολλανδοί θέλουν οι Κάτω Χώρες να συνεχίσουν να κάνουν τις δικές τους επιλογές, με βάση τον δικό τους πολιτισμό και τα δικά τους συμφέροντα. Ως εκ τούτου, η συνεργασία στην Ευρώπη πρέπει επίσης να διασφαλίζει την αποτελεσματικότητα και την πολιτική ισχύ πάνω από όλα. </w:t>
      </w:r>
    </w:p>
    <w:p>
      <w:pPr>
        <w:pStyle w:val="P68B1DB1Normal113"/>
        <w:widowControl w:val="false"/>
        <w:spacing w:lineRule="auto" w:line="240" w:before="200" w:after="0"/>
        <w:ind w:left="0" w:right="0" w:hanging="0"/>
        <w:jc w:val="center"/>
        <w:rPr/>
      </w:pPr>
      <w:r>
        <w:rPr/>
        <w:t xml:space="preserve">Είναι ευκολότερο να συναφθούν συμφωνίες συνεργασίας εντός της ΕΕ παρά ως απομονωμένη χώρα.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Εντός και εκτός Ευρώπης, επιλέξτε τη συνεργασία και όχι τον αγώνα </w:t>
      </w:r>
    </w:p>
    <w:p>
      <w:pPr>
        <w:pStyle w:val="P68B1DB1Normal104"/>
        <w:widowControl w:val="false"/>
        <w:spacing w:lineRule="auto" w:line="240" w:before="1" w:after="0"/>
        <w:ind w:left="0" w:right="0" w:hanging="0"/>
        <w:jc w:val="left"/>
        <w:rPr/>
      </w:pPr>
      <w:r>
        <w:rPr/>
        <w:t xml:space="preserve">Το 66 % των Ολλανδών θεωρεί ότι η ΕΕ πρέπει να σχηματίσει ένα ισχυρότερο μπλοκ έναντι άλλων διεθνών συνασπισμών. Γινόμαστε μάρτυρες μιας αποδυνάμωσης της ισορροπίας στον κόσμο. Χώρες όπως η Κίνα και η Ρωσία επεκτείνουν συνεχώς τη δύναμή τους σε διάφορους τομείς. Αυτό μας ανησυχεί πολύ. Ως εκ τούτου, η ΕΕ πρέπει να δώσει μεγαλύτερη προσοχή, για παράδειγμα, στη διεθνή ασφάλεια και στην προστασία της ευρωπαϊκής οικονομίας από αθέμιτες εμπορικές πρακτικές. Θεωρούμε σημαντικό, εν προκειμένω, τα κράτη μέλη να συντονίζουν καλύτερα και ταχύτερα. Αυτό θα μας επιτρέψει να κάνουμε τη φωνή μας να ακουστεί πιο καθαρά. Το γεγονός ότι είμαστε ισχυρότεροι μαζί ως ευρωπαϊκές χώρες δεν σημαίνει ότι θέλουμε να πάμε σε συγκρούσεις. Θέλουμε επίσης, στο μέτρο του δυνατού, καλή συνεργασία με τρίτες χώρες. </w:t>
      </w:r>
    </w:p>
    <w:p>
      <w:pPr>
        <w:pStyle w:val="P68B1DB1Normal113"/>
        <w:widowControl w:val="false"/>
        <w:spacing w:lineRule="auto" w:line="240" w:before="200" w:after="0"/>
        <w:ind w:left="0" w:right="0" w:hanging="0"/>
        <w:jc w:val="center"/>
        <w:rPr/>
      </w:pPr>
      <w:r>
        <w:rPr/>
        <w:t xml:space="preserve">«Η μείωση των εσωτερικών διαφορών και συγκρούσεων θα αυξήσει το κύρος και τη δύναμη επιρροής της ΕΕ στην παγκόσμια σκηνή.»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Προσφέροντας, με στοχαστικό τρόπο, βοήθεια σε περίπτωση σύγκρουσης </w:t>
      </w:r>
    </w:p>
    <w:p>
      <w:pPr>
        <w:pStyle w:val="Normal"/>
        <w:widowControl w:val="false"/>
        <w:spacing w:lineRule="auto" w:line="240"/>
        <w:ind w:left="0" w:right="0" w:hanging="0"/>
        <w:jc w:val="left"/>
        <w:rPr/>
      </w:pPr>
      <w:r>
        <w:rPr>
          <w:rFonts w:ascii="Calibri" w:hAnsi="Calibri"/>
          <w:color w:val="000000"/>
          <w:sz w:val="21"/>
        </w:rPr>
        <w:t xml:space="preserve">Στο πλαίσιο της ενίσχυσης του ρόλου της ΕΕ στη διεθνή σκηνή, το 50 % των Ολλανδών πιστεύει ότι η προσέγγιση των συγκρούσεων στον κόσμο αποτελεί σημαντικό θέμα. Ο καλύτερος τρόπος αντιμετώπισης των συγκρούσεων είναι, σύμφωνα με αυτούς, δύσκολο να προσδιοριστεί. Το παρελθόν έχει δείξει ότι η στρατιωτική επέμβαση σε μια χώρα δεν είναι πάντα επωφελής. Μπορεί, για παράδειγμα, να οδηγήσει σε απρόβλεπτο υψηλό κόστος και να δημιουργήσει πρόσθετες προσφυγικές ροές. Οι χώρες θα πρέπει, δεδομένης αυτής της τοπικής επιρροής, να αποφασίσουν οι ίδιες αν θα συμμετάσχουν σε έναν πόλεμο. Εν γένει ενδιαφερόμαστε για την ενίσχυση της συνεργασίας μεταξύ των ευρωπαϊκών στρατών: θεωρούμε σημαντικό η Ευρώπη να μπορεί να αμυνθεί καλά. Αλλά πάντα προτιμούμε να επιλύουμε τις συγκρούσεις χωρίς να καταφεύγουμε στη βία. </w:t>
      </w:r>
      <w:r>
        <w:br w:type="page"/>
      </w:r>
    </w:p>
    <w:p>
      <w:pPr>
        <w:pStyle w:val="P68B1DB1Normal113"/>
        <w:widowControl w:val="false"/>
        <w:spacing w:lineRule="auto" w:line="240"/>
        <w:ind w:left="0" w:right="0" w:hanging="0"/>
        <w:jc w:val="left"/>
        <w:rPr/>
      </w:pPr>
      <w:r>
        <w:rPr/>
        <w:t xml:space="preserve">Κατά τη διάρκεια της εκκένωσης του Αφγανιστάν, κάθε χώρα ενήργησε στη δική της γωνία. Θα μπορούσαμε ακόμα να τα είχαμε κάνει καλύτερα, έτσι δεν είναι; </w:t>
      </w:r>
    </w:p>
    <w:p>
      <w:pPr>
        <w:pStyle w:val="P68B1DB1Normal126"/>
        <w:widowControl w:val="false"/>
        <w:spacing w:lineRule="auto" w:line="240" w:before="85" w:after="0"/>
        <w:ind w:left="0" w:right="0" w:hanging="0"/>
        <w:jc w:val="left"/>
        <w:rPr>
          <w:rFonts w:ascii="Calibri" w:hAnsi="Calibri"/>
          <w:color w:val="0070C0"/>
          <w:sz w:val="24"/>
        </w:rPr>
      </w:pPr>
      <w:r>
        <w:rPr/>
        <w:t xml:space="preserve">Διαδικτυακές και επιτόπιες συζητήσεις και ιδέες </w:t>
      </w:r>
    </w:p>
    <w:p>
      <w:pPr>
        <w:pStyle w:val="P68B1DB1Normal118"/>
        <w:widowControl w:val="false"/>
        <w:spacing w:lineRule="auto" w:line="240" w:before="78" w:after="0"/>
        <w:ind w:left="0" w:right="0" w:hanging="0"/>
        <w:jc w:val="left"/>
        <w:rPr>
          <w:rFonts w:ascii="Calibri" w:hAnsi="Calibri"/>
          <w:i/>
          <w:i/>
          <w:color w:val="000000"/>
          <w:sz w:val="21"/>
        </w:rPr>
      </w:pPr>
      <w:r>
        <w:rPr/>
        <w:t xml:space="preserve">Η ΕΕ πρέπει πρώτα να θέσει τάξη στις υποθέσεις της προτού αντιμετωπίσει άλλες.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Αγοράζοντας μαζικά κινεζικά προϊόντα ως Ευρωπαίοι, στηρίζουμε την ίδια την Κίνα.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Οι Ηνωμένες Πολιτείες εξακολουθούν να διαδραματίζουν πολύ σημαντικό ρόλο στην υπεράσπιση της Ευρώπης.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Το να είσαι μέλος της ΕΕ σημαίνει επίσης να κάθεσαι στο τραπέζι των διαπραγματεύσεων. Αυτό καθιστά δυνατή τη συζήτηση σημαντικών αποφάσεων.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Η ΕΕ πρέπει να σταματήσει να βλέπει τον εαυτό της ως απομονωμένη οντότητα, διότι δεν είναι. Πρόκειται για ένωση ευρωπαϊκών κρατών μελών και θα πρέπει να συμπεριφέρεται ως τέτοια.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Η ΙΔΈΑ:</w:t>
      </w:r>
      <w:r>
        <w:rPr>
          <w:i/>
        </w:rPr>
        <w:t xml:space="preserve"> Όπως και η τακτική παγκόσμια διάσκεψη για το κλίμα, θα πρέπει επίσης να πραγματοποιηθεί διάσκεψη για τα ανθρώπινα δικαιώματα.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Η ΙΔΈΑ: </w:t>
      </w:r>
      <w:r>
        <w:rPr>
          <w:i/>
        </w:rPr>
        <w:t>«Να καταστούν οι ευρωπαϊκοί στρατοί πιο αποτελεσματικοί, για παράδειγμα με μεγαλύτερη χρήση της συλλογικής αγοράς εξοπλισμού.»</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Γυναίκες Ολλανδοί-Μαροκινέζοι: Προώθηση των ανθρωπίνων δικαιωμάτων.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Το «</w:t>
      </w:r>
      <w:commentRangeStart w:id="28"/>
      <w:r>
        <w:rPr>
          <w:rFonts w:ascii="Calibri" w:hAnsi="Calibri"/>
          <w:color w:val="000000"/>
          <w:sz w:val="21"/>
        </w:rPr>
        <w:t>Γυναίκες για την</w:t>
      </w:r>
      <w:r>
        <w:rPr>
          <w:rFonts w:ascii="Calibri" w:hAnsi="Calibri"/>
          <w:color w:val="000000"/>
          <w:sz w:val="21"/>
        </w:rPr>
      </w:r>
      <w:commentRangeEnd w:id="28"/>
      <w:r>
        <w:commentReference w:id="28"/>
      </w:r>
      <w:r>
        <w:rPr>
          <w:rFonts w:ascii="Calibri" w:hAnsi="Calibri"/>
          <w:color w:val="000000"/>
          <w:sz w:val="21"/>
        </w:rPr>
        <w:t xml:space="preserve">Ελευθερία» είναι ένα ολλανδικό ίδρυμα που καταπολεμά τους καταναγκαστικούς γάμους, τη σεξουαλική καταπίεση και την οικονομική κακοποίηση κοριτσιών και γυναικών με διπολιτισμικό υπόβαθρο. Σε συνεργασία με το ίδρυμα αυτό, διοργανώθηκε συνάντηση με μια ομάδα Ολλανδο-Μαροκινών γυναικών. Οι συμμετέχοντες πιστεύουν ότι η ΕΕ είναι επί του παρόντος υπερβολικά εξαρτημένη από τη Ρωσία και την Κίνα. «Διαπιστώνουμε ότι η ΕΕ γενικά δεν τολμάει να προτείνει τίποτα, από το φόβο των κυρώσεων», είπε ένας από αυτούς. Η παραγωγή ναρκωτικών, η οποία συχνά μπορεί να είναι πολύ φθηνότερη, έχει αναφερθεί ως παράδειγμα. «Σε περίπτωση σύγκρουσης, η Κίνα μπορεί να κλείσει τη βρύση και δεν θα έχουμε τίποτα», δήλωσε ένας συμμετέχων. Τέθηκε επίσης το ζήτημα των ανθρωπίνων δικαιωμάτων. «Όλοι ενεργούμε σαν να το βρίσκουμε πολύ σημαντικό, αλλά κλείνουμε τα μάτια μας σε αυτό που κάνει η Κίνα στους Ουιγούρους», αναφωνεί.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Μαθητές του Technasium of Alkmaar: Δεν υπάρχει κοινός στρατός.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Στο θεματικό τους διάλογο, οι μαθητές του Technasium Jan Arentz στο Alkmaar συζήτησαν τα πλεονεκτήματα και τα μειονεκτήματα ενός κοινού ευρωπαϊκού στρατού. Οι συμμετέχοντες δήλωσαν ότι δεν το υποστηρίζουν. Όταν μια χώρα της ΕΕ συγκρούεται με μια τρίτη χώρα, θα πρέπει να είμαστε σε θέση να συμμετέχουμε αυτόματα σε έναν πόλεμο. Νομίζω ότι οι χώρες πρέπει να είναι σε θέση να αποφασίσουν μόνοι τους», είπε κάποιος. Συζητήθηκε επίσης η πιθανότητα ενός τρίτου παγκοσμίου πολέμου. Αυτή η δυνατότητα δεν θεωρείται πολύ μεγάλη από τους μαθητές, αλλά πιστεύουν ότι αν φτάσουμε εκεί, θα μπορούσε παρ’ όλα αυτά να βρεθεί μια λύση γρήγορα. Οι στρατοί μπορούν επίσης να συνεργαστούν καλά. Δεν χρειάζεται, κατά τη γνώμη μου, να υπάρχει ευρωπαϊκός στρατός.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Μεθοδολογία που χρησιμοποιήθηκε στην έρευνα </w:t>
      </w:r>
    </w:p>
    <w:p>
      <w:pPr>
        <w:pStyle w:val="P68B1DB1Normal104"/>
        <w:widowControl w:val="false"/>
        <w:spacing w:lineRule="auto" w:line="240" w:before="150" w:after="0"/>
        <w:ind w:left="0" w:right="0" w:hanging="0"/>
        <w:jc w:val="left"/>
        <w:rPr/>
      </w:pPr>
      <w:r>
        <w:rPr/>
        <w:t xml:space="preserve">Το όραμα της Ευρώπης αποτελείται από διάφορες μορφές αλληλένδετων διαλόγων που συγκεντρώνουν τις απόψεις και τις ιδέες των Ολλανδών πολιτών για το μέλλον της Ευρώπης και της ΕΕ. Το παρόν κεφάλαιο περιγράφει τον τρόπο με τον οποίο αυτοί οι στενά συνδεδεμένοι διάλογοι διεξάγονται σύμφωνα με τις κατευθυντήριες γραμμές που ισχύουν για τις εθνικές ομάδες πολιτών στο πλαίσιο της Διάσκεψης για το Μέλλον της Ευρώπης. </w:t>
      </w:r>
    </w:p>
    <w:p>
      <w:pPr>
        <w:pStyle w:val="P68B1DB1Normal126"/>
        <w:widowControl w:val="false"/>
        <w:spacing w:lineRule="auto" w:line="240" w:before="43" w:after="0"/>
        <w:ind w:left="0" w:right="0" w:hanging="0"/>
        <w:jc w:val="left"/>
        <w:rPr>
          <w:rFonts w:ascii="Calibri" w:hAnsi="Calibri"/>
          <w:color w:val="0070C0"/>
          <w:sz w:val="24"/>
        </w:rPr>
      </w:pPr>
      <w:r>
        <w:rPr/>
        <w:t xml:space="preserve">Δομή των στενά συνδεδεμένων διαλόγων </w:t>
      </w:r>
    </w:p>
    <w:p>
      <w:pPr>
        <w:pStyle w:val="P68B1DB1Normal104"/>
        <w:widowControl w:val="false"/>
        <w:spacing w:lineRule="auto" w:line="240" w:before="114" w:after="0"/>
        <w:ind w:left="0" w:right="0" w:hanging="0"/>
        <w:jc w:val="left"/>
        <w:rPr>
          <w:rFonts w:ascii="Calibri" w:hAnsi="Calibri"/>
          <w:color w:val="000000"/>
          <w:sz w:val="21"/>
        </w:rPr>
      </w:pPr>
      <w:r>
        <w:rPr/>
        <w:t xml:space="preserve">Οργανώνονται οι ακόλουθες μορφές διαλόγου: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Έρευνα ενός πάνελ</w:t>
      </w:r>
    </w:p>
    <w:p>
      <w:pPr>
        <w:pStyle w:val="P68B1DB1Normal104"/>
        <w:widowControl w:val="false"/>
        <w:spacing w:lineRule="auto" w:line="240"/>
        <w:ind w:left="0" w:right="0" w:hanging="0"/>
        <w:jc w:val="left"/>
        <w:rPr>
          <w:rFonts w:ascii="Calibri" w:hAnsi="Calibri"/>
          <w:color w:val="000000"/>
          <w:sz w:val="21"/>
        </w:rPr>
      </w:pPr>
      <w:r>
        <w:rPr/>
        <w:t xml:space="preserve">Διαδικτυακή έρευνα ενός αντιπροσωπευτικού μέρους του ολλανδικού πληθυσμού.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Επιγραμμικοί θεματικοί διάλογοι για την εμβάθυνση</w:t>
      </w:r>
    </w:p>
    <w:p>
      <w:pPr>
        <w:pStyle w:val="P68B1DB1Normal104"/>
        <w:widowControl w:val="false"/>
        <w:spacing w:lineRule="auto" w:line="240"/>
        <w:ind w:left="0" w:right="0" w:hanging="0"/>
        <w:jc w:val="left"/>
        <w:rPr/>
      </w:pPr>
      <w:r>
        <w:rPr/>
        <w:t xml:space="preserve">Διάλογοι κατά τους οποίους τα αποτελέσματα της πρώτης ενδιάμεσης έκθεσης «Το όραμά μας για την Ευρώπη: οι γνώμες, οι ιδέες και οι συστάσεις» (8 Οκτωβρίου 2021) συζητούνται σε βάθος με ομάδα ολλανδικών.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Διάλογοι με συγκεκριμένες ομάδες</w:t>
      </w:r>
    </w:p>
    <w:p>
      <w:pPr>
        <w:pStyle w:val="P68B1DB1Normal104"/>
        <w:widowControl w:val="false"/>
        <w:spacing w:lineRule="auto" w:line="240"/>
        <w:ind w:left="0" w:right="0" w:hanging="0"/>
        <w:jc w:val="left"/>
        <w:rPr>
          <w:rFonts w:ascii="Calibri" w:hAnsi="Calibri"/>
          <w:color w:val="000000"/>
          <w:sz w:val="21"/>
        </w:rPr>
      </w:pPr>
      <w:r>
        <w:rPr/>
        <w:t xml:space="preserve">Συναντήσεις με Ολλανδούς που δεν έχουν συνηθίσει να συμμετέχουν σε έρευνες ή πάνελ (online).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Διάλογοι με τους νέους</w:t>
      </w:r>
    </w:p>
    <w:p>
      <w:pPr>
        <w:pStyle w:val="P68B1DB1Normal104"/>
        <w:widowControl w:val="false"/>
        <w:spacing w:lineRule="auto" w:line="240"/>
        <w:ind w:left="0" w:right="0" w:hanging="0"/>
        <w:jc w:val="left"/>
        <w:rPr>
          <w:rFonts w:ascii="Calibri" w:hAnsi="Calibri"/>
          <w:color w:val="000000"/>
          <w:sz w:val="21"/>
        </w:rPr>
      </w:pPr>
      <w:r>
        <w:rPr/>
        <w:t xml:space="preserve">Συνεδριάσεις όπου συζητούνται τα ευρωπαϊκά θέματα που σχετίζονται περισσότερο με αυτούς τους νέους.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Διαδικτυακή δημόσια έρευνα: Ερωτηματολόγιο και «Swipen naar de toekomst» (</w:t>
      </w:r>
      <w:commentRangeStart w:id="29"/>
      <w:r>
        <w:rPr>
          <w:rFonts w:ascii="Calibri" w:hAnsi="Calibri"/>
          <w:b/>
          <w:color w:val="000000"/>
          <w:sz w:val="21"/>
        </w:rPr>
        <w:t>Swiper</w:t>
      </w:r>
      <w:r>
        <w:rPr>
          <w:rFonts w:ascii="Calibri" w:hAnsi="Calibri"/>
          <w:b/>
          <w:color w:val="000000"/>
          <w:sz w:val="21"/>
        </w:rPr>
      </w:r>
      <w:commentRangeEnd w:id="29"/>
      <w:r>
        <w:commentReference w:id="29"/>
      </w:r>
      <w:r>
        <w:rPr>
          <w:rFonts w:ascii="Calibri" w:hAnsi="Calibri"/>
          <w:b/>
          <w:color w:val="000000"/>
          <w:sz w:val="21"/>
        </w:rPr>
        <w:t xml:space="preserve"> to the future) </w:t>
      </w:r>
    </w:p>
    <w:p>
      <w:pPr>
        <w:pStyle w:val="P68B1DB1Normal104"/>
        <w:widowControl w:val="false"/>
        <w:spacing w:lineRule="auto" w:line="240"/>
        <w:ind w:left="0" w:right="0" w:hanging="0"/>
        <w:jc w:val="left"/>
        <w:rPr/>
      </w:pPr>
      <w:r>
        <w:rPr/>
        <w:t xml:space="preserve">Το ερωτηματολόγιο της ειδικής ομάδας θα μπορούσε επίσης να συμπληρωθεί από όλους τους Ολλανδούς, συμπεριλαμβανομένων εκείνων που διαμένουν στο εξωτερικό. Το ερωτηματολόγιο αυτό ήταν διαθέσιμο από την 1η Σεπτεμβρίου 2021 έως τις 14 Νοεμβρίου 2021. Επιπλέον, κατά την ίδια περίοδο, κάθε Ολλανδός ήταν σε θέση να συμμετάσχει στη δράση «Swipen naar de toekomst» (Swiper to the future), ένα διαδικτυακό εργαλείο που παρουσιάζει 20 αξιώσεις.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Έρευνα ενός πάνελ </w:t>
      </w:r>
    </w:p>
    <w:p>
      <w:pPr>
        <w:pStyle w:val="P68B1DB1Normal104"/>
        <w:widowControl w:val="false"/>
        <w:spacing w:lineRule="auto" w:line="240" w:before="150" w:after="0"/>
        <w:ind w:left="0" w:right="0" w:hanging="0"/>
        <w:jc w:val="left"/>
        <w:rPr/>
      </w:pPr>
      <w:r>
        <w:rPr/>
        <w:t xml:space="preserve">Ο διάλογος με τους πολίτες των Κάτω Χωρών «Όραμα της Ευρώπης» ξεκίνησε την 1η Σεπτεμβρίου με μια έρευνα πάνελ. Σε αυτή την περιγραφή της μεθοδολογίας της έρευνας, εξηγούμε συνοπτικά τον σχεδιασμό και την υλοποίηση αυτής της έρευνας σε μια ομάδα. </w:t>
      </w:r>
    </w:p>
    <w:p>
      <w:pPr>
        <w:pStyle w:val="P68B1DB1Normal126"/>
        <w:widowControl w:val="false"/>
        <w:spacing w:lineRule="auto" w:line="240" w:before="43" w:after="0"/>
        <w:ind w:left="0" w:right="0" w:hanging="0"/>
        <w:jc w:val="left"/>
        <w:rPr>
          <w:rFonts w:ascii="Calibri" w:hAnsi="Calibri"/>
          <w:color w:val="0070C0"/>
          <w:sz w:val="24"/>
        </w:rPr>
      </w:pPr>
      <w:r>
        <w:rPr/>
        <w:t xml:space="preserve">Στοχευόμενος και στοχευόμενος πληθυσμός </w:t>
      </w:r>
    </w:p>
    <w:p>
      <w:pPr>
        <w:pStyle w:val="Normal"/>
        <w:widowControl w:val="false"/>
        <w:spacing w:lineRule="auto" w:line="240" w:before="114" w:after="0"/>
        <w:ind w:left="0" w:right="0" w:hanging="0"/>
        <w:jc w:val="left"/>
        <w:rPr/>
      </w:pPr>
      <w:r>
        <w:rPr>
          <w:rFonts w:ascii="Calibri" w:hAnsi="Calibri"/>
          <w:color w:val="000000"/>
          <w:sz w:val="21"/>
        </w:rPr>
        <w:t>Η έρευνα «Όραμα της Ευρώπης» ξεκίνησε με ένα διαδικτυακό ερωτηματολόγιο σχετικά με το πώς οι Ολλανδοί βλέπουν το μέλλον της Ευρώπης. Το ερωτηματολόγιο αυτό έχει υποβληθεί σε αντιπροσωπευτική ομάδα και είναι επίσης ανοικτό σε όλους τους Ολλανδούς (συμπεριλαμβανομένων εκείνων που διαμένουν στο εξωτερικό). Επιπλέον, κάθε άτομο ήταν σε θέση να συμμετάσχει στη δράση «Swipen naar de toekomst»</w:t>
      </w:r>
      <w:commentRangeStart w:id="30"/>
      <w:r>
        <w:rPr>
          <w:rFonts w:ascii="Calibri" w:hAnsi="Calibri"/>
          <w:color w:val="000000"/>
          <w:sz w:val="21"/>
        </w:rPr>
        <w:t>(Swiper</w:t>
      </w:r>
      <w:r>
        <w:rPr>
          <w:rFonts w:ascii="Calibri" w:hAnsi="Calibri"/>
          <w:color w:val="000000"/>
          <w:sz w:val="21"/>
        </w:rPr>
      </w:r>
      <w:commentRangeEnd w:id="30"/>
      <w:r>
        <w:commentReference w:id="30"/>
      </w:r>
      <w:r>
        <w:rPr>
          <w:rFonts w:ascii="Calibri" w:hAnsi="Calibri"/>
          <w:color w:val="000000"/>
          <w:sz w:val="21"/>
        </w:rPr>
        <w:t xml:space="preserve"> to the future), ένα διαδικτυακό εργαλείο που παρουσιάζει 20 αξιώσεις. Τα αποτελέσματα της έρευνας της ομάδας τροφοδότησαν διάφορους θεματικούς διαλόγους που διοργανώθηκαν ως συνέχεια της διαδικασίας διαλόγου με τους πολίτες «Όραμα της Ευρώπης».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Ο πληθυσμός-στόχος της έρευνας περιλαμβάνει όλους τους Ολλανδούς ηλικίας 18 ετών και άνω που ήταν εγγεγραμμένοι ως κάτοικοι στο μητρώο πληθυσμού κατά τον χρόνο έναρξης της επιτόπιας έρευνας. Σύμφωνα με την Εθνική Στατιστική Υπηρεσία των Κάτω Χωρών (Centraal Bureau voor de Statistiek — CBS), αυτή η ομάδα-στόχος είχε 14.190.874 άτομα από την 1η Ιανουαρίου 2021. Το κατώτατο όριο των 18 ετών αντιστοιχεί στην εκλογική πλειοψηφία. Το ονομάζουμε πληθυσμό της έρευνας πάνελ.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Επιτόπιες εργασίες </w:t>
      </w:r>
    </w:p>
    <w:p>
      <w:pPr>
        <w:pStyle w:val="P68B1DB1Normal104"/>
        <w:widowControl w:val="false"/>
        <w:spacing w:lineRule="auto" w:line="240" w:before="116" w:after="0"/>
        <w:ind w:left="0" w:right="0" w:hanging="0"/>
        <w:jc w:val="left"/>
        <w:rPr/>
      </w:pPr>
      <w:r>
        <w:rPr/>
        <w:t xml:space="preserve">Ένα πάνελ με περισσότερους από 100.000 συμμετέχοντες από όλη τη χώρα (πιστοποιημένο από ISO, Research Keurmerk groep, Nederlandse Marktonderzoek Associatie) χρησιμοποιήθηκε για να αποκτήσει μια ψηφιακή εικόνα του «Medium Dutch». Οι συμμετέχοντες αυτοί εντάχθηκαν στο πάνελ της έρευνας για να εκφράσουν τις απόψεις τους για ένα ευρύ φάσμα θεμάτων σε τακτική βάση. Εκτός από το εγγενές κίνητρό τους να συνεισφέρουν, πληρώνονται για να απαντήσουν στα ερωτηματολόγια. Αρκετές επιστημονικές μελέτες δείχνουν ότι οι ερωτηθέντες που λαμβάνουν αποζημίωση για τη συμπλήρωση ερωτηματολογίου δεν δίνουν σημαντικά διαφορετικές απαντήσεις (πηγή: </w:t>
      </w:r>
      <w:r>
        <w:rPr>
          <w:i/>
        </w:rPr>
        <w:t>Η χρήση κινήτρων έρευνας υποβαθμίζει την ποιότητα των δεδομένων;</w:t>
      </w:r>
      <w:r>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Οι επιτόπιες εργασίες ξεκίνησαν στις 11 Αυγούστου 2021 και ολοκληρώθηκαν στις 19 Σεπτεμβρίου 2021. Για την εφαρμογή, χρησιμοποιήθηκε μόνο μία μέθοδος συλλογής δεδομένων, δηλαδή η έρευνα στο Διαδίκτυο. Τα μέλη της επιτροπής έρευνας έλαβαν ηλεκτρονικό μήνυμα με προσωπικό σύνδεσμο προς το ηλεκτρονικό ερωτηματολόγιο. Μετά από δύο εβδομάδες, οι συμμετέχοντες έλαβαν μια υπενθύμιση. Οι προσκλήσεις συμμετοχής στάλθηκαν σε παρτίδες και διαστρωματοποιήθηκαν (με την εξασφάλιση ισότιμης κατανομής των υποομάδων) έως ότου επιτευχθεί ο απαιτούμενος αριθμός συμμετεχόντων. </w:t>
      </w:r>
    </w:p>
    <w:p>
      <w:pPr>
        <w:pStyle w:val="P68B1DB1Normal126"/>
        <w:widowControl w:val="false"/>
        <w:spacing w:lineRule="auto" w:line="240" w:before="42" w:after="0"/>
        <w:ind w:left="0" w:right="0" w:hanging="0"/>
        <w:jc w:val="left"/>
        <w:rPr>
          <w:rFonts w:ascii="Calibri" w:hAnsi="Calibri"/>
          <w:color w:val="0070C0"/>
          <w:sz w:val="24"/>
        </w:rPr>
      </w:pPr>
      <w:r>
        <w:rPr/>
        <w:t xml:space="preserve">Δειγματοληψία και κατανομή </w:t>
      </w:r>
    </w:p>
    <w:p>
      <w:pPr>
        <w:pStyle w:val="P68B1DB1Normal104"/>
        <w:widowControl w:val="false"/>
        <w:spacing w:lineRule="auto" w:line="240" w:before="114" w:after="0"/>
        <w:ind w:left="0" w:right="0" w:hanging="0"/>
        <w:jc w:val="left"/>
        <w:rPr/>
      </w:pPr>
      <w:r>
        <w:rPr/>
        <w:t xml:space="preserve">Ο σχεδιασμός της έρευνας βασίζεται στην αρχή ότι τουλάχιστον 3.600 συμμετέχοντες πρέπει να συμμετάσχουν στην έρευνα προκειμένου να διασφαλιστεί καλή στατιστική αξιοπιστία. Επιπλέον, ο αριθμός αυτός επιτρέπει μια καλή κατανομή μεταξύ των διαφόρων γενικών χαρακτηριστικών του πληθυσμού. Δεν υπάρχει μόνο ένας τύπος Ολλανδού. Ως εκ τούτου, διασφαλίσαμε εκ των προτέρων ότι το δείγμα κατανέμεται καλά σε διάφορα χαρακτηριστικά. Οι Κάτω Χώρες είναι μια σχετικά μικρή χώρα, αλλά οι απόψεις μπορεί να διαφέρουν ανάλογα με την περιοχή. Η θέση και η σημασία που δίνεται στα θέματα μπορεί να καθοριστεί (εν μέρει) από την περιοχή στην οποία ζείτε. Για παράδειγμα, οι άνθρωποι που ζουν σε αγροτικές περιοχές μπορούν να κατανοήσουν ένα θέμα όπως η ασφάλεια διαφορετικά από εκείνα των αστικών περιοχών. Η έρευνα του Ολλανδικού Γραφείου Κοινωνικού και Πολιτιστικού Σχεδιασμού δείχνει επίσης ότι τα άτομα με υψηλότερο επίπεδο σπουδών είναι συχνότερα υποστηρικτές της ΕΕ σε σχέση με τα άτομα με χαμηλότερο επίπεδο σπουδών και ότι οι νέοι υποστηρίζουν περισσότερο την ΕΕ απ’ ό,τι οι ηλικιωμένοι (πηγή: </w:t>
      </w:r>
      <w:r>
        <w:rPr>
          <w:i/>
        </w:rPr>
        <w:t>Wat willen Nederlanders van de Europese Unie?</w:t>
      </w:r>
      <w:r>
        <w:rPr/>
        <w:t xml:space="preserve">, Ολλανδικό Γραφείο Κοινωνικού και Πολιτιστικού Σχεδιασμού, Χάγη,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Αυτός είναι ο λόγος για τον οποίο έχουμε προηγουμένως αποδώσει τα ακόλουθα τρία χαρακτηριστικά αναλογικά, προκειμένου να διασφαλιστεί η αντιπροσωπευτικότητα του δείγματος: (1) διαμονή σε περιφέρειες COROP, (2) επίπεδο ηλικίας και (3) εκπαίδευσης. Η κατανομή του δείγματος παρουσιάστηκε επίσης σύμφωνα με τα ακόλουθα γενικά χαρακτηριστικά: φύλο, καταγωγή, κύρια απασχόληση, πολιτικός προσανατολισμός.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Οι περιφέρειες COROP έχουν αναπτυχθεί με βάση την αρχή της κομβικής σημασίας (μια «καρδιά» με μια περιοχή έλξης ή μια περιφερειακή λειτουργία), με βάση τη ροή των ατόμων που μετακινούνται. Ορισμένες παραβιάσεις της αρχής του κομβικού έχουν παραχωρηθεί έτσι ώστε οι περιφέρειες να ακολουθούν τα επαρχιακά όρια. Μετά την αναδιοργάνωση των δήμων πέραν των ορίων του COROP, η κατανομή προσαρμόστηκε (πηγή: Εθνική Στατιστική Υπηρεσία της Ολλανδίας). Εντός των περιφερειών COROP, διασφαλίσαμε μια καλή κατανομή μεταξύ των ηλικιακών ομάδων, με την ακόλουθη κατανομή: ηλικίες 18-34, 35-54, 55-75 και άνω των 75 ετών.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Τέλος, διασφαλίσαμε μια αντιπροσωπευτική κατανομή των εκπαιδευτικών επιπέδων. Στο δείγμα, η κατανομή των ερωτηθέντων αντιστοιχεί στην κατανομή σε εθνικό επίπεδο του υψηλότερου επιπέδου εκπαίδευσης, η οποία έχει ως εξής: </w:t>
      </w:r>
      <w:r>
        <w:br w:type="page"/>
      </w:r>
    </w:p>
    <w:p>
      <w:pPr>
        <w:pStyle w:val="P68B1DB1Normal120"/>
        <w:spacing w:lineRule="auto" w:line="240"/>
        <w:ind w:left="0" w:right="0" w:hanging="0"/>
        <w:rPr>
          <w:rFonts w:ascii="Calibri" w:hAnsi="Calibri"/>
          <w:b/>
          <w:b/>
          <w:color w:val="000000"/>
          <w:sz w:val="21"/>
        </w:rPr>
      </w:pPr>
      <w:r>
        <w:rPr/>
        <w:t xml:space="preserve">Ανώτατο επίπεδο εκπαίδευσης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Χαμηλή τιμή: πρωτοβάθμια εκπαίδευση, προπαρασκευαστική επαγγελματική εκπαίδευση, 1η έως 3η τάξη της γενικής ανώτερης δευτεροβάθμιας εκπαίδευσης/προπανεπιστημιακή εκπαίδευση, επίπεδο δευτεροβάθμιας επαγγελματικής εκπαίδευσης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Μεσαίος: γενική ανώτερη δευτεροβάθμια εκπαίδευση/προπανεπιστημιακή εκπαίδευση, δευτεροβάθμια επαγγελματική εκπαίδευση επιπέδου 2 έως 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Υψηλή τιμή: τριτοβάθμια επαγγελματική εκπαίδευση ή πανεπιστημιακή εκπαίδευση</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Άγνωστος</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P68B1DB1Normal126"/>
        <w:spacing w:lineRule="auto" w:line="240"/>
        <w:ind w:left="0" w:right="0" w:hanging="0"/>
        <w:rPr>
          <w:rFonts w:ascii="Calibri" w:hAnsi="Calibri"/>
          <w:color w:val="0070C0"/>
          <w:sz w:val="24"/>
        </w:rPr>
      </w:pPr>
      <w:r>
        <w:rPr/>
        <w:t xml:space="preserve">Ποσοστό απάντησης </w:t>
      </w:r>
    </w:p>
    <w:p>
      <w:pPr>
        <w:pStyle w:val="P68B1DB1Normal104"/>
        <w:widowControl w:val="false"/>
        <w:spacing w:lineRule="exact" w:line="386" w:before="116" w:after="0"/>
        <w:ind w:left="0" w:right="368" w:hanging="0"/>
        <w:jc w:val="left"/>
        <w:rPr/>
      </w:pPr>
      <w:r>
        <w:rPr/>
        <w:t xml:space="preserve">Στην έρευνα συμμετείχαν συνολικά 4.086 άτομα ανά πάνελ. Ως εκ τούτου, επιτυγχάνεται ο στόχος των 3.600 πλήρως συμπληρωμένων ερωτηματολογίων.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Απαντήσεις από τις περιφέρειες και την ηλικία του COROP</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 έως 34 ετών</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 έως 54 ετών</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Από 55 έως 75 ετών</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άνω των 75 ετών</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Βόρεια 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Νοτιοανατολικά της Ντρέντε</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Νοτιοδυτικά της Ντρέντε</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Φλέβολαντ</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Βόρειο Φρίσλαντ</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Νοτιοανατολικά της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Νοτιοδυτικά της Φρίσλαντ</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Νοτιοδυτικά του Γκέλντερλαντ</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Ξενοδοχεία κοντά σε: 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Ανατολικό Γκρόνινγκεν</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Υπόλοιπο Γκρόνινγκεν</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Κέντρο του Λιμβούργου</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Βόρειο Λιμβούργο</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Νότιο Λιμβούργο</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Ξενοδοχεία κοντά σε: North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Βορειοανατολικά της Βόρειας Βραβάντης</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Δυτικά της Βόρειας Βραβάντης</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Νοτιοανατολικά της Βόρειας Βραβάντης</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Οικισμός Haarlem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και τα περίχωρά της</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Μεγάλο Άμστερνταμ</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Οι Gooi και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Άκρο της Βόρειας Ολλανδίας</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Περιοχή Zaan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Βόρειο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Νοτιοδυτικά του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Ουτρέχτη</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Υπόλοιπη Ζέελαντ</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Ζίλαντ Φλάνδρα</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Οικισμός του Leiden και περιοχή βολβών</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Οικισμός της Χάγης</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Ντελφτ και Γουέστλαντ</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Ξενοδοχεία κοντά σε: Grand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Ανατολικά της Νότιας Ολλανδίας</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Νοτιοανατολικά της Νότιας Ολλανδίας</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Απαντήσεις ανά επίπεδο εκπαίδευσης</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Χαμηλή</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Μεσάζων</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Υψηλή</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Άγνωστος</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Αξιοπιστία και αντιπροσωπευτικότητα </w:t>
      </w:r>
    </w:p>
    <w:p>
      <w:pPr>
        <w:pStyle w:val="P68B1DB1Normal104"/>
        <w:widowControl w:val="false"/>
        <w:spacing w:lineRule="auto" w:line="240" w:before="119" w:after="0"/>
        <w:ind w:left="0" w:right="0" w:hanging="0"/>
        <w:jc w:val="left"/>
        <w:rPr/>
      </w:pPr>
      <w:r>
        <w:rPr/>
        <w:t xml:space="preserve">Ο αριθμός των απαντησάντων 4.886 καθιστά δυνατή την υποβολή παρατηρήσεων για το σύνολο του πληθυσμού με επίπεδο εμπιστοσύνης 95 % και περιθώριο σφάλματος 1,53 %. Το επίπεδο εμπιστοσύνης και το περιθώριο σφάλματος των αποτελεσμάτων καθορίζονται από το μέγεθος του δείγματος. Όσο μεγαλύτερο είναι το δείγμα, τόσο πιο αξιόπιστα και ακριβή τα αποτελέσματα μπορούν να προεκτεθούν σε ολόκληρο τον πληθυσμό.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Το επίπεδο εμπιστοσύνης ορίζεται ως 1 (100 %) μείον το επίπεδο του νοήματος. Είναι σύνηθες να βασίζεται σε ένα επίπεδο έννοιας 5 %. Μιλάμε για ένα επίπεδο εμπιστοσύνης 95 %. Με άλλα λόγια, εάν η έρευνα επαναλαμβανόταν με τον ίδιο τρόπο και υπό τις ίδιες συνθήκες, τα αποτελέσματα θα ήταν τα ίδια στο 95 % των περιπτώσεων. </w:t>
      </w:r>
    </w:p>
    <w:p>
      <w:pPr>
        <w:pStyle w:val="P68B1DB1Normal104"/>
        <w:widowControl w:val="false"/>
        <w:spacing w:lineRule="auto" w:line="240"/>
        <w:ind w:left="0" w:right="0" w:hanging="0"/>
        <w:jc w:val="left"/>
        <w:rPr/>
      </w:pPr>
      <w:r>
        <w:rPr/>
        <w:t xml:space="preserve">Η ακρίβεια (εκφραζόμενη κατά περιθώριο σφάλματος) υποδηλώνει το εύρος τιμών εντός του οποίου βρίσκεται η πραγματική τιμή στον πληθυσμό. Με άλλα λόγια: ποια θα ήταν η μέγιστη διαφορά μεταξύ των αποτελεσμάτων του δείγματος και των αποτελεσμάτων που θα προέκυπταν από τον πληθυσμό στο σύνολό του; Ένα περιθώριο σφάλματος 1,53 % σημαίνει ότι η πραγματική τιμή εντός του συνολικού πληθυσμού μπορεί να είναι 1,53 % υψηλότερη ή χαμηλότερη από την τιμή του δείγματος. Για παράδειγμα, εάν μια έρευνα σε δείγμα ατόμων δείξει ότι το 50 % των ερωτηθέντων θεωρεί ότι ένα συγκεκριμένο θέμα είναι σημαντικό, το πραγματικό ποσοστό είναι 1,53 % υψηλότερο ή χαμηλότερο από αυτό το 50 %, δηλαδή μεταξύ 48,47 και 51,53 %. Ένα μέγιστο περιθώριο σφάλματος 5 % είναι σύνηθες και γενικά αποδεκτό στις ποσοτικές μελέτες (στατιστικές).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Εκτός από την αξιοπιστία, η αντιπροσωπευτικότητα του δείγματος είναι σημαντική. Δεδομένου ότι οι προσκλήσεις συμμετοχής στάλθηκαν σε παρτίδες και διαστρωματώθηκαν, τα αποτελέσματα είναι αντιπροσωπευτικά όσον αφορά τα χαρακτηριστικά της περιφέρειας COROP και τις ηλικιακές ομάδες ανά περιφέρεια COROP. Οι απαντήσεις είναι επίσης αντιπροσωπευτικές από την άποψη του επιπέδου εκπαίδευσης σε σύγκριση με το υψηλότερο επίπεδο εκπαίδευσης που επιτυγχάνεται σε εθνικό επίπεδο.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Άλλα γενικά χαρακτηριστικά </w:t>
      </w:r>
    </w:p>
    <w:p>
      <w:pPr>
        <w:pStyle w:val="P68B1DB1Normal104"/>
        <w:widowControl w:val="false"/>
        <w:spacing w:lineRule="auto" w:line="240"/>
        <w:ind w:left="0" w:right="0" w:hanging="0"/>
        <w:jc w:val="left"/>
        <w:rPr/>
      </w:pPr>
      <w:r>
        <w:rPr/>
        <w:t xml:space="preserve">Ζητήθηκε από το πάνελ μια σειρά επιπρόσθετων ερωτήσεων σχετικά με τα συμφραζόμενα. Σε αυτά περιλαμβάνονται το φύλο, ο εντοπισμός θέσης στην ΕΕ, η καταγωγή, το κύριο επάγγελμα και το πολιτικό κόμμα για το οποίο το πρόσωπο θα ψηφίσει σε περίπτωση εκλογών.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Το 49 % των ερωτηθέντων είναι άνδρες, το 50 % είναι γυναίκες και το 1 % προτιμούν να μην απαντήσουν σε αυτή την ερώτηση.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Το 51 % των ερωτηθέντων πιστεύει ότι είναι καλό για τις Κάτω Χώρες να είναι μέλος της ΕΕ, το 13 % πιστεύει ότι είναι κακό και το 36 % είναι ουδέτερο ή δεν έχει γνώμη.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Το 95 % των ερωτηθέντων γεννήθηκαν στην Ολλανδία. Το 89 % των ερωτηθέντων δήλωσε ότι και οι δύο γονείς γεννήθηκαν στην Ολλανδία. Το 5 % γεννήθηκε από δύο γονείς που γεννήθηκαν στο εξωτερικό.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Ο τρέχων πολιτικός προσανατολισμός των ερωτηθέντων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Το πάρτι</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(Λαϊκό Κόμμα για την Ελευθερία και τη Δημοκρατία)</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(Κόμμα για την Ελευθερία)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(σοσιαλιστικό κόμμα)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(Δημοκρατικοί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(Χριστιανικό Δημοκρατικό κάλεσμα)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(Εργατικό Κόμμα)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(Κόμμα των Ζώων)</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(Πράσινη Αριστερά)</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(Χριστιανική Ένωση)</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(Κίνημα αγροτών)</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(Φόρουμ για τη Δημοκρατία)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ΣΓΠ (μεταρρυθμισμένο πολιτικό κόμμα)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Βολτ</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Ο ΝΤΕΝΚ</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Γκρουπ Βαν Χάγκα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Άλλα</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Λευκή ψήφος</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Προτιμώ να μην απαντήσω</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Δεν ψηφίζω</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Ποιο είναι σήμερα το κύριο επάγγελμά σας;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Η Κατοχή</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Φοιτητής/φοιτητής</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Υπάλληλος μερικής απασχόλησης</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Υπάλληλος πλήρους απασχόλησης</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Ανεξάρτητος ανάδοχος</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Άτομο στο σπίτι</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Άτομο που αναζητά εργασία</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Εθελοντής</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Ανικανότητα προς εργασία</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Συνταξιούχος</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Άλλα</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Προτιμώ να μην απαντήσω</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Ερωτηματολόγια </w:t>
      </w:r>
    </w:p>
    <w:p>
      <w:pPr>
        <w:pStyle w:val="P68B1DB1Normal104"/>
        <w:widowControl w:val="false"/>
        <w:spacing w:lineRule="exact" w:line="339" w:before="1" w:after="0"/>
        <w:ind w:left="0" w:right="0" w:hanging="0"/>
        <w:jc w:val="left"/>
        <w:rPr/>
      </w:pPr>
      <w:r>
        <w:rPr/>
        <w:t xml:space="preserve">Το ερωτηματολόγιο και η παρούσα έκθεση καταρτίστηκαν από ανεξάρτητο εξωτερικό οργανισμό κατόπιν αιτήματος του Υπουργείου Εξωτερικών. Το ερωτηματολόγιο παρουσιάζει μια αρθρωτή δομή και περιλαμβάνει τις ακόλουθες ενότητες ερωτήσεων, σύμφωνα με τα θέματα που καθορίστηκαν για τη Διάσκεψη για το Μέλλον της Ευρώπης: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Σημαντικά θέματα και ο ρόλος της Ευρώπης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Κλιματική αλλαγή και περιβάλλον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Υγεία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Οικονομία και απασχόληση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Ο ρόλος της Ευρωπαϊκής Ένωσης στον κόσμο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Ασφάλεια και κράτος δικαίου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Ο Εικονικός Κόσμος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Ευρωπαϊκή Δημοκρατία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Μετανάστευση και πρόσφυγες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Εκπαίδευση/πολιτισμός/νεολαία/αθλητισμός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Κατά την προετοιμασία του ερωτηματολογίου δόθηκε μεγάλη προσοχή στην ποιότητα, την αξιοπιστία και την εγκυρότητα των ερωτήσεων. Για το λόγο αυτό, ζητήθηκε μια ουδέτερη, μη καθοδηγούμενη διατύπωση ερωτήσεων, ισχυρισμών και επιλογών απάντησης και επαληθεύτηκε ότι οι ερωτήσεις διατυπώθηκαν σε κατανοητή γλώσσα (επίπεδο Β1).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Το ερωτηματολόγιο υποβλήθηκε σε δοκιμές ποιότητας μέσω προσωπικών συνεντεύξεων με συμμετέχοντες που ανήκουν στην ομάδα-στόχο. Αυτό μας επέτρεψε να μελετήσουμε πώς οι ερωτήσεις γίνονται κατανοητές από διαφορετικούς τύπους ερωτηθέντων. Αν μια ερώτηση φαινόταν να αντιπροσωπεύει ένα υπερβολικά μεγάλο (πολύ σύνθετο) γνωστικό φορτίο, ήταν κατάλληλο. </w:t>
      </w:r>
    </w:p>
    <w:p>
      <w:pPr>
        <w:pStyle w:val="P68B1DB1Normal126"/>
        <w:widowControl w:val="false"/>
        <w:spacing w:lineRule="auto" w:line="240" w:before="333" w:after="0"/>
        <w:ind w:left="0" w:right="0" w:hanging="0"/>
        <w:jc w:val="left"/>
        <w:rPr>
          <w:rFonts w:ascii="Calibri" w:hAnsi="Calibri"/>
          <w:color w:val="0070C0"/>
          <w:sz w:val="24"/>
        </w:rPr>
      </w:pPr>
      <w:r>
        <w:rPr/>
        <w:t xml:space="preserve">Μέθοδοι ανάλυσης </w:t>
      </w:r>
    </w:p>
    <w:p>
      <w:pPr>
        <w:pStyle w:val="P68B1DB1Normal104"/>
        <w:widowControl w:val="false"/>
        <w:spacing w:lineRule="auto" w:line="240" w:before="80" w:after="0"/>
        <w:ind w:left="0" w:right="0" w:hanging="0"/>
        <w:jc w:val="left"/>
        <w:rPr>
          <w:rFonts w:ascii="Calibri" w:hAnsi="Calibri"/>
          <w:color w:val="000000"/>
          <w:sz w:val="21"/>
        </w:rPr>
      </w:pPr>
      <w:r>
        <w:rPr/>
        <w:t xml:space="preserve">Στην παρούσα έρευνα χρησιμοποιήθηκαν δύο μέθοδοι ανάλυσης: </w:t>
      </w:r>
    </w:p>
    <w:p>
      <w:pPr>
        <w:pStyle w:val="P68B1DB1Normal111"/>
        <w:widowControl w:val="false"/>
        <w:spacing w:lineRule="auto" w:line="240" w:before="48" w:after="0"/>
        <w:ind w:left="0" w:right="0" w:hanging="0"/>
        <w:jc w:val="left"/>
        <w:rPr>
          <w:rFonts w:ascii="Calibri" w:hAnsi="Calibri"/>
          <w:b/>
          <w:b/>
          <w:color w:val="000000"/>
          <w:sz w:val="22"/>
        </w:rPr>
      </w:pPr>
      <w:r>
        <w:rPr/>
        <w:t xml:space="preserve">Μονομεταβλητές αναλύσεις </w:t>
      </w:r>
    </w:p>
    <w:p>
      <w:pPr>
        <w:pStyle w:val="P68B1DB1Normal104"/>
        <w:widowControl w:val="false"/>
        <w:spacing w:lineRule="auto" w:line="240" w:before="6" w:after="0"/>
        <w:ind w:left="0" w:right="0" w:hanging="0"/>
        <w:jc w:val="left"/>
        <w:rPr>
          <w:rFonts w:ascii="Calibri" w:hAnsi="Calibri"/>
          <w:color w:val="000000"/>
          <w:sz w:val="21"/>
        </w:rPr>
      </w:pPr>
      <w:r>
        <w:rPr/>
        <w:t xml:space="preserve">Οι περιγραφικές στατιστικές χρησιμοποιούνται για την περιγραφή των μεταβλητών μιας έρευνας. Οι συχνότητες και οι μέσοι όροι χρησιμοποιούνται σε αυτή την έρευνα. </w:t>
      </w:r>
    </w:p>
    <w:p>
      <w:pPr>
        <w:pStyle w:val="P68B1DB1Normal111"/>
        <w:widowControl w:val="false"/>
        <w:spacing w:lineRule="auto" w:line="240" w:before="48" w:after="0"/>
        <w:ind w:left="0" w:right="0" w:hanging="0"/>
        <w:jc w:val="left"/>
        <w:rPr>
          <w:rFonts w:ascii="Calibri" w:hAnsi="Calibri"/>
          <w:b/>
          <w:b/>
          <w:color w:val="000000"/>
          <w:sz w:val="22"/>
        </w:rPr>
      </w:pPr>
      <w:r>
        <w:rPr/>
        <w:t xml:space="preserve">Ανάλυση διμεταβλητών </w:t>
      </w:r>
    </w:p>
    <w:p>
      <w:pPr>
        <w:pStyle w:val="P68B1DB1Normal104"/>
        <w:widowControl w:val="false"/>
        <w:spacing w:lineRule="auto" w:line="240" w:before="6" w:after="0"/>
        <w:ind w:left="0" w:right="0" w:hanging="0"/>
        <w:jc w:val="left"/>
        <w:rPr/>
      </w:pPr>
      <w:r>
        <w:rPr/>
        <w:t xml:space="preserve">Οι διμεταβλητές αναλύσεις καθιστούν δυνατή την εξέταση της σχέσης μεταξύ δύο μεταβλητών, εν προκειμένω της σχέσης μεταξύ της σημασίας των διαφόρων θεμάτων και του ζητήματος αν η ΕΕ πρέπει να παρέμβει στον τομέα αυτό και του γενικού χαρακτηριστικού της ηλικίας. Διενεργήθηκε επανεξέταση για να διαπιστωθεί κατά πόσον διαφορετικές ηλικιακές ομάδες αποδίδουν διαφορετική σημασία σε ένα θέμα και αν υπάρχουν διαφορετικές απόψεις σχετικά με τον βαθμό στον οποίο αυτά είναι ζητήματα στα οποία θα πρέπει να συμμετέχει η ΕΕ.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Δημοσίευση πληροφοριών και πληρότητα </w:t>
      </w:r>
    </w:p>
    <w:p>
      <w:pPr>
        <w:pStyle w:val="P68B1DB1Normal76"/>
        <w:widowControl w:val="false"/>
        <w:spacing w:lineRule="auto" w:line="240" w:before="116" w:after="0"/>
        <w:ind w:left="0" w:right="0" w:hanging="0"/>
        <w:jc w:val="left"/>
        <w:rPr/>
      </w:pPr>
      <w:r>
        <w:rPr>
          <w:rFonts w:ascii="Calibri" w:hAnsi="Calibri"/>
          <w:sz w:val="21"/>
        </w:rPr>
        <w:t>Η παρούσα έκθεση ενσωματώνει τα αποτελέσματα όλων των ερωτήσεων που υποβλήθηκαν στους ερωτηθέντες της ομάδας έρευνας. Για ορισμένες ερωτήσεις, ο απαντών είχε την ευκαιρία να παράσχει «ανοικτές» (δηλαδή όχι προκαθορισμένες) απαντήσεις. Στη συνέχεια, οι ανοιχτές απαντήσεις κατηγοριοποιήθηκαν και συμπεριλήφθηκαν στη δημοσίευση. Οι ιδέες που συμμερίζονται οι ερωτηθέντες στα δωρεάν σχόλια χρησιμοποιούνται για να τροφοδοτήσουν τους διάφορους θεματικούς διαλόγους που διοργανώνονται ως συνέχεια της διαδικασίας διαλόγου με τους πολίτες «Όραμα της Ευρώπης».</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Επιγραμμικοί θεματικοί διάλογοι για την εμβάθυνση </w:t>
      </w:r>
    </w:p>
    <w:p>
      <w:pPr>
        <w:pStyle w:val="P68B1DB1Normal104"/>
        <w:widowControl w:val="false"/>
        <w:spacing w:lineRule="auto" w:line="240"/>
        <w:ind w:left="0" w:right="0" w:hanging="0"/>
        <w:jc w:val="left"/>
        <w:rPr/>
      </w:pPr>
      <w:r>
        <w:rPr/>
        <w:t xml:space="preserve">Τα θέματα που βρίσκονται στο επίκεντρο της Διάσκεψης για το Μέλλον της Ευρώπης έχουν εμβαθυνθεί μέσω οκτώ διαδικτυακών θεματικών διαλόγων. Σκοπός αυτών των διαλόγων ήταν να ανακαλύψουμε </w:t>
      </w:r>
      <w:r>
        <w:rPr>
          <w:i/>
        </w:rPr>
        <w:t>τους λόγους</w:t>
      </w:r>
      <w:r>
        <w:rPr/>
        <w:t xml:space="preserve"> για τις απόψεις που εκφράστηκαν, καθώς και τα κίνητρα και τα συναισθήματα πίσω από αυτές. Ποιες είναι οι αντιληπτές ανησυχίες και ευκαιρίες; Οι συζητήσεις επέτρεψαν επίσης στους συμμετέχοντες να διατυπώσουν προτάσεις και ιδέες για τα θέματα αυτά, καθώς και να εγείρουν ζητήματα που δεν αποτελούν μέρος του συνεδρίου αλλά παραμένουν σημαντικά για αυτούς.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Οι θεματικοί διάλογοι πραγματοποιήθηκαν στις 12-14 Οκτωβρίου και στις 9-11 Νοεμβρίου. Τον Οκτώβριο διοργανώθηκαν τέσσερις επιγραμμικοί θεματικοί διάλογοι με θέμα «Οικονομική» και «Δημοκρατία». </w:t>
      </w:r>
    </w:p>
    <w:p>
      <w:pPr>
        <w:pStyle w:val="Normal"/>
        <w:widowControl w:val="false"/>
        <w:spacing w:lineRule="auto" w:line="240" w:before="10" w:after="0"/>
        <w:ind w:left="0" w:right="0" w:hanging="0"/>
        <w:jc w:val="left"/>
        <w:rPr/>
      </w:pPr>
      <w:r>
        <w:rPr>
          <w:rFonts w:ascii="Calibri" w:hAnsi="Calibri"/>
          <w:color w:val="000000"/>
          <w:sz w:val="21"/>
        </w:rPr>
        <w:t xml:space="preserve">Τον Νοέμβριο πραγματοποιήθηκαν τέσσερις επιγραμμικοί θεματικοί διάλογοι σχετικά με τα θέματα «Κλίμα» και «Η ΕΕ στον κόσμο». Κατά μέσο όρο, 29 άτομα συμμετείχαν σε κάθε συνεδρίαση συζήτησης (231 συνολικά). Οι συμμετέχοντες προσλήφθηκαν μεταξύ των μελών της επιτροπής (βλ. σημείο 1) και μέσω των μέσων κοινωνικής δικτύωσης. </w:t>
      </w:r>
      <w:r>
        <w:br w:type="page"/>
      </w:r>
    </w:p>
    <w:p>
      <w:pPr>
        <w:pStyle w:val="P68B1DB1Normal125"/>
        <w:spacing w:lineRule="auto" w:line="240"/>
        <w:ind w:left="0" w:right="0" w:hanging="0"/>
        <w:rPr>
          <w:rFonts w:ascii="Calibri" w:hAnsi="Calibri"/>
          <w:b/>
          <w:b/>
          <w:color w:val="0070C0"/>
          <w:sz w:val="32"/>
        </w:rPr>
      </w:pPr>
      <w:r>
        <w:rPr/>
        <w:t xml:space="preserve">3. Διάλογοι με συγκεκριμένες ομάδες </w:t>
      </w:r>
    </w:p>
    <w:p>
      <w:pPr>
        <w:pStyle w:val="P68B1DB1Normal104"/>
        <w:widowControl w:val="false"/>
        <w:spacing w:lineRule="auto" w:line="240" w:before="73" w:after="0"/>
        <w:ind w:left="0" w:right="0" w:hanging="0"/>
        <w:jc w:val="left"/>
        <w:rPr/>
      </w:pPr>
      <w:r>
        <w:rPr/>
        <w:t xml:space="preserve">Ορισμένες ολλανδικές ομάδες είναι γνωστό ότι είναι λιγότερο συνηθισμένες να συμμετέχουν σε έρευνες και πάνελ (online). Για να αποκτήσουν μια αντιπροσωπευτική εικόνα της «φωνής των Κάτω Χωρών», ήταν σημαντικό οι εν λόγω πολίτες να είναι επίσης σε θέση να εκφράσουν τις ιδέες και τις απόψεις τους. Αυτός είναι ο λόγος για τον οποίο διοργανώσαμε επίσης σειρά επιτόπιων διαλόγων για την έρευνα «Όραμα της Ευρώπης». Οι απόψεις και οι ιδέες που μπορέσαμε να συγκεντρώσουμε χρησιμοποιήθηκαν ως βάση (μεταξύ άλλων) για τη διατύπωση των συστάσεων. </w:t>
      </w:r>
    </w:p>
    <w:p>
      <w:pPr>
        <w:pStyle w:val="P68B1DB1Normal126"/>
        <w:widowControl w:val="false"/>
        <w:spacing w:lineRule="auto" w:line="240" w:before="94" w:after="0"/>
        <w:ind w:left="0" w:right="0" w:hanging="0"/>
        <w:jc w:val="left"/>
        <w:rPr>
          <w:rFonts w:ascii="Calibri" w:hAnsi="Calibri"/>
          <w:color w:val="0070C0"/>
          <w:sz w:val="24"/>
        </w:rPr>
      </w:pPr>
      <w:r>
        <w:rPr/>
        <w:t xml:space="preserve">Ομάδες-στόχοι </w:t>
      </w:r>
    </w:p>
    <w:p>
      <w:pPr>
        <w:pStyle w:val="P68B1DB1Normal110"/>
        <w:widowControl w:val="false"/>
        <w:spacing w:lineRule="auto" w:line="240" w:before="88" w:after="0"/>
        <w:ind w:left="0" w:right="0" w:hanging="0"/>
        <w:jc w:val="left"/>
        <w:rPr/>
      </w:pPr>
      <w:r>
        <w:rPr>
          <w:sz w:val="21"/>
        </w:rPr>
        <w:t xml:space="preserve">Οι δυσπρόσιτες ομάδες-στόχοι δεν μπορούν να οριστούν με σαφήνεια. Οι μελέτες και η εμπειρία μας επιτρέπουν να γνωρίζουμε ότι οι Ολλανδοί με </w:t>
      </w:r>
      <w:r>
        <w:rPr>
          <w:b/>
          <w:sz w:val="21"/>
        </w:rPr>
        <w:t>μη δυτική καταγωγή</w:t>
      </w:r>
      <w:r>
        <w:rPr>
          <w:sz w:val="21"/>
        </w:rPr>
        <w:t>συμμετέχουν σημαντικά λιγότερο από τον εαυτό τους σε έρευνες και συζητήσεις. Δεδομένου ότι αυτό αντιπροσωπεύει μια μεγάλη ομάδα (14 % των ολλανδικών</w:t>
      </w:r>
      <w:r>
        <w:rPr>
          <w:b/>
          <w:position w:val="6"/>
          <w:sz w:val="14"/>
        </w:rPr>
        <w:t>1</w:t>
      </w:r>
      <w:r>
        <w:rPr>
          <w:sz w:val="21"/>
        </w:rPr>
        <w:t xml:space="preserve">), επελέγησαν για να συμμετάσχουν στο διάλογο για το όραμα της Ευρώπης. Η ίδια συλλογιστική ακολουθήθηκε όσον αφορά τα </w:t>
      </w:r>
      <w:r>
        <w:rPr>
          <w:b/>
          <w:sz w:val="21"/>
        </w:rPr>
        <w:t>άτομα με μικρή εκπαίδευση</w:t>
      </w:r>
      <w:r>
        <w:rPr>
          <w:sz w:val="21"/>
        </w:rPr>
        <w:t>. Είναι επίσης μια μεγάλη ομάδα (2,5 εκατομμύρια ολλανδικά</w:t>
      </w:r>
      <w:r>
        <w:rPr>
          <w:position w:val="6"/>
          <w:sz w:val="14"/>
        </w:rPr>
        <w:t>2</w:t>
      </w:r>
      <w:r>
        <w:rPr>
          <w:sz w:val="21"/>
        </w:rPr>
        <w:t xml:space="preserve">), η οποία αλληλεπικαλύπτεται εν μέρει με την ομάδα μεταναστών (39 %). Τέλος, πραγματοποιήθηκε διάλογος με μια ομάδα ανθρώπων που σπανίως συναντώνται σε έρευνες και συζητήσεις, οι </w:t>
      </w:r>
      <w:r>
        <w:rPr>
          <w:b/>
          <w:sz w:val="21"/>
        </w:rPr>
        <w:t>οποίοι είναι επικριτικοί απέναντι στην Ευρώπη, αλλά για τους οποίους η Ευρώπη διαδραματίζει σημαντικό ρόλο στον επαγγελματικό τομέα.</w:t>
      </w:r>
      <w:r>
        <w:rPr>
          <w:sz w:val="21"/>
        </w:rPr>
        <w:t xml:space="preserve"> Επιλέχθηκαν επιχειρηματίες από τον αγροτικό τομέα.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Οι προαναφερθείσες ομάδες έχουν προσεγγιστεί μέσω οργανώσεων των οποίων είναι μέλη, όπως οργανώσεις μεταναστών, ενώσεις υπεράσπισης και επαγγελματικές οργανώσεις. Δεδομένου ότι περιορίσαμε τον αριθμό των διαλόγων σε οκτώ, δεν θα μπορούσαμε να είμαστε εντελώς «εξαντλητικοί». Αυτό καθιστά την επιλογή των συμμετεχόντων κάπως αυθαίρετη. Για να κάνουμε αυτή την επιλογή, λάβαμε επίσης υπόψη τον ενθουσιασμό να συμμετάσχουμε και να βοηθήσουμε στην κινητοποίηση της βάσης τους, καθώς και πρακτικά ζητήματα όπως η διαθεσιμότητα σύμφωνα με τις ημερομηνίες και την τοποθεσία.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Πραγματοποιήθηκαν επιτόπιοι διάλογοι με μέλη των ακόλουθων οργανώσεων: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Ίδρυμα Hakder, κοινότητα Alevi,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Ίδρυμα Asha, ινδουιστική κοινότητα, Ουτρέχτη (δύο συνεδριάσεις συζήτησης)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οργάνωση της κοινωνίας των πολιτών,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μια οργάνωση για άτομα χαμηλής εκπαίδευσης, Ουτρέχτη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ένωση γεωργικών ομάδων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μαροκινή κοινότητα, Ουτρέχτη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Γυναίκες για την Ελευθερία, οργάνωση υπεράσπισης γυναικών με μεταναστευτικό υπόβαθρο, Χάγη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Συνολικά 110 άτομα συμμετείχαν σε αυτές τις συναντήσεις.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Διάλογοι με τους νέους </w:t>
      </w:r>
    </w:p>
    <w:p>
      <w:pPr>
        <w:pStyle w:val="P68B1DB1Normal104"/>
        <w:widowControl w:val="false"/>
        <w:spacing w:lineRule="auto" w:line="240" w:before="145" w:after="0"/>
        <w:ind w:left="0" w:right="0" w:hanging="0"/>
        <w:jc w:val="both"/>
        <w:rPr/>
      </w:pPr>
      <w:r>
        <w:rPr/>
        <w:t xml:space="preserve">Οι νέοι αποτελούν ομάδα-στόχο προτεραιότητας της Διάσκεψης για το Μέλλον της Ευρώπης. Προκειμένου να ενθαρρυνθεί ενεργά η συμμετοχή τους στον διάλογο με τους πολίτες «Όραμα της Ευρώπης» και να ακουστούν καλά οι απόψεις και οι ιδέες αυτής της ομάδας, διοργανώθηκαν έξι συνεδριάσεις συζήτησης με φυσική παρουσία ειδικά για τους νέους.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Οι συνεδριάσεις πραγματοποιήθηκαν στα ακόλουθα θεσμικά όργανα: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Ένωση Φοιτητών Ιστορίας, Πανεπιστήμιο του Leiden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 College, Γυμνάσιο,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Coalitie-Y, Οικονομικό και Κοινωνικό Συμβούλιο Πλατφόρμα Νεολαίας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College, επαγγελματική δευτεροβάθμια εκπαίδευση,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δευτεροβάθμια εκπαίδευση που επικεντρώνεται σε τεχνολογικά θέματα,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Εθνικό Συμβούλιο Νεολαίας (η συνεδρίαση πραγματοποιήθηκε εκτός των εγκαταστάσεων)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Συνολικά 110 νέοι συμμετείχαν στις συναντήσεις συζήτησης. </w:t>
      </w:r>
      <w:r>
        <w:br w:type="page"/>
      </w:r>
    </w:p>
    <w:p>
      <w:pPr>
        <w:pStyle w:val="P68B1DB1Normal126"/>
        <w:spacing w:lineRule="auto" w:line="240"/>
        <w:ind w:left="0" w:right="0" w:hanging="0"/>
        <w:rPr>
          <w:rFonts w:ascii="Calibri" w:hAnsi="Calibri"/>
          <w:color w:val="0070C0"/>
          <w:sz w:val="24"/>
        </w:rPr>
      </w:pPr>
      <w:r>
        <w:rPr/>
        <w:t xml:space="preserve">Τεχνικές συντήρησης που χρησιμοποιούνται </w:t>
      </w:r>
    </w:p>
    <w:p>
      <w:pPr>
        <w:pStyle w:val="P68B1DB1Normal104"/>
        <w:widowControl w:val="false"/>
        <w:spacing w:lineRule="auto" w:line="240" w:before="92" w:after="0"/>
        <w:ind w:left="0" w:right="0" w:hanging="0"/>
        <w:jc w:val="left"/>
        <w:rPr/>
      </w:pPr>
      <w:r>
        <w:rPr/>
        <w:t xml:space="preserve">Οι επιγραμμικοί θεματικοί διάλογοι, οι διάλογοι με συγκεκριμένες ομάδες και οι διάλογοι με τους νέους διεξήχθησαν με τη χρήση της λεγόμενης «σωκρατικής» μεθόδου συνέντευξης. Αυτή η μέθοδος έχει χρησιμοποιηθεί για πολλά χρόνια την Ημέρα του Διαλόγου, όπου οι άνθρωποι σε όλη την Ολλανδία αλληλεπιδρούν σε θέματα που τους επηρεάζουν. Στο πλαίσιο της μεθόδου σωκρατικής συντήρησης, ο συντονιστής λαμβάνει υπόψη τις ακόλουθες αρχές: </w:t>
      </w:r>
    </w:p>
    <w:p>
      <w:pPr>
        <w:pStyle w:val="P68B1DB1Normal105"/>
        <w:widowControl w:val="false"/>
        <w:spacing w:lineRule="auto" w:line="240"/>
        <w:ind w:left="0" w:right="0" w:hanging="0"/>
        <w:jc w:val="left"/>
        <w:rPr/>
      </w:pPr>
      <w:r>
        <w:rPr>
          <w:rFonts w:ascii="Verdana" w:hAnsi="Verdana"/>
        </w:rPr>
        <w:t>Αφήστε</w:t>
      </w:r>
      <w:r>
        <w:rPr/>
        <w:t xml:space="preserve"> τον άλλο να πει την ιστορία του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Μην</w:t>
      </w:r>
      <w:r>
        <w:rPr/>
        <w:t xml:space="preserve"> </w:t>
      </w:r>
      <w:r>
        <w:rPr>
          <w:rFonts w:ascii="Calibri" w:hAnsi="Calibri"/>
        </w:rPr>
        <w:t xml:space="preserve">το απαντήσεις αμέσως με μια άλλη ιστορία </w:t>
      </w:r>
    </w:p>
    <w:p>
      <w:pPr>
        <w:pStyle w:val="P68B1DB1Normal105"/>
        <w:widowControl w:val="false"/>
        <w:spacing w:lineRule="auto" w:line="240"/>
        <w:ind w:left="0" w:right="0" w:hanging="0"/>
        <w:jc w:val="left"/>
        <w:rPr/>
      </w:pPr>
      <w:r>
        <w:rPr>
          <w:rFonts w:ascii="Verdana" w:hAnsi="Verdana"/>
        </w:rPr>
        <w:t>Συμπεριφερθείτε</w:t>
      </w:r>
      <w:r>
        <w:rPr/>
        <w:t xml:space="preserve"> </w:t>
      </w:r>
      <w:r>
        <w:rPr>
          <w:rFonts w:ascii="Calibri" w:hAnsi="Calibri"/>
        </w:rPr>
        <w:t xml:space="preserve">στον εαυτό σας με σεβασμό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Μιλήστε για τη δική σας άποψη («Βρίσκομαι» και όχι «λένε»)</w:t>
      </w:r>
      <w:r>
        <w:rPr/>
        <w:t>.</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Ζητήστε περισσότερες εξηγήσεις εάν οι απόψεις που εκφράζονται περιορίζονται σε γενικότητες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Αποφύγετε τις κρίσεις και αναλύστε τις </w:t>
      </w:r>
    </w:p>
    <w:p>
      <w:pPr>
        <w:pStyle w:val="P68B1DB1Normal105"/>
        <w:widowControl w:val="false"/>
        <w:spacing w:lineRule="auto" w:line="240"/>
        <w:ind w:left="0" w:right="0" w:hanging="0"/>
        <w:jc w:val="left"/>
        <w:rPr/>
      </w:pPr>
      <w:r>
        <w:rPr>
          <w:rFonts w:ascii="Verdana" w:hAnsi="Verdana"/>
        </w:rPr>
        <w:t>Δώστε</w:t>
      </w:r>
      <w:r>
        <w:rPr/>
        <w:t xml:space="preserve"> </w:t>
      </w:r>
      <w:r>
        <w:rPr>
          <w:rFonts w:ascii="Calibri" w:hAnsi="Calibri"/>
        </w:rPr>
        <w:t xml:space="preserve">στιγμές σιωπής αν οι άνθρωποι πρέπει να σκεφτούν για μια στιγμή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Κατά τη διάρκεια των διαλόγων, χρησιμοποιείται ο ακόλουθος ρυθμός: απόκλιση — σύγκλιση — απόκλιση. Η αρχή είναι ότι πρέπει πρώτα να αποκλίνετε (να εκφράσετε άμεσα ατομικά συναισθήματα και απόψεις), πριν μπορέσετε να συγκλίνετε (να μιλήσετε πιθανές οδούς) και στη συνέχεια να αποκλίνετε και πάλι (για παράδειγμα, συλλέξτε μεμονωμένες συστάσεις). Η εμπειρία και η θεωρία δείχνουν ότι αυτός ο ρυθμός εξασφαλίζει τη βέλτιστη ροή του διαλόγου.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Όλοι οι διάλογοι διεξήχθησαν από επαγγελματίες διαμεσολαβητές. </w:t>
      </w:r>
    </w:p>
    <w:p>
      <w:pPr>
        <w:pStyle w:val="Normal"/>
        <w:widowControl w:val="false"/>
        <w:spacing w:lineRule="auto" w:line="240" w:before="197" w:after="0"/>
        <w:ind w:left="0" w:right="0" w:hanging="0"/>
        <w:jc w:val="left"/>
        <w:rPr/>
      </w:pPr>
      <w:r>
        <w:rPr>
          <w:rFonts w:ascii="Calibri" w:hAnsi="Calibri"/>
          <w:b/>
          <w:color w:val="0070C0"/>
          <w:sz w:val="32"/>
        </w:rPr>
        <w:t>5. Διαδικτυακή δημόσια έρευνα: Ερωτηματολόγιο και «Swipen naar de toekomst» (</w:t>
      </w:r>
      <w:commentRangeStart w:id="31"/>
      <w:r>
        <w:rPr>
          <w:rFonts w:ascii="Calibri" w:hAnsi="Calibri"/>
          <w:b/>
          <w:color w:val="0070C0"/>
          <w:sz w:val="32"/>
        </w:rPr>
        <w:t>Swiper</w:t>
      </w:r>
      <w:r>
        <w:rPr>
          <w:rFonts w:ascii="Calibri" w:hAnsi="Calibri"/>
          <w:b/>
          <w:color w:val="0070C0"/>
          <w:sz w:val="32"/>
        </w:rPr>
      </w:r>
      <w:commentRangeEnd w:id="31"/>
      <w:r>
        <w:commentReference w:id="31"/>
      </w:r>
      <w:r>
        <w:rPr>
          <w:rFonts w:ascii="Calibri" w:hAnsi="Calibri"/>
          <w:b/>
          <w:color w:val="0070C0"/>
          <w:sz w:val="32"/>
        </w:rPr>
        <w:t xml:space="preserve"> to the future) </w:t>
      </w:r>
    </w:p>
    <w:p>
      <w:pPr>
        <w:pStyle w:val="P68B1DB1Normal110"/>
        <w:widowControl w:val="false"/>
        <w:spacing w:lineRule="auto" w:line="240"/>
        <w:ind w:left="0" w:right="0" w:hanging="0"/>
        <w:jc w:val="left"/>
        <w:rPr/>
      </w:pPr>
      <w:r>
        <w:rPr>
          <w:sz w:val="21"/>
        </w:rPr>
        <w:t>Το ερωτηματολόγιο της ειδικής ομάδας ήταν επίσης ανοικτό σε όλους τους Ολλανδούς, συμπεριλαμβανομένων εκείνων που διαμένουν στο εξωτερικό. Το εν λόγω ερωτηματολόγιο ήταν διαθέσιμο από</w:t>
      </w:r>
      <w:r>
        <w:rPr>
          <w:position w:val="6"/>
          <w:sz w:val="14"/>
        </w:rPr>
        <w:t>την</w:t>
      </w:r>
      <w:r>
        <w:rPr>
          <w:sz w:val="21"/>
        </w:rPr>
        <w:t xml:space="preserve"> 1η Σεπτεμβρίου 2021 έως τις 14 Νοεμβρίου 2021. Επιπλέον, κατά την ίδια περίοδο, κάθε Ολλανδός ήταν σε θέση να συμμετάσχει στη δράση «Swipen naar de toekomst» (Swiper to the future), ένα διαδικτυακό εργαλείο που παρουσιάζει 20 αξιώσεις. </w:t>
      </w:r>
    </w:p>
    <w:p>
      <w:pPr>
        <w:pStyle w:val="P68B1DB1Normal126"/>
        <w:widowControl w:val="false"/>
        <w:spacing w:lineRule="auto" w:line="240" w:before="14" w:after="0"/>
        <w:ind w:left="0" w:right="0" w:hanging="0"/>
        <w:jc w:val="left"/>
        <w:rPr>
          <w:rFonts w:ascii="Calibri" w:hAnsi="Calibri"/>
          <w:color w:val="0070C0"/>
          <w:sz w:val="24"/>
        </w:rPr>
      </w:pPr>
      <w:r>
        <w:rPr/>
        <w:t xml:space="preserve">Απαντήσεις και χρήση </w:t>
      </w:r>
    </w:p>
    <w:p>
      <w:pPr>
        <w:pStyle w:val="P68B1DB1Normal104"/>
        <w:widowControl w:val="false"/>
        <w:spacing w:lineRule="auto" w:line="240"/>
        <w:ind w:left="0" w:right="0" w:hanging="0"/>
        <w:jc w:val="left"/>
        <w:rPr/>
      </w:pPr>
      <w:r>
        <w:rPr/>
        <w:t xml:space="preserve">Συνολικά 1,967 συμμετέχοντες συμπλήρωσαν το ερωτηματολόγιο και 6.968 ήταν στο τέλος του εργαλείου σάρωσης οθόνης. Τόσο το ερωτηματολόγιο όσο και το εργαλείο σάρωσης οθόνης ήταν ανοιχτά σε όλους: δεν υπήρχαν προϋποθέσεις ή κριτήρια επιλογής για συμμετοχή. Στο ερωτηματολόγιο, ήταν δυνατή η υποβολή ερωτήσεων (δεν υπήρχαν υποχρεωτικές ερωτήσεις) προκειμένου να μεγιστοποιηθεί το ποσοστό απάντησης. Οι συμμετέχοντες επέλεξαν «Προτιμώ να μην απαντήσω» πολύ πιο συχνά από ό, τι στην έρευνα αντιπροσωπευτικών πάνελ. </w:t>
      </w:r>
    </w:p>
    <w:p>
      <w:pPr>
        <w:pStyle w:val="P68B1DB1Normal104"/>
        <w:widowControl w:val="false"/>
        <w:spacing w:lineRule="auto" w:line="240"/>
        <w:ind w:left="0" w:right="0" w:hanging="0"/>
        <w:jc w:val="left"/>
        <w:rPr/>
      </w:pPr>
      <w:r>
        <w:rPr/>
        <w:t xml:space="preserve">Τα γενικά χαρακτηριστικά των συμμετεχόντων στο ανοικτό ερωτηματολόγιο και το εργαλείο σάρωσης οθόνης διαφέρουν από πολλές απόψεις από εκείνα των συμμετεχόντων στην αντιπροσωπευτική ομάδα. Σε αντίθεση με την έρευνα πάνελ, τα αποτελέσματα του ανοιχτού ερωτηματολογίου και του εργαλείου σάρωσης οθόνης δεν είναι αντιπροσωπευτικά. Τα αποτελέσματα της ανοικτής διαδικτυακής έρευνας χρησιμοποιήθηκαν για να συμπληρώσουν την έρευνα της ομάδας. Δίνουν μια επισκόπηση των συναισθημάτων και των ιδεών που κυκλοφορούν στην Ολλανδία. Οι προτάσεις βελτίωσης που αναφέρονται στα πεδία εισαγωγής χρησιμοποιήθηκαν στην ενότητα «Συζητήσεις και ιδέες στο διαδίκτυο και επί τόπου». Το εργαλείο σάρωσης οθόνης έχει χρησιμοποιηθεί για την καλύτερη κατανόηση ορισμένων από τα συναισθήματα που κυκλοφορούν στην Ολλανδία. Τα αποτελέσματα αυτά ελήφθησαν υπόψη κατά την προετοιμασία των συστάσεων. Λόγω της απαίτησης αντιπροσωπευτικότητας, τα αποτελέσματα της έρευνας που κινήθηκε στο διαδίκτυο ελήφθησαν ελάχιστα υπόψη στην παρούσα έκθεση.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Η παρούσα έκθεση δημοσιεύεται από το Υπουργείο Εξωτερικών.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Αναφορές στα αποτελέσματα εθνικών εκδηλώσεων </w:t>
      </w:r>
    </w:p>
    <w:p>
      <w:pPr>
        <w:pStyle w:val="Normal"/>
        <w:widowControl w:val="false"/>
        <w:spacing w:lineRule="auto" w:line="240"/>
        <w:ind w:left="360" w:right="6617" w:hanging="0"/>
        <w:jc w:val="both"/>
        <w:rPr/>
      </w:pPr>
      <w:r>
        <w:rPr>
          <w:rFonts w:ascii="Times New Roman" w:hAnsi="Times New Roman"/>
          <w:color w:val="000000"/>
        </w:rPr>
        <w:t xml:space="preserve">• </w:t>
      </w:r>
      <w:hyperlink r:id="rId122">
        <w:r>
          <w:rPr>
            <w:rStyle w:val="LienInternet"/>
            <w:rFonts w:ascii="Times New Roman" w:hAnsi="Times New Roman"/>
            <w:b/>
            <w:color w:val="0000FF"/>
          </w:rPr>
          <w:t>Βέλγιο</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3">
        <w:r>
          <w:rPr>
            <w:rStyle w:val="LienInternet"/>
            <w:rFonts w:ascii="Times New Roman" w:hAnsi="Times New Roman"/>
            <w:b/>
            <w:color w:val="0000FF"/>
          </w:rPr>
          <w:t>Βουλγαρία</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4">
        <w:r>
          <w:rPr>
            <w:rStyle w:val="LienInternet"/>
            <w:rFonts w:ascii="Times New Roman" w:hAnsi="Times New Roman"/>
            <w:b/>
            <w:color w:val="0000FF"/>
          </w:rPr>
          <w:t>Δημοκρατία τηςΤσεχίας</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hyperlink r:id="rId125">
        <w:r>
          <w:rPr>
            <w:rStyle w:val="LienInternet"/>
            <w:rFonts w:ascii="Times New Roman" w:hAnsi="Times New Roman"/>
            <w:b/>
            <w:color w:val="0000FF"/>
          </w:rPr>
          <w:t>Δανία</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6">
        <w:r>
          <w:rPr>
            <w:rStyle w:val="LienInternet"/>
            <w:rFonts w:ascii="Times New Roman" w:hAnsi="Times New Roman"/>
            <w:b/>
            <w:color w:val="0000FF"/>
          </w:rPr>
          <w:t>Στο</w:t>
        </w:r>
      </w:hyperlink>
      <w:hyperlink r:id="rId127">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8">
        <w:r>
          <w:rPr>
            <w:rStyle w:val="LienInternet"/>
            <w:rFonts w:ascii="Times New Roman" w:hAnsi="Times New Roman"/>
            <w:b/>
            <w:color w:val="0000FF"/>
          </w:rPr>
          <w:t>Εσθονία</w:t>
        </w:r>
      </w:hyperlink>
      <w:r>
        <w:rPr>
          <w:rFonts w:ascii="Times New Roman" w:hAnsi="Times New Roman"/>
          <w:color w:val="000000"/>
        </w:rPr>
        <w:t xml:space="preserve"> </w:t>
      </w:r>
    </w:p>
    <w:p>
      <w:pPr>
        <w:pStyle w:val="Normal"/>
        <w:widowControl w:val="false"/>
        <w:spacing w:lineRule="auto" w:line="240"/>
        <w:ind w:left="360" w:right="0" w:hanging="0"/>
        <w:jc w:val="left"/>
        <w:rPr/>
      </w:pPr>
      <w:hyperlink r:id="rId129">
        <w:r>
          <w:rPr>
            <w:rStyle w:val="LienInternet"/>
            <w:rFonts w:ascii="Times New Roman" w:hAnsi="Times New Roman"/>
            <w:b/>
            <w:color w:val="0000FF"/>
          </w:rPr>
          <w:t>ΙΡΛΑΝΔΙΑ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Ελλάδα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Ισπανία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Γαλλία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Κροατία</w:t>
        </w:r>
      </w:hyperlink>
      <w:r>
        <w:rPr>
          <w:rFonts w:ascii="Times New Roman" w:hAnsi="Times New Roman"/>
          <w:color w:val="000000"/>
        </w:rPr>
        <w:t xml:space="preserve"> </w:t>
      </w:r>
    </w:p>
    <w:p>
      <w:pPr>
        <w:pStyle w:val="Normal"/>
        <w:widowControl w:val="false"/>
        <w:spacing w:lineRule="auto" w:line="240"/>
        <w:ind w:left="360" w:right="0" w:hanging="0"/>
        <w:jc w:val="left"/>
        <w:rPr/>
      </w:pPr>
      <w:hyperlink r:id="rId134">
        <w:r>
          <w:rPr>
            <w:rStyle w:val="LienInternet"/>
            <w:rFonts w:ascii="Times New Roman" w:hAnsi="Times New Roman"/>
            <w:b/>
            <w:color w:val="0000FF"/>
          </w:rPr>
          <w:t>ΙΤΑΛΙΑ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Κύπρος</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6">
        <w:r>
          <w:rPr>
            <w:rStyle w:val="LienInternet"/>
            <w:rFonts w:ascii="Times New Roman" w:hAnsi="Times New Roman"/>
            <w:b/>
            <w:color w:val="0000FF"/>
          </w:rPr>
          <w:t>Λετονία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7">
        <w:r>
          <w:rPr>
            <w:rStyle w:val="LienInternet"/>
            <w:rFonts w:ascii="Times New Roman" w:hAnsi="Times New Roman"/>
            <w:b/>
            <w:color w:val="0000FF"/>
          </w:rPr>
          <w:t>Λιθουανία</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8">
        <w:r>
          <w:rPr>
            <w:rStyle w:val="LienInternet"/>
            <w:rFonts w:ascii="Times New Roman" w:hAnsi="Times New Roman"/>
            <w:b/>
            <w:color w:val="0000FF"/>
          </w:rPr>
          <w:t>Λουξεμβούργο</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9">
        <w:r>
          <w:rPr>
            <w:rStyle w:val="LienInternet"/>
            <w:rFonts w:ascii="Times New Roman" w:hAnsi="Times New Roman"/>
            <w:b/>
            <w:color w:val="0000FF"/>
          </w:rPr>
          <w:t>Ουγγαρία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Μάλτα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Κάτω Χώρες</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Αυστρία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Πολωνία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Πορτογαλία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Ρουμανία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Σλοβενία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7">
        <w:r>
          <w:rPr>
            <w:rStyle w:val="LienInternet"/>
            <w:rFonts w:ascii="Times New Roman" w:hAnsi="Times New Roman"/>
            <w:b/>
            <w:color w:val="0000FF"/>
          </w:rPr>
          <w:t>Σλοβακία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8">
        <w:r>
          <w:rPr>
            <w:rStyle w:val="LienInternet"/>
            <w:rFonts w:ascii="Times New Roman" w:hAnsi="Times New Roman"/>
            <w:b/>
            <w:color w:val="0000FF"/>
          </w:rPr>
          <w:t>Φινλανδία</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9">
        <w:r>
          <w:rPr>
            <w:rStyle w:val="LienInternet"/>
            <w:rFonts w:ascii="Times New Roman" w:hAnsi="Times New Roman"/>
            <w:b/>
            <w:color w:val="0000FF"/>
          </w:rPr>
          <w:t>Σουηδία</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Παραπομπή στην έκθεση της πολύγλωσσης ψηφιακής πλατφόρμας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50">
        <w:r>
          <w:rPr>
            <w:rStyle w:val="LienInternet"/>
            <w:color w:val="0000FF"/>
            <w:sz w:val="24"/>
          </w:rPr>
          <w:t>Πολυγλωσσική</w:t>
        </w:r>
      </w:hyperlink>
      <w:hyperlink r:id="rId151">
        <w:r>
          <w:rPr>
            <w:rStyle w:val="LienInternet"/>
            <w:color w:val="0000FF"/>
            <w:sz w:val="24"/>
          </w:rPr>
          <w:t>μορφή</w:t>
        </w:r>
      </w:hyperlink>
      <w:r>
        <w:rPr/>
        <w:t>της Διάσκεψης για το Μέλλον της Ευρώπης —</w:t>
      </w:r>
      <w:hyperlink r:id="rId152">
        <w:r>
          <w:rPr>
            <w:rStyle w:val="LienInternet"/>
            <w:color w:val="0000FF"/>
            <w:sz w:val="24"/>
          </w:rPr>
          <w:t xml:space="preserve">Έκθεση Φεβρουαρίου 2022 </w:t>
        </w:r>
      </w:hyperlink>
      <w:hyperlink r:id="rId153">
        <w:r>
          <w:rPr>
            <w:rStyle w:val="LienInternet"/>
            <w:color w:val="0000FF"/>
            <w:sz w:val="24"/>
          </w:rPr>
          <w:t xml:space="preserve">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ΕΙΚΟΝΑ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ΕΙΚΟΝΑ 48" descr=""/>
                    <pic:cNvPicPr>
                      <a:picLocks noChangeAspect="1" noChangeArrowheads="1"/>
                    </pic:cNvPicPr>
                  </pic:nvPicPr>
                  <pic:blipFill>
                    <a:blip r:embed="rId154"/>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Όνομα: QC-05-22-131-EN-N τυπωμένη ύλη ISBN 978-92-824-8729-7: QC-05-22-131-EN-C</w:t>
      </w:r>
    </w:p>
    <w:p>
      <w:pPr>
        <w:pStyle w:val="P68B1DB1Normal132"/>
        <w:widowControl w:val="false"/>
        <w:spacing w:lineRule="exact" w:line="330" w:before="117" w:after="0"/>
        <w:ind w:left="1668" w:right="0" w:firstLine="2132"/>
        <w:jc w:val="right"/>
        <w:rPr/>
      </w:pPr>
      <w:r>
        <w:rPr/>
        <w:t>© Ευρωπαϊκή Ένωση, 2022 Επιτρέπεται η επαναχρησιμοποίηση, υπό την προϋπόθεση ότι αναφέρεται η πηγή.</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Ο όρος «διευρωπαϊκός» συγχέεται.</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παράξενη ομαδοποίηση</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παράξενη ομαδοποίηση</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παράξενη ομαδοποίηση</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με πλάγιους χαρακτήρες στην αρχική έκθεση στα γαλλικά</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το πρωτότυπο ήταν «σύντροφος»</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Πρόσθεσα ένα «s» (πληθυντικό με φόρους)</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Πρόσθεσα την εξόρμηση</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προστέθηκε κεφαλαίο γράμμα</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Αφαίρεσα ένα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το πρωτότυπο είχε ένα ταμπλό. Δεν ξέρω τι είναι το ταμπλό. Ως εκ τούτου, ζήτησα από την Google τη μετάφραση του αγγλικού κειμένου που ανέφερε «dashboard», η οποία είναι κατανοητή στα γαλλικά.</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Έβαλα ένα κεφαλαίο γράμμα.</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Πρόσθεσα το «Ε»</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Πρόσθεσα ένα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το πρωτότυπο είχε «δημοψηφίσματα»· όπως και αλλού υπάρχει ένα «δημοψήφισμα» με έμφαση, ο πληθυντικός πρέπει να είναι «δημοψήφισμα», χρησιμοποιώντας τη λατινική απόκλιση.</w:t>
      </w:r>
    </w:p>
    <w:p>
      <w:r>
        <w:rPr>
          <w:rFonts w:ascii="Times New Roman" w:hAnsi="Times New Roman" w:eastAsia="Segoe UI" w:cs="Tahoma"/>
          <w:color w:val="auto"/>
          <w:kern w:val="0"/>
          <w:sz w:val="24"/>
          <w:szCs w:val="24"/>
          <w:lang w:val="en-US" w:eastAsia="en-US" w:bidi="en-US"/>
        </w:rPr>
        <w:t xml:space="preserve">βλέπε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εκεί υπήρχε και το «δημοψήφισμα».</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Το πρωτότυπο είχε «στις λίστες των μηχανισμών του συρταριού»; Δεν καταλαβαίνω, έτσι μετέφρασα από την αγγλική έκδοση.</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Το πρωτότυπο στα γαλλικά ήταν «Ο ιστότοπος του Διαμεσολαβητή είναι καλά κατασκευασμένος αλλά δεν είναι ευρωπαϊκός επώνυμος». Ο όρος «branded» είναι ακατανόητος. Η αγγλική έκδοση είναι «Ο ιστότοπος του Διαμεσολαβητή είναι καλά κατασκευασμένος, αλλά δεν έχει μια σωστή ευρωπαϊκή «εικόνα», οπότε την αντικαθιστώ με την πιο κατανοητή άμεση μετάφραση της αγγλικής γλώσσας.</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το πρωτότυπο στη γαλλική γλώσσα ήταν «δημόσιο», το οποίο δεν χορηγήθηκε με «διαβούλευση». Ήταν δημόσια διαβούλευση ή δημόσια διαβούλευση;</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υπήρχαν «άγγελοι»</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προστέθηκαν κεφαλαία γράμματα (εμπορικές ονομασίες)</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αντικαθίσταται η λέξη «λα» από τη λέξη «ο»</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αντικατάσταση της λέξης «λήψη» από τη λέξη «ανάληψη»</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αφαίρεσε το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πρόσθεσε ένα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Δεν καταλαβαίνω το «swiper»</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πρόσθεσε το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τίτλος σε 2 ξένες γλώσσες: περίεργος</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r>
      <w:r>
        <w:rPr/>
        <w:t>Συστάσεις των πολιτών στις οποίες βασίζεται η πρόταση: #3, #17, #18, #19</w:t>
      </w:r>
    </w:p>
  </w:endnote>
  <w:endnote w:id="3">
    <w:p>
      <w:pPr>
        <w:pStyle w:val="Notedefin"/>
        <w:suppressLineNumbers/>
        <w:spacing w:before="57" w:after="57"/>
        <w:ind w:left="339" w:right="0" w:hanging="339"/>
        <w:rPr/>
      </w:pPr>
      <w:r>
        <w:rPr>
          <w:rStyle w:val="Caractresdenotedefin"/>
        </w:rPr>
        <w:endnoteRef/>
      </w:r>
      <w:r>
        <w:rPr/>
        <w:tab/>
      </w:r>
      <w:r>
        <w:rPr/>
        <w:t># = σύσταση των ομάδων ευρωπαίων πολιτών.</w:t>
      </w:r>
    </w:p>
  </w:endnote>
  <w:endnote w:id="4">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#39, #40, #41, #42, #43, NL1, NL2, #51</w:t>
      </w:r>
    </w:p>
  </w:endnote>
  <w:endnote w:id="5">
    <w:p>
      <w:pPr>
        <w:pStyle w:val="Notedefin"/>
        <w:suppressLineNumbers/>
        <w:spacing w:before="57" w:after="57"/>
        <w:ind w:left="339" w:right="0" w:hanging="339"/>
        <w:rPr/>
      </w:pPr>
      <w:r>
        <w:rPr>
          <w:rStyle w:val="Caractresdenotedefin"/>
        </w:rPr>
        <w:endnoteRef/>
      </w:r>
      <w:r>
        <w:rPr/>
        <w:tab/>
      </w:r>
      <w:r>
        <w:rPr/>
        <w:t>Σύσταση Εθνικής Επιτροπής Πολιτών</w:t>
      </w:r>
    </w:p>
  </w:endnote>
  <w:endnote w:id="6">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#44, #45, #46, #47, #50</w:t>
      </w:r>
    </w:p>
  </w:endnote>
  <w:endnote w:id="7">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#39, #40, #45, #48, #50, FRchangement8, FRswait11, #51</w:t>
      </w:r>
    </w:p>
  </w:endnote>
  <w:endnote w:id="8">
    <w:p>
      <w:pPr>
        <w:pStyle w:val="Notedefin"/>
        <w:suppressLineNumbers/>
        <w:spacing w:before="57" w:after="57"/>
        <w:ind w:left="339" w:right="0" w:hanging="339"/>
        <w:rPr/>
      </w:pPr>
      <w:r>
        <w:rPr>
          <w:rStyle w:val="Caractresdenotedefin"/>
        </w:rPr>
        <w:endnoteRef/>
      </w:r>
      <w:r>
        <w:rPr/>
        <w:tab/>
      </w:r>
      <w:r>
        <w:rPr/>
        <w:t>Οι συστάσεις της ομάδας πολιτών των Κάτω Χωρών διαφέρουν από τις συστάσεις της ομάδας ευρωπαίων πολιτών: υποστηρίζει ότι η υγεία και η υγειονομική περίθαλψη θα πρέπει να αποτελούν πρωτίστως εθνική ευθύνη [NL3].</w:t>
      </w:r>
    </w:p>
  </w:endnote>
  <w:endnote w:id="9">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Ομάδα Ευρωπαίων Πολιτών 1: 9, 10, 11, 12, 14· Οι Κάτω Χώρες: 1 ΙΤΑΛΙΑ: 1.1. Η Λιθουανία: 3, 8.</w:t>
      </w:r>
    </w:p>
  </w:endnote>
  <w:endnote w:id="10">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Ομάδα Ευρωπαίων Πολιτών 1: 10, 11 &amp; 14; ΓΕΡΜΑΝΙΑ: 2.1, 2.2· Οι Κάτω Χώρες: 1, 2? Η Γαλλία: 3, 9; ΙΤΑΛΙΑ: 1,2, 1.3, 1.4, 1.5, 2.1, 2.2, 2,4, 4.α.2, 6.1· Η Λιθουανία: 1, 7.</w:t>
      </w:r>
    </w:p>
  </w:endnote>
  <w:endnote w:id="11">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Ομάδα Ευρωπαίων Πολιτών 1: 1, 2, 7, 28, 30· ΓΕΡΜΑΝΙΑ: 4.1, 4.2· Οι Κάτω Χώρες: 4 Η Γαλλία: 6. ΙΤΑΛΙΑ: 5.α.1, 5.α.4, 6.1, 6.2.</w:t>
      </w:r>
    </w:p>
  </w:endnote>
  <w:endnote w:id="12">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Ομάδα Ευρωπαίων Πολιτών 1: 19, 20, 21, 25· ΙΤΑΛΙΑ: 4.α.1.</w:t>
      </w:r>
    </w:p>
  </w:endnote>
  <w:endnote w:id="13">
    <w:p>
      <w:pPr>
        <w:pStyle w:val="Notedefin"/>
        <w:suppressLineNumbers/>
        <w:spacing w:before="57" w:after="57"/>
        <w:ind w:left="339" w:right="0" w:hanging="339"/>
        <w:rPr/>
      </w:pPr>
      <w:r>
        <w:rPr>
          <w:rStyle w:val="Caractresdenotedefin"/>
        </w:rPr>
        <w:endnoteRef/>
      </w:r>
      <w:r>
        <w:rPr/>
        <w:tab/>
        <w:t xml:space="preserve"> </w:t>
      </w:r>
      <w:r>
        <w:rPr/>
        <w:t>Συστάσεις των πολιτών στις οποίες βασίζεται η πρόταση: Ομάδα Ευρωπαίων Πολιτών 1: 21, 22, 23, 26, 27· ΙΤΑΛΙΑ: 5.α.1.</w:t>
      </w:r>
    </w:p>
  </w:endnote>
  <w:endnote w:id="14">
    <w:p>
      <w:pPr>
        <w:pStyle w:val="Notedefin"/>
        <w:suppressLineNumbers/>
        <w:spacing w:before="57" w:after="57"/>
        <w:ind w:left="339" w:right="0" w:hanging="339"/>
        <w:rPr/>
      </w:pPr>
      <w:r>
        <w:rPr>
          <w:rStyle w:val="Caractresdenotedefin"/>
        </w:rPr>
        <w:endnoteRef/>
      </w:r>
      <w:r>
        <w:rPr/>
        <w:tab/>
        <w:t xml:space="preserve"> </w:t>
      </w:r>
      <w:r>
        <w:rPr/>
        <w:t>Συστάσεις των πολιτών στις οποίες βασίζεται η πρόταση: Ομάδα Ευρωπαίων Πολιτών 1: 13, 31· Οι Κάτω Χώρες: 2.3. ΙΤΑΛΙΑ: 4.β.3, 4.β.6· Η Λιθουανία: 9, 10.</w:t>
      </w:r>
    </w:p>
  </w:endnote>
  <w:endnote w:id="15">
    <w:p>
      <w:pPr>
        <w:pStyle w:val="Notedefin"/>
        <w:suppressLineNumbers/>
        <w:spacing w:before="57" w:after="57"/>
        <w:ind w:left="339" w:right="0" w:hanging="339"/>
        <w:rPr/>
      </w:pPr>
      <w:r>
        <w:rPr>
          <w:rStyle w:val="Caractresdenotedefin"/>
        </w:rPr>
        <w:endnoteRef/>
      </w:r>
      <w:r>
        <w:rPr/>
        <w:tab/>
      </w:r>
      <w:r>
        <w:rPr/>
        <w:t>Με βάση τις συζητήσεις της ομάδας εργασίας και της συνόδου ολομέλειας.</w:t>
      </w:r>
    </w:p>
  </w:endnote>
  <w:endnote w:id="16">
    <w:p>
      <w:pPr>
        <w:pStyle w:val="Notedefin"/>
        <w:suppressLineNumbers/>
        <w:spacing w:before="57" w:after="57"/>
        <w:ind w:left="339" w:right="0" w:hanging="339"/>
        <w:rPr/>
      </w:pPr>
      <w:r>
        <w:rPr>
          <w:rStyle w:val="Caractresdenotedefin"/>
        </w:rPr>
        <w:endnoteRef/>
      </w:r>
      <w:r>
        <w:rPr/>
        <w:tab/>
      </w:r>
      <w:r>
        <w:rPr/>
        <w:t>Βλέπε σύσταση αριθ. 1 του ECP4, σύσταση αριθ. 2 του ΕΣΕ Γερμανίας, ομάδα 1 «Η ΕΕ στον κόσμο» και του ΕΣΕ της Ιταλίας, ομάδα 2, παράγραφος 1, που αναπτύχθηκε στο πλαίσιο της ομάδας εργασίας.</w:t>
      </w:r>
    </w:p>
  </w:endnote>
  <w:endnote w:id="17">
    <w:p>
      <w:pPr>
        <w:pStyle w:val="Notedefin"/>
        <w:suppressLineNumbers/>
        <w:spacing w:before="57" w:after="57"/>
        <w:ind w:left="339" w:right="0" w:hanging="339"/>
        <w:rPr/>
      </w:pPr>
      <w:r>
        <w:rPr>
          <w:rStyle w:val="Caractresdenotedefin"/>
        </w:rPr>
        <w:endnoteRef/>
      </w:r>
      <w:r>
        <w:rPr/>
        <w:tab/>
      </w:r>
      <w:r>
        <w:rPr/>
        <w:t>Βλέπε σύσταση 4 του ECP4 και συστάσεις 5 και 6 του ΕΣΕ της Ιταλίας, ομάδα 2, που αναπτύχθηκε στο πλαίσιο της ομάδας εργασίας.</w:t>
      </w:r>
    </w:p>
  </w:endnote>
  <w:endnote w:id="18">
    <w:p>
      <w:pPr>
        <w:pStyle w:val="Notedefin"/>
        <w:suppressLineNumbers/>
        <w:spacing w:before="57" w:after="57"/>
        <w:ind w:left="339" w:right="0" w:hanging="339"/>
        <w:rPr/>
      </w:pPr>
      <w:r>
        <w:rPr>
          <w:rStyle w:val="Caractresdenotedefin"/>
        </w:rPr>
        <w:endnoteRef/>
      </w:r>
      <w:r>
        <w:rPr/>
        <w:tab/>
      </w:r>
      <w:r>
        <w:rPr/>
        <w:t xml:space="preserve">Βλ. την ψηφιακή πλατφόρμα και τις συστάσεις 2 και 3 του ΕΣΕ της Ιταλίας, Ομάδα 2, που αναπτύχθηκαν στο πλαίσιο της ομάδας εργασίας,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r>
      <w:r>
        <w:rPr/>
        <w:t>Βλ. σύσταση 14 του ECP 4, η οποία αναπτύχθηκε στο πλαίσιο της ομάδας εργασίας.</w:t>
      </w:r>
    </w:p>
  </w:endnote>
  <w:endnote w:id="20">
    <w:p>
      <w:pPr>
        <w:pStyle w:val="Notedefin"/>
        <w:suppressLineNumbers/>
        <w:spacing w:before="57" w:after="57"/>
        <w:ind w:left="339" w:right="0" w:hanging="339"/>
        <w:rPr/>
      </w:pPr>
      <w:r>
        <w:rPr>
          <w:rStyle w:val="Caractresdenotedefin"/>
        </w:rPr>
        <w:endnoteRef/>
      </w:r>
      <w:r>
        <w:rPr/>
        <w:tab/>
      </w:r>
      <w:r>
        <w:rPr/>
        <w:t>Βλέπε σύσταση αριθ. 2 του ECP4 και σύσταση αριθ. 4 του ΕΣΕ της Ιταλίας, ομάδα 2, που αναπτύχθηκε στο πλαίσιο της ομάδας εργασίας.</w:t>
      </w:r>
    </w:p>
  </w:endnote>
  <w:endnote w:id="21">
    <w:p>
      <w:pPr>
        <w:pStyle w:val="Notedefin"/>
        <w:suppressLineNumbers/>
        <w:spacing w:before="57" w:after="57"/>
        <w:ind w:left="339" w:right="0" w:hanging="339"/>
        <w:rPr/>
      </w:pPr>
      <w:r>
        <w:rPr>
          <w:rStyle w:val="Caractresdenotedefin"/>
        </w:rPr>
        <w:endnoteRef/>
      </w:r>
      <w:r>
        <w:rPr/>
        <w:tab/>
      </w:r>
      <w:r>
        <w:rPr/>
        <w:t>Βλέπε σύσταση αριθ. 17 της ECP4 και σύσταση αριθ. 4 του ΕΣΕ της Ιταλίας, ομάδα 2, που αναπτύχθηκε στο πλαίσιο της ομάδας εργασίας.</w:t>
      </w:r>
    </w:p>
  </w:endnote>
  <w:endnote w:id="22">
    <w:p>
      <w:pPr>
        <w:pStyle w:val="Notedefin"/>
        <w:suppressLineNumbers/>
        <w:spacing w:before="57" w:after="57"/>
        <w:ind w:left="339" w:right="0" w:hanging="339"/>
        <w:rPr/>
      </w:pPr>
      <w:r>
        <w:rPr>
          <w:rStyle w:val="Caractresdenotedefin"/>
        </w:rPr>
        <w:endnoteRef/>
      </w:r>
      <w:r>
        <w:rPr/>
        <w:tab/>
      </w:r>
      <w:r>
        <w:rPr/>
        <w:t>Βλ. σύσταση 1 του ΕΣΕ Γερμανίας, ομάδα 1 «Η ΕΕ στον κόσμο», που αναπτύχθηκε στο πλαίσιο της ομάδας εργασίας.</w:t>
      </w:r>
    </w:p>
  </w:endnote>
  <w:endnote w:id="23">
    <w:p>
      <w:pPr>
        <w:pStyle w:val="Notedefin"/>
        <w:suppressLineNumbers/>
        <w:spacing w:before="57" w:after="57"/>
        <w:ind w:left="339" w:right="0" w:hanging="339"/>
        <w:rPr/>
      </w:pPr>
      <w:r>
        <w:rPr>
          <w:rStyle w:val="Caractresdenotedefin"/>
        </w:rPr>
        <w:endnoteRef/>
      </w:r>
      <w:r>
        <w:rPr/>
        <w:tab/>
      </w:r>
      <w:r>
        <w:rPr/>
        <w:t>Βλ. σύσταση 3 του ECP 4, η οποία αναπτύχθηκε στο πλαίσιο της ομάδας εργασίας.</w:t>
      </w:r>
    </w:p>
  </w:endnote>
  <w:endnote w:id="24">
    <w:p>
      <w:pPr>
        <w:pStyle w:val="Notedefin"/>
        <w:suppressLineNumbers/>
        <w:spacing w:before="57" w:after="57"/>
        <w:ind w:left="339" w:right="0" w:hanging="339"/>
        <w:rPr/>
      </w:pPr>
      <w:r>
        <w:rPr>
          <w:rStyle w:val="Caractresdenotedefin"/>
        </w:rPr>
        <w:endnoteRef/>
      </w:r>
      <w:r>
        <w:rPr/>
        <w:tab/>
      </w:r>
      <w:r>
        <w:rPr/>
        <w:t>Βλέπε σύσταση 11 του ECP 4, η οποία αναπτύχθηκε στο πλαίσιο της ομάδας εργασίας.</w:t>
      </w:r>
    </w:p>
  </w:endnote>
  <w:endnote w:id="25">
    <w:p>
      <w:pPr>
        <w:pStyle w:val="Notedefin"/>
        <w:suppressLineNumbers/>
        <w:spacing w:before="57" w:after="57"/>
        <w:ind w:left="339" w:right="0" w:hanging="339"/>
        <w:rPr/>
      </w:pPr>
      <w:r>
        <w:rPr>
          <w:rStyle w:val="Caractresdenotedefin"/>
        </w:rPr>
        <w:endnoteRef/>
      </w:r>
      <w:r>
        <w:rPr/>
        <w:tab/>
      </w:r>
      <w:r>
        <w:rPr/>
        <w:t>Βλέπε σύσταση 13 του ECP 4, η οποία αναπτύχθηκε στο πλαίσιο της ομάδας εργασίας.</w:t>
      </w:r>
    </w:p>
  </w:endnote>
  <w:endnote w:id="26">
    <w:p>
      <w:pPr>
        <w:pStyle w:val="Notedefin"/>
        <w:suppressLineNumbers/>
        <w:spacing w:before="57" w:after="57"/>
        <w:ind w:left="339" w:right="0" w:hanging="339"/>
        <w:rPr/>
      </w:pPr>
      <w:r>
        <w:rPr>
          <w:rStyle w:val="Caractresdenotedefin"/>
        </w:rPr>
        <w:endnoteRef/>
      </w:r>
      <w:r>
        <w:rPr/>
        <w:tab/>
      </w:r>
      <w:r>
        <w:rPr/>
        <w:t>Βλ. σύσταση 15 του ECP 4, η οποία εκπονήθηκε στο πλαίσιο της ομάδας εργασίας.</w:t>
      </w:r>
    </w:p>
  </w:endnote>
  <w:endnote w:id="27">
    <w:p>
      <w:pPr>
        <w:pStyle w:val="Notedefin"/>
        <w:suppressLineNumbers/>
        <w:spacing w:before="57" w:after="57"/>
        <w:ind w:left="339" w:right="0" w:hanging="339"/>
        <w:rPr/>
      </w:pPr>
      <w:r>
        <w:rPr>
          <w:rStyle w:val="Caractresdenotedefin"/>
        </w:rPr>
        <w:endnoteRef/>
      </w:r>
      <w:r>
        <w:rPr/>
        <w:tab/>
      </w:r>
      <w:r>
        <w:rPr/>
        <w:t>Βλ. σύσταση 16 του ECP 4, η οποία εκπονήθηκε στο πλαίσιο της ομάδας εργασίας.</w:t>
      </w:r>
    </w:p>
  </w:endnote>
  <w:endnote w:id="28">
    <w:p>
      <w:pPr>
        <w:pStyle w:val="Notedefin"/>
        <w:suppressLineNumbers/>
        <w:spacing w:before="57" w:after="57"/>
        <w:ind w:left="339" w:right="0" w:hanging="339"/>
        <w:rPr/>
      </w:pPr>
      <w:r>
        <w:rPr>
          <w:rStyle w:val="Caractresdenotedefin"/>
        </w:rPr>
        <w:endnoteRef/>
      </w:r>
      <w:r>
        <w:rPr/>
        <w:tab/>
      </w:r>
      <w:r>
        <w:rPr/>
        <w:t>Βλ. σύσταση 12 του ECP 4, η οποία αναπτύχθηκε στο πλαίσιο της ομάδας εργασίας.</w:t>
      </w:r>
    </w:p>
  </w:endnote>
  <w:endnote w:id="29">
    <w:p>
      <w:pPr>
        <w:pStyle w:val="Notedefin"/>
        <w:suppressLineNumbers/>
        <w:spacing w:before="57" w:after="57"/>
        <w:ind w:left="339" w:right="0" w:hanging="339"/>
        <w:rPr/>
      </w:pPr>
      <w:r>
        <w:rPr>
          <w:rStyle w:val="Caractresdenotedefin"/>
        </w:rPr>
        <w:endnoteRef/>
      </w:r>
      <w:r>
        <w:rPr/>
        <w:tab/>
      </w:r>
      <w:r>
        <w:rPr/>
        <w:t>Βλ. σύσταση 21 του ECP 4, η οποία αναπτύχθηκε στο πλαίσιο της ομάδας εργασίας.</w:t>
      </w:r>
    </w:p>
  </w:endnote>
  <w:endnote w:id="30">
    <w:p>
      <w:pPr>
        <w:pStyle w:val="Notedefin"/>
        <w:suppressLineNumbers/>
        <w:spacing w:before="57" w:after="57"/>
        <w:ind w:left="339" w:right="0" w:hanging="339"/>
        <w:rPr/>
      </w:pPr>
      <w:r>
        <w:rPr>
          <w:rStyle w:val="Caractresdenotedefin"/>
        </w:rPr>
        <w:endnoteRef/>
      </w:r>
      <w:r>
        <w:rPr/>
        <w:tab/>
      </w:r>
      <w:r>
        <w:rPr/>
        <w:t>Δείτε την ψηφιακή πλατφόρμα, που αναπτύχθηκε στο πλαίσιο της ομάδας εργασίας.</w:t>
      </w:r>
    </w:p>
  </w:endnote>
  <w:endnote w:id="31">
    <w:p>
      <w:pPr>
        <w:pStyle w:val="Notedefin"/>
        <w:suppressLineNumbers/>
        <w:spacing w:before="57" w:after="57"/>
        <w:ind w:left="339" w:right="0" w:hanging="339"/>
        <w:rPr/>
      </w:pPr>
      <w:r>
        <w:rPr>
          <w:rStyle w:val="Caractresdenotedefin"/>
        </w:rPr>
        <w:endnoteRef/>
      </w:r>
      <w:r>
        <w:rPr/>
        <w:tab/>
      </w:r>
      <w:r>
        <w:rPr/>
        <w:t>Δείτε την ψηφιακή πλατφόρμα, που αναπτύχθηκε στο πλαίσιο της ομάδας εργασίας.</w:t>
      </w:r>
    </w:p>
  </w:endnote>
  <w:endnote w:id="32">
    <w:p>
      <w:pPr>
        <w:pStyle w:val="Notedefin"/>
        <w:suppressLineNumbers/>
        <w:spacing w:before="57" w:after="57"/>
        <w:ind w:left="339" w:right="0" w:hanging="339"/>
        <w:rPr/>
      </w:pPr>
      <w:r>
        <w:rPr>
          <w:rStyle w:val="Caractresdenotedefin"/>
        </w:rPr>
        <w:endnoteRef/>
      </w:r>
      <w:r>
        <w:rPr/>
        <w:tab/>
      </w:r>
      <w:r>
        <w:rPr/>
        <w:t>Βλ. σύσταση 26 του ECP 4, η οποία εκπονήθηκε στο πλαίσιο της ομάδας εργασίας.</w:t>
      </w:r>
    </w:p>
  </w:endnote>
  <w:endnote w:id="33">
    <w:p>
      <w:pPr>
        <w:pStyle w:val="Notedefin"/>
        <w:suppressLineNumbers/>
        <w:spacing w:before="57" w:after="57"/>
        <w:ind w:left="339" w:right="0" w:hanging="339"/>
        <w:rPr/>
      </w:pPr>
      <w:r>
        <w:rPr>
          <w:rStyle w:val="Caractresdenotedefin"/>
        </w:rPr>
        <w:endnoteRef/>
      </w:r>
      <w:r>
        <w:rPr/>
        <w:tab/>
      </w:r>
      <w:r>
        <w:rPr/>
        <w:t>Βλ. σύσταση 18 του ECP 4, η οποία εκπονήθηκε στο πλαίσιο της ομάδας εργασίας.</w:t>
      </w:r>
    </w:p>
  </w:endnote>
  <w:endnote w:id="34">
    <w:p>
      <w:pPr>
        <w:pStyle w:val="Notedefin"/>
        <w:suppressLineNumbers/>
        <w:spacing w:before="57" w:after="57"/>
        <w:ind w:left="339" w:right="0" w:hanging="339"/>
        <w:rPr/>
      </w:pPr>
      <w:r>
        <w:rPr>
          <w:rStyle w:val="Caractresdenotedefin"/>
        </w:rPr>
        <w:endnoteRef/>
      </w:r>
      <w:r>
        <w:rPr/>
        <w:tab/>
      </w:r>
      <w:r>
        <w:rPr/>
        <w:t>Βλ. σύσταση 19 του ECP 4, η οποία αναπτύχθηκε στο πλαίσιο της ομάδας εργασίας.</w:t>
      </w:r>
    </w:p>
  </w:endnote>
  <w:endnote w:id="35">
    <w:p>
      <w:pPr>
        <w:pStyle w:val="Notedefin"/>
        <w:suppressLineNumbers/>
        <w:spacing w:before="57" w:after="57"/>
        <w:ind w:left="339" w:right="0" w:hanging="339"/>
        <w:rPr/>
      </w:pPr>
      <w:r>
        <w:rPr>
          <w:rStyle w:val="Caractresdenotedefin"/>
        </w:rPr>
        <w:endnoteRef/>
      </w:r>
      <w:r>
        <w:rPr/>
        <w:tab/>
      </w:r>
      <w:r>
        <w:rPr/>
        <w:t>Βλ. σύσταση 19 του ECP 4, η οποία αναπτύχθηκε στο πλαίσιο της ομάδας εργασίας.</w:t>
      </w:r>
    </w:p>
  </w:endnote>
  <w:endnote w:id="36">
    <w:p>
      <w:pPr>
        <w:pStyle w:val="Notedefin"/>
        <w:suppressLineNumbers/>
        <w:spacing w:before="57" w:after="57"/>
        <w:ind w:left="339" w:right="0" w:hanging="339"/>
        <w:rPr/>
      </w:pPr>
      <w:r>
        <w:rPr>
          <w:rStyle w:val="Caractresdenotedefin"/>
        </w:rPr>
        <w:endnoteRef/>
      </w:r>
      <w:r>
        <w:rPr/>
        <w:tab/>
      </w:r>
      <w:r>
        <w:rPr/>
        <w:t>Βλ. σύσταση 25 του ECP 4.</w:t>
      </w:r>
    </w:p>
  </w:endnote>
  <w:endnote w:id="37">
    <w:p>
      <w:pPr>
        <w:pStyle w:val="Notedefin"/>
        <w:suppressLineNumbers/>
        <w:spacing w:before="57" w:after="57"/>
        <w:ind w:left="339" w:right="0" w:hanging="339"/>
        <w:rPr/>
      </w:pPr>
      <w:r>
        <w:rPr>
          <w:rStyle w:val="Caractresdenotedefin"/>
        </w:rPr>
        <w:endnoteRef/>
      </w:r>
      <w:r>
        <w:rPr/>
        <w:tab/>
      </w:r>
      <w:r>
        <w:rPr/>
        <w:t>Με βάση τις συζητήσεις της ομάδας εργασίας και της συνόδου ολομέλειας.</w:t>
      </w:r>
    </w:p>
  </w:endnote>
  <w:endnote w:id="38">
    <w:p>
      <w:pPr>
        <w:pStyle w:val="Notedefin"/>
        <w:suppressLineNumbers/>
        <w:spacing w:before="57" w:after="57"/>
        <w:ind w:left="339" w:right="0" w:hanging="339"/>
        <w:rPr/>
      </w:pPr>
      <w:r>
        <w:rPr>
          <w:rStyle w:val="Caractresdenotedefin"/>
        </w:rPr>
        <w:endnoteRef/>
      </w:r>
      <w:r>
        <w:rPr/>
        <w:tab/>
      </w:r>
      <w:r>
        <w:rPr/>
        <w:t>Βλέπε αλλαγή 2 της γαλλικής εθνικής ομάδας/εκδηλώσεων.</w:t>
      </w:r>
    </w:p>
  </w:endnote>
  <w:endnote w:id="39">
    <w:p>
      <w:pPr>
        <w:pStyle w:val="Notedefin"/>
        <w:suppressLineNumbers/>
        <w:spacing w:before="57" w:after="57"/>
        <w:ind w:left="339" w:right="0" w:hanging="339"/>
        <w:rPr/>
      </w:pPr>
      <w:r>
        <w:rPr>
          <w:rStyle w:val="Caractresdenotedefin"/>
        </w:rPr>
        <w:endnoteRef/>
      </w:r>
      <w:r>
        <w:rPr/>
        <w:tab/>
      </w:r>
      <w:r>
        <w:rPr/>
        <w:t>Βλ. σύσταση 20 της ECP4 και σύσταση 7 του ΕΣΕ της Ιταλίας, Ομάδα 2, που αναπτύχθηκε στο πλαίσιο της ομάδας εργασίας.</w:t>
      </w:r>
    </w:p>
  </w:endnote>
  <w:endnote w:id="40">
    <w:p>
      <w:pPr>
        <w:pStyle w:val="Notedefin"/>
        <w:suppressLineNumbers/>
        <w:spacing w:before="57" w:after="57"/>
        <w:ind w:left="339" w:right="0" w:hanging="339"/>
        <w:rPr/>
      </w:pPr>
      <w:r>
        <w:rPr>
          <w:rStyle w:val="Caractresdenotedefin"/>
        </w:rPr>
        <w:endnoteRef/>
      </w:r>
      <w:r>
        <w:rPr/>
        <w:tab/>
      </w:r>
      <w:r>
        <w:rPr/>
        <w:t>Βλ. αλλαγή 2 της γαλλικής εθνικής ομάδας πολιτών.</w:t>
      </w:r>
    </w:p>
  </w:endnote>
  <w:endnote w:id="41">
    <w:p>
      <w:pPr>
        <w:pStyle w:val="Notedefin"/>
        <w:suppressLineNumbers/>
        <w:spacing w:before="57" w:after="57"/>
        <w:ind w:left="339" w:right="0" w:hanging="339"/>
        <w:rPr/>
      </w:pPr>
      <w:r>
        <w:rPr>
          <w:rStyle w:val="Caractresdenotedefin"/>
        </w:rPr>
        <w:endnoteRef/>
      </w:r>
      <w:r>
        <w:rPr/>
        <w:tab/>
      </w:r>
      <w:r>
        <w:rPr/>
        <w:t>Βλ. σύσταση 24 της ECP4 και σύσταση 7 του ΕΣΕ της Ιταλίας, ομάδα 2 που αναπτύχθηκε στο πλαίσιο της ομάδας εργασίας.</w:t>
      </w:r>
    </w:p>
  </w:endnote>
  <w:endnote w:id="42">
    <w:p>
      <w:pPr>
        <w:pStyle w:val="Notedefin"/>
        <w:suppressLineNumbers/>
        <w:spacing w:before="57" w:after="57"/>
        <w:ind w:left="339" w:right="0" w:hanging="339"/>
        <w:rPr/>
      </w:pPr>
      <w:r>
        <w:rPr>
          <w:rStyle w:val="Caractresdenotedefin"/>
        </w:rPr>
        <w:endnoteRef/>
      </w:r>
      <w:r>
        <w:rPr/>
        <w:tab/>
      </w:r>
      <w:r>
        <w:rPr/>
        <w:t>Βλ. σύσταση 22 του ECP 4, η οποία αναπτύχθηκε στο πλαίσιο της ομάδας εργασίας.</w:t>
      </w:r>
    </w:p>
  </w:endnote>
  <w:endnote w:id="43">
    <w:p>
      <w:pPr>
        <w:pStyle w:val="Notedefin"/>
        <w:suppressLineNumbers/>
        <w:spacing w:before="57" w:after="57"/>
        <w:ind w:left="339" w:right="0" w:hanging="339"/>
        <w:rPr/>
      </w:pPr>
      <w:r>
        <w:rPr>
          <w:rStyle w:val="Caractresdenotedefin"/>
        </w:rPr>
        <w:endnoteRef/>
      </w:r>
      <w:r>
        <w:rPr/>
        <w:tab/>
      </w:r>
      <w:r>
        <w:rPr/>
        <w:t>Βλ. σύσταση 1 σχετικά με την «Η ΕΕ στον κόσμο» της ολλανδικής εθνικής ομάδας πολιτών, η οποία αναπτύχθηκε στο πλαίσιο της ομάδας εργασίας.</w:t>
      </w:r>
    </w:p>
  </w:endnote>
  <w:endnote w:id="44">
    <w:p>
      <w:pPr>
        <w:pStyle w:val="Notedefin"/>
        <w:suppressLineNumbers/>
        <w:spacing w:before="57" w:after="57"/>
        <w:ind w:left="339" w:right="0" w:hanging="339"/>
        <w:rPr/>
      </w:pPr>
      <w:r>
        <w:rPr>
          <w:rStyle w:val="Caractresdenotedefin"/>
        </w:rPr>
        <w:endnoteRef/>
      </w:r>
      <w:r>
        <w:rPr/>
        <w:tab/>
      </w:r>
      <w:r>
        <w:rPr/>
        <w:t>Βλ. την ψηφιακή πλατφόρμα και τις συζητήσεις στην ολομέλεια, που αναπτύχθηκαν στην ομάδα εργασίας.</w:t>
      </w:r>
    </w:p>
  </w:endnote>
  <w:endnote w:id="45">
    <w:p>
      <w:pPr>
        <w:pStyle w:val="Notedefin"/>
        <w:suppressLineNumbers/>
        <w:spacing w:before="57" w:after="57"/>
        <w:ind w:left="339" w:right="0" w:hanging="339"/>
        <w:rPr/>
      </w:pPr>
      <w:r>
        <w:rPr>
          <w:rStyle w:val="Caractresdenotedefin"/>
        </w:rPr>
        <w:endnoteRef/>
      </w:r>
      <w:r>
        <w:rPr/>
        <w:tab/>
      </w:r>
      <w:r>
        <w:rPr/>
        <w:t>Δείτε την ψηφιακή πλατφόρμα, που αναπτύχθηκε στο πλαίσιο της ομάδας εργασίας.</w:t>
      </w:r>
    </w:p>
  </w:endnote>
  <w:endnote w:id="46">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Ομάδα Ευρωπαίων Πολιτών 2 (CEP 2) 10, 11, 14, 30· Εθνική ομάδα πολιτών του Βελγίου (NCP): 1.3.1, 1.4.2, 1.4.3· Γερμανικό NCP: 5.1, 5.2· Ολλανδικό εθνικό σημείο επαφής: 1.2.</w:t>
      </w:r>
    </w:p>
  </w:endnote>
  <w:endnote w:id="47">
    <w:p>
      <w:pPr>
        <w:pStyle w:val="Notedefin"/>
        <w:suppressLineNumbers/>
        <w:spacing w:before="57" w:after="57"/>
        <w:ind w:left="339" w:right="0" w:hanging="339"/>
        <w:rPr/>
      </w:pPr>
      <w:r>
        <w:rPr>
          <w:rStyle w:val="Caractresdenotedefin"/>
        </w:rPr>
        <w:endnoteRef/>
      </w:r>
      <w:r>
        <w:rPr/>
        <w:tab/>
      </w:r>
      <w:r>
        <w:rPr/>
        <w:t>Σύσταση 14 του ECP2. Συστάσεις 1.3.1, 1.4.2 και 1.4.3 του βελγικού ΕΣΕ και 1.2 του ΕΣΕ των Κάτω Χωρών.</w:t>
      </w:r>
    </w:p>
  </w:endnote>
  <w:endnote w:id="48">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112. Συστάσεις 5.1 και 5.2 του γερμανικού ΕΣΕ. Συζήτηση στην ομάδα εργασίας.</w:t>
      </w:r>
    </w:p>
  </w:endnote>
  <w:endnote w:id="49">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112. Συζήτηση στην ομάδα εργασίας. Συζήτηση στην ολομέλεια.</w:t>
      </w:r>
    </w:p>
  </w:endnote>
  <w:endnote w:id="50">
    <w:p>
      <w:pPr>
        <w:pStyle w:val="Notedefin"/>
        <w:suppressLineNumbers/>
        <w:spacing w:before="57" w:after="57"/>
        <w:ind w:left="339" w:right="0" w:hanging="339"/>
        <w:rPr/>
      </w:pPr>
      <w:r>
        <w:rPr>
          <w:rStyle w:val="Caractresdenotedefin"/>
        </w:rPr>
        <w:endnoteRef/>
      </w:r>
      <w:r>
        <w:rPr/>
        <w:tab/>
      </w:r>
      <w:r>
        <w:rPr/>
        <w:t>Σύσταση 10 του ECP2.</w:t>
      </w:r>
    </w:p>
  </w:endnote>
  <w:endnote w:id="51">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302.</w:t>
      </w:r>
    </w:p>
  </w:endnote>
  <w:endnote w:id="52">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PCE2: 7, 8, 9· Ολλανδικό εθνικό σημείο επαφής: 1.3, 4.3.</w:t>
      </w:r>
    </w:p>
  </w:endnote>
  <w:endnote w:id="53">
    <w:p>
      <w:pPr>
        <w:pStyle w:val="Notedefin"/>
        <w:suppressLineNumbers/>
        <w:spacing w:before="57" w:after="57"/>
        <w:ind w:left="339" w:right="0" w:hanging="339"/>
        <w:rPr/>
      </w:pPr>
      <w:r>
        <w:rPr>
          <w:rStyle w:val="Caractresdenotedefin"/>
        </w:rPr>
        <w:endnoteRef/>
      </w:r>
      <w:r>
        <w:rPr/>
        <w:tab/>
      </w:r>
      <w:r>
        <w:rPr/>
        <w:t>Σύσταση 7 του ECP2. Συζήτηση στην ομάδα εργασίας.</w:t>
      </w:r>
    </w:p>
  </w:endnote>
  <w:endnote w:id="54">
    <w:p>
      <w:pPr>
        <w:pStyle w:val="Notedefin"/>
        <w:suppressLineNumbers/>
        <w:spacing w:before="57" w:after="57"/>
        <w:ind w:left="339" w:right="0" w:hanging="339"/>
        <w:rPr/>
      </w:pPr>
      <w:r>
        <w:rPr>
          <w:rStyle w:val="Caractresdenotedefin"/>
        </w:rPr>
        <w:endnoteRef/>
      </w:r>
      <w:r>
        <w:rPr/>
        <w:tab/>
      </w:r>
      <w:r>
        <w:rPr/>
        <w:t>Θέμα που συζητήθηκε επίσης από την ομάδα εργασίας για τον ψηφιακό μετασχηματισμό.</w:t>
      </w:r>
    </w:p>
  </w:endnote>
  <w:endnote w:id="55">
    <w:p>
      <w:pPr>
        <w:pStyle w:val="Notedefin"/>
        <w:suppressLineNumbers/>
        <w:spacing w:before="57" w:after="57"/>
        <w:ind w:left="339" w:right="0" w:hanging="339"/>
        <w:rPr/>
      </w:pPr>
      <w:r>
        <w:rPr>
          <w:rStyle w:val="Caractresdenotedefin"/>
        </w:rPr>
        <w:endnoteRef/>
      </w:r>
      <w:r>
        <w:rPr/>
        <w:tab/>
      </w:r>
      <w:r>
        <w:rPr/>
        <w:t>Σύσταση 9 του ECP2.</w:t>
      </w:r>
    </w:p>
  </w:endnote>
  <w:endnote w:id="56">
    <w:p>
      <w:pPr>
        <w:pStyle w:val="Notedefin"/>
        <w:suppressLineNumbers/>
        <w:spacing w:before="57" w:after="57"/>
        <w:ind w:left="339" w:right="0" w:hanging="339"/>
        <w:rPr/>
      </w:pPr>
      <w:r>
        <w:rPr>
          <w:rStyle w:val="Caractresdenotedefin"/>
        </w:rPr>
        <w:endnoteRef/>
      </w:r>
      <w:r>
        <w:rPr/>
        <w:tab/>
      </w:r>
      <w:r>
        <w:rPr/>
        <w:t>Θέμα που συζητήθηκε επίσης από την ομάδα εργασίας για τον ψηφιακό μετασχηματισμό.</w:t>
      </w:r>
    </w:p>
  </w:endnote>
  <w:endnote w:id="57">
    <w:p>
      <w:pPr>
        <w:pStyle w:val="Notedefin"/>
        <w:suppressLineNumbers/>
        <w:spacing w:before="57" w:after="57"/>
        <w:ind w:left="339" w:right="0" w:hanging="339"/>
        <w:rPr/>
      </w:pPr>
      <w:r>
        <w:rPr>
          <w:rStyle w:val="Caractresdenotedefin"/>
        </w:rPr>
        <w:endnoteRef/>
      </w:r>
      <w:r>
        <w:rPr/>
        <w:tab/>
      </w:r>
      <w:r>
        <w:rPr/>
        <w:t>Σύσταση 8 του ECP2. Συστάσεις 1.3 και 4.3 του εθνικού σημείου επαφής των Κάτω Χωρών.</w:t>
      </w:r>
    </w:p>
  </w:endnote>
  <w:endnote w:id="58">
    <w:p>
      <w:pPr>
        <w:pStyle w:val="Notedefin"/>
        <w:suppressLineNumbers/>
        <w:spacing w:before="57" w:after="57"/>
        <w:ind w:left="339" w:right="0" w:hanging="339"/>
        <w:rPr/>
      </w:pPr>
      <w:r>
        <w:rPr>
          <w:rStyle w:val="Caractresdenotedefin"/>
        </w:rPr>
        <w:endnoteRef/>
      </w:r>
      <w:r>
        <w:rPr/>
        <w:tab/>
      </w:r>
      <w:r>
        <w:rPr/>
        <w:t>Συστάσεις αριθ. 7 και 8 της ΕΠΠ2.</w:t>
      </w:r>
    </w:p>
  </w:endnote>
  <w:endnote w:id="59">
    <w:p>
      <w:pPr>
        <w:pStyle w:val="Notedefin"/>
        <w:suppressLineNumbers/>
        <w:spacing w:before="57" w:after="57"/>
        <w:ind w:left="339" w:right="0" w:hanging="339"/>
        <w:rPr/>
      </w:pPr>
      <w:r>
        <w:rPr>
          <w:rStyle w:val="Caractresdenotedefin"/>
        </w:rPr>
        <w:endnoteRef/>
      </w:r>
      <w:r>
        <w:rPr/>
        <w:tab/>
      </w:r>
      <w:r>
        <w:rPr/>
        <w:t>Θέμα που συζητήθηκε επίσης από την ομάδα εργασίας για τον ψηφιακό μετασχηματισμό.</w:t>
      </w:r>
    </w:p>
  </w:endnote>
  <w:endnote w:id="60">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PCE2: 5, 12, 13, 17, 28· Βελγικό ΕΣΕ: 1.5.1, 2.1.1 έως 2.4.3· Ολλανδικό εθνικό σημείο επαφής: 3.1.</w:t>
      </w:r>
    </w:p>
  </w:endnote>
  <w:endnote w:id="61">
    <w:p>
      <w:pPr>
        <w:pStyle w:val="Notedefin"/>
        <w:suppressLineNumbers/>
        <w:spacing w:before="57" w:after="57"/>
        <w:ind w:left="339" w:right="0" w:hanging="339"/>
        <w:rPr/>
      </w:pPr>
      <w:r>
        <w:rPr>
          <w:rStyle w:val="Caractresdenotedefin"/>
        </w:rPr>
        <w:endnoteRef/>
      </w:r>
      <w:r>
        <w:rPr/>
        <w:tab/>
      </w:r>
      <w:r>
        <w:rPr/>
        <w:t>Σύσταση 5 του ECP2. Σύσταση 2.1.1 του βελγικού ΕΣΕ. Σύσταση 3.1 του εθνικού σημείου επαφής των Κάτω Χωρών.</w:t>
      </w:r>
    </w:p>
  </w:endnote>
  <w:endnote w:id="62">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122. Σύσταση 2.1.4 του βελγικού ΕΣΕ.</w:t>
      </w:r>
    </w:p>
  </w:endnote>
  <w:endnote w:id="63">
    <w:p>
      <w:pPr>
        <w:pStyle w:val="Notedefin"/>
        <w:suppressLineNumbers/>
        <w:spacing w:before="57" w:after="57"/>
        <w:ind w:left="339" w:right="0" w:hanging="339"/>
        <w:rPr/>
      </w:pPr>
      <w:r>
        <w:rPr>
          <w:rStyle w:val="Caractresdenotedefin"/>
        </w:rPr>
        <w:endnoteRef/>
      </w:r>
      <w:r>
        <w:rPr/>
        <w:tab/>
      </w:r>
      <w:r>
        <w:rPr/>
        <w:t>Συστάσεις PCE2 αριθ. 17 και 28. Συστάσεις 1.5.1, 2.1.3, 2.2.1 και 2.2.2 του βελγικού ΕΣΕ.</w:t>
      </w:r>
    </w:p>
  </w:endnote>
  <w:endnote w:id="64">
    <w:p>
      <w:pPr>
        <w:pStyle w:val="Notedefin"/>
        <w:suppressLineNumbers/>
        <w:spacing w:before="57" w:after="57"/>
        <w:ind w:left="339" w:right="0" w:hanging="339"/>
        <w:rPr/>
      </w:pPr>
      <w:r>
        <w:rPr>
          <w:rStyle w:val="Caractresdenotedefin"/>
        </w:rPr>
        <w:endnoteRef/>
      </w:r>
      <w:r>
        <w:rPr/>
        <w:tab/>
      </w:r>
      <w:r>
        <w:rPr/>
        <w:t>Θέμα που συζητήθηκε επίσης από την ομάδα εργασίας για τον ψηφιακό μετασχηματισμό.</w:t>
      </w:r>
    </w:p>
  </w:endnote>
  <w:endnote w:id="65">
    <w:p>
      <w:pPr>
        <w:pStyle w:val="Notedefin"/>
        <w:suppressLineNumbers/>
        <w:spacing w:before="57" w:after="57"/>
        <w:ind w:left="339" w:right="0" w:hanging="339"/>
        <w:rPr/>
      </w:pPr>
      <w:r>
        <w:rPr>
          <w:rStyle w:val="Caractresdenotedefin"/>
        </w:rPr>
        <w:endnoteRef/>
      </w:r>
      <w:r>
        <w:rPr/>
        <w:tab/>
      </w:r>
      <w:r>
        <w:rPr/>
        <w:t>Συστάσεις PCE2 αριθ. 5 και 28. Συστάσεις 2.3.2 και 2.3.3 του βελγικού ΕΣΕ.</w:t>
      </w:r>
    </w:p>
  </w:endnote>
  <w:endnote w:id="66">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282. Συστάσεις 2.3.1, 2.4.1 και 2.4.2 του βελγικού ΕΣΕ.</w:t>
      </w:r>
    </w:p>
  </w:endnote>
  <w:endnote w:id="67">
    <w:p>
      <w:pPr>
        <w:pStyle w:val="Notedefin"/>
        <w:suppressLineNumbers/>
        <w:spacing w:before="57" w:after="57"/>
        <w:ind w:left="339" w:right="0" w:hanging="339"/>
        <w:rPr/>
      </w:pPr>
      <w:r>
        <w:rPr>
          <w:rStyle w:val="Caractresdenotedefin"/>
        </w:rPr>
        <w:endnoteRef/>
      </w:r>
      <w:r>
        <w:rPr/>
        <w:tab/>
      </w:r>
      <w:r>
        <w:rPr/>
        <w:t>Θέμα που συζητήθηκε επίσης από την ομάδα εργασίας για τον ψηφιακό μετασχηματισμό.</w:t>
      </w:r>
    </w:p>
  </w:endnote>
  <w:endnote w:id="68">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132.</w:t>
      </w:r>
    </w:p>
  </w:endnote>
  <w:endnote w:id="69">
    <w:p>
      <w:pPr>
        <w:pStyle w:val="Notedefin"/>
        <w:suppressLineNumbers/>
        <w:spacing w:before="57" w:after="57"/>
        <w:ind w:left="339" w:right="0" w:hanging="339"/>
        <w:rPr/>
      </w:pPr>
      <w:r>
        <w:rPr>
          <w:rStyle w:val="Caractresdenotedefin"/>
        </w:rPr>
        <w:endnoteRef/>
      </w:r>
      <w:r>
        <w:rPr/>
        <w:tab/>
      </w:r>
      <w:r>
        <w:rPr/>
        <w:t>Θέμα που συζητήθηκε επίσης από την ομάδα εργασίας για τον ψηφιακό μετασχηματισμό.</w:t>
      </w:r>
    </w:p>
  </w:endnote>
  <w:endnote w:id="70">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132.</w:t>
      </w:r>
    </w:p>
  </w:endnote>
  <w:endnote w:id="71">
    <w:p>
      <w:pPr>
        <w:pStyle w:val="Notedefin"/>
        <w:suppressLineNumbers/>
        <w:spacing w:before="57" w:after="57"/>
        <w:ind w:left="339" w:right="0" w:hanging="339"/>
        <w:rPr/>
      </w:pPr>
      <w:r>
        <w:rPr>
          <w:rStyle w:val="Caractresdenotedefin"/>
        </w:rPr>
        <w:endnoteRef/>
      </w:r>
      <w:r>
        <w:rPr/>
        <w:tab/>
      </w:r>
      <w:r>
        <w:rPr/>
        <w:t>Θέμα που συζητήθηκε επίσης από την ομάδα εργασίας για τον ψηφιακό μετασχηματισμό.</w:t>
      </w:r>
    </w:p>
  </w:endnote>
  <w:endnote w:id="72">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PCE2: 1, 2, 21, 22, 23· Ολλανδικό εθνικό σημείο επαφής: 1.1.</w:t>
      </w:r>
    </w:p>
  </w:endnote>
  <w:endnote w:id="73">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222. Συζήτηση στην ομάδα εργασίας.</w:t>
      </w:r>
    </w:p>
  </w:endnote>
  <w:endnote w:id="74">
    <w:p>
      <w:pPr>
        <w:pStyle w:val="Notedefin"/>
        <w:suppressLineNumbers/>
        <w:spacing w:before="57" w:after="57"/>
        <w:ind w:left="339" w:right="0" w:hanging="339"/>
        <w:rPr/>
      </w:pPr>
      <w:r>
        <w:rPr>
          <w:rStyle w:val="Caractresdenotedefin"/>
        </w:rPr>
        <w:endnoteRef/>
      </w:r>
      <w:r>
        <w:rPr/>
        <w:tab/>
      </w:r>
      <w:r>
        <w:rPr/>
        <w:t>Ερώτηση που συζητήθηκε επίσης από την ομάδα εργασίας για μια ισχυρότερη οικονομία, κοινωνική δικαιοσύνη και απασχόληση.</w:t>
      </w:r>
    </w:p>
  </w:endnote>
  <w:endnote w:id="75">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212. Σύσταση 1.1 του ΕΣΕ των Κάτω Χωρών.</w:t>
      </w:r>
    </w:p>
  </w:endnote>
  <w:endnote w:id="76">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232.</w:t>
      </w:r>
    </w:p>
  </w:endnote>
  <w:endnote w:id="77">
    <w:p>
      <w:pPr>
        <w:pStyle w:val="Notedefin"/>
        <w:suppressLineNumbers/>
        <w:spacing w:before="57" w:after="57"/>
        <w:ind w:left="339" w:right="0" w:hanging="339"/>
        <w:rPr/>
      </w:pPr>
      <w:r>
        <w:rPr>
          <w:rStyle w:val="Caractresdenotedefin"/>
        </w:rPr>
        <w:endnoteRef/>
      </w:r>
      <w:r>
        <w:rPr/>
        <w:tab/>
      </w:r>
      <w:r>
        <w:rPr/>
        <w:t>Ερώτηση που συζητήθηκε επίσης από την ομάδα εργασίας για μια ισχυρότερη οικονομία, κοινωνική δικαιοσύνη και απασχόληση.</w:t>
      </w:r>
    </w:p>
  </w:endnote>
  <w:endnote w:id="78">
    <w:p>
      <w:pPr>
        <w:pStyle w:val="Notedefin"/>
        <w:suppressLineNumbers/>
        <w:spacing w:before="57" w:after="57"/>
        <w:ind w:left="339" w:right="0" w:hanging="339"/>
        <w:rPr/>
      </w:pPr>
      <w:r>
        <w:rPr>
          <w:rStyle w:val="Caractresdenotedefin"/>
        </w:rPr>
        <w:endnoteRef/>
      </w:r>
      <w:r>
        <w:rPr/>
        <w:tab/>
      </w:r>
      <w:r>
        <w:rPr/>
        <w:t>Σύσταση 1 του ECP2. Συζήτηση στην ομάδα εργασίας.</w:t>
      </w:r>
    </w:p>
  </w:endnote>
  <w:endnote w:id="79">
    <w:p>
      <w:pPr>
        <w:pStyle w:val="Notedefin"/>
        <w:suppressLineNumbers/>
        <w:spacing w:before="57" w:after="57"/>
        <w:ind w:left="339" w:right="0" w:hanging="339"/>
        <w:rPr/>
      </w:pPr>
      <w:r>
        <w:rPr>
          <w:rStyle w:val="Caractresdenotedefin"/>
        </w:rPr>
        <w:endnoteRef/>
      </w:r>
      <w:r>
        <w:rPr/>
        <w:tab/>
      </w:r>
      <w:r>
        <w:rPr/>
        <w:t>Σύσταση 2 του ECP2. Συζήτηση στην ομάδα εργασίας.</w:t>
      </w:r>
    </w:p>
  </w:endnote>
  <w:endnote w:id="80">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PCE2: 3, 4, 6.</w:t>
      </w:r>
    </w:p>
  </w:endnote>
  <w:endnote w:id="81">
    <w:p>
      <w:pPr>
        <w:pStyle w:val="Notedefin"/>
        <w:suppressLineNumbers/>
        <w:spacing w:before="57" w:after="57"/>
        <w:ind w:left="339" w:right="0" w:hanging="339"/>
        <w:rPr/>
      </w:pPr>
      <w:r>
        <w:rPr>
          <w:rStyle w:val="Caractresdenotedefin"/>
        </w:rPr>
        <w:endnoteRef/>
      </w:r>
      <w:r>
        <w:rPr/>
        <w:tab/>
      </w:r>
      <w:r>
        <w:rPr/>
        <w:t>Σύσταση 3 του ECP2.</w:t>
      </w:r>
    </w:p>
  </w:endnote>
  <w:endnote w:id="82">
    <w:p>
      <w:pPr>
        <w:pStyle w:val="Notedefin"/>
        <w:suppressLineNumbers/>
        <w:spacing w:before="57" w:after="57"/>
        <w:ind w:left="339" w:right="0" w:hanging="339"/>
        <w:rPr/>
      </w:pPr>
      <w:r>
        <w:rPr>
          <w:rStyle w:val="Caractresdenotedefin"/>
        </w:rPr>
        <w:endnoteRef/>
      </w:r>
      <w:r>
        <w:rPr/>
        <w:tab/>
      </w:r>
      <w:r>
        <w:rPr/>
        <w:t>Το θέμα συζητήθηκε επίσης από την ομάδα εργασίας για την κλιματική αλλαγή και το περιβάλλον.</w:t>
      </w:r>
    </w:p>
  </w:endnote>
  <w:endnote w:id="83">
    <w:p>
      <w:pPr>
        <w:pStyle w:val="Notedefin"/>
        <w:suppressLineNumbers/>
        <w:spacing w:before="57" w:after="57"/>
        <w:ind w:left="339" w:right="0" w:hanging="339"/>
        <w:rPr/>
      </w:pPr>
      <w:r>
        <w:rPr>
          <w:rStyle w:val="Caractresdenotedefin"/>
        </w:rPr>
        <w:endnoteRef/>
      </w:r>
      <w:r>
        <w:rPr/>
        <w:tab/>
      </w:r>
      <w:r>
        <w:rPr/>
        <w:t>Σύσταση 4 του ECP2.</w:t>
      </w:r>
    </w:p>
  </w:endnote>
  <w:endnote w:id="84">
    <w:p>
      <w:pPr>
        <w:pStyle w:val="Notedefin"/>
        <w:suppressLineNumbers/>
        <w:spacing w:before="57" w:after="57"/>
        <w:ind w:left="339" w:right="0" w:hanging="339"/>
        <w:rPr/>
      </w:pPr>
      <w:r>
        <w:rPr>
          <w:rStyle w:val="Caractresdenotedefin"/>
        </w:rPr>
        <w:endnoteRef/>
      </w:r>
      <w:r>
        <w:rPr/>
        <w:tab/>
      </w:r>
      <w:r>
        <w:rPr/>
        <w:t>Σύσταση 6 του ECP2.</w:t>
      </w:r>
    </w:p>
  </w:endnote>
  <w:endnote w:id="85">
    <w:p>
      <w:pPr>
        <w:pStyle w:val="Notedefin"/>
        <w:suppressLineNumbers/>
        <w:spacing w:before="57" w:after="57"/>
        <w:ind w:left="339" w:right="0" w:hanging="339"/>
        <w:rPr/>
      </w:pPr>
      <w:r>
        <w:rPr>
          <w:rStyle w:val="Caractresdenotedefin"/>
        </w:rPr>
        <w:endnoteRef/>
      </w:r>
      <w:r>
        <w:rPr/>
        <w:tab/>
      </w:r>
      <w:r>
        <w:rPr/>
        <w:t>Το θέμα συζητήθηκε επίσης από την ομάδα εργασίας για την κλιματική αλλαγή και το περιβάλλον.</w:t>
      </w:r>
    </w:p>
  </w:endnote>
  <w:endnote w:id="86">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Ομάδα Ευρωπαίων Πολιτών 1 (ΕΚΠ 1): 17, 40, 47· Εθνική Επιτροπή Πολιτών των Κάτω Χωρών (NCP) αριθ. 1.</w:t>
      </w:r>
    </w:p>
  </w:endnote>
  <w:endnote w:id="87">
    <w:p>
      <w:pPr>
        <w:pStyle w:val="Notedefin"/>
        <w:suppressLineNumbers/>
        <w:spacing w:before="57" w:after="57"/>
        <w:ind w:left="339" w:right="0" w:hanging="339"/>
        <w:rPr/>
      </w:pPr>
      <w:r>
        <w:rPr>
          <w:rStyle w:val="Caractresdenotedefin"/>
        </w:rPr>
        <w:endnoteRef/>
      </w:r>
      <w:r>
        <w:rPr/>
        <w:tab/>
      </w:r>
      <w:r>
        <w:rPr/>
        <w:t>Βλ. σύνδεσμο προς τη σύσταση 38 της ECP 3 όσον αφορά τις υποδομές για ηλεκτρικά οχήματα.</w:t>
      </w:r>
    </w:p>
  </w:endnote>
  <w:endnote w:id="88">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Ομάδα Ευρωπαίων Πολιτών 1 (ΕΚΠ 1): 8, 34 και 47· Ιταλική Εθνική Επιτροπή Πολιτών (NCP) 5.2.</w:t>
      </w:r>
    </w:p>
  </w:endnote>
  <w:endnote w:id="89">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συστάσεις 39 και 46 της ομάδας ευρωπαίων πολιτών 1 (CEP 1) και συστάσεις 2.6 της εθνικής ομάδας πολιτών της Λιθουανίας (NCP) και του ΕΣΕ των Κάτω Χωρών.</w:t>
      </w:r>
    </w:p>
  </w:endnote>
  <w:endnote w:id="90">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συστάσεις 42, 43, 44 και 45 της ομάδας ευρωπαίων πολιτών αριθ. 1 (PCE 1) και σύσταση αριθ. 2 της εθνικής ομάδας πολιτών των Κάτω Χωρών (NCP).</w:t>
      </w:r>
    </w:p>
  </w:endnote>
  <w:endnote w:id="91">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Ομάδα ευρωπαίων πολιτών αριθ. 1 (PCE 1) αριθ. 7, 16 και 17 και εθνικές ομάδες πολιτών της Γερμανίας και της Ιταλίας 1.3.</w:t>
      </w:r>
    </w:p>
  </w:endnote>
  <w:endnote w:id="92">
    <w:p>
      <w:pPr>
        <w:pStyle w:val="Notedefin"/>
        <w:suppressLineNumbers/>
        <w:spacing w:before="57" w:after="57"/>
        <w:ind w:left="339" w:right="0" w:hanging="339"/>
        <w:rPr/>
      </w:pPr>
      <w:r>
        <w:rPr>
          <w:rStyle w:val="Caractresdenotedefin"/>
        </w:rPr>
        <w:endnoteRef/>
      </w:r>
      <w:r>
        <w:rPr/>
        <w:tab/>
      </w:r>
      <w:r>
        <w:rPr/>
        <w:t>Να εξεταστεί σε σχέση με τις προτάσεις της ομάδας εργασίας για μια ισχυρότερη οικονομία.</w:t>
      </w:r>
    </w:p>
  </w:endnote>
  <w:endnote w:id="93">
    <w:p>
      <w:pPr>
        <w:pStyle w:val="Notedefin"/>
        <w:suppressLineNumbers/>
        <w:spacing w:before="57" w:after="57"/>
        <w:ind w:left="339" w:right="0" w:hanging="339"/>
        <w:rPr/>
      </w:pPr>
      <w:r>
        <w:rPr>
          <w:rStyle w:val="Caractresdenotedefin"/>
        </w:rPr>
        <w:endnoteRef/>
      </w:r>
      <w:r>
        <w:rPr/>
        <w:tab/>
      </w:r>
      <w:r>
        <w:rPr/>
        <w:t>Τροπολογίες αριθ. 3Α και 3Β της Ομάδας Εργασίας (ΟΕ).</w:t>
      </w:r>
    </w:p>
  </w:endnote>
  <w:endnote w:id="94">
    <w:p>
      <w:pPr>
        <w:pStyle w:val="Notedefin"/>
        <w:suppressLineNumbers/>
        <w:spacing w:before="57" w:after="57"/>
        <w:ind w:left="339" w:right="0" w:hanging="339"/>
        <w:rPr/>
      </w:pPr>
      <w:r>
        <w:rPr>
          <w:rStyle w:val="Caractresdenotedefin"/>
        </w:rPr>
        <w:endnoteRef/>
      </w:r>
      <w:r>
        <w:rPr/>
        <w:tab/>
      </w:r>
      <w:r>
        <w:rPr/>
        <w:t>Συστάσεις 32 και 37 της ομάδας ευρωπαίων πολιτών 2 (PCE 2)· εθνικές ομάδες BE, FR και NL.</w:t>
      </w:r>
    </w:p>
  </w:endnote>
  <w:endnote w:id="95">
    <w:p>
      <w:pPr>
        <w:pStyle w:val="Notedefin"/>
        <w:suppressLineNumbers/>
        <w:spacing w:before="57" w:after="57"/>
        <w:ind w:left="339" w:right="0" w:hanging="339"/>
        <w:rPr/>
      </w:pPr>
      <w:r>
        <w:rPr>
          <w:rStyle w:val="Caractresdenotedefin"/>
        </w:rPr>
        <w:endnoteRef/>
      </w:r>
      <w:r>
        <w:rPr/>
        <w:tab/>
      </w:r>
      <w:r>
        <w:rPr/>
        <w:t>Εθνική επιτροπή ΓΑ.</w:t>
      </w:r>
    </w:p>
  </w:endnote>
  <w:endnote w:id="96">
    <w:p>
      <w:pPr>
        <w:pStyle w:val="Notedefin"/>
        <w:suppressLineNumbers/>
        <w:spacing w:before="57" w:after="57"/>
        <w:ind w:left="339" w:right="0" w:hanging="339"/>
        <w:rPr/>
      </w:pPr>
      <w:r>
        <w:rPr>
          <w:rStyle w:val="Caractresdenotedefin"/>
        </w:rPr>
        <w:endnoteRef/>
      </w:r>
      <w:r>
        <w:rPr/>
        <w:tab/>
      </w:r>
      <w:r>
        <w:rPr/>
        <w:t>Τροπολογία αριθ. 8 της ομάδας εργασίας, πιο συνοπτική διατύπωση.</w:t>
      </w:r>
    </w:p>
  </w:endnote>
  <w:endnote w:id="97">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29 2.</w:t>
      </w:r>
    </w:p>
  </w:endnote>
  <w:endnote w:id="98">
    <w:p>
      <w:pPr>
        <w:pStyle w:val="Notedefin"/>
        <w:suppressLineNumbers/>
        <w:spacing w:before="57" w:after="57"/>
        <w:ind w:left="339" w:right="0" w:hanging="339"/>
        <w:rPr/>
      </w:pPr>
      <w:r>
        <w:rPr>
          <w:rStyle w:val="Caractresdenotedefin"/>
        </w:rPr>
        <w:endnoteRef/>
      </w:r>
      <w:r>
        <w:rPr/>
        <w:tab/>
      </w:r>
      <w:r>
        <w:rPr/>
        <w:t>Συστάσεις 19 και 32 της ECP 2· εθνικές ομάδες ΒΕ και ΓΑ και ΔΑ εκπρόσωπος των εθνικών εκδηλώσεων.</w:t>
      </w:r>
    </w:p>
  </w:endnote>
  <w:endnote w:id="99">
    <w:p>
      <w:pPr>
        <w:pStyle w:val="Notedefin"/>
        <w:suppressLineNumbers/>
        <w:spacing w:before="57" w:after="57"/>
        <w:ind w:left="339" w:right="0" w:hanging="339"/>
        <w:rPr/>
      </w:pPr>
      <w:r>
        <w:rPr>
          <w:rStyle w:val="Caractresdenotedefin"/>
        </w:rPr>
        <w:endnoteRef/>
      </w:r>
      <w:r>
        <w:rPr/>
        <w:tab/>
      </w:r>
      <w:r>
        <w:rPr/>
        <w:t>Εθνική ομάδα BE.</w:t>
      </w:r>
    </w:p>
  </w:endnote>
  <w:endnote w:id="100">
    <w:p>
      <w:pPr>
        <w:pStyle w:val="Notedefin"/>
        <w:suppressLineNumbers/>
        <w:spacing w:before="57" w:after="57"/>
        <w:ind w:left="339" w:right="0" w:hanging="339"/>
        <w:rPr/>
      </w:pPr>
      <w:r>
        <w:rPr>
          <w:rStyle w:val="Caractresdenotedefin"/>
        </w:rPr>
        <w:endnoteRef/>
      </w:r>
      <w:r>
        <w:rPr/>
        <w:tab/>
      </w:r>
      <w:r>
        <w:rPr/>
        <w:t>Τροπολογία αριθ. 7B της ομάδας εργασίας.</w:t>
      </w:r>
    </w:p>
  </w:endnote>
  <w:endnote w:id="101">
    <w:p>
      <w:pPr>
        <w:pStyle w:val="Notedefin"/>
        <w:suppressLineNumbers/>
        <w:spacing w:before="57" w:after="57"/>
        <w:ind w:left="339" w:right="0" w:hanging="339"/>
        <w:rPr/>
      </w:pPr>
      <w:r>
        <w:rPr>
          <w:rStyle w:val="Caractresdenotedefin"/>
        </w:rPr>
        <w:endnoteRef/>
      </w:r>
      <w:r>
        <w:rPr/>
        <w:tab/>
      </w:r>
      <w:r>
        <w:rPr/>
        <w:t>Εθνική ομάδα BE.</w:t>
      </w:r>
    </w:p>
  </w:endnote>
  <w:endnote w:id="102">
    <w:p>
      <w:pPr>
        <w:pStyle w:val="Notedefin"/>
        <w:suppressLineNumbers/>
        <w:spacing w:before="57" w:after="57"/>
        <w:ind w:left="339" w:right="0" w:hanging="339"/>
        <w:rPr/>
      </w:pPr>
      <w:r>
        <w:rPr>
          <w:rStyle w:val="Caractresdenotedefin"/>
        </w:rPr>
        <w:endnoteRef/>
      </w:r>
      <w:r>
        <w:rPr/>
        <w:tab/>
      </w:r>
      <w:r>
        <w:rPr/>
        <w:t>Τελική έκθεση Kantar, σ. 85.</w:t>
      </w:r>
    </w:p>
  </w:endnote>
  <w:endnote w:id="103">
    <w:p>
      <w:pPr>
        <w:pStyle w:val="Notedefin"/>
        <w:suppressLineNumbers/>
        <w:spacing w:before="57" w:after="57"/>
        <w:ind w:left="339" w:right="0" w:hanging="339"/>
        <w:rPr/>
      </w:pPr>
      <w:r>
        <w:rPr>
          <w:rStyle w:val="Caractresdenotedefin"/>
        </w:rPr>
        <w:endnoteRef/>
      </w:r>
      <w:r>
        <w:rPr/>
        <w:tab/>
      </w:r>
      <w:r>
        <w:rPr/>
        <w:t>Σύσταση 39 του ECP 2· εθνική ομάδα αριθ. 3 BE.</w:t>
      </w:r>
    </w:p>
  </w:endnote>
  <w:endnote w:id="104">
    <w:p>
      <w:pPr>
        <w:pStyle w:val="Notedefin"/>
        <w:suppressLineNumbers/>
        <w:spacing w:before="57" w:after="57"/>
        <w:ind w:left="339" w:right="0" w:hanging="339"/>
        <w:rPr/>
      </w:pPr>
      <w:r>
        <w:rPr>
          <w:rStyle w:val="Caractresdenotedefin"/>
        </w:rPr>
        <w:endnoteRef/>
      </w:r>
      <w:r>
        <w:rPr/>
        <w:tab/>
      </w:r>
      <w:r>
        <w:rPr/>
        <w:t>Τροπολογία 10Α της ομάδας εργασίας, πιο συνοπτική διατύπωση.</w:t>
      </w:r>
    </w:p>
  </w:endnote>
  <w:endnote w:id="105">
    <w:p>
      <w:pPr>
        <w:pStyle w:val="Notedefin"/>
        <w:suppressLineNumbers/>
        <w:spacing w:before="57" w:after="57"/>
        <w:ind w:left="339" w:right="0" w:hanging="339"/>
        <w:rPr/>
      </w:pPr>
      <w:r>
        <w:rPr>
          <w:rStyle w:val="Caractresdenotedefin"/>
        </w:rPr>
        <w:endnoteRef/>
      </w:r>
      <w:r>
        <w:rPr/>
        <w:tab/>
      </w:r>
      <w:r>
        <w:rPr/>
        <w:t>DK εκπρόσωπος των εθνικών εκδηλώσεων.</w:t>
      </w:r>
    </w:p>
  </w:endnote>
  <w:endnote w:id="106">
    <w:p>
      <w:pPr>
        <w:pStyle w:val="Notedefin"/>
        <w:suppressLineNumbers/>
        <w:spacing w:before="57" w:after="57"/>
        <w:ind w:left="339" w:right="0" w:hanging="339"/>
        <w:rPr/>
      </w:pPr>
      <w:r>
        <w:rPr>
          <w:rStyle w:val="Caractresdenotedefin"/>
        </w:rPr>
        <w:endnoteRef/>
      </w:r>
      <w:r>
        <w:rPr/>
        <w:tab/>
      </w:r>
      <w:r>
        <w:rPr/>
        <w:t>Τροπολογία αριθ. 54Γ της ομάδας εργασίας.</w:t>
      </w:r>
    </w:p>
  </w:endnote>
  <w:endnote w:id="107">
    <w:p>
      <w:pPr>
        <w:pStyle w:val="Notedefin"/>
        <w:suppressLineNumbers/>
        <w:spacing w:before="57" w:after="57"/>
        <w:ind w:left="339" w:right="0" w:hanging="339"/>
        <w:rPr/>
      </w:pPr>
      <w:r>
        <w:rPr>
          <w:rStyle w:val="Caractresdenotedefin"/>
        </w:rPr>
        <w:endnoteRef/>
      </w:r>
      <w:r>
        <w:rPr/>
        <w:tab/>
      </w:r>
      <w:r>
        <w:rPr/>
        <w:t>DK εκπρόσωπος των εθνικών εκδηλώσεων.</w:t>
      </w:r>
    </w:p>
  </w:endnote>
  <w:endnote w:id="108">
    <w:p>
      <w:pPr>
        <w:pStyle w:val="Notedefin"/>
        <w:suppressLineNumbers/>
        <w:spacing w:before="57" w:after="57"/>
        <w:ind w:left="339" w:right="0" w:hanging="339"/>
        <w:rPr/>
      </w:pPr>
      <w:r>
        <w:rPr>
          <w:rStyle w:val="Caractresdenotedefin"/>
        </w:rPr>
        <w:endnoteRef/>
      </w:r>
      <w:r>
        <w:rPr/>
        <w:tab/>
      </w:r>
      <w:r>
        <w:rPr/>
        <w:t>DK εκπρόσωπος των εθνικών εκδηλώσεων.</w:t>
      </w:r>
    </w:p>
  </w:endnote>
  <w:endnote w:id="109">
    <w:p>
      <w:pPr>
        <w:pStyle w:val="Notedefin"/>
        <w:suppressLineNumbers/>
        <w:spacing w:before="57" w:after="57"/>
        <w:ind w:left="339" w:right="0" w:hanging="339"/>
        <w:rPr/>
      </w:pPr>
      <w:r>
        <w:rPr>
          <w:rStyle w:val="Caractresdenotedefin"/>
        </w:rPr>
        <w:endnoteRef/>
      </w:r>
      <w:r>
        <w:rPr/>
        <w:tab/>
      </w:r>
      <w:r>
        <w:rPr/>
        <w:t>Τροπολογία αριθ. 15Α της ομάδας εργασίας, συμβιβαστική διατύπωση.</w:t>
      </w:r>
    </w:p>
  </w:endnote>
  <w:endnote w:id="110">
    <w:p>
      <w:pPr>
        <w:pStyle w:val="Notedefin"/>
        <w:suppressLineNumbers/>
        <w:spacing w:before="57" w:after="57"/>
        <w:ind w:left="339" w:right="0" w:hanging="339"/>
        <w:rPr/>
      </w:pPr>
      <w:r>
        <w:rPr>
          <w:rStyle w:val="Caractresdenotedefin"/>
        </w:rPr>
        <w:endnoteRef/>
      </w:r>
      <w:r>
        <w:rPr/>
        <w:tab/>
      </w:r>
      <w:r>
        <w:rPr/>
        <w:t>PCE 2 Συστάσεις 24, 36 και 38· εθνική ομάδα BE.</w:t>
      </w:r>
    </w:p>
  </w:endnote>
  <w:endnote w:id="111">
    <w:p>
      <w:pPr>
        <w:pStyle w:val="Notedefin"/>
        <w:suppressLineNumbers/>
        <w:spacing w:before="57" w:after="57"/>
        <w:ind w:left="339" w:right="0" w:hanging="339"/>
        <w:rPr/>
      </w:pPr>
      <w:r>
        <w:rPr>
          <w:rStyle w:val="Caractresdenotedefin"/>
        </w:rPr>
        <w:endnoteRef/>
      </w:r>
      <w:r>
        <w:rPr/>
        <w:tab/>
      </w:r>
      <w:r>
        <w:rPr/>
        <w:t>Τροπολογία αριθ. 16Γ της ομάδας εργασίας.</w:t>
      </w:r>
    </w:p>
  </w:endnote>
  <w:endnote w:id="112">
    <w:p>
      <w:pPr>
        <w:pStyle w:val="Notedefin"/>
        <w:suppressLineNumbers/>
        <w:spacing w:before="57" w:after="57"/>
        <w:ind w:left="339" w:right="0" w:hanging="339"/>
        <w:rPr/>
      </w:pPr>
      <w:r>
        <w:rPr>
          <w:rStyle w:val="Caractresdenotedefin"/>
        </w:rPr>
        <w:endnoteRef/>
      </w:r>
      <w:r>
        <w:rPr/>
        <w:tab/>
      </w:r>
      <w:r>
        <w:rPr/>
        <w:t>Σύσταση 33 του ECP 2· εθνικές ομάδες BE, FR και NL.</w:t>
      </w:r>
    </w:p>
  </w:endnote>
  <w:endnote w:id="113">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26 2.</w:t>
      </w:r>
    </w:p>
  </w:endnote>
  <w:endnote w:id="114">
    <w:p>
      <w:pPr>
        <w:pStyle w:val="Notedefin"/>
        <w:suppressLineNumbers/>
        <w:spacing w:before="57" w:after="57"/>
        <w:ind w:left="339" w:right="0" w:hanging="339"/>
        <w:rPr/>
      </w:pPr>
      <w:r>
        <w:rPr>
          <w:rStyle w:val="Caractresdenotedefin"/>
        </w:rPr>
        <w:endnoteRef/>
      </w:r>
      <w:r>
        <w:rPr/>
        <w:tab/>
      </w:r>
      <w:r>
        <w:rPr/>
        <w:t>Τροπολογία αριθ. 17 της Ομάδας Εργασίας.</w:t>
      </w:r>
    </w:p>
  </w:endnote>
  <w:endnote w:id="115">
    <w:p>
      <w:pPr>
        <w:pStyle w:val="Notedefin"/>
        <w:suppressLineNumbers/>
        <w:spacing w:before="57" w:after="57"/>
        <w:ind w:left="339" w:right="0" w:hanging="339"/>
        <w:rPr/>
      </w:pPr>
      <w:r>
        <w:rPr>
          <w:rStyle w:val="Caractresdenotedefin"/>
        </w:rPr>
        <w:endnoteRef/>
      </w:r>
      <w:r>
        <w:rPr/>
        <w:tab/>
      </w:r>
      <w:r>
        <w:rPr/>
        <w:t>Εθνική ομάδα BE.</w:t>
      </w:r>
    </w:p>
  </w:endnote>
  <w:endnote w:id="116">
    <w:p>
      <w:pPr>
        <w:pStyle w:val="Notedefin"/>
        <w:suppressLineNumbers/>
        <w:spacing w:before="57" w:after="57"/>
        <w:ind w:left="339" w:right="0" w:hanging="339"/>
        <w:rPr/>
      </w:pPr>
      <w:r>
        <w:rPr>
          <w:rStyle w:val="Caractresdenotedefin"/>
        </w:rPr>
        <w:endnoteRef/>
      </w:r>
      <w:r>
        <w:rPr/>
        <w:tab/>
      </w:r>
      <w:r>
        <w:rPr/>
        <w:t>Τροπολογία αριθ. 18A της ομάδας εργασίας.</w:t>
      </w:r>
    </w:p>
  </w:endnote>
  <w:endnote w:id="117">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252.</w:t>
      </w:r>
    </w:p>
  </w:endnote>
  <w:endnote w:id="118">
    <w:p>
      <w:pPr>
        <w:pStyle w:val="Notedefin"/>
        <w:suppressLineNumbers/>
        <w:spacing w:before="57" w:after="57"/>
        <w:ind w:left="339" w:right="0" w:hanging="339"/>
        <w:rPr/>
      </w:pPr>
      <w:r>
        <w:rPr>
          <w:rStyle w:val="Caractresdenotedefin"/>
        </w:rPr>
        <w:endnoteRef/>
      </w:r>
      <w:r>
        <w:rPr/>
        <w:tab/>
      </w:r>
      <w:r>
        <w:rPr/>
        <w:t>Τροπολογία αριθ. 18B της ομάδας εργασίας.</w:t>
      </w:r>
    </w:p>
  </w:endnote>
  <w:endnote w:id="119">
    <w:p>
      <w:pPr>
        <w:pStyle w:val="Notedefin"/>
        <w:suppressLineNumbers/>
        <w:spacing w:before="57" w:after="57"/>
        <w:ind w:left="339" w:right="0" w:hanging="339"/>
        <w:rPr/>
      </w:pPr>
      <w:r>
        <w:rPr>
          <w:rStyle w:val="Caractresdenotedefin"/>
        </w:rPr>
        <w:endnoteRef/>
      </w:r>
      <w:r>
        <w:rPr/>
        <w:tab/>
      </w:r>
      <w:r>
        <w:rPr/>
        <w:t>Σύσταση 31 του ECP 2· εθνικές ομάδες ΒΕ και ΚΧ.</w:t>
      </w:r>
    </w:p>
  </w:endnote>
  <w:endnote w:id="120">
    <w:p>
      <w:pPr>
        <w:pStyle w:val="Notedefin"/>
        <w:suppressLineNumbers/>
        <w:spacing w:before="57" w:after="57"/>
        <w:ind w:left="339" w:right="0" w:hanging="339"/>
        <w:rPr/>
      </w:pPr>
      <w:r>
        <w:rPr>
          <w:rStyle w:val="Caractresdenotedefin"/>
        </w:rPr>
        <w:endnoteRef/>
      </w:r>
      <w:r>
        <w:rPr/>
        <w:tab/>
      </w:r>
      <w:r>
        <w:rPr/>
        <w:t>Τροπολογίες αριθ. 19Α της Ομάδας Εργασίας, με αναδιατύπωση για την παραγωγή καταλληλότερου κειμένου.</w:t>
      </w:r>
    </w:p>
  </w:endnote>
  <w:endnote w:id="121">
    <w:p>
      <w:pPr>
        <w:pStyle w:val="Notedefin"/>
        <w:suppressLineNumbers/>
        <w:spacing w:before="57" w:after="57"/>
        <w:ind w:left="339" w:right="0" w:hanging="339"/>
        <w:rPr/>
      </w:pPr>
      <w:r>
        <w:rPr>
          <w:rStyle w:val="Caractresdenotedefin"/>
        </w:rPr>
        <w:endnoteRef/>
      </w:r>
      <w:r>
        <w:rPr/>
        <w:tab/>
      </w:r>
      <w:r>
        <w:rPr/>
        <w:t>Τροπολογία αριθ. 21 της Ομάδας Εργασίας, συμβιβασμός.</w:t>
      </w:r>
    </w:p>
  </w:endnote>
  <w:endnote w:id="122">
    <w:p>
      <w:pPr>
        <w:pStyle w:val="Notedefin"/>
        <w:suppressLineNumbers/>
        <w:spacing w:before="57" w:after="57"/>
        <w:ind w:left="339" w:right="0" w:hanging="339"/>
        <w:rPr/>
      </w:pPr>
      <w:r>
        <w:rPr>
          <w:rStyle w:val="Caractresdenotedefin"/>
        </w:rPr>
        <w:endnoteRef/>
      </w:r>
      <w:r>
        <w:rPr/>
        <w:tab/>
      </w:r>
      <w:r>
        <w:rPr/>
        <w:t>Εθνικές ομάδες ΒΕ και ΓΑ.</w:t>
      </w:r>
    </w:p>
  </w:endnote>
  <w:endnote w:id="123">
    <w:p>
      <w:pPr>
        <w:pStyle w:val="Notedefin"/>
        <w:suppressLineNumbers/>
        <w:spacing w:before="57" w:after="57"/>
        <w:ind w:left="339" w:right="0" w:hanging="339"/>
        <w:rPr/>
      </w:pPr>
      <w:r>
        <w:rPr>
          <w:rStyle w:val="Caractresdenotedefin"/>
        </w:rPr>
        <w:endnoteRef/>
      </w:r>
      <w:r>
        <w:rPr/>
        <w:tab/>
      </w:r>
      <w:r>
        <w:rPr/>
        <w:t>Τροπολογία αριθ. 23Β της ομάδας εργασίας.</w:t>
      </w:r>
    </w:p>
  </w:endnote>
  <w:endnote w:id="124">
    <w:p>
      <w:pPr>
        <w:pStyle w:val="Notedefin"/>
        <w:suppressLineNumbers/>
        <w:spacing w:before="57" w:after="57"/>
        <w:ind w:left="339" w:right="0" w:hanging="339"/>
        <w:rPr/>
      </w:pPr>
      <w:r>
        <w:rPr>
          <w:rStyle w:val="Caractresdenotedefin"/>
        </w:rPr>
        <w:endnoteRef/>
      </w:r>
      <w:r>
        <w:rPr/>
        <w:tab/>
      </w:r>
      <w:r>
        <w:rPr/>
        <w:t>Σύσταση 27 του ECP 2· εθνική ομάδα BE.</w:t>
      </w:r>
    </w:p>
  </w:endnote>
  <w:endnote w:id="125">
    <w:p>
      <w:pPr>
        <w:pStyle w:val="Notedefin"/>
        <w:suppressLineNumbers/>
        <w:spacing w:before="57" w:after="57"/>
        <w:ind w:left="339" w:right="0" w:hanging="339"/>
        <w:rPr/>
      </w:pPr>
      <w:r>
        <w:rPr>
          <w:rStyle w:val="Caractresdenotedefin"/>
        </w:rPr>
        <w:endnoteRef/>
      </w:r>
      <w:r>
        <w:rPr/>
        <w:tab/>
      </w:r>
      <w:r>
        <w:rPr/>
        <w:t>Τροπολογία αριθ. 25Γ της ομάδας εργασίας.</w:t>
      </w:r>
    </w:p>
  </w:endnote>
  <w:endnote w:id="126">
    <w:p>
      <w:pPr>
        <w:pStyle w:val="Notedefin"/>
        <w:suppressLineNumbers/>
        <w:spacing w:before="57" w:after="57"/>
        <w:ind w:left="339" w:right="0" w:hanging="339"/>
        <w:rPr/>
      </w:pPr>
      <w:r>
        <w:rPr>
          <w:rStyle w:val="Caractresdenotedefin"/>
        </w:rPr>
        <w:endnoteRef/>
      </w:r>
      <w:r>
        <w:rPr/>
        <w:tab/>
      </w:r>
      <w:r>
        <w:rPr/>
        <w:t>Σύσταση 14 του ΕΣΠ.</w:t>
      </w:r>
    </w:p>
  </w:endnote>
  <w:endnote w:id="127">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18. ΣΗΜ.: Οι εκπρόσωποι των πολιτών εξήγησαν ότι ο μηχανισμός αυτός θα πρέπει να σχεδιάζεται και να χρησιμοποιείται με προσοχή.</w:t>
      </w:r>
    </w:p>
  </w:endnote>
  <w:endnote w:id="128">
    <w:p>
      <w:pPr>
        <w:pStyle w:val="Notedefin"/>
        <w:suppressLineNumbers/>
        <w:spacing w:before="57" w:after="57"/>
        <w:ind w:left="339" w:right="0" w:hanging="339"/>
        <w:rPr/>
      </w:pPr>
      <w:r>
        <w:rPr>
          <w:rStyle w:val="Caractresdenotedefin"/>
        </w:rPr>
        <w:endnoteRef/>
      </w:r>
      <w:r>
        <w:rPr/>
        <w:tab/>
      </w:r>
      <w:r>
        <w:rPr/>
        <w:t>Τροπολογίες αριθ. 28E, 28G και 28H της ομάδας εργασίας.</w:t>
      </w:r>
    </w:p>
  </w:endnote>
  <w:endnote w:id="129">
    <w:p>
      <w:pPr>
        <w:pStyle w:val="Notedefin"/>
        <w:suppressLineNumbers/>
        <w:spacing w:before="57" w:after="57"/>
        <w:ind w:left="339" w:right="0" w:hanging="339"/>
        <w:rPr/>
      </w:pPr>
      <w:r>
        <w:rPr>
          <w:rStyle w:val="Caractresdenotedefin"/>
        </w:rPr>
        <w:endnoteRef/>
      </w:r>
      <w:r>
        <w:rPr/>
        <w:tab/>
      </w:r>
      <w:r>
        <w:rPr/>
        <w:t>Σύσταση 16 του ECP 2· Εθνική ομάδα αριθ. 20 των ΚΧ, η οποία διαιρείται σε διακρατικούς καταλόγους.</w:t>
      </w:r>
    </w:p>
  </w:endnote>
  <w:endnote w:id="130">
    <w:p>
      <w:pPr>
        <w:pStyle w:val="Notedefin"/>
        <w:suppressLineNumbers/>
        <w:spacing w:before="57" w:after="57"/>
        <w:ind w:left="339" w:right="0" w:hanging="339"/>
        <w:rPr/>
      </w:pPr>
      <w:r>
        <w:rPr>
          <w:rStyle w:val="Caractresdenotedefin"/>
        </w:rPr>
        <w:endnoteRef/>
      </w:r>
      <w:r>
        <w:rPr/>
        <w:tab/>
      </w:r>
      <w:r>
        <w:rPr/>
        <w:t>Βάσει της σύστασης 16 της ΣΕΚ 2· συζήτηση στο GT.</w:t>
      </w:r>
    </w:p>
  </w:endnote>
  <w:endnote w:id="131">
    <w:p>
      <w:pPr>
        <w:pStyle w:val="Notedefin"/>
        <w:suppressLineNumbers/>
        <w:spacing w:before="57" w:after="57"/>
        <w:ind w:left="339" w:right="0" w:hanging="339"/>
        <w:rPr/>
      </w:pPr>
      <w:r>
        <w:rPr>
          <w:rStyle w:val="Caractresdenotedefin"/>
        </w:rPr>
        <w:endnoteRef/>
      </w:r>
      <w:r>
        <w:rPr/>
        <w:tab/>
      </w:r>
      <w:r>
        <w:rPr/>
        <w:t>Σύσταση 19 της ECP 2 και πολυγλωσσική ψηφιακή πλατφόρμα (MNP).</w:t>
      </w:r>
    </w:p>
  </w:endnote>
  <w:endnote w:id="132">
    <w:p>
      <w:pPr>
        <w:pStyle w:val="Notedefin"/>
        <w:suppressLineNumbers/>
        <w:spacing w:before="57" w:after="57"/>
        <w:ind w:left="339" w:right="0" w:hanging="339"/>
        <w:rPr/>
      </w:pPr>
      <w:r>
        <w:rPr>
          <w:rStyle w:val="Caractresdenotedefin"/>
        </w:rPr>
        <w:endnoteRef/>
      </w:r>
      <w:r>
        <w:rPr/>
        <w:tab/>
      </w:r>
      <w:r>
        <w:rPr/>
        <w:t>Η ΕΟΚΕ.</w:t>
      </w:r>
    </w:p>
  </w:endnote>
  <w:endnote w:id="133">
    <w:p>
      <w:pPr>
        <w:pStyle w:val="Notedefin"/>
        <w:suppressLineNumbers/>
        <w:spacing w:before="57" w:after="57"/>
        <w:ind w:left="339" w:right="0" w:hanging="339"/>
        <w:rPr/>
      </w:pPr>
      <w:r>
        <w:rPr>
          <w:rStyle w:val="Caractresdenotedefin"/>
        </w:rPr>
        <w:endnoteRef/>
      </w:r>
      <w:r>
        <w:rPr/>
        <w:tab/>
      </w:r>
      <w:r>
        <w:rPr/>
        <w:t>Τροπολογία αριθ. 32B της ομάδας εργασίας.</w:t>
      </w:r>
    </w:p>
  </w:endnote>
  <w:endnote w:id="134">
    <w:p>
      <w:pPr>
        <w:pStyle w:val="Notedefin"/>
        <w:suppressLineNumbers/>
        <w:spacing w:before="57" w:after="57"/>
        <w:ind w:left="339" w:right="0" w:hanging="339"/>
        <w:rPr/>
      </w:pPr>
      <w:r>
        <w:rPr>
          <w:rStyle w:val="Caractresdenotedefin"/>
        </w:rPr>
        <w:endnoteRef/>
      </w:r>
      <w:r>
        <w:rPr/>
        <w:tab/>
      </w:r>
      <w:r>
        <w:rPr/>
        <w:t>Σύσταση 36 του ECP 2· εθνικές ομάδες ΒΕ και ΓΑ.</w:t>
      </w:r>
    </w:p>
  </w:endnote>
  <w:endnote w:id="135">
    <w:p>
      <w:pPr>
        <w:pStyle w:val="Notedefin"/>
        <w:suppressLineNumbers/>
        <w:spacing w:before="57" w:after="57"/>
        <w:ind w:left="339" w:right="0" w:hanging="339"/>
        <w:rPr/>
      </w:pPr>
      <w:r>
        <w:rPr>
          <w:rStyle w:val="Caractresdenotedefin"/>
        </w:rPr>
        <w:endnoteRef/>
      </w:r>
      <w:r>
        <w:rPr/>
        <w:tab/>
      </w:r>
      <w:r>
        <w:rPr/>
        <w:t>Εθνική επιτροπή ΓΑ («εκλογή του Προέδρου της Ευρωπαϊκής Επιτροπής με καθολική ψηφοφορία»)· PNM (τελική έκθεση Kantar: μια ομάδα συνεισφορών αφορά την άμεση εκλογή του Προέδρου της Επιτροπής από τους πολίτες).</w:t>
      </w:r>
    </w:p>
  </w:endnote>
  <w:endnote w:id="136">
    <w:p>
      <w:pPr>
        <w:pStyle w:val="Notedefin"/>
        <w:suppressLineNumbers/>
        <w:spacing w:before="57" w:after="57"/>
        <w:ind w:left="339" w:right="0" w:hanging="339"/>
        <w:rPr/>
      </w:pPr>
      <w:r>
        <w:rPr>
          <w:rStyle w:val="Caractresdenotedefin"/>
        </w:rPr>
        <w:endnoteRef/>
      </w:r>
      <w:r>
        <w:rPr/>
        <w:tab/>
      </w:r>
      <w:r>
        <w:rPr/>
        <w:t>Τροπολογία αριθ. 34Γ της ομάδας εργασίας.</w:t>
      </w:r>
    </w:p>
  </w:endnote>
  <w:endnote w:id="137">
    <w:p>
      <w:pPr>
        <w:pStyle w:val="Notedefin"/>
        <w:suppressLineNumbers/>
        <w:spacing w:before="57" w:after="57"/>
        <w:ind w:left="339" w:right="0" w:hanging="339"/>
        <w:rPr/>
      </w:pPr>
      <w:r>
        <w:rPr>
          <w:rStyle w:val="Caractresdenotedefin"/>
        </w:rPr>
        <w:endnoteRef/>
      </w:r>
      <w:r>
        <w:rPr/>
        <w:tab/>
      </w:r>
      <w:r>
        <w:rPr/>
        <w:t>Εθνική ομάδα BE (3.2), εθνική ομάδα FR (11) PNM (τελική έκθεση Kantar: «Όσον αφορά το Ευρωπαϊκό Κοινοβούλιο, οι συνεισφέροντες ζητούν συχνότερα να του δοθεί πραγματική εξουσία νομοθετικής πρωτοβουλίας»).</w:t>
      </w:r>
    </w:p>
  </w:endnote>
  <w:endnote w:id="138">
    <w:p>
      <w:pPr>
        <w:pStyle w:val="Notedefin"/>
        <w:suppressLineNumbers/>
        <w:spacing w:before="57" w:after="57"/>
        <w:ind w:left="339" w:right="0" w:hanging="339"/>
        <w:rPr/>
      </w:pPr>
      <w:r>
        <w:rPr>
          <w:rStyle w:val="Caractresdenotedefin"/>
        </w:rPr>
        <w:endnoteRef/>
      </w:r>
      <w:r>
        <w:rPr/>
        <w:tab/>
      </w:r>
      <w:r>
        <w:rPr/>
        <w:t>PNM (τελική έκθεση Kantar: «Όσον αφορά το Ευρωπαϊκό Κοινοβούλιο, (...) υπάρχουν επίσης αιτήματα να του ανατεθούν δημοσιονομικές εξουσίες»).</w:t>
      </w:r>
    </w:p>
  </w:endnote>
  <w:endnote w:id="139">
    <w:p>
      <w:pPr>
        <w:pStyle w:val="Notedefin"/>
        <w:suppressLineNumbers/>
        <w:spacing w:before="57" w:after="57"/>
        <w:ind w:left="339" w:right="0" w:hanging="339"/>
        <w:rPr/>
      </w:pPr>
      <w:r>
        <w:rPr>
          <w:rStyle w:val="Caractresdenotedefin"/>
        </w:rPr>
        <w:endnoteRef/>
      </w:r>
      <w:r>
        <w:rPr/>
        <w:tab/>
      </w:r>
      <w:r>
        <w:rPr/>
        <w:t>PNM (τελική έκθεση Kantar: Σύμφωνα με μια άλλη συμβολή, τα κόμματα θα πρέπει να καταστούν πιο προσβάσιμα σε άτομα από διαφορετικό πολιτιστικό ή κοινωνικοοικονομικό υπόβαθρο.</w:t>
      </w:r>
    </w:p>
  </w:endnote>
  <w:endnote w:id="140">
    <w:p>
      <w:pPr>
        <w:pStyle w:val="Notedefin"/>
        <w:suppressLineNumbers/>
        <w:spacing w:before="57" w:after="57"/>
        <w:ind w:left="339" w:right="0" w:hanging="339"/>
        <w:rPr/>
      </w:pPr>
      <w:r>
        <w:rPr>
          <w:rStyle w:val="Caractresdenotedefin"/>
        </w:rPr>
        <w:endnoteRef/>
      </w:r>
      <w:r>
        <w:rPr/>
        <w:tab/>
      </w:r>
      <w:r>
        <w:rPr/>
        <w:t>ΕτΠ στην ομάδα εργασίας.</w:t>
      </w:r>
    </w:p>
  </w:endnote>
  <w:endnote w:id="141">
    <w:p>
      <w:pPr>
        <w:pStyle w:val="Notedefin"/>
        <w:suppressLineNumbers/>
        <w:spacing w:before="57" w:after="57"/>
        <w:ind w:left="339" w:right="0" w:hanging="339"/>
        <w:rPr/>
      </w:pPr>
      <w:r>
        <w:rPr>
          <w:rStyle w:val="Caractresdenotedefin"/>
        </w:rPr>
        <w:endnoteRef/>
      </w:r>
      <w:r>
        <w:rPr/>
        <w:tab/>
      </w:r>
      <w:r>
        <w:rPr/>
        <w:t>Τροπολογία 38 της ομάδας εργασίας, συμβιβαστική διατύπωση.</w:t>
      </w:r>
    </w:p>
  </w:endnote>
  <w:endnote w:id="142">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20 2.</w:t>
      </w:r>
    </w:p>
  </w:endnote>
  <w:endnote w:id="143">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21 4.</w:t>
      </w:r>
    </w:p>
  </w:endnote>
  <w:endnote w:id="144">
    <w:p>
      <w:pPr>
        <w:pStyle w:val="Notedefin"/>
        <w:suppressLineNumbers/>
        <w:spacing w:before="57" w:after="57"/>
        <w:ind w:left="339" w:right="0" w:hanging="339"/>
        <w:rPr/>
      </w:pPr>
      <w:r>
        <w:rPr>
          <w:rStyle w:val="Caractresdenotedefin"/>
        </w:rPr>
        <w:endnoteRef/>
      </w:r>
      <w:r>
        <w:rPr/>
        <w:tab/>
      </w:r>
      <w:r>
        <w:rPr/>
        <w:t>Τροπολογία αριθ. 43 της Ομάδας Εργασίας.</w:t>
      </w:r>
    </w:p>
  </w:endnote>
  <w:endnote w:id="145">
    <w:p>
      <w:pPr>
        <w:pStyle w:val="Notedefin"/>
        <w:suppressLineNumbers/>
        <w:spacing w:before="57" w:after="57"/>
        <w:ind w:left="339" w:right="0" w:hanging="339"/>
        <w:rPr/>
      </w:pPr>
      <w:r>
        <w:rPr>
          <w:rStyle w:val="Caractresdenotedefin"/>
        </w:rPr>
        <w:endnoteRef/>
      </w:r>
      <w:r>
        <w:rPr/>
        <w:tab/>
      </w:r>
      <w:r>
        <w:rPr/>
        <w:t>Σύσταση 34 του ECP 2· εθνική ομάδα ΚΧ.</w:t>
      </w:r>
    </w:p>
  </w:endnote>
  <w:endnote w:id="146">
    <w:p>
      <w:pPr>
        <w:pStyle w:val="Notedefin"/>
        <w:suppressLineNumbers/>
        <w:spacing w:before="57" w:after="57"/>
        <w:ind w:left="339" w:right="0" w:hanging="339"/>
        <w:rPr/>
      </w:pPr>
      <w:r>
        <w:rPr>
          <w:rStyle w:val="Caractresdenotedefin"/>
        </w:rPr>
        <w:endnoteRef/>
      </w:r>
      <w:r>
        <w:rPr/>
        <w:tab/>
      </w:r>
      <w:r>
        <w:rPr/>
        <w:t>Συζήτηση της ομάδας εργασίας βάσει της σύστασης 34 του ECP 2· εθνική ομάδα ΚΧ· PNM (τελική έκθεση Kantar: «Υποστηρίζονται επίσης η αύξηση της διαφάνειας και η μεγαλύτερη συμμετοχή των πολιτών στη διαδικασία λήψης αποφάσεων της ΕΕ».</w:t>
      </w:r>
    </w:p>
  </w:endnote>
  <w:endnote w:id="147">
    <w:p>
      <w:pPr>
        <w:pStyle w:val="Notedefin"/>
        <w:suppressLineNumbers/>
        <w:spacing w:before="57" w:after="57"/>
        <w:ind w:left="339" w:right="0" w:hanging="339"/>
        <w:rPr/>
      </w:pPr>
      <w:r>
        <w:rPr>
          <w:rStyle w:val="Caractresdenotedefin"/>
        </w:rPr>
        <w:endnoteRef/>
      </w:r>
      <w:r>
        <w:rPr/>
        <w:tab/>
      </w:r>
      <w:r>
        <w:rPr/>
        <w:t>Τροπολογία αριθ. 44A της Ομάδας Εργασίας.</w:t>
      </w:r>
    </w:p>
  </w:endnote>
  <w:endnote w:id="148">
    <w:p>
      <w:pPr>
        <w:pStyle w:val="Notedefin"/>
        <w:suppressLineNumbers/>
        <w:spacing w:before="57" w:after="57"/>
        <w:ind w:left="339" w:right="0" w:hanging="339"/>
        <w:rPr/>
      </w:pPr>
      <w:r>
        <w:rPr>
          <w:rStyle w:val="Caractresdenotedefin"/>
        </w:rPr>
        <w:endnoteRef/>
      </w:r>
      <w:r>
        <w:rPr/>
        <w:tab/>
      </w:r>
      <w:r>
        <w:rPr/>
        <w:t>Συζήτηση της ομάδας εργασίας (παρουσίαση από τα εθνικά κοινοβούλια και την ΕτΠ).</w:t>
      </w:r>
    </w:p>
  </w:endnote>
  <w:endnote w:id="149">
    <w:p>
      <w:pPr>
        <w:pStyle w:val="Notedefin"/>
        <w:suppressLineNumbers/>
        <w:spacing w:before="57" w:after="57"/>
        <w:ind w:left="339" w:right="0" w:hanging="339"/>
        <w:rPr/>
      </w:pPr>
      <w:r>
        <w:rPr>
          <w:rStyle w:val="Caractresdenotedefin"/>
        </w:rPr>
        <w:endnoteRef/>
      </w:r>
      <w:r>
        <w:rPr/>
        <w:tab/>
      </w:r>
      <w:r>
        <w:rPr/>
        <w:t>Τροπολογία αριθ. 45Γ της ομάδας εργασίας.</w:t>
      </w:r>
    </w:p>
  </w:endnote>
  <w:endnote w:id="150">
    <w:p>
      <w:pPr>
        <w:pStyle w:val="Notedefin"/>
        <w:suppressLineNumbers/>
        <w:spacing w:before="57" w:after="57"/>
        <w:ind w:left="339" w:right="0" w:hanging="339"/>
        <w:rPr/>
      </w:pPr>
      <w:r>
        <w:rPr>
          <w:rStyle w:val="Caractresdenotedefin"/>
        </w:rPr>
        <w:endnoteRef/>
      </w:r>
      <w:r>
        <w:rPr/>
        <w:tab/>
      </w:r>
      <w:r>
        <w:rPr/>
        <w:t>Τροπολογία αριθ. 46B της ομάδας εργασίας.</w:t>
      </w:r>
    </w:p>
  </w:endnote>
  <w:endnote w:id="151">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15 2.</w:t>
      </w:r>
    </w:p>
  </w:endnote>
  <w:endnote w:id="152">
    <w:p>
      <w:pPr>
        <w:pStyle w:val="Notedefin"/>
        <w:suppressLineNumbers/>
        <w:spacing w:before="57" w:after="57"/>
        <w:ind w:left="339" w:right="0" w:hanging="339"/>
        <w:rPr/>
      </w:pPr>
      <w:r>
        <w:rPr>
          <w:rStyle w:val="Caractresdenotedefin"/>
        </w:rPr>
        <w:endnoteRef/>
      </w:r>
      <w:r>
        <w:rPr/>
        <w:tab/>
      </w:r>
      <w:r>
        <w:rPr/>
        <w:t>Συζήτηση της ομάδας εργασίας με βάση την ανάγκη που εκφράζεται στη σύσταση 15 του ECP 2 να αποσαφηνιστούν οι λειτουργίες των ευρωπαϊκών θεσμικών οργάνων· PNM (τελική έκθεση Kantar: «Υπάρχουν επίσης προτάσεις για εμβάθυνση της νομοθετικής εξουσίας με δύο σώματα στην ΕΕ.»)</w:t>
      </w:r>
    </w:p>
  </w:endnote>
  <w:endnote w:id="153">
    <w:p>
      <w:pPr>
        <w:pStyle w:val="Notedefin"/>
        <w:suppressLineNumbers/>
        <w:spacing w:before="57" w:after="57"/>
        <w:ind w:left="339" w:right="0" w:hanging="339"/>
        <w:rPr/>
      </w:pPr>
      <w:r>
        <w:rPr>
          <w:rStyle w:val="Caractresdenotedefin"/>
        </w:rPr>
        <w:endnoteRef/>
      </w:r>
      <w:r>
        <w:rPr/>
        <w:tab/>
      </w:r>
      <w:r>
        <w:rPr/>
        <w:t>Τροπολογία αριθ. 48B της ομάδας εργασίας.</w:t>
      </w:r>
    </w:p>
  </w:endnote>
  <w:endnote w:id="154">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15 2.</w:t>
      </w:r>
    </w:p>
  </w:endnote>
  <w:endnote w:id="155">
    <w:p>
      <w:pPr>
        <w:pStyle w:val="Notedefin"/>
        <w:suppressLineNumbers/>
        <w:spacing w:before="57" w:after="57"/>
        <w:ind w:left="339" w:right="0" w:hanging="339"/>
        <w:rPr/>
      </w:pPr>
      <w:r>
        <w:rPr>
          <w:rStyle w:val="Caractresdenotedefin"/>
        </w:rPr>
        <w:endnoteRef/>
      </w:r>
      <w:r>
        <w:rPr/>
        <w:tab/>
      </w:r>
      <w:r>
        <w:rPr/>
        <w:t>Συζητήσεις στην ομάδα εργασίας.</w:t>
      </w:r>
    </w:p>
  </w:endnote>
  <w:endnote w:id="156">
    <w:p>
      <w:pPr>
        <w:pStyle w:val="Notedefin"/>
        <w:suppressLineNumbers/>
        <w:spacing w:before="57" w:after="57"/>
        <w:ind w:left="339" w:right="0" w:hanging="339"/>
        <w:rPr/>
      </w:pPr>
      <w:r>
        <w:rPr>
          <w:rStyle w:val="Caractresdenotedefin"/>
        </w:rPr>
        <w:endnoteRef/>
      </w:r>
      <w:r>
        <w:rPr/>
        <w:tab/>
      </w:r>
      <w:r>
        <w:rPr/>
        <w:t>Τροπολογία αριθ. 52A της ομάδας εργασίας.</w:t>
      </w:r>
    </w:p>
  </w:endnote>
  <w:endnote w:id="157">
    <w:p>
      <w:pPr>
        <w:pStyle w:val="Notedefin"/>
        <w:suppressLineNumbers/>
        <w:spacing w:before="57" w:after="57"/>
        <w:ind w:left="339" w:right="0" w:hanging="339"/>
        <w:rPr/>
      </w:pPr>
      <w:r>
        <w:rPr>
          <w:rStyle w:val="Caractresdenotedefin"/>
        </w:rPr>
        <w:endnoteRef/>
      </w:r>
      <w:r>
        <w:rPr/>
        <w:tab/>
      </w:r>
      <w:r>
        <w:rPr/>
        <w:t>ΕΟΚΕ, συμβιβαστική διατύπωση.</w:t>
      </w:r>
    </w:p>
  </w:endnote>
  <w:endnote w:id="158">
    <w:p>
      <w:pPr>
        <w:pStyle w:val="Notedefin"/>
        <w:suppressLineNumbers/>
        <w:spacing w:before="57" w:after="57"/>
        <w:ind w:left="339" w:right="0" w:hanging="339"/>
        <w:rPr/>
      </w:pPr>
      <w:r>
        <w:rPr>
          <w:rStyle w:val="Caractresdenotedefin"/>
        </w:rPr>
        <w:endnoteRef/>
      </w:r>
      <w:r>
        <w:rPr/>
        <w:tab/>
      </w:r>
      <w:r>
        <w:rPr/>
        <w:t>Σύσταση 35 της ECP, εθνική ομάδα της ΓΑ και συνδυασμένες τροποποιήσεις της ομάδας εργασίας 51C και 51D.</w:t>
      </w:r>
    </w:p>
  </w:endnote>
  <w:endnote w:id="159">
    <w:p>
      <w:pPr>
        <w:pStyle w:val="Notedefin"/>
        <w:suppressLineNumbers/>
        <w:spacing w:before="57" w:after="57"/>
        <w:ind w:left="339" w:right="0" w:hanging="339"/>
        <w:rPr/>
      </w:pPr>
      <w:r>
        <w:rPr>
          <w:rStyle w:val="Caractresdenotedefin"/>
        </w:rPr>
        <w:endnoteRef/>
      </w:r>
      <w:r>
        <w:rPr/>
        <w:tab/>
      </w:r>
      <w:r>
        <w:rPr/>
        <w:t>Τροπολογία αριθ. 53Δ της Ομάδας Εργασίας.</w:t>
      </w:r>
    </w:p>
  </w:endnote>
  <w:endnote w:id="160">
    <w:p>
      <w:pPr>
        <w:pStyle w:val="Notedefin"/>
        <w:suppressLineNumbers/>
        <w:spacing w:before="57" w:after="57"/>
        <w:ind w:left="339" w:right="0" w:hanging="339"/>
        <w:rPr/>
      </w:pPr>
      <w:r>
        <w:rPr>
          <w:rStyle w:val="Caractresdenotedefin"/>
        </w:rPr>
        <w:endnoteRef/>
      </w:r>
      <w:r>
        <w:rPr/>
        <w:tab/>
      </w:r>
      <w:r>
        <w:rPr/>
        <w:t>Συζήτηση στην ομάδα εργασίας· τα εθνικά κοινοβούλια.</w:t>
      </w:r>
    </w:p>
  </w:endnote>
  <w:endnote w:id="161">
    <w:p>
      <w:pPr>
        <w:pStyle w:val="Notedefin"/>
        <w:spacing w:before="57" w:after="57"/>
        <w:rPr/>
      </w:pPr>
      <w:r>
        <w:rPr>
          <w:rStyle w:val="Caractresdenotedefin"/>
        </w:rPr>
        <w:endnoteRef/>
      </w:r>
      <w:r>
        <w:rPr/>
        <w:tab/>
      </w:r>
      <w:r>
        <w:rPr/>
        <w:t>Συζήτηση στην ομάδα εργασίας· ΕτΠ και ΕΟΚΕ· Τελική έκθεση Kantar, σ. 85.</w:t>
      </w:r>
    </w:p>
  </w:endnote>
  <w:endnote w:id="162">
    <w:p>
      <w:pPr>
        <w:pStyle w:val="Notedefin"/>
        <w:suppressLineNumbers/>
        <w:spacing w:before="57" w:after="57"/>
        <w:ind w:left="339" w:right="0" w:hanging="339"/>
        <w:rPr/>
      </w:pPr>
      <w:r>
        <w:rPr>
          <w:rStyle w:val="Caractresdenotedefin"/>
        </w:rPr>
        <w:endnoteRef/>
      </w:r>
      <w:r>
        <w:rPr/>
        <w:tab/>
      </w:r>
      <w:r>
        <w:rPr/>
        <w:t>Τροπολογία αριθ. 58B της ομάδας εργασίας.</w:t>
      </w:r>
    </w:p>
  </w:endnote>
  <w:endnote w:id="163">
    <w:p>
      <w:pPr>
        <w:pStyle w:val="Notedefin"/>
        <w:suppressLineNumbers/>
        <w:spacing w:before="57" w:after="57"/>
        <w:ind w:left="339" w:right="0" w:hanging="339"/>
        <w:rPr/>
      </w:pPr>
      <w:r>
        <w:rPr>
          <w:rStyle w:val="Caractresdenotedefin"/>
        </w:rPr>
        <w:endnoteRef/>
      </w:r>
      <w:r>
        <w:rPr/>
        <w:tab/>
      </w:r>
      <w:r>
        <w:rPr/>
        <w:t>Τροπολογία αριθ. 59B της ομάδας εργασίας.</w:t>
      </w:r>
    </w:p>
  </w:endnote>
  <w:endnote w:id="164">
    <w:p>
      <w:pPr>
        <w:pStyle w:val="Notedefin"/>
        <w:suppressLineNumbers/>
        <w:spacing w:before="57" w:after="57"/>
        <w:ind w:left="339" w:right="0" w:hanging="339"/>
        <w:rPr/>
      </w:pPr>
      <w:r>
        <w:rPr>
          <w:rStyle w:val="Caractresdenotedefin"/>
        </w:rPr>
        <w:endnoteRef/>
      </w:r>
      <w:r>
        <w:rPr/>
        <w:tab/>
      </w:r>
      <w:r>
        <w:rPr/>
        <w:t>Συζήτηση στην ομάδα εργασίας· κοινωνικοί εταίροι και άλλα μέλη.</w:t>
      </w:r>
    </w:p>
  </w:endnote>
  <w:endnote w:id="165">
    <w:p>
      <w:pPr>
        <w:pStyle w:val="Notedefin"/>
        <w:suppressLineNumbers/>
        <w:spacing w:before="57" w:after="57"/>
        <w:ind w:left="339" w:right="0" w:hanging="339"/>
        <w:rPr/>
      </w:pPr>
      <w:r>
        <w:rPr>
          <w:rStyle w:val="Caractresdenotedefin"/>
        </w:rPr>
        <w:endnoteRef/>
      </w:r>
      <w:r>
        <w:rPr/>
        <w:tab/>
      </w:r>
      <w:r>
        <w:rPr/>
        <w:t>Τροπολογία 63Α της ομάδας εργασίας, συμβιβαστική διατύπωση.</w:t>
      </w:r>
    </w:p>
  </w:endnote>
  <w:endnote w:id="166">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Ομάδα ευρωπαίων πολιτών αριθ. 4 (ΕΚΠ 4) αριθ.</w:t>
      </w:r>
      <w:r>
        <w:rPr>
          <w:vertAlign w:val="superscript"/>
        </w:rPr>
        <w:t>6</w:t>
      </w:r>
      <w:r>
        <w:rPr/>
        <w:t>, 7, 9, 28 και 30, Λιθουανία αριθ. 9.</w:t>
      </w:r>
    </w:p>
  </w:endnote>
  <w:endnote w:id="167">
    <w:p>
      <w:pPr>
        <w:pStyle w:val="Notedefin"/>
        <w:suppressLineNumbers/>
        <w:spacing w:before="57" w:after="57"/>
        <w:ind w:left="339" w:right="0" w:hanging="339"/>
        <w:rPr/>
      </w:pPr>
      <w:r>
        <w:rPr>
          <w:rStyle w:val="Caractresdenotedefin"/>
        </w:rPr>
        <w:endnoteRef/>
      </w:r>
      <w:r>
        <w:rPr/>
        <w:tab/>
      </w:r>
      <w:r>
        <w:rPr/>
        <w:t>Συστάσεις των πολιτών στις οποίες βασίζεται η πρόταση: Ομάδα ευρωπαίων πολιτών αριθ. 4 (ΕΚΠ 4) αριθ.</w:t>
      </w:r>
      <w:r>
        <w:rPr>
          <w:vertAlign w:val="superscript"/>
        </w:rPr>
        <w:t>8</w:t>
      </w:r>
      <w:r>
        <w:rPr/>
        <w:t xml:space="preserve"> και 27, Λιθουανία αριθ. 10, Κάτω Χώρες αριθ. 3.</w:t>
      </w:r>
    </w:p>
  </w:endnote>
  <w:endnote w:id="168">
    <w:p>
      <w:pPr>
        <w:pStyle w:val="Notedefin"/>
        <w:suppressLineNumbers/>
        <w:spacing w:before="57" w:after="57"/>
        <w:ind w:left="339" w:right="0" w:hanging="339"/>
        <w:rPr/>
      </w:pPr>
      <w:r>
        <w:rPr>
          <w:rStyle w:val="Caractresdenotedefin"/>
        </w:rPr>
        <w:endnoteRef/>
      </w:r>
      <w:r>
        <w:rPr/>
        <w:tab/>
        <w:t xml:space="preserve"> </w:t>
      </w:r>
      <w:r>
        <w:rPr/>
        <w:t>Συστάσεις των πολιτών στις οποίες βασίζεται η πρόταση: Ομάδα ευρωπαίων πολιτών αριθ. 4 (PCE 4)</w:t>
      </w:r>
      <w:r>
        <w:rPr>
          <w:vertAlign w:val="superscript"/>
        </w:rPr>
        <w:t>αριθ.</w:t>
      </w:r>
      <w:r>
        <w:rPr/>
        <w:t xml:space="preserve"> 10, 35 και 38.</w:t>
      </w:r>
    </w:p>
  </w:endnote>
  <w:endnote w:id="169">
    <w:p>
      <w:pPr>
        <w:pStyle w:val="Notedefin"/>
        <w:suppressLineNumbers/>
        <w:spacing w:before="57" w:after="57"/>
        <w:ind w:left="339" w:right="0" w:hanging="339"/>
        <w:rPr/>
      </w:pPr>
      <w:r>
        <w:rPr>
          <w:rStyle w:val="Caractresdenotedefin"/>
        </w:rPr>
        <w:endnoteRef/>
      </w:r>
      <w:r>
        <w:rPr/>
        <w:tab/>
        <w:t xml:space="preserve"> </w:t>
      </w:r>
      <w:r>
        <w:rPr/>
        <w:t>Συστάσεις των πολιτών στις οποίες βασίζεται η πρόταση: Ομάδα ευρωπαίων πολιτών αριθ. 4 (ΕΣΠ 4) αριθ.</w:t>
      </w:r>
      <w:r>
        <w:rPr>
          <w:vertAlign w:val="superscript"/>
        </w:rPr>
        <w:t>29</w:t>
      </w:r>
      <w:r>
        <w:rPr/>
        <w:t>, 31, 33, 36, 37, 38, 39 και 40, Ιταλία αριθ.</w:t>
      </w:r>
      <w:r>
        <w:rPr>
          <w:vertAlign w:val="superscript"/>
        </w:rPr>
        <w:t>3.8</w:t>
      </w:r>
      <w:r>
        <w:rPr/>
        <w:t>, 4.4 (σ. 15) και 5.6 (σ. 11), Λιθουανία αριθ.</w:t>
      </w:r>
      <w:r>
        <w:rPr>
          <w:vertAlign w:val="superscript"/>
        </w:rPr>
        <w:t>2</w:t>
      </w:r>
      <w:r>
        <w:rPr/>
        <w:t xml:space="preserve"> και 3, Κάτω Χώρες αριθ. 1 και 2.</w:t>
      </w:r>
    </w:p>
  </w:endnote>
  <w:endnote w:id="170">
    <w:p>
      <w:pPr>
        <w:pStyle w:val="Notedefin"/>
        <w:spacing w:before="57" w:after="57"/>
        <w:rPr/>
      </w:pPr>
      <w:r>
        <w:rPr>
          <w:rStyle w:val="Caractresdenotedefin"/>
        </w:rPr>
        <w:endnoteRef/>
      </w:r>
      <w:r>
        <w:rPr/>
        <w:tab/>
        <w:t xml:space="preserve"> </w:t>
      </w:r>
      <w:r>
        <w:rPr/>
        <w:t>Συστάσεις των πολιτών στις οποίες βασίζεται η πρόταση: Ομάδα ευρωπαίων πολιτών αριθ. 4 (PCE 4)</w:t>
      </w:r>
      <w:r>
        <w:rPr>
          <w:vertAlign w:val="superscript"/>
        </w:rPr>
        <w:t>αριθ.</w:t>
      </w:r>
      <w:r>
        <w:rPr/>
        <w:t xml:space="preserve"> 7 και 32, Γαλλία αριθ. 13.</w:t>
      </w:r>
    </w:p>
  </w:endnote>
  <w:endnote w:id="171">
    <w:p>
      <w:pPr>
        <w:pStyle w:val="Notedefin"/>
        <w:suppressLineNumbers/>
        <w:spacing w:before="57" w:after="57"/>
        <w:ind w:left="339" w:right="0" w:hanging="339"/>
        <w:rPr/>
      </w:pPr>
      <w:r>
        <w:rPr>
          <w:rStyle w:val="Caractresdenotedefin"/>
        </w:rPr>
        <w:endnoteRef/>
      </w:r>
      <w:r>
        <w:rPr/>
        <w:tab/>
        <w:t xml:space="preserve"> </w:t>
      </w:r>
      <w:r>
        <w:rPr/>
        <w:t>Γαλλικά PCN, αλλαγή 6.</w:t>
      </w:r>
    </w:p>
  </w:endnote>
  <w:endnote w:id="172">
    <w:p>
      <w:pPr>
        <w:pStyle w:val="Notedefin"/>
        <w:suppressLineNumbers/>
        <w:spacing w:before="57" w:after="57"/>
        <w:ind w:left="339" w:right="0" w:hanging="339"/>
        <w:rPr/>
      </w:pPr>
      <w:r>
        <w:rPr>
          <w:rStyle w:val="Caractresdenotedefin"/>
        </w:rPr>
        <w:endnoteRef/>
      </w:r>
      <w:r>
        <w:rPr/>
        <w:tab/>
      </w:r>
      <w:r>
        <w:rPr/>
        <w:t>Σύσταση της Ευρωπαϊκής Επιτροπής 37 1.</w:t>
      </w:r>
    </w:p>
  </w:endnote>
  <w:endnote w:id="173">
    <w:p>
      <w:pPr>
        <w:pStyle w:val="Notedefin"/>
        <w:suppressLineNumbers/>
        <w:spacing w:before="57" w:after="57"/>
        <w:ind w:left="339" w:right="0" w:hanging="339"/>
        <w:rPr/>
      </w:pPr>
      <w:r>
        <w:rPr>
          <w:rStyle w:val="Caractresdenotedefin"/>
        </w:rPr>
        <w:endnoteRef/>
      </w:r>
      <w:r>
        <w:rPr/>
        <w:tab/>
      </w:r>
      <w:r>
        <w:rPr/>
        <w:t>Σύσταση 3 του ΕΣΠ. Γαλλικά PCN, αλλαγή 6.</w:t>
      </w:r>
    </w:p>
  </w:endnote>
  <w:endnote w:id="174">
    <w:p>
      <w:pPr>
        <w:pStyle w:val="Notedefin"/>
        <w:suppressLineNumbers/>
        <w:spacing w:before="57" w:after="57"/>
        <w:ind w:left="339" w:right="0" w:hanging="339"/>
        <w:rPr/>
      </w:pPr>
      <w:r>
        <w:rPr>
          <w:rStyle w:val="Caractresdenotedefin"/>
        </w:rPr>
        <w:endnoteRef/>
      </w:r>
      <w:r>
        <w:rPr/>
        <w:tab/>
        <w:t xml:space="preserve"> </w:t>
      </w:r>
      <w:r>
        <w:rPr/>
        <w:t>Σύσταση της Ευρωπαϊκής Επιτροπής 41 1.</w:t>
      </w:r>
    </w:p>
  </w:endnote>
  <w:endnote w:id="175">
    <w:p>
      <w:pPr>
        <w:pStyle w:val="Notedefin"/>
        <w:suppressLineNumbers/>
        <w:spacing w:before="57" w:after="57"/>
        <w:ind w:left="339" w:right="0" w:hanging="339"/>
        <w:rPr/>
      </w:pPr>
      <w:r>
        <w:rPr>
          <w:rStyle w:val="Caractresdenotedefin"/>
        </w:rPr>
        <w:endnoteRef/>
      </w:r>
      <w:r>
        <w:rPr/>
        <w:tab/>
        <w:t xml:space="preserve"> </w:t>
      </w:r>
      <w:r>
        <w:rPr/>
        <w:t>Το θέμα συζητείται λεπτομερέστερα από την ομάδα εργασίας για την ευρωπαϊκή δημοκρατία. Βλέπε σύσταση αριθ. 24 της ECP 2, συστάσεις 1.1, 1.2 και 2.12 του βελγικού ΕΣΕ και σύσταση του ιταλικού ΕΣΕ σχετικά με τις «πολιτικές ένταξης».</w:t>
      </w:r>
    </w:p>
  </w:endnote>
  <w:endnote w:id="176">
    <w:p>
      <w:pPr>
        <w:pStyle w:val="Notedefin"/>
        <w:suppressLineNumbers/>
        <w:spacing w:before="57" w:after="57"/>
        <w:ind w:left="339" w:right="0" w:hanging="339"/>
        <w:rPr/>
      </w:pPr>
      <w:r>
        <w:rPr>
          <w:rStyle w:val="Caractresdenotedefin"/>
        </w:rPr>
        <w:endnoteRef/>
      </w:r>
      <w:r>
        <w:rPr/>
        <w:tab/>
      </w:r>
      <w:r>
        <w:rPr/>
        <w:t>Σύσταση του ΕΣΕ της Ιταλίας σχετικά με τις «πολιτικές ένταξης».</w:t>
      </w:r>
    </w:p>
  </w:endnote>
  <w:endnote w:id="177">
    <w:p>
      <w:pPr>
        <w:pStyle w:val="Notedefin"/>
        <w:suppressLineNumbers/>
        <w:spacing w:before="57" w:after="57"/>
        <w:ind w:left="339" w:right="0" w:hanging="339"/>
        <w:rPr/>
      </w:pPr>
      <w:r>
        <w:rPr>
          <w:rStyle w:val="Caractresdenotedefin"/>
        </w:rPr>
        <w:endnoteRef/>
      </w:r>
      <w:r>
        <w:rPr/>
        <w:tab/>
      </w:r>
      <w:r>
        <w:rPr/>
        <w:t>Το θέμα συζητείται λεπτομερέστερα από την Ομάδα Εργασίας για τον Ψηφιακό Μετασχηματισμό. Βλέπε συστάσεις αριθ. 8 και 34 του ECP 1.</w:t>
      </w:r>
    </w:p>
  </w:endnote>
  <w:endnote w:id="178">
    <w:p>
      <w:pPr>
        <w:pStyle w:val="Notedefin"/>
        <w:suppressLineNumbers/>
        <w:spacing w:before="57" w:after="57"/>
        <w:ind w:left="339" w:right="0" w:hanging="339"/>
        <w:rPr/>
      </w:pPr>
      <w:r>
        <w:rPr>
          <w:rStyle w:val="Caractresdenotedefin"/>
        </w:rPr>
        <w:endnoteRef/>
      </w:r>
      <w:r>
        <w:rPr/>
        <w:tab/>
      </w:r>
      <w:r>
        <w:rPr/>
        <w:t>Σύσταση του Ιταλικού ΕΣΕ «Ενθάρρυνση των νέων να μελετήσουν επιστημονικά θέματα».</w:t>
      </w:r>
    </w:p>
  </w:endnote>
  <w:endnote w:id="179">
    <w:p>
      <w:pPr>
        <w:pStyle w:val="Notedefin"/>
        <w:suppressLineNumbers/>
        <w:spacing w:before="57" w:after="57"/>
        <w:ind w:left="339" w:right="0" w:hanging="339"/>
        <w:rPr/>
      </w:pPr>
      <w:r>
        <w:rPr>
          <w:rStyle w:val="Caractresdenotedefin"/>
        </w:rPr>
        <w:endnoteRef/>
      </w:r>
      <w:r>
        <w:rPr/>
        <w:tab/>
      </w:r>
      <w:r>
        <w:rPr/>
        <w:t>Συστάσεις 33 και 48 1. Συζητήθηκε επίσης από την Ομάδα Εργασίας για τον Ψηφιακό Μετασχηματισμό. Βλέπε σύσταση 47 της ECP 1 σχετικά με την υγιή χρήση του Διαδικτύου.</w:t>
      </w:r>
    </w:p>
  </w:endnote>
  <w:endnote w:id="180">
    <w:p>
      <w:pPr>
        <w:pStyle w:val="Notedefin"/>
        <w:suppressLineNumbers/>
        <w:spacing w:before="57" w:after="57"/>
        <w:ind w:left="339" w:right="0" w:hanging="339"/>
        <w:rPr/>
      </w:pPr>
      <w:r>
        <w:rPr>
          <w:rStyle w:val="Caractresdenotedefin"/>
        </w:rPr>
        <w:endnoteRef/>
      </w:r>
      <w:r>
        <w:rPr/>
        <w:tab/>
      </w:r>
      <w:r>
        <w:rPr/>
        <w:t>Σύσταση 5 του ΕΣΠ 1.</w:t>
      </w:r>
    </w:p>
  </w:endnote>
  <w:endnote w:id="181">
    <w:p>
      <w:pPr>
        <w:pStyle w:val="Notedefin"/>
        <w:suppressLineNumbers/>
        <w:spacing w:before="57" w:after="57"/>
        <w:ind w:left="339" w:right="0" w:hanging="339"/>
        <w:rPr/>
      </w:pPr>
      <w:r>
        <w:rPr>
          <w:rStyle w:val="Caractresdenotedefin"/>
        </w:rPr>
        <w:endnoteRef/>
      </w:r>
      <w:r>
        <w:rPr/>
        <w:tab/>
      </w:r>
      <w:r>
        <w:rPr/>
        <w:t>Συστάσεις αριθ. 15 και 18 του ΕΠΠ 1.</w:t>
      </w:r>
    </w:p>
  </w:endnote>
  <w:endnote w:id="182">
    <w:p>
      <w:pPr>
        <w:pStyle w:val="Notedefin"/>
        <w:suppressLineNumbers/>
        <w:spacing w:before="57" w:after="57"/>
        <w:ind w:left="339" w:right="0" w:hanging="339"/>
        <w:rPr/>
      </w:pPr>
      <w:r>
        <w:rPr>
          <w:rStyle w:val="Caractresdenotedefin"/>
        </w:rPr>
        <w:endnoteRef/>
      </w:r>
      <w:r>
        <w:rPr/>
        <w:tab/>
        <w:t xml:space="preserve"> </w:t>
      </w:r>
      <w:r>
        <w:rPr/>
        <w:t>Σύσταση του Ιταλικού ΕΣΕ με θέμα «Η Ευρώπη στον κόσμο»</w:t>
      </w:r>
    </w:p>
  </w:endnote>
  <w:endnote w:id="183">
    <w:p>
      <w:pPr>
        <w:pStyle w:val="Notedefin"/>
        <w:suppressLineNumbers/>
        <w:spacing w:before="57" w:after="57"/>
        <w:ind w:left="339" w:right="0" w:hanging="339"/>
        <w:rPr/>
      </w:pPr>
      <w:r>
        <w:rPr>
          <w:rStyle w:val="Caractresdenotedefin"/>
        </w:rPr>
        <w:endnoteRef/>
      </w:r>
      <w:r>
        <w:rPr/>
        <w:tab/>
      </w:r>
      <w:r>
        <w:rPr/>
        <w:t>Συστάσεις αριθ.</w:t>
      </w:r>
      <w:r>
        <w:rPr>
          <w:vertAlign w:val="superscript"/>
        </w:rPr>
        <w:t>18</w:t>
      </w:r>
      <w:r>
        <w:rPr/>
        <w:t xml:space="preserve"> και 41 του ECP 1 και σύσταση του ιταλικού ΕΣΕ με τίτλο «Επενδύοντας στην κατάρτιση των εκπαιδευτών».</w:t>
      </w:r>
    </w:p>
  </w:endnote>
  <w:endnote w:id="184">
    <w:p>
      <w:pPr>
        <w:pStyle w:val="Notedefin"/>
        <w:suppressLineNumbers/>
        <w:spacing w:before="57" w:after="57"/>
        <w:ind w:left="339" w:right="0" w:hanging="339"/>
        <w:rPr/>
      </w:pPr>
      <w:r>
        <w:rPr>
          <w:rStyle w:val="Caractresdenotedefin"/>
        </w:rPr>
        <w:endnoteRef/>
      </w:r>
      <w:r>
        <w:rPr/>
        <w:tab/>
      </w:r>
      <w:r>
        <w:rPr/>
        <w:t>Η σύσταση αριθ. 17 του PCE 1 απευθύνεται πλήρως στην ομάδα εργασίας για την ψηφιακή τεχνολογία.</w:t>
      </w:r>
    </w:p>
  </w:endnote>
  <w:endnote w:id="185">
    <w:p>
      <w:pPr>
        <w:pStyle w:val="Notedefin"/>
        <w:suppressLineNumbers/>
        <w:spacing w:before="57" w:after="57"/>
        <w:ind w:left="339" w:right="0" w:hanging="339"/>
        <w:rPr/>
      </w:pPr>
      <w:r>
        <w:rPr>
          <w:rStyle w:val="Caractresdenotedefin"/>
        </w:rPr>
        <w:endnoteRef/>
      </w:r>
      <w:r>
        <w:rPr/>
        <w:tab/>
        <w:t xml:space="preserve"> </w:t>
      </w:r>
      <w:r>
        <w:rPr/>
        <w:t>Σύσταση της Ευρωπαϊκής Επιτροπής αριθ. 15 1. Σύσταση του γερμανικού ΕΣΕ σχετικά με μια «πλατφόρμα πληροφόρησης για την ανταλλαγή γνώσεων και εμπειριών σε επίπεδο ΕΕ».</w:t>
      </w:r>
    </w:p>
  </w:endnote>
  <w:endnote w:id="186">
    <w:p>
      <w:pPr>
        <w:pStyle w:val="Notedefin"/>
        <w:suppressLineNumbers/>
        <w:spacing w:before="57" w:after="57"/>
        <w:ind w:left="339" w:right="0" w:hanging="339"/>
        <w:rPr/>
      </w:pPr>
      <w:r>
        <w:rPr>
          <w:rStyle w:val="Caractresdenotedefin"/>
        </w:rPr>
        <w:endnoteRef/>
      </w:r>
      <w:r>
        <w:rPr/>
        <w:tab/>
      </w:r>
      <w:r>
        <w:rPr/>
        <w:t>Σύσταση 6.1 του βελγικού ΕΣΕ. Γαλλικά PCN, αλλαγή 7.</w:t>
      </w:r>
    </w:p>
  </w:endnote>
  <w:endnote w:id="187">
    <w:p>
      <w:pPr>
        <w:pStyle w:val="Notedefin"/>
        <w:suppressLineNumbers/>
        <w:spacing w:before="57" w:after="57"/>
        <w:ind w:left="339" w:right="0" w:hanging="339"/>
        <w:rPr/>
      </w:pPr>
      <w:r>
        <w:rPr>
          <w:rStyle w:val="Caractresdenotedefin"/>
        </w:rPr>
        <w:endnoteRef/>
      </w:r>
      <w:r>
        <w:rPr/>
        <w:tab/>
        <w:t xml:space="preserve"> </w:t>
      </w:r>
      <w:r>
        <w:rPr/>
        <w:t>Σύσταση 7.2 του βελγικού ΕΣΕ.</w:t>
      </w:r>
    </w:p>
  </w:endnote>
  <w:endnote w:id="188">
    <w:p>
      <w:pPr>
        <w:pStyle w:val="Notedefin"/>
        <w:suppressLineNumbers/>
        <w:spacing w:before="57" w:after="57"/>
        <w:ind w:left="339" w:right="0" w:hanging="339"/>
        <w:rPr/>
      </w:pPr>
      <w:r>
        <w:rPr>
          <w:rStyle w:val="Caractresdenotedefin"/>
        </w:rPr>
        <w:endnoteRef/>
      </w:r>
      <w:r>
        <w:rPr/>
        <w:tab/>
      </w:r>
      <w:r>
        <w:rPr/>
        <w:t>Σύσταση 4 του ΕΣΠ 1.</w:t>
      </w:r>
    </w:p>
  </w:endnote>
  <w:endnote w:id="189">
    <w:p>
      <w:pPr>
        <w:pStyle w:val="Notedefin"/>
        <w:suppressLineNumbers/>
        <w:spacing w:before="57" w:after="57"/>
        <w:ind w:left="339" w:right="0" w:hanging="339"/>
        <w:rPr/>
      </w:pPr>
      <w:r>
        <w:rPr>
          <w:rStyle w:val="Caractresdenotedefin"/>
        </w:rPr>
        <w:endnoteRef/>
      </w:r>
      <w:r>
        <w:rPr/>
        <w:tab/>
      </w:r>
      <w:r>
        <w:rPr/>
        <w:t>Πρόταση για τη συμπλήρωση των</w:t>
      </w:r>
      <w:r>
        <w:rPr>
          <w:vertAlign w:val="superscript"/>
        </w:rPr>
        <w:t>συστάσεων</w:t>
      </w:r>
      <w:r>
        <w:rPr/>
        <w:t xml:space="preserve"> αριθ. 1 και 30 του ECP 1 που καλύπτονται από την Ομάδα «Ενίσχυση της οικονομίας, της κοινωνικής δικαιοσύνης και της απασχόλησης».</w:t>
      </w:r>
    </w:p>
  </w:endnote>
  <w:endnote w:id="190">
    <w:p>
      <w:pPr>
        <w:pStyle w:val="Notedefin"/>
        <w:suppressLineNumbers/>
        <w:spacing w:before="57" w:after="57"/>
        <w:ind w:left="339" w:right="0" w:hanging="339"/>
        <w:rPr/>
      </w:pPr>
      <w:r>
        <w:rPr>
          <w:rStyle w:val="Caractresdenotedefin"/>
        </w:rPr>
        <w:endnoteRef/>
      </w:r>
      <w:r>
        <w:rPr/>
        <w:tab/>
        <w:t xml:space="preserve"> </w:t>
      </w:r>
      <w:r>
        <w:rPr/>
        <w:t>Πρόταση για τη συμπλήρωση της σύστασης 25 του ECP 1 που καλύπτεται από την Ομάδα «Ενίσχυση της οικονομίας, της κοινωνικής δικαιοσύνης και της απασχόλησης».</w:t>
      </w:r>
    </w:p>
  </w:endnote>
  <w:endnote w:id="191">
    <w:p>
      <w:pPr>
        <w:pStyle w:val="Notedefin"/>
        <w:suppressLineNumbers/>
        <w:spacing w:before="57" w:after="57"/>
        <w:ind w:left="339" w:right="0" w:hanging="339"/>
        <w:rPr/>
      </w:pPr>
      <w:r>
        <w:rPr>
          <w:rStyle w:val="Caractresdenotedefin"/>
        </w:rPr>
        <w:endnoteRef/>
      </w:r>
      <w:r>
        <w:rPr/>
        <w:tab/>
        <w:t xml:space="preserve"> </w:t>
      </w:r>
      <w:r>
        <w:rPr/>
        <w:t>Σύσταση της Ευρωπαϊκής Επιτροπής αριθ. 28 4. Ολλανδικό εθνικό σημείο επαφής («Το όραμά μας για τον πολιτισμό, τη νεολαία και τον αθλητισμό»), σύσταση 1. Γαλλικά PCN, αλλαγή 6.</w:t>
      </w:r>
    </w:p>
  </w:endnote>
  <w:endnote w:id="192">
    <w:p>
      <w:pPr>
        <w:pStyle w:val="Notedefin"/>
        <w:suppressLineNumbers/>
        <w:spacing w:before="57" w:after="57"/>
        <w:ind w:left="339" w:right="0" w:hanging="339"/>
        <w:rPr/>
      </w:pPr>
      <w:r>
        <w:rPr>
          <w:rStyle w:val="Caractresdenotedefin"/>
        </w:rPr>
        <w:endnoteRef/>
      </w:r>
      <w:r>
        <w:rPr/>
        <w:tab/>
        <w:t xml:space="preserve"> </w:t>
      </w:r>
      <w:r>
        <w:rPr/>
        <w:t>Σύσταση 6 του ΕΣΠ 1.</w:t>
      </w:r>
    </w:p>
  </w:endnote>
  <w:endnote w:id="193">
    <w:p>
      <w:pPr>
        <w:pStyle w:val="Notedefin"/>
        <w:suppressLineNumbers/>
        <w:spacing w:before="57" w:after="57"/>
        <w:ind w:left="339" w:right="0" w:hanging="339"/>
        <w:rPr/>
      </w:pPr>
      <w:r>
        <w:rPr>
          <w:rStyle w:val="Caractresdenotedefin"/>
        </w:rPr>
        <w:endnoteRef/>
      </w:r>
      <w:r>
        <w:rPr/>
        <w:tab/>
      </w:r>
      <w:r>
        <w:rPr/>
        <w:t>Ολλανδικό εθνικό σημείο επαφής («Το όραμά μας για τον πολιτισμό, τη νεολαία και τον αθλητισμό»), σύσταση αριθ. 2.</w:t>
      </w:r>
    </w:p>
  </w:endnote>
  <w:endnote w:id="194">
    <w:p>
      <w:pPr>
        <w:pStyle w:val="Notedefin"/>
        <w:suppressLineNumbers/>
        <w:spacing w:before="57" w:after="57"/>
        <w:ind w:left="339" w:right="0" w:hanging="339"/>
        <w:rPr/>
      </w:pPr>
      <w:r>
        <w:rPr>
          <w:rStyle w:val="Caractresdenotedefin"/>
        </w:rPr>
        <w:endnoteRef/>
      </w:r>
      <w:r>
        <w:rPr/>
        <w:tab/>
      </w:r>
      <w:r>
        <w:rPr/>
        <w:t>Σύσταση της Ευρωπαϊκής Επιτροπής 36 1. Γαλλικά PCN, αλλαγή 6. Συστάσεις αριθ. 2.10 και 2.11 του βελγικού ΕΣΕ. Γερμανικό ΕΣΕ, «Δημιουργώντας περισσότερες ευκαιρίες ανταλλαγής για φοιτητές στην Ευρώπη». Ολλανδικό εθνικό σημείο επαφής («Το όραμά μας για τον πολιτισμό, τη νεολαία και τον αθλητισμό»), συστάσεις</w:t>
      </w:r>
      <w:r>
        <w:rPr>
          <w:vertAlign w:val="superscript"/>
        </w:rPr>
        <w:t>1</w:t>
      </w:r>
      <w:r>
        <w:rPr/>
        <w:t xml:space="preserve"> και 3. Ιταλικό ΕΣΕ, σύσταση για «να δημιουργηθεί ένα γραφείο συμβολής μεταξύ Ανατολής και Δύσης, προώθηση πολιτιστικών ανταλλαγών και κοινών πολιτιστικών πρωτοβουλιών».</w:t>
      </w:r>
    </w:p>
  </w:endnote>
  <w:endnote w:id="195">
    <w:p>
      <w:pPr>
        <w:pStyle w:val="Notedefin"/>
        <w:suppressLineNumbers/>
        <w:spacing w:before="57" w:after="57"/>
        <w:ind w:left="339" w:right="0" w:hanging="339"/>
        <w:rPr/>
      </w:pPr>
      <w:r>
        <w:rPr>
          <w:rStyle w:val="Caractresdenotedefin"/>
        </w:rPr>
        <w:endnoteRef/>
      </w:r>
      <w:r>
        <w:rPr/>
        <w:tab/>
        <w:t xml:space="preserve"> </w:t>
      </w:r>
      <w:r>
        <w:rPr>
          <w:vertAlign w:val="superscript"/>
        </w:rPr>
        <w:t>Συστάσεις</w:t>
      </w:r>
      <w:r>
        <w:rPr/>
        <w:t xml:space="preserve"> 32 και 38 1. Ολλανδικό εθνικό σημείο επαφής («Το όραμά μας για τον πολιτισμό, τη νεολαία και τον αθλητισμό»), σύσταση 3.</w:t>
      </w:r>
    </w:p>
  </w:endnote>
  <w:endnote w:id="196">
    <w:p>
      <w:pPr>
        <w:pStyle w:val="Notedefin"/>
        <w:suppressLineNumbers/>
        <w:spacing w:before="57" w:after="57"/>
        <w:ind w:left="339" w:right="0" w:hanging="339"/>
        <w:rPr/>
      </w:pPr>
      <w:r>
        <w:rPr>
          <w:rStyle w:val="Caractresdenotedefin"/>
        </w:rPr>
        <w:endnoteRef/>
      </w:r>
      <w:r>
        <w:rPr/>
        <w:tab/>
      </w:r>
      <w:r>
        <w:rPr/>
        <w:t>Σύσταση του Ιταλικού ΕΣΕ με θέμα «Η Ευρώπη στον κόσμο»</w:t>
      </w:r>
    </w:p>
  </w:endnote>
  <w:endnote w:id="197">
    <w:p>
      <w:pPr>
        <w:pStyle w:val="Notedefin"/>
        <w:suppressLineNumbers/>
        <w:spacing w:before="57" w:after="57"/>
        <w:ind w:left="339" w:right="0" w:hanging="339"/>
        <w:rPr/>
      </w:pPr>
      <w:r>
        <w:rPr>
          <w:rStyle w:val="Caractresdenotedefin"/>
        </w:rPr>
        <w:endnoteRef/>
      </w:r>
      <w:r>
        <w:rPr/>
        <w:tab/>
      </w:r>
      <w:r>
        <w:rPr/>
        <w:t>Γαλλικά PCN, αλλαγή 7. Συστάσεις</w:t>
      </w:r>
      <w:r>
        <w:rPr>
          <w:vertAlign w:val="superscript"/>
        </w:rPr>
        <w:t>2.5</w:t>
      </w:r>
      <w:r>
        <w:rPr/>
        <w:t>, 6.1 και 8.7 του βελγικού ΕΣΕ. Ιταλικό εθνικό σημείο επαφής, σύσταση σχετικά με την «Ενίσχυση των ευρωπαϊκών πολιτιστικών αξιών και χαρακτηριστικών, καθώς και των περιφερειακών ιδιαιτεροτήτων».</w:t>
      </w:r>
    </w:p>
  </w:endnote>
  <w:endnote w:id="198">
    <w:p>
      <w:pPr>
        <w:pStyle w:val="Notedefin"/>
        <w:suppressLineNumbers/>
        <w:spacing w:before="57" w:after="57"/>
        <w:ind w:left="339" w:right="0" w:hanging="339"/>
        <w:rPr/>
      </w:pPr>
      <w:r>
        <w:rPr>
          <w:rStyle w:val="Caractresdenotedefin"/>
        </w:rPr>
        <w:endnoteRef/>
      </w:r>
      <w:r>
        <w:rPr/>
        <w:tab/>
      </w:r>
      <w:r>
        <w:rPr/>
        <w:t>Ολλανδικό εθνικό σημείο επαφής («Το όραμά μας για τον πολιτισμό, τη νεολαία και τον αθλητισμό»), σύσταση αριθ. 2.</w:t>
      </w:r>
    </w:p>
  </w:endnote>
  <w:endnote w:id="199">
    <w:p>
      <w:pPr>
        <w:pStyle w:val="Notedefin"/>
        <w:suppressLineNumbers/>
        <w:spacing w:before="57" w:after="57"/>
        <w:ind w:left="339" w:right="0" w:hanging="339"/>
        <w:rPr/>
      </w:pPr>
      <w:r>
        <w:rPr>
          <w:rStyle w:val="Caractresdenotedefin"/>
        </w:rPr>
        <w:endnoteRef/>
      </w:r>
      <w:r>
        <w:rPr/>
        <w:tab/>
        <w:t xml:space="preserve"> </w:t>
      </w:r>
      <w:r>
        <w:rPr/>
        <w:t>Σύσταση του Ιταλικού ΕΣΕ για «Υπερβαίνοντας το μοντέλο παραγωγής του περασμένου αιώνα»</w:t>
      </w:r>
    </w:p>
  </w:endnote>
  <w:endnote w:id="200">
    <w:p>
      <w:pPr>
        <w:pStyle w:val="Notedefin"/>
        <w:suppressLineNumbers/>
        <w:spacing w:before="57" w:after="57"/>
        <w:ind w:left="339" w:right="0" w:hanging="339"/>
        <w:rPr/>
      </w:pPr>
      <w:r>
        <w:rPr>
          <w:rStyle w:val="Caractresdenotedefin"/>
        </w:rPr>
        <w:endnoteRef/>
      </w:r>
      <w:r>
        <w:rPr/>
        <w:tab/>
      </w:r>
      <w:r>
        <w:rPr/>
        <w:t>Σύσταση της Ευρωπαϊκής Επιτροπής αριθ. 29 1.</w:t>
      </w:r>
    </w:p>
  </w:endnote>
  <w:endnote w:id="201">
    <w:p>
      <w:pPr>
        <w:pStyle w:val="Notedefin"/>
        <w:suppressLineNumbers/>
        <w:spacing w:before="57" w:after="57"/>
        <w:ind w:left="339" w:right="0" w:hanging="339"/>
        <w:rPr/>
      </w:pPr>
      <w:r>
        <w:rPr>
          <w:rStyle w:val="Caractresdenotedefin"/>
        </w:rPr>
        <w:endnoteRef/>
      </w:r>
      <w:r>
        <w:rPr/>
        <w:tab/>
      </w:r>
      <w:r>
        <w:rPr/>
        <w:t>Σύσταση της Ευρωπαϊκής Επιτροπής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316</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3</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πρότυπο:Κατηγορία</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πρότυπο:Κατηγορία</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r>
      <w:r>
        <w:rPr/>
        <w:t xml:space="preserve">III ΟΟΣΑ, Innovative Citizen Participation and New Democratic Institutions, 2020 -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 </w:t>
      </w:r>
      <w:r>
        <w:rPr/>
        <w:t xml:space="preserve">ΟΟΣΑ, Καινοτόμος Συμμετοχή των Πολιτών και Νέοι Δημοκρατικοί Θεσμοί, 2020 -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r>
      <w:r>
        <w:rPr/>
        <w:t>Επισκεφθείτε την πολύγλωσση ψηφιακή πλατφόρμα για να έχετε πρόσβαση σε όλες τις πληροφορίες σχετικά με αυτές τις εκδηλώσεις.</w:t>
      </w:r>
    </w:p>
  </w:footnote>
  <w:footnote w:id="7">
    <w:p>
      <w:pPr>
        <w:pStyle w:val="Notedebasdepage"/>
        <w:suppressLineNumbers/>
        <w:spacing w:before="57" w:after="57"/>
        <w:ind w:left="339" w:right="0" w:hanging="339"/>
        <w:rPr/>
      </w:pPr>
      <w:r>
        <w:rPr>
          <w:rStyle w:val="Caractresdenotedebasdepage"/>
        </w:rPr>
        <w:footnoteRef/>
      </w:r>
      <w:r>
        <w:rPr/>
        <w:tab/>
      </w:r>
      <w:r>
        <w:rPr/>
        <w:t>Πρέπει να επιτευχθεί συναίνεση μεταξύ, τουλάχιστον, εκπροσώπων του Ευρωπαϊκού Κοινοβουλίου, του Συμβουλίου, της Ευρωπαϊκής Επιτροπής και των εκπροσώπων των εθνικών κοινοβουλίων, επί ίσοις όροις. Εάν η θέση των εκπροσώπων των πολιτών των εθνικών εκδηλώσεων και/ή των ευρωπαϊκών ή εθνικών ομάδων πολιτών ήταν προδήλως αποκλίνουσα, η θέση αυτή θα πρέπει να συμπεριληφθεί στην παρούσα έκθεση.</w:t>
      </w:r>
    </w:p>
  </w:footnote>
  <w:footnote w:id="8">
    <w:p>
      <w:pPr>
        <w:pStyle w:val="Notedebasdepage"/>
        <w:suppressLineNumbers/>
        <w:spacing w:before="57" w:after="57"/>
        <w:ind w:left="339" w:right="0" w:hanging="339"/>
        <w:rPr/>
      </w:pPr>
      <w:r>
        <w:rPr>
          <w:rStyle w:val="Caractresdenotedebasdepage"/>
        </w:rPr>
        <w:footnoteRef/>
      </w:r>
      <w:r>
        <w:rPr/>
        <w:tab/>
      </w:r>
      <w:r>
        <w:rPr/>
        <w:t>Άλλα μέλη της Ευρωπαϊκής Επιτροπής προσκλήθηκαν στην ολομέλεια, ιδίως όταν συζητήθηκαν θέματα εντός των χαρτοφυλακίων τους.</w:t>
      </w:r>
    </w:p>
  </w:footnote>
  <w:footnote w:id="9">
    <w:p>
      <w:pPr>
        <w:pStyle w:val="Notedebasdepage"/>
        <w:suppressLineNumbers/>
        <w:spacing w:before="57" w:after="57"/>
        <w:ind w:left="339" w:right="0" w:hanging="339"/>
        <w:rPr/>
      </w:pPr>
      <w:r>
        <w:rPr>
          <w:rStyle w:val="Caractresdenotedebasdepage"/>
        </w:rPr>
        <w:footnoteRef/>
      </w:r>
      <w:r>
        <w:rPr/>
        <w:tab/>
      </w:r>
      <w:r>
        <w:rPr/>
        <w:t>Μία ανά κράτος μέλος.</w:t>
      </w:r>
    </w:p>
  </w:footnote>
  <w:footnote w:id="10">
    <w:p>
      <w:pPr>
        <w:pStyle w:val="Notedebasdepage"/>
        <w:suppressLineNumbers/>
        <w:spacing w:before="57" w:after="57"/>
        <w:ind w:left="339" w:right="0" w:hanging="339"/>
        <w:rPr/>
      </w:pPr>
      <w:r>
        <w:rPr>
          <w:rStyle w:val="Caractresdenotedebasdepage"/>
        </w:rPr>
        <w:footnoteRef/>
      </w:r>
      <w:r>
        <w:rPr/>
        <w:tab/>
      </w:r>
      <w:r>
        <w:rPr/>
        <w:t>Μια πρώτη εκδήλωση αφιερωμένη στους ευρωπαίους πολίτες πραγματοποιήθηκε στις 17 Ιουνίου 2021 στη Λισαβόνα σε υβριδική μορφή, πριν από την εναρκτήρια σύνοδο ολομέλειας της 19ης Ιουνίου, προκειμένου να ξεκινήσει η συμμετοχή των πολιτών στη διάσκεψη.</w:t>
      </w:r>
    </w:p>
  </w:footnote>
  <w:footnote w:id="11">
    <w:p>
      <w:pPr>
        <w:pStyle w:val="Notedebasdepage"/>
        <w:suppressLineNumbers/>
        <w:spacing w:before="57" w:after="57"/>
        <w:ind w:left="339" w:right="0" w:hanging="339"/>
        <w:rPr/>
      </w:pPr>
      <w:r>
        <w:rPr>
          <w:rStyle w:val="Caractresdenotedebasdepage"/>
        </w:rPr>
        <w:footnoteRef/>
      </w:r>
      <w:r>
        <w:rPr/>
        <w:tab/>
        <w:t xml:space="preserve"> </w:t>
      </w:r>
      <w:r>
        <w:rPr/>
        <w:t>Οι εκπρόσωποι της Ευρωπαϊκής Επιτροπής εξήγησαν ότι θα ήταν απαραίτητο να περάσει μια μεταβατική περίοδος προκειμένου να αποφευχθούν υπερβολικά απότομες εξελίξεις.</w:t>
      </w:r>
    </w:p>
  </w:footnote>
  <w:footnote w:id="12">
    <w:p>
      <w:pPr>
        <w:pStyle w:val="Notedebasdepage"/>
        <w:suppressLineNumbers/>
        <w:spacing w:before="57" w:after="57"/>
        <w:ind w:left="339" w:right="0" w:hanging="339"/>
        <w:rPr/>
      </w:pPr>
      <w:r>
        <w:rPr>
          <w:rStyle w:val="Caractresdenotedebasdepage"/>
        </w:rPr>
        <w:footnoteRef/>
      </w:r>
      <w:r>
        <w:rPr/>
        <w:tab/>
      </w:r>
      <w:r>
        <w:rPr/>
        <w:t xml:space="preserve">Η θέση του Κοινοβουλίου: ο κορυφαίος κατάλογος του ευρωπαϊκού πολιτικού κόμματος με τον μεγαλύτερο αριθμό ψήφων στις ευρωπαϊκές εκλογές και την υποστήριξη της πλειοψηφίας των ευρωβουλευτών θα πρέπει να εκλεγεί Πρόεδρος της Ευρωπαϊκής Επιτροπής. Σε περίπτωση που δεν προκύψει πλειοψηφία με βάση τον συνασπισμό, η θέση θα πρέπει να επανέλθει στην επόμενη κορυφή της λίστας. Για τον σκοπό αυτό, τα ευρωπαϊκά πολιτικά κόμματα θα μπορούσαν να ορίσουν υποψηφίους για την προεδρία της Επιτροπής. Ο Πάουλο Ρέιντζελ: προκειμένου να ενισχυθεί η διαδικασία των κορυφαίων υποψηφίων, οι ρόλοι του Ευρωπαϊκού Κοινοβουλίου και του Ευρωπαϊκού Συμβουλίου θα πρέπει να αντιστραφούν, πράγμα που συνεπάγεται την τροποποίηση των Συνθηκών: ο Πρόεδρος της Επιτροπής θα προταθεί από το Κοινοβούλιο και θα εγκριθεί από το Ευρωπαϊκό Συμβούλιο. PNM (τελική έκθεση Kantar: «μια ομάδα συνεισφορών καλύπτει την εκλογή του Προέδρου της Επιτροπής και τον διορισμό Επιτρόπων, συμπεριλαμβανομένου του συστήματος των κορυφαίων υποψηφίων.») EYE, σ. 23: Οι υποψήφιοι για τη θέση του Προέδρου της Επιτροπής δεν θα πρέπει να εκλέγονται σε παρασκηνιακές διαπραγματεύσεις μεταξύ των νικητών κομμάτων. Θα πρέπει να εφαρμόσουμε το σύστημα των κορυφαίων υποψηφίων, όπου κάθε κόμμα ανακοινώνει πριν από την προεκλογική εκστρατεία τον υποψήφιο που θα είναι πρόεδρος της Επιτροπής εάν αυτό το κόμμα κερδίσει την πλειοψηφία. Με την ενεργό συμμετοχή στην εκστρατεία και την άμεση αλληλεπίδραση με τους ευρωπαίους πολίτες, ο μελλοντικός πρόεδρος θα μπορούσε να είναι πιο κοντά σε αυτούς.» συζήτηση στο GT. </w:t>
      </w:r>
    </w:p>
  </w:footnote>
  <w:footnote w:id="13">
    <w:p>
      <w:pPr>
        <w:pStyle w:val="Notedebasdepage"/>
        <w:suppressLineNumbers/>
        <w:spacing w:before="57" w:after="57"/>
        <w:ind w:left="339" w:right="0" w:hanging="339"/>
        <w:rPr/>
      </w:pPr>
      <w:r>
        <w:rPr>
          <w:rStyle w:val="Caractresdenotedebasdepage"/>
        </w:rPr>
        <w:footnoteRef/>
      </w:r>
      <w:r>
        <w:rPr/>
        <w:tab/>
      </w:r>
      <w:r>
        <w:rPr/>
        <w:t>Το Συμβούλιο θεωρεί ότι η παρούσα πρόταση δεν βασίζεται σε σύσταση των πολιτών. Ως εκ τούτου, δεν συνάδει με τη συμφωνηθείσα μεθοδολογία. Βλ. επίσης τη θέση της συνιστώσας του πολίτη που εκφράζεται στη σελίδα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πρότυπο:Κατηγορία</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tab/>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 </w:t>
      </w:r>
      <w:r>
        <w:rPr/>
        <w:t xml:space="preserve">Δείγμα πολιτών που εκπροσωπούν το Βίλνιους, το Κάουνας, το Klaipėda, το Šiauliai και το Panevėžys και τις περιφέρειες (apskritis) Βίλνιους, Kaunas, Klaipėda, Šiauliai, Panevėžys, Alytus, Marijampolė, Tauragė, Telšiai και Utena, βάσει στοιχείων από τη λιθουανική στατιστική υπηρεσία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Διάσκεψη για το Μέλλον της Ευρώπης | ΕΚΘΕΣΗ ΓΙΑ ΤΑ ΤΕΛΙΚΑ Αποτελεσματα</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el"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el"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el"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el"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el"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el"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el"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el"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el"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el"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el"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el"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el"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el"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el"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el"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our-guides" TargetMode="External"/><Relationship Id="rId24" Type="http://schemas.openxmlformats.org/officeDocument/2006/relationships/hyperlink" Target="https://futureu.europa.eu/pages/information-material" TargetMode="External"/><Relationship Id="rId25" Type="http://schemas.openxmlformats.org/officeDocument/2006/relationships/hyperlink" Target="https://futureu.europa.eu/assemblies/citizens-panels" TargetMode="External"/><Relationship Id="rId26" Type="http://schemas.openxmlformats.org/officeDocument/2006/relationships/hyperlink" Target="https://futureu.europa.eu/pages/ms-section" TargetMode="External"/><Relationship Id="rId27" Type="http://schemas.openxmlformats.org/officeDocument/2006/relationships/hyperlink" Target="https://futureu.europa.eu/pages/executive-board" TargetMode="External"/><Relationship Id="rId28"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9"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30"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1" Type="http://schemas.openxmlformats.org/officeDocument/2006/relationships/image" Target="media/image6.png"/><Relationship Id="rId32" Type="http://schemas.openxmlformats.org/officeDocument/2006/relationships/hyperlink" Target="https://futureu.europa.eu/?locale=fr" TargetMode="External"/><Relationship Id="rId33" Type="http://schemas.openxmlformats.org/officeDocument/2006/relationships/hyperlink" Target="https://futureu.europa.eu/?locale=fr" TargetMode="External"/><Relationship Id="rId34" Type="http://schemas.openxmlformats.org/officeDocument/2006/relationships/hyperlink" Target="https://futureu.europa.eu/pages/charter" TargetMode="External"/><Relationship Id="rId35" Type="http://schemas.openxmlformats.org/officeDocument/2006/relationships/hyperlink" Target="https://futureu.europa.eu/pages/rules-of-participation" TargetMode="External"/><Relationship Id="rId36" Type="http://schemas.openxmlformats.org/officeDocument/2006/relationships/hyperlink" Target="https://futureu.europa.eu/pages/faq" TargetMode="External"/><Relationship Id="rId37" Type="http://schemas.openxmlformats.org/officeDocument/2006/relationships/image" Target="media/image7.png"/><Relationship Id="rId38" Type="http://schemas.openxmlformats.org/officeDocument/2006/relationships/image" Target="media/image8.png"/><Relationship Id="rId39" Type="http://schemas.openxmlformats.org/officeDocument/2006/relationships/image" Target="media/image9.png"/><Relationship Id="rId40" Type="http://schemas.openxmlformats.org/officeDocument/2006/relationships/image" Target="media/image10.png"/><Relationship Id="rId41" Type="http://schemas.openxmlformats.org/officeDocument/2006/relationships/image" Target="media/image11.png"/><Relationship Id="rId42" Type="http://schemas.openxmlformats.org/officeDocument/2006/relationships/image" Target="media/image12.png"/><Relationship Id="rId43" Type="http://schemas.openxmlformats.org/officeDocument/2006/relationships/image" Target="media/image13.png"/><Relationship Id="rId44" Type="http://schemas.openxmlformats.org/officeDocument/2006/relationships/image" Target="media/image14.png"/><Relationship Id="rId45" Type="http://schemas.openxmlformats.org/officeDocument/2006/relationships/image" Target="media/image15.png"/><Relationship Id="rId46" Type="http://schemas.openxmlformats.org/officeDocument/2006/relationships/image" Target="media/image16.png"/><Relationship Id="rId47" Type="http://schemas.openxmlformats.org/officeDocument/2006/relationships/image" Target="media/image17.png"/><Relationship Id="rId48" Type="http://schemas.openxmlformats.org/officeDocument/2006/relationships/hyperlink" Target="https://futureu.europa.eu/pages/ms-section" TargetMode="External"/><Relationship Id="rId49" Type="http://schemas.openxmlformats.org/officeDocument/2006/relationships/hyperlink" Target="https://futureu.europa.eu/pages/reporting" TargetMode="External"/><Relationship Id="rId50" Type="http://schemas.openxmlformats.org/officeDocument/2006/relationships/image" Target="media/image18.png"/><Relationship Id="rId51" Type="http://schemas.openxmlformats.org/officeDocument/2006/relationships/image" Target="media/image19.png"/><Relationship Id="rId52" Type="http://schemas.openxmlformats.org/officeDocument/2006/relationships/hyperlink" Target="http://www.eye2021.eu/" TargetMode="External"/><Relationship Id="rId53" Type="http://schemas.openxmlformats.org/officeDocument/2006/relationships/image" Target="media/image20.png"/><Relationship Id="rId54" Type="http://schemas.openxmlformats.org/officeDocument/2006/relationships/hyperlink" Target="https://european-youth-event.europarl.europa.eu/wp-content/uploads/2021/10/2021_EYE_Report-Booklet_A5_20-10-Accessible.pdf" TargetMode="External"/><Relationship Id="rId55" Type="http://schemas.openxmlformats.org/officeDocument/2006/relationships/hyperlink" Target="https://search.youthideas.eu/" TargetMode="External"/><Relationship Id="rId56" Type="http://schemas.openxmlformats.org/officeDocument/2006/relationships/hyperlink" Target="https://www.eesc.europa.eu/en/agenda/our-events/events/kickoff-event-conference-future-europe" TargetMode="External"/><Relationship Id="rId57" Type="http://schemas.openxmlformats.org/officeDocument/2006/relationships/hyperlink" Target="https://www.eesc.europa.eu/en/agenda/our-events/events/connecting-eu-2021" TargetMode="External"/><Relationship Id="rId58" Type="http://schemas.openxmlformats.org/officeDocument/2006/relationships/hyperlink" Target="https://www.eesc.europa.eu/en/agenda/our-events/events/shaping-europe-together" TargetMode="External"/><Relationship Id="rId59" Type="http://schemas.openxmlformats.org/officeDocument/2006/relationships/hyperlink" Target="https://cor.europa.eu/en/our-work/Pages/EURegionalBarometer-Survey-2021.aspx" TargetMode="External"/><Relationship Id="rId60" Type="http://schemas.openxmlformats.org/officeDocument/2006/relationships/hyperlink" Target="https://futureu.europa.eu/profiles/EU_COMMITTEE_REGIONS/activity" TargetMode="External"/><Relationship Id="rId61" Type="http://schemas.openxmlformats.org/officeDocument/2006/relationships/hyperlink" Target="https://cor.europa.eu/en/news/Pages/Report-of-the-High-Level-Group-on-European-Democracy.aspx" TargetMode="External"/><Relationship Id="rId62" Type="http://schemas.openxmlformats.org/officeDocument/2006/relationships/hyperlink" Target="https://cor.europa.eu/en/engage/brochures/Documents/The Marseille Manifesto of local and regional leaders - Europe starts in its regions, cities and villages/4560 CoR Summit 2022 Manifesto EN.pdf" TargetMode="External"/><Relationship Id="rId63" Type="http://schemas.openxmlformats.org/officeDocument/2006/relationships/hyperlink" Target="https://cor.europa.eu/en/summits/2022" TargetMode="External"/><Relationship Id="rId64" Type="http://schemas.openxmlformats.org/officeDocument/2006/relationships/hyperlink" Target="https://cor.europa.eu/en/engage/brochures/Documents/Citizens, local politicians and the future of Europe/4666-final report lowres FIN.pdf" TargetMode="External"/><Relationship Id="rId65"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6"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7"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8"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9" Type="http://schemas.openxmlformats.org/officeDocument/2006/relationships/hyperlink" Target="https://urldefense.com/v3/__https:/europeanmovement.eu/__;!!DOxrgLBm!USrgw0ykk4Rr_7OEucFYoNO-h98D1sH5xfD-7Qmm48-t_TKrps6LcRBXC7_VkAjjVVGY7-cLezPKmw$" TargetMode="External"/><Relationship Id="rId70"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71"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2"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3" Type="http://schemas.openxmlformats.org/officeDocument/2006/relationships/hyperlink" Target="https://urldefense.com/v3/__https:/europeanmovement.eu/conference-on-the-future-of-europe/__;!!DOxrgLBm!USrgw0ykk4Rr_7OEucFYoNO-h98D1sH5xfD-7Qmm48-t_TKrps6LcRBXC7_VkAjjVVGY7-coTvKNzA$" TargetMode="External"/><Relationship Id="rId74" Type="http://schemas.openxmlformats.org/officeDocument/2006/relationships/image" Target="media/image21.png"/><Relationship Id="rId75" Type="http://schemas.openxmlformats.org/officeDocument/2006/relationships/image" Target="media/image22.png"/><Relationship Id="rId76" Type="http://schemas.openxmlformats.org/officeDocument/2006/relationships/image" Target="media/image23.png"/><Relationship Id="rId77" Type="http://schemas.openxmlformats.org/officeDocument/2006/relationships/image" Target="media/image24.png"/><Relationship Id="rId78" Type="http://schemas.openxmlformats.org/officeDocument/2006/relationships/image" Target="media/image25.png"/><Relationship Id="rId79" Type="http://schemas.openxmlformats.org/officeDocument/2006/relationships/image" Target="media/image26.png"/><Relationship Id="rId80" Type="http://schemas.openxmlformats.org/officeDocument/2006/relationships/image" Target="media/image27.png"/><Relationship Id="rId81" Type="http://schemas.openxmlformats.org/officeDocument/2006/relationships/image" Target="media/image28.png"/><Relationship Id="rId82" Type="http://schemas.openxmlformats.org/officeDocument/2006/relationships/image" Target="media/image29.png"/><Relationship Id="rId83" Type="http://schemas.openxmlformats.org/officeDocument/2006/relationships/image" Target="media/image30.png"/><Relationship Id="rId84" Type="http://schemas.openxmlformats.org/officeDocument/2006/relationships/image" Target="media/image31.png"/><Relationship Id="rId85" Type="http://schemas.openxmlformats.org/officeDocument/2006/relationships/image" Target="media/image32.png"/><Relationship Id="rId86" Type="http://schemas.openxmlformats.org/officeDocument/2006/relationships/image" Target="media/image33.png"/><Relationship Id="rId87" Type="http://schemas.openxmlformats.org/officeDocument/2006/relationships/hyperlink" Target="https://participation-citoyenne.gouv.fr/sites/default/files/2021-11/20211126 - COFE - Rapport final.pdf" TargetMode="External"/><Relationship Id="rId88" Type="http://schemas.openxmlformats.org/officeDocument/2006/relationships/hyperlink" Target="https://participation-citoyenne.gouv.fr/sites/default/files/2021-11/20211126 - COFE - Rapport final.pdf" TargetMode="External"/><Relationship Id="rId89" Type="http://schemas.openxmlformats.org/officeDocument/2006/relationships/image" Target="media/image34.png"/><Relationship Id="rId90" Type="http://schemas.openxmlformats.org/officeDocument/2006/relationships/image" Target="media/image35.png"/><Relationship Id="rId91" Type="http://schemas.openxmlformats.org/officeDocument/2006/relationships/image" Target="media/image36.png"/><Relationship Id="rId92" Type="http://schemas.openxmlformats.org/officeDocument/2006/relationships/image" Target="media/image37.png"/><Relationship Id="rId93" Type="http://schemas.openxmlformats.org/officeDocument/2006/relationships/image" Target="media/image38.png"/><Relationship Id="rId94" Type="http://schemas.openxmlformats.org/officeDocument/2006/relationships/image" Target="media/image39.png"/><Relationship Id="rId95" Type="http://schemas.openxmlformats.org/officeDocument/2006/relationships/image" Target="media/image40.png"/><Relationship Id="rId96" Type="http://schemas.openxmlformats.org/officeDocument/2006/relationships/image" Target="media/image41.png"/><Relationship Id="rId97" Type="http://schemas.openxmlformats.org/officeDocument/2006/relationships/image" Target="media/image42.png"/><Relationship Id="rId98" Type="http://schemas.openxmlformats.org/officeDocument/2006/relationships/image" Target="media/image43.png"/><Relationship Id="rId99" Type="http://schemas.openxmlformats.org/officeDocument/2006/relationships/image" Target="media/image44.png"/><Relationship Id="rId100" Type="http://schemas.openxmlformats.org/officeDocument/2006/relationships/image" Target="media/image45.wmf"/><Relationship Id="rId101" Type="http://schemas.openxmlformats.org/officeDocument/2006/relationships/image" Target="media/image46.png"/><Relationship Id="rId102" Type="http://schemas.openxmlformats.org/officeDocument/2006/relationships/image" Target="media/image47.png"/><Relationship Id="rId103" Type="http://schemas.openxmlformats.org/officeDocument/2006/relationships/image" Target="media/image48.png"/><Relationship Id="rId104" Type="http://schemas.openxmlformats.org/officeDocument/2006/relationships/image" Target="media/image49.png"/><Relationship Id="rId105" Type="http://schemas.openxmlformats.org/officeDocument/2006/relationships/image" Target="media/image50.png"/><Relationship Id="rId106" Type="http://schemas.openxmlformats.org/officeDocument/2006/relationships/image" Target="media/image51.png"/><Relationship Id="rId107" Type="http://schemas.openxmlformats.org/officeDocument/2006/relationships/image" Target="media/image52.png"/><Relationship Id="rId108" Type="http://schemas.openxmlformats.org/officeDocument/2006/relationships/image" Target="media/image53.png"/><Relationship Id="rId109" Type="http://schemas.openxmlformats.org/officeDocument/2006/relationships/image" Target="media/image54.png"/><Relationship Id="rId110" Type="http://schemas.openxmlformats.org/officeDocument/2006/relationships/image" Target="media/image55.png"/><Relationship Id="rId111" Type="http://schemas.openxmlformats.org/officeDocument/2006/relationships/image" Target="media/image56.png"/><Relationship Id="rId112" Type="http://schemas.openxmlformats.org/officeDocument/2006/relationships/image" Target="media/image57.png"/><Relationship Id="rId113" Type="http://schemas.openxmlformats.org/officeDocument/2006/relationships/image" Target="media/image58.png"/><Relationship Id="rId114" Type="http://schemas.openxmlformats.org/officeDocument/2006/relationships/image" Target="media/image59.png"/><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256" TargetMode="External"/><Relationship Id="rId117" Type="http://schemas.openxmlformats.org/officeDocument/2006/relationships/hyperlink" Target="https://europa.eu/eurobarometer/surveys/detail/2256" TargetMode="External"/><Relationship Id="rId118" Type="http://schemas.openxmlformats.org/officeDocument/2006/relationships/hyperlink" Target="https://europa.eu/eurobarometer/surveys/detail/2532" TargetMode="External"/><Relationship Id="rId119" Type="http://schemas.openxmlformats.org/officeDocument/2006/relationships/image" Target="media/image60.png"/><Relationship Id="rId120" Type="http://schemas.openxmlformats.org/officeDocument/2006/relationships/hyperlink" Target="http://www.kijkopeuropa.nl/" TargetMode="External"/><Relationship Id="rId121" Type="http://schemas.openxmlformats.org/officeDocument/2006/relationships/image" Target="media/image61.png"/><Relationship Id="rId122" Type="http://schemas.openxmlformats.org/officeDocument/2006/relationships/hyperlink" Target="https://futureu.europa.eu/pages/belgium" TargetMode="External"/><Relationship Id="rId123" Type="http://schemas.openxmlformats.org/officeDocument/2006/relationships/hyperlink" Target="https://futureu.europa.eu/pages/bulgaria" TargetMode="External"/><Relationship Id="rId124" Type="http://schemas.openxmlformats.org/officeDocument/2006/relationships/hyperlink" Target="https://futureu.europa.eu/pages/czechia" TargetMode="External"/><Relationship Id="rId125" Type="http://schemas.openxmlformats.org/officeDocument/2006/relationships/hyperlink" Target="https://futureu.europa.eu/pages/denmark" TargetMode="External"/><Relationship Id="rId126" Type="http://schemas.openxmlformats.org/officeDocument/2006/relationships/hyperlink" Target="https://futureu.europa.eu/pages/germany" TargetMode="External"/><Relationship Id="rId127" Type="http://schemas.openxmlformats.org/officeDocument/2006/relationships/hyperlink" Target="https://futureu.europa.eu/pages/germany" TargetMode="External"/><Relationship Id="rId128" Type="http://schemas.openxmlformats.org/officeDocument/2006/relationships/hyperlink" Target="https://futureu.europa.eu/pages/estonia" TargetMode="External"/><Relationship Id="rId129" Type="http://schemas.openxmlformats.org/officeDocument/2006/relationships/hyperlink" Target="https://futureu.europa.eu/pages/ireland" TargetMode="External"/><Relationship Id="rId130" Type="http://schemas.openxmlformats.org/officeDocument/2006/relationships/hyperlink" Target="https://futureu.europa.eu/pages/greece" TargetMode="External"/><Relationship Id="rId131" Type="http://schemas.openxmlformats.org/officeDocument/2006/relationships/hyperlink" Target="https://futureu.europa.eu/pages/spain" TargetMode="External"/><Relationship Id="rId132" Type="http://schemas.openxmlformats.org/officeDocument/2006/relationships/hyperlink" Target="https://futureu.europa.eu/pages/france" TargetMode="External"/><Relationship Id="rId133" Type="http://schemas.openxmlformats.org/officeDocument/2006/relationships/hyperlink" Target="https://futureu.europa.eu/pages/croatia" TargetMode="External"/><Relationship Id="rId134" Type="http://schemas.openxmlformats.org/officeDocument/2006/relationships/hyperlink" Target="https://futureu.europa.eu/pages/italy" TargetMode="External"/><Relationship Id="rId135" Type="http://schemas.openxmlformats.org/officeDocument/2006/relationships/hyperlink" Target="https://futureu.europa.eu/pages/cyprus" TargetMode="External"/><Relationship Id="rId136" Type="http://schemas.openxmlformats.org/officeDocument/2006/relationships/hyperlink" Target="https://futureu.europa.eu/pages/latvia" TargetMode="External"/><Relationship Id="rId137" Type="http://schemas.openxmlformats.org/officeDocument/2006/relationships/hyperlink" Target="https://futureu.europa.eu/pages/lithuania" TargetMode="External"/><Relationship Id="rId138" Type="http://schemas.openxmlformats.org/officeDocument/2006/relationships/hyperlink" Target="https://futureu.europa.eu/pages/luxembourg" TargetMode="External"/><Relationship Id="rId139" Type="http://schemas.openxmlformats.org/officeDocument/2006/relationships/hyperlink" Target="https://futureu.europa.eu/pages/hungary" TargetMode="External"/><Relationship Id="rId140" Type="http://schemas.openxmlformats.org/officeDocument/2006/relationships/hyperlink" Target="https://futureu.europa.eu/pages/malta" TargetMode="External"/><Relationship Id="rId141" Type="http://schemas.openxmlformats.org/officeDocument/2006/relationships/hyperlink" Target="https://futureu.europa.eu/pages/netherlands" TargetMode="External"/><Relationship Id="rId142" Type="http://schemas.openxmlformats.org/officeDocument/2006/relationships/hyperlink" Target="https://futureu.europa.eu/pages/austria" TargetMode="External"/><Relationship Id="rId143" Type="http://schemas.openxmlformats.org/officeDocument/2006/relationships/hyperlink" Target="https://futureu.europa.eu/pages/poland" TargetMode="External"/><Relationship Id="rId144" Type="http://schemas.openxmlformats.org/officeDocument/2006/relationships/hyperlink" Target="https://futureu.europa.eu/pages/portugal" TargetMode="External"/><Relationship Id="rId145" Type="http://schemas.openxmlformats.org/officeDocument/2006/relationships/hyperlink" Target="https://futureu.europa.eu/pages/romania" TargetMode="External"/><Relationship Id="rId146" Type="http://schemas.openxmlformats.org/officeDocument/2006/relationships/hyperlink" Target="https://futureu.europa.eu/pages/slovenia" TargetMode="External"/><Relationship Id="rId147" Type="http://schemas.openxmlformats.org/officeDocument/2006/relationships/hyperlink" Target="https://futureu.europa.eu/pages/slovakia" TargetMode="External"/><Relationship Id="rId148" Type="http://schemas.openxmlformats.org/officeDocument/2006/relationships/hyperlink" Target="https://futureu.europa.eu/pages/finland" TargetMode="External"/><Relationship Id="rId149" Type="http://schemas.openxmlformats.org/officeDocument/2006/relationships/hyperlink" Target="https://futureu.europa.eu/pages/sweden"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2"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3"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4" Type="http://schemas.openxmlformats.org/officeDocument/2006/relationships/image" Target="media/image62.png"/><Relationship Id="rId155" Type="http://schemas.openxmlformats.org/officeDocument/2006/relationships/footnotes" Target="footnotes.xml"/><Relationship Id="rId156" Type="http://schemas.openxmlformats.org/officeDocument/2006/relationships/endnotes" Target="endnotes.xml"/><Relationship Id="rId157" Type="http://schemas.openxmlformats.org/officeDocument/2006/relationships/comments" Target="comments.xml"/><Relationship Id="rId158" Type="http://schemas.openxmlformats.org/officeDocument/2006/relationships/numbering" Target="numbering.xml"/><Relationship Id="rId159" Type="http://schemas.openxmlformats.org/officeDocument/2006/relationships/fontTable" Target="fontTable.xml"/><Relationship Id="rId160"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2158</TotalTime>
  <Application>LibreOffice/6.0.2.1$Windows_x86 LibreOffice_project/f7f06a8f319e4b62f9bc5095aa112a65d2f3ac89</Application>
  <Pages>323</Pages>
  <Words>118035</Words>
  <Characters>683228</Characters>
  <CharactersWithSpaces>798189</CharactersWithSpaces>
  <Paragraphs>6026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2022-09-01T16:03:00Z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