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6"/>
        </w:rPr>
        <w:t xml:space="preserve">Konferenssi aiheesta </w:t>
      </w:r>
      <w:r>
        <w:rPr/>
        <w:br/>
        <w:t>Euroopan tulevaisuus</w:t>
      </w:r>
    </w:p>
    <w:p>
      <w:pPr>
        <w:pStyle w:val="P68B1DB1Normal2"/>
        <w:widowControl w:val="false"/>
        <w:spacing w:lineRule="exact" w:line="557"/>
        <w:ind w:left="56" w:right="1390" w:firstLine="8"/>
        <w:jc w:val="left"/>
        <w:rPr>
          <w:rFonts w:ascii="Arial" w:hAnsi="Arial"/>
          <w:color w:val="0000BE"/>
          <w:sz w:val="44"/>
        </w:rPr>
      </w:pPr>
      <w:r>
        <w:rPr/>
        <w:t xml:space="preserve">LOPULLINEN TULOSRAPORTTI </w:t>
      </w:r>
    </w:p>
    <w:p>
      <w:pPr>
        <w:pStyle w:val="P68B1DB1Normal3"/>
        <w:widowControl w:val="false"/>
        <w:spacing w:lineRule="exact" w:line="557"/>
        <w:ind w:left="56" w:right="1390" w:hanging="0"/>
        <w:jc w:val="left"/>
        <w:rPr>
          <w:rFonts w:ascii="Roboto" w:hAnsi="Roboto"/>
          <w:color w:val="0000BE"/>
          <w:sz w:val="28"/>
        </w:rPr>
      </w:pPr>
      <w:r>
        <w:rPr/>
        <w:t>toukokuu 2022</w:t>
      </w:r>
      <w:r>
        <w:rPr>
          <w:rFonts w:ascii="Roboto" w:hAnsi="Roboto"/>
        </w:rPr>
        <w:t xml:space="preserve"> </w:t>
      </w:r>
    </w:p>
    <w:p>
      <w:pPr>
        <w:pStyle w:val="Normal"/>
        <w:rPr/>
      </w:pPr>
      <w:r>
        <w:rPr/>
        <w:drawing>
          <wp:anchor behindDoc="0" distT="0" distB="0" distL="0" distR="0" simplePos="0" locked="0" layoutInCell="1" allowOverlap="1" relativeHeight="65">
            <wp:simplePos x="0" y="0"/>
            <wp:positionH relativeFrom="column">
              <wp:posOffset>88265</wp:posOffset>
            </wp:positionH>
            <wp:positionV relativeFrom="paragraph">
              <wp:posOffset>52070</wp:posOffset>
            </wp:positionV>
            <wp:extent cx="5660390" cy="4556125"/>
            <wp:effectExtent l="0" t="0" r="0" b="0"/>
            <wp:wrapTopAndBottom/>
            <wp:docPr id="1" name="Kuva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uva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Viitekehys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Kuva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uva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Euroopan</w:t>
                            </w:r>
                            <w:r>
                              <w:rPr>
                                <w:b/>
                              </w:rPr>
                              <w:t>tulevaisuuttakäsittelevä konferenssi</w:t>
                            </w:r>
                          </w:p>
                        </w:txbxContent>
                      </wps:txbx>
                      <wps:bodyPr lIns="54000" rIns="54000" tIns="54000" bIns="54000">
                        <a:noAutofit/>
                      </wps:bodyPr>
                    </wps:wsp>
                  </a:graphicData>
                </a:graphic>
              </wp:anchor>
            </w:drawing>
          </mc:Choice>
          <mc:Fallback>
            <w:pict>
              <v:rect id="shape_0" ID="Viitekehys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Kuva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uva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Euroopan</w:t>
                      </w:r>
                      <w:r>
                        <w:rPr>
                          <w:b/>
                        </w:rPr>
                        <w:t>tulevaisuuttakäsittelevä konferenssi</w:t>
                      </w:r>
                    </w:p>
                  </w:txbxContent>
                </v:textbox>
              </v:rect>
            </w:pict>
          </mc:Fallback>
        </mc:AlternateContent>
      </w:r>
      <w:r>
        <w:rPr>
          <w:b/>
          <w:color w:val="0000BE"/>
          <w:sz w:val="48"/>
        </w:rPr>
        <w:t>Tulevaisuus</w:t>
      </w:r>
      <w:r>
        <w:rPr>
          <w:color w:val="0000BE"/>
          <w:sz w:val="48"/>
        </w:rPr>
        <w:t xml:space="preserve"> on</w:t>
      </w:r>
      <w:r>
        <w:rPr/>
        <w:t xml:space="preserve"> </w:t>
      </w:r>
    </w:p>
    <w:p>
      <w:pPr>
        <w:pStyle w:val="P68B1DB1Normal5"/>
        <w:widowControl w:val="false"/>
        <w:spacing w:lineRule="exact" w:line="576"/>
        <w:ind w:left="51" w:right="0" w:hanging="0"/>
        <w:jc w:val="left"/>
        <w:rPr>
          <w:rFonts w:ascii="Arial" w:hAnsi="Arial"/>
        </w:rPr>
      </w:pPr>
      <w:r>
        <w:rPr/>
        <w:t>käsissäsi</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63">
                <wp:simplePos x="0" y="0"/>
                <wp:positionH relativeFrom="column">
                  <wp:posOffset>4445</wp:posOffset>
                </wp:positionH>
                <wp:positionV relativeFrom="paragraph">
                  <wp:posOffset>85725</wp:posOffset>
                </wp:positionV>
                <wp:extent cx="6020435" cy="8688070"/>
                <wp:effectExtent l="0" t="0" r="0" b="0"/>
                <wp:wrapSquare wrapText="bothSides"/>
                <wp:docPr id="6" name="Viitekehys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rPr>
                              <w:t>Pierre Dieumegardin laatima asiakirja</w:t>
                            </w:r>
                            <w:r>
                              <w:rPr>
                                <w:color w:val="auto"/>
                              </w:rPr>
                              <w:drawing>
                                <wp:inline distT="0" distB="0" distL="0" distR="0">
                                  <wp:extent cx="2494280" cy="765175"/>
                                  <wp:effectExtent l="0" t="0" r="0" b="0"/>
                                  <wp:docPr id="8" name="Kuva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uva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Eurooppa-demokratia-Esperanto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Tämän ”väliaikaisen” asiakirjan tavoitteena on antaa yhä useammille Euroopan unionin kansalaisille mahdollisuus ymmärtää Euroopan unionia varten laaditut asiakirjat (jotka rahoitetaan heidän rahoitusosuuksillaan). </w:t>
                            </w:r>
                            <w:hyperlink r:id="rId5">
                              <w:r>
                                <w:rPr>
                                  <w:rStyle w:val="LienInternet"/>
                                  <w:rFonts w:ascii="Times New Roman" w:hAnsi="Times New Roman"/>
                                  <w:color w:val="auto"/>
                                  <w:sz w:val="24"/>
                                </w:rPr>
                                <w:t xml:space="preserve">Alkuperäinen pdf-muodossa oleva ranskankielinen asiakirja </w:t>
                              </w:r>
                            </w:hyperlink>
                            <w:r>
                              <w:rPr>
                                <w:rFonts w:ascii="Times New Roman" w:hAnsi="Times New Roman"/>
                                <w:color w:val="auto"/>
                                <w:sz w:val="24"/>
                              </w:rPr>
                              <w:t xml:space="preserve">on muotoiltu Libre Office -ohjelmistolla. Käännökset kaikille Euroopan unionin virallisille kielille tehdään </w:t>
                            </w:r>
                            <w:hyperlink r:id="rId6">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Olemme tehneet tätä työtä, koska Euroopan unionissa tarvitaan parempaa monikielisyyttä: ilman käännöksiä suuri osa väestöstä jää keskustelun ulkopuolelle. </w:t>
                            </w:r>
                            <w:r>
                              <w:rPr>
                                <w:b/>
                                <w:color w:val="auto"/>
                              </w:rPr>
                              <w:t>On toivottavaa, että Euroopan unionin hallinto ottaa vastaan tärkeiden asiakirjojen käännöksen, jotta kaikki eurooppalaiset voivat ymmärtää, mistä on kyse, ja keskustella yhteisestä tulevaisuudestaan yhdessä.</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Euroopan kansalaisten välisen hyvän suoran viestinnän ja luotettavien käännösten kannalta kansainvälinen esperantokieli olisi erittäin hyödyllinen yksinkertaisuutensa, säännöllisyytensä ja täsmällisyytensä vuoksi.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Internetissä: </w:t>
                            </w:r>
                          </w:p>
                          <w:p>
                            <w:pPr>
                              <w:pStyle w:val="Normal"/>
                              <w:rPr/>
                            </w:pPr>
                            <w:r>
                              <w:rPr>
                                <w:rFonts w:ascii="Times New Roman" w:hAnsi="Times New Roman"/>
                                <w:color w:val="auto"/>
                                <w:sz w:val="24"/>
                              </w:rPr>
                              <w:t xml:space="preserve"> </w:t>
                            </w:r>
                            <w:r>
                              <w:rPr>
                                <w:rFonts w:ascii="Times New Roman" w:hAnsi="Times New Roman"/>
                                <w:color w:val="auto"/>
                                <w:sz w:val="24"/>
                              </w:rPr>
                              <w:t>Liitto E</w:t>
                            </w:r>
                            <w:r>
                              <w:rPr>
                                <w:rFonts w:ascii="Times New Roman" w:hAnsi="Times New Roman"/>
                                <w:color w:val="auto"/>
                                <w:sz w:val="24"/>
                              </w:rPr>
                              <w:t>ŭ</w:t>
                            </w:r>
                            <w:r>
                              <w:rPr>
                                <w:rFonts w:ascii="Times New Roman" w:hAnsi="Times New Roman"/>
                                <w:color w:val="auto"/>
                                <w:sz w:val="24"/>
                              </w:rPr>
                              <w:t xml:space="preserve">ropo-Demokratio-Esperanto:   </w:t>
                            </w:r>
                            <w:hyperlink r:id="rId7">
                              <w:r>
                                <w:rPr>
                                  <w:rStyle w:val="LienInternet"/>
                                  <w:rFonts w:ascii="Times New Roman" w:hAnsi="Times New Roman"/>
                                  <w:color w:val="auto"/>
                                  <w:sz w:val="24"/>
                                </w:rPr>
                                <w:t>https://e-d-e.org/</w:t>
                              </w:r>
                            </w:hyperlink>
                            <w:r>
                              <w:rPr>
                                <w:rFonts w:ascii="Times New Roman" w:hAnsi="Times New Roman"/>
                                <w:color w:val="auto"/>
                                <w:sz w:val="24"/>
                              </w:rPr>
                              <w:t xml:space="preserve"> (tai </w:t>
                            </w:r>
                            <w:hyperlink r:id="rId8">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Association Europe-Democracy-Esperanto (Ranska):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Eurooppalaiset asiakirjat kaikilla virallisilla kielillä: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Verrattuna alkuperäiseen asiakirjaan on joitakin muutoksia (parannuksia?): </w:t>
                            </w:r>
                          </w:p>
                          <w:p>
                            <w:pPr>
                              <w:pStyle w:val="P68B1DB1Normal7"/>
                              <w:rPr>
                                <w:rFonts w:ascii="Times New Roman" w:hAnsi="Times New Roman"/>
                                <w:sz w:val="24"/>
                              </w:rPr>
                            </w:pPr>
                            <w:r>
                              <w:rPr>
                                <w:color w:val="auto"/>
                              </w:rPr>
                              <w:t xml:space="preserve">— </w:t>
                            </w:r>
                            <w:r>
                              <w:rPr>
                                <w:color w:val="auto"/>
                              </w:rPr>
                              <w:t>joitakin kirjoitusvirheitä on korjattu. Ehkä muitakin virheitä on tapahtunut?</w:t>
                            </w:r>
                          </w:p>
                          <w:p>
                            <w:pPr>
                              <w:pStyle w:val="P68B1DB1Normal7"/>
                              <w:rPr>
                                <w:rFonts w:ascii="Times New Roman" w:hAnsi="Times New Roman"/>
                                <w:sz w:val="24"/>
                              </w:rPr>
                            </w:pPr>
                            <w:r>
                              <w:rPr>
                                <w:color w:val="auto"/>
                              </w:rPr>
                              <w:t xml:space="preserve">— </w:t>
                            </w:r>
                            <w:r>
                              <w:rPr>
                                <w:color w:val="auto"/>
                              </w:rPr>
                              <w:t>asettelu on yhdenmukaistettu, ja kaikki sivut numeroidaan asianmukaisesti (alkuperäinen asiakirja oli erillisten pdf-tiedostojen ja riippumattomien numerointien rinnalle).</w:t>
                            </w:r>
                          </w:p>
                          <w:p>
                            <w:pPr>
                              <w:pStyle w:val="P68B1DB1Normal7"/>
                              <w:rPr>
                                <w:rFonts w:ascii="Times New Roman" w:hAnsi="Times New Roman"/>
                                <w:sz w:val="24"/>
                              </w:rPr>
                            </w:pPr>
                            <w:r>
                              <w:rPr>
                                <w:color w:val="auto"/>
                              </w:rPr>
                              <w:t xml:space="preserve">— </w:t>
                            </w:r>
                            <w:r>
                              <w:rPr>
                                <w:color w:val="auto"/>
                              </w:rPr>
                              <w:t>loppuhuomautukset on muutettu osion lopussa (sivujen alareunassa).</w:t>
                            </w:r>
                          </w:p>
                          <w:p>
                            <w:pPr>
                              <w:pStyle w:val="P68B1DB1Normal7"/>
                              <w:spacing w:before="57" w:after="57"/>
                              <w:rPr>
                                <w:color w:val="auto"/>
                              </w:rPr>
                            </w:pPr>
                            <w:r>
                              <w:rPr>
                                <w:color w:val="auto"/>
                              </w:rPr>
                              <w:t xml:space="preserve">— </w:t>
                            </w:r>
                            <w:r>
                              <w:rPr>
                                <w:color w:val="auto"/>
                              </w:rPr>
                              <w:t>aluksi kuvien muodossa olevat asiakirjat on muutettu taulukoiksi, jotka on helppo kääntää.</w:t>
                            </w:r>
                          </w:p>
                        </w:txbxContent>
                      </wps:txbx>
                      <wps:bodyPr lIns="54000" rIns="54000" tIns="54000" bIns="54000">
                        <a:noAutofit/>
                      </wps:bodyPr>
                    </wps:wsp>
                  </a:graphicData>
                </a:graphic>
              </wp:anchor>
            </w:drawing>
          </mc:Choice>
          <mc:Fallback>
            <w:pict>
              <v:rect id="shape_0" ID="Viitekehys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rPr>
                        <w:t>Pierre Dieumegardin laatima asiakirja</w:t>
                      </w:r>
                      <w:r>
                        <w:rPr>
                          <w:color w:val="auto"/>
                        </w:rPr>
                        <w:drawing>
                          <wp:inline distT="0" distB="0" distL="0" distR="0">
                            <wp:extent cx="2494280" cy="765175"/>
                            <wp:effectExtent l="0" t="0" r="0" b="0"/>
                            <wp:docPr id="9" name="Kuva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uva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Eurooppa-demokratia-Esperanto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Tämän ”väliaikaisen” asiakirjan tavoitteena on antaa yhä useammille Euroopan unionin kansalaisille mahdollisuus ymmärtää Euroopan unionia varten laaditut asiakirjat (jotka rahoitetaan heidän rahoitusosuuksillaan). </w:t>
                      </w:r>
                      <w:hyperlink r:id="rId11">
                        <w:r>
                          <w:rPr>
                            <w:rStyle w:val="LienInternet"/>
                            <w:rFonts w:ascii="Times New Roman" w:hAnsi="Times New Roman"/>
                            <w:color w:val="auto"/>
                            <w:sz w:val="24"/>
                          </w:rPr>
                          <w:t xml:space="preserve">Alkuperäinen pdf-muodossa oleva ranskankielinen asiakirja </w:t>
                        </w:r>
                      </w:hyperlink>
                      <w:r>
                        <w:rPr>
                          <w:rFonts w:ascii="Times New Roman" w:hAnsi="Times New Roman"/>
                          <w:color w:val="auto"/>
                          <w:sz w:val="24"/>
                        </w:rPr>
                        <w:t xml:space="preserve">on muotoiltu Libre Office -ohjelmistolla. Käännökset kaikille Euroopan unionin virallisille kielille tehdään </w:t>
                      </w:r>
                      <w:hyperlink r:id="rId12">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Olemme tehneet tätä työtä, koska Euroopan unionissa tarvitaan parempaa monikielisyyttä: ilman käännöksiä suuri osa väestöstä jää keskustelun ulkopuolelle. </w:t>
                      </w:r>
                      <w:r>
                        <w:rPr>
                          <w:b/>
                          <w:color w:val="auto"/>
                        </w:rPr>
                        <w:t>On toivottavaa, että Euroopan unionin hallinto ottaa vastaan tärkeiden asiakirjojen käännöksen, jotta kaikki eurooppalaiset voivat ymmärtää, mistä on kyse, ja keskustella yhteisestä tulevaisuudestaan yhdessä.</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Euroopan kansalaisten välisen hyvän suoran viestinnän ja luotettavien käännösten kannalta kansainvälinen esperantokieli olisi erittäin hyödyllinen yksinkertaisuutensa, säännöllisyytensä ja täsmällisyytensä vuoksi.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Internetissä: </w:t>
                      </w:r>
                    </w:p>
                    <w:p>
                      <w:pPr>
                        <w:pStyle w:val="Normal"/>
                        <w:rPr/>
                      </w:pPr>
                      <w:r>
                        <w:rPr>
                          <w:rFonts w:ascii="Times New Roman" w:hAnsi="Times New Roman"/>
                          <w:color w:val="auto"/>
                          <w:sz w:val="24"/>
                        </w:rPr>
                        <w:t xml:space="preserve"> </w:t>
                      </w:r>
                      <w:r>
                        <w:rPr>
                          <w:rFonts w:ascii="Times New Roman" w:hAnsi="Times New Roman"/>
                          <w:color w:val="auto"/>
                          <w:sz w:val="24"/>
                        </w:rPr>
                        <w:t>Liitto E</w:t>
                      </w:r>
                      <w:r>
                        <w:rPr>
                          <w:rFonts w:ascii="Times New Roman" w:hAnsi="Times New Roman"/>
                          <w:color w:val="auto"/>
                          <w:sz w:val="24"/>
                        </w:rPr>
                        <w:t>ŭ</w:t>
                      </w:r>
                      <w:r>
                        <w:rPr>
                          <w:rFonts w:ascii="Times New Roman" w:hAnsi="Times New Roman"/>
                          <w:color w:val="auto"/>
                          <w:sz w:val="24"/>
                        </w:rPr>
                        <w:t xml:space="preserve">ropo-Demokratio-Esperanto:   </w:t>
                      </w:r>
                      <w:hyperlink r:id="rId13">
                        <w:r>
                          <w:rPr>
                            <w:rStyle w:val="LienInternet"/>
                            <w:rFonts w:ascii="Times New Roman" w:hAnsi="Times New Roman"/>
                            <w:color w:val="auto"/>
                            <w:sz w:val="24"/>
                          </w:rPr>
                          <w:t>https://e-d-e.org/</w:t>
                        </w:r>
                      </w:hyperlink>
                      <w:r>
                        <w:rPr>
                          <w:rFonts w:ascii="Times New Roman" w:hAnsi="Times New Roman"/>
                          <w:color w:val="auto"/>
                          <w:sz w:val="24"/>
                        </w:rPr>
                        <w:t xml:space="preserve"> (tai </w:t>
                      </w:r>
                      <w:hyperlink r:id="rId14">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Association Europe-Democracy-Esperanto (Ranska):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Eurooppalaiset asiakirjat kaikilla virallisilla kielillä: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Verrattuna alkuperäiseen asiakirjaan on joitakin muutoksia (parannuksia?): </w:t>
                      </w:r>
                    </w:p>
                    <w:p>
                      <w:pPr>
                        <w:pStyle w:val="P68B1DB1Normal7"/>
                        <w:rPr>
                          <w:rFonts w:ascii="Times New Roman" w:hAnsi="Times New Roman"/>
                          <w:sz w:val="24"/>
                        </w:rPr>
                      </w:pPr>
                      <w:r>
                        <w:rPr>
                          <w:color w:val="auto"/>
                        </w:rPr>
                        <w:t xml:space="preserve">— </w:t>
                      </w:r>
                      <w:r>
                        <w:rPr>
                          <w:color w:val="auto"/>
                        </w:rPr>
                        <w:t>joitakin kirjoitusvirheitä on korjattu. Ehkä muitakin virheitä on tapahtunut?</w:t>
                      </w:r>
                    </w:p>
                    <w:p>
                      <w:pPr>
                        <w:pStyle w:val="P68B1DB1Normal7"/>
                        <w:rPr>
                          <w:rFonts w:ascii="Times New Roman" w:hAnsi="Times New Roman"/>
                          <w:sz w:val="24"/>
                        </w:rPr>
                      </w:pPr>
                      <w:r>
                        <w:rPr>
                          <w:color w:val="auto"/>
                        </w:rPr>
                        <w:t xml:space="preserve">— </w:t>
                      </w:r>
                      <w:r>
                        <w:rPr>
                          <w:color w:val="auto"/>
                        </w:rPr>
                        <w:t>asettelu on yhdenmukaistettu, ja kaikki sivut numeroidaan asianmukaisesti (alkuperäinen asiakirja oli erillisten pdf-tiedostojen ja riippumattomien numerointien rinnalle).</w:t>
                      </w:r>
                    </w:p>
                    <w:p>
                      <w:pPr>
                        <w:pStyle w:val="P68B1DB1Normal7"/>
                        <w:rPr>
                          <w:rFonts w:ascii="Times New Roman" w:hAnsi="Times New Roman"/>
                          <w:sz w:val="24"/>
                        </w:rPr>
                      </w:pPr>
                      <w:r>
                        <w:rPr>
                          <w:color w:val="auto"/>
                        </w:rPr>
                        <w:t xml:space="preserve">— </w:t>
                      </w:r>
                      <w:r>
                        <w:rPr>
                          <w:color w:val="auto"/>
                        </w:rPr>
                        <w:t>loppuhuomautukset on muutettu osion lopussa (sivujen alareunassa).</w:t>
                      </w:r>
                    </w:p>
                    <w:p>
                      <w:pPr>
                        <w:pStyle w:val="P68B1DB1Normal7"/>
                        <w:spacing w:before="57" w:after="57"/>
                        <w:rPr>
                          <w:color w:val="auto"/>
                        </w:rPr>
                      </w:pPr>
                      <w:r>
                        <w:rPr>
                          <w:color w:val="auto"/>
                        </w:rPr>
                        <w:t xml:space="preserve">— </w:t>
                      </w:r>
                      <w:r>
                        <w:rPr>
                          <w:color w:val="auto"/>
                        </w:rPr>
                        <w:t>aluksi kuvien muodossa olevat asiakirjat on muutettu taulukoiksi, jotka on helppo kääntää.</w:t>
                      </w:r>
                    </w:p>
                  </w:txbxContent>
                </v:textbox>
              </v:rect>
            </w:pict>
          </mc:Fallback>
        </mc:AlternateContent>
      </w:r>
    </w:p>
    <w:p>
      <w:pPr>
        <w:pStyle w:val="Normal"/>
        <w:rPr/>
      </w:pPr>
      <w:r>
        <w:rPr/>
      </w:r>
      <w:r>
        <w:br w:type="page"/>
      </w:r>
    </w:p>
    <w:sdt>
      <w:sdtPr>
        <w:docPartObj>
          <w:docPartGallery w:val="Table of Contents"/>
          <w:docPartUnique w:val="true"/>
        </w:docPartObj>
      </w:sdtPr>
      <w:sdtContent>
        <w:p>
          <w:pPr>
            <w:pStyle w:val="TOAHeading"/>
            <w:rPr/>
          </w:pPr>
          <w:r>
            <w:rPr/>
            <w:t>Sisällysluettelo</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Konferenssin arkkitehtuuri</w:t>
              <w:tab/>
              <w:t>7</w:t>
            </w:r>
          </w:hyperlink>
        </w:p>
        <w:p>
          <w:pPr>
            <w:pStyle w:val="Tabledesmatiresniveau2"/>
            <w:tabs>
              <w:tab w:val="right" w:pos="9638" w:leader="dot"/>
            </w:tabs>
            <w:rPr/>
          </w:pPr>
          <w:hyperlink w:anchor="__RefHeading___Toc298048_1346298689">
            <w:r>
              <w:rPr>
                <w:rStyle w:val="Sautdindex"/>
              </w:rPr>
              <w:t>1. Yhteinen julistus</w:t>
              <w:tab/>
              <w:t>8</w:t>
            </w:r>
          </w:hyperlink>
        </w:p>
        <w:p>
          <w:pPr>
            <w:pStyle w:val="Tabledesmatiresniveau2"/>
            <w:tabs>
              <w:tab w:val="right" w:pos="9638" w:leader="dot"/>
            </w:tabs>
            <w:rPr/>
          </w:pPr>
          <w:hyperlink w:anchor="__RefHeading___Toc298050_1346298689">
            <w:r>
              <w:rPr>
                <w:rStyle w:val="Sautdindex"/>
              </w:rPr>
              <w:t>2. Työjärjestys</w:t>
              <w:tab/>
              <w:t>9</w:t>
            </w:r>
          </w:hyperlink>
        </w:p>
        <w:p>
          <w:pPr>
            <w:pStyle w:val="Tabledesmatiresniveau2"/>
            <w:tabs>
              <w:tab w:val="right" w:pos="9638" w:leader="dot"/>
            </w:tabs>
            <w:rPr/>
          </w:pPr>
          <w:hyperlink w:anchor="__RefHeading___Toc298052_1346298689">
            <w:r>
              <w:rPr>
                <w:rStyle w:val="Sautdindex"/>
              </w:rPr>
              <w:t>3. Konferenssiin liittyvät tapahtumat</w:t>
              <w:tab/>
              <w:t>9</w:t>
            </w:r>
          </w:hyperlink>
        </w:p>
        <w:p>
          <w:pPr>
            <w:pStyle w:val="Tabledesmatiresniveau2"/>
            <w:tabs>
              <w:tab w:val="right" w:pos="9638" w:leader="dot"/>
            </w:tabs>
            <w:rPr/>
          </w:pPr>
          <w:hyperlink w:anchor="__RefHeading___Toc298054_1346298689">
            <w:r>
              <w:rPr>
                <w:rStyle w:val="Sautdindex"/>
              </w:rPr>
              <w:t>4. Monikielisen digitaalisen alustan käyttöönotto</w:t>
              <w:tab/>
              <w:t>9</w:t>
            </w:r>
          </w:hyperlink>
        </w:p>
        <w:p>
          <w:pPr>
            <w:pStyle w:val="Tabledesmatiresniveau2"/>
            <w:tabs>
              <w:tab w:val="right" w:pos="9638" w:leader="dot"/>
            </w:tabs>
            <w:rPr/>
          </w:pPr>
          <w:hyperlink w:anchor="__RefHeading___Toc298056_1346298689">
            <w:r>
              <w:rPr>
                <w:rStyle w:val="Sautdindex"/>
              </w:rPr>
              <w:t>5. Eurooppalaiset kansalaispaneelit</w:t>
              <w:tab/>
              <w:t>10</w:t>
            </w:r>
          </w:hyperlink>
        </w:p>
        <w:p>
          <w:pPr>
            <w:pStyle w:val="Tabledesmatiresniveau2"/>
            <w:tabs>
              <w:tab w:val="right" w:pos="9638" w:leader="dot"/>
            </w:tabs>
            <w:rPr/>
          </w:pPr>
          <w:hyperlink w:anchor="__RefHeading___Toc298058_1346298689">
            <w:r>
              <w:rPr>
                <w:rStyle w:val="Sautdindex"/>
              </w:rPr>
              <w:t>6. Kansalliset kansalaispaneelit</w:t>
              <w:tab/>
              <w:t>10</w:t>
            </w:r>
          </w:hyperlink>
        </w:p>
        <w:p>
          <w:pPr>
            <w:pStyle w:val="Tabledesmatiresniveau1"/>
            <w:tabs>
              <w:tab w:val="right" w:pos="9638" w:leader="dot"/>
            </w:tabs>
            <w:rPr/>
          </w:pPr>
          <w:hyperlink w:anchor="__RefHeading___Toc298188_1346298689">
            <w:r>
              <w:rPr>
                <w:rStyle w:val="Sautdindex"/>
              </w:rPr>
              <w:t>EI, EI, EI, EI, EI. Kansalaisten osallistuminen konferenssiin</w:t>
              <w:tab/>
              <w:t>11</w:t>
            </w:r>
          </w:hyperlink>
        </w:p>
        <w:p>
          <w:pPr>
            <w:pStyle w:val="Tabledesmatiresniveau2"/>
            <w:tabs>
              <w:tab w:val="right" w:pos="9638" w:leader="dot"/>
            </w:tabs>
            <w:rPr/>
          </w:pPr>
          <w:hyperlink w:anchor="__RefHeading___Toc298190_1346298689">
            <w:r>
              <w:rPr>
                <w:rStyle w:val="Sautdindex"/>
              </w:rPr>
              <w:t>A. Monikielinen digitaalinen alusta</w:t>
              <w:tab/>
              <w:t>12</w:t>
            </w:r>
          </w:hyperlink>
        </w:p>
        <w:p>
          <w:pPr>
            <w:pStyle w:val="Tabledesmatiresniveau2"/>
            <w:tabs>
              <w:tab w:val="right" w:pos="9638" w:leader="dot"/>
            </w:tabs>
            <w:rPr/>
          </w:pPr>
          <w:hyperlink w:anchor="__RefHeading___Toc298192_1346298689">
            <w:r>
              <w:rPr>
                <w:rStyle w:val="Sautdindex"/>
              </w:rPr>
              <w:t>B. Kansalaispaneelit</w:t>
              <w:tab/>
              <w:t>17</w:t>
            </w:r>
          </w:hyperlink>
        </w:p>
        <w:p>
          <w:pPr>
            <w:pStyle w:val="Tabledesmatiresniveau2"/>
            <w:tabs>
              <w:tab w:val="right" w:pos="9638" w:leader="dot"/>
            </w:tabs>
            <w:rPr/>
          </w:pPr>
          <w:hyperlink w:anchor="__RefHeading___Toc298228_1346298689">
            <w:r>
              <w:rPr>
                <w:rStyle w:val="Sautdindex"/>
              </w:rPr>
              <w:t>C. Konferenssin yhteydessä järjestettävät tapahtumat</w:t>
              <w:tab/>
              <w:t>28</w:t>
            </w:r>
          </w:hyperlink>
        </w:p>
        <w:p>
          <w:pPr>
            <w:pStyle w:val="Tabledesmatiresniveau1"/>
            <w:tabs>
              <w:tab w:val="right" w:pos="9638" w:leader="dot"/>
            </w:tabs>
            <w:rPr/>
          </w:pPr>
          <w:hyperlink w:anchor="__RefHeading___Toc298238_1346298689">
            <w:r>
              <w:rPr>
                <w:rStyle w:val="Sautdindex"/>
              </w:rPr>
              <w:t>III. Konferenssin täysistunto</w:t>
              <w:tab/>
              <w:t>38</w:t>
            </w:r>
          </w:hyperlink>
        </w:p>
        <w:p>
          <w:pPr>
            <w:pStyle w:val="Tabledesmatiresniveau2"/>
            <w:tabs>
              <w:tab w:val="right" w:pos="9638" w:leader="dot"/>
            </w:tabs>
            <w:rPr/>
          </w:pPr>
          <w:hyperlink w:anchor="__RefHeading___Toc298240_1346298689">
            <w:r>
              <w:rPr>
                <w:rStyle w:val="Sautdindex"/>
              </w:rPr>
              <w:t>A. Täysistunnon rooli ja toiminta</w:t>
              <w:tab/>
              <w:t>39</w:t>
            </w:r>
          </w:hyperlink>
        </w:p>
        <w:p>
          <w:pPr>
            <w:pStyle w:val="Tabledesmatiresniveau2"/>
            <w:tabs>
              <w:tab w:val="right" w:pos="9638" w:leader="dot"/>
            </w:tabs>
            <w:rPr/>
          </w:pPr>
          <w:hyperlink w:anchor="__RefHeading___Toc298242_1346298689">
            <w:r>
              <w:rPr>
                <w:rStyle w:val="Sautdindex"/>
              </w:rPr>
              <w:t>B. Työryhmät</w:t>
              <w:tab/>
              <w:t>40</w:t>
            </w:r>
          </w:hyperlink>
        </w:p>
        <w:p>
          <w:pPr>
            <w:pStyle w:val="Tabledesmatiresniveau2"/>
            <w:tabs>
              <w:tab w:val="right" w:pos="9638" w:leader="dot"/>
            </w:tabs>
            <w:rPr/>
          </w:pPr>
          <w:hyperlink w:anchor="__RefHeading___Toc298244_1346298689">
            <w:r>
              <w:rPr>
                <w:rStyle w:val="Sautdindex"/>
              </w:rPr>
              <w:t>C. Chronologinen yhteenveto</w:t>
              <w:tab/>
              <w:t>41</w:t>
            </w:r>
          </w:hyperlink>
        </w:p>
        <w:p>
          <w:pPr>
            <w:pStyle w:val="Tabledesmatiresniveau1"/>
            <w:tabs>
              <w:tab w:val="right" w:pos="9638" w:leader="dot"/>
            </w:tabs>
            <w:rPr/>
          </w:pPr>
          <w:hyperlink w:anchor="__RefHeading___Toc298246_1346298689">
            <w:r>
              <w:rPr>
                <w:rStyle w:val="Sautdindex"/>
              </w:rPr>
              <w:t>IV. Täysistunnon ehdotukset</w:t>
              <w:tab/>
              <w:t>47</w:t>
            </w:r>
          </w:hyperlink>
        </w:p>
        <w:p>
          <w:pPr>
            <w:pStyle w:val="Tabledesmatiresniveau2"/>
            <w:tabs>
              <w:tab w:val="right" w:pos="9638" w:leader="dot"/>
            </w:tabs>
            <w:rPr/>
          </w:pPr>
          <w:hyperlink w:anchor="__RefHeading___Toc298248_1346298689">
            <w:r>
              <w:rPr>
                <w:rStyle w:val="Sautdindex"/>
              </w:rPr>
              <w:t>Ilmastonmuutos ja ympäristö</w:t>
              <w:tab/>
              <w:t>48</w:t>
            </w:r>
          </w:hyperlink>
        </w:p>
        <w:p>
          <w:pPr>
            <w:pStyle w:val="Tabledesmatiresniveau2"/>
            <w:tabs>
              <w:tab w:val="right" w:pos="9638" w:leader="dot"/>
            </w:tabs>
            <w:rPr/>
          </w:pPr>
          <w:hyperlink w:anchor="__RefHeading___Toc298272_1346298689">
            <w:r>
              <w:rPr>
                <w:rStyle w:val="Sautdindex"/>
              </w:rPr>
              <w:t>”</w:t>
            </w:r>
            <w:r>
              <w:rPr>
                <w:rStyle w:val="Sautdindex"/>
              </w:rPr>
              <w:t>Terveys”</w:t>
              <w:tab/>
              <w:t>54</w:t>
            </w:r>
          </w:hyperlink>
        </w:p>
        <w:p>
          <w:pPr>
            <w:pStyle w:val="Tabledesmatiresniveau2"/>
            <w:tabs>
              <w:tab w:val="right" w:pos="9638" w:leader="dot"/>
            </w:tabs>
            <w:rPr/>
          </w:pPr>
          <w:hyperlink w:anchor="__RefHeading___Toc298288_1346298689">
            <w:r>
              <w:rPr>
                <w:rStyle w:val="Sautdindex"/>
              </w:rPr>
              <w:t>Vahvempi talous, sosiaalinen oikeudenmukaisuus ja työllisyys</w:t>
              <w:tab/>
              <w:t>58</w:t>
            </w:r>
          </w:hyperlink>
        </w:p>
        <w:p>
          <w:pPr>
            <w:pStyle w:val="Tabledesmatiresniveau2"/>
            <w:tabs>
              <w:tab w:val="right" w:pos="9638" w:leader="dot"/>
            </w:tabs>
            <w:rPr/>
          </w:pPr>
          <w:hyperlink w:anchor="__RefHeading___Toc298302_1346298689">
            <w:r>
              <w:rPr>
                <w:rStyle w:val="Sautdindex"/>
              </w:rPr>
              <w:t>”</w:t>
            </w:r>
            <w:r>
              <w:rPr>
                <w:rStyle w:val="Sautdindex"/>
              </w:rPr>
              <w:t>EU maailmassa”</w:t>
              <w:tab/>
              <w:t>67</w:t>
            </w:r>
          </w:hyperlink>
        </w:p>
        <w:p>
          <w:pPr>
            <w:pStyle w:val="Tabledesmatiresniveau2"/>
            <w:tabs>
              <w:tab w:val="right" w:pos="9638" w:leader="dot"/>
            </w:tabs>
            <w:rPr/>
          </w:pPr>
          <w:hyperlink w:anchor="__RefHeading___Toc298320_1346298689">
            <w:r>
              <w:rPr>
                <w:rStyle w:val="Sautdindex"/>
              </w:rPr>
              <w:t>Arvot ja oikeudet, oikeusvaltio, turvallisuus</w:t>
              <w:tab/>
              <w:t>74</w:t>
            </w:r>
          </w:hyperlink>
        </w:p>
        <w:p>
          <w:pPr>
            <w:pStyle w:val="Tabledesmatiresniveau2"/>
            <w:tabs>
              <w:tab w:val="right" w:pos="9638" w:leader="dot"/>
            </w:tabs>
            <w:rPr/>
          </w:pPr>
          <w:hyperlink w:anchor="__RefHeading___Toc298334_1346298689">
            <w:r>
              <w:rPr>
                <w:rStyle w:val="Sautdindex"/>
              </w:rPr>
              <w:t>”</w:t>
            </w:r>
            <w:r>
              <w:rPr>
                <w:rStyle w:val="Sautdindex"/>
              </w:rPr>
              <w:t>Digitaalinen muutos”</w:t>
              <w:tab/>
              <w:t>79</w:t>
            </w:r>
          </w:hyperlink>
        </w:p>
        <w:p>
          <w:pPr>
            <w:pStyle w:val="Tabledesmatiresniveau2"/>
            <w:tabs>
              <w:tab w:val="right" w:pos="9638" w:leader="dot"/>
            </w:tabs>
            <w:rPr/>
          </w:pPr>
          <w:hyperlink w:anchor="__RefHeading___Toc298346_1346298689">
            <w:r>
              <w:rPr>
                <w:rStyle w:val="Sautdindex"/>
              </w:rPr>
              <w:t>”</w:t>
            </w:r>
            <w:r>
              <w:rPr>
                <w:rStyle w:val="Sautdindex"/>
              </w:rPr>
              <w:t>Eurooppalainen demokratia”</w:t>
              <w:tab/>
              <w:t>84</w:t>
            </w:r>
          </w:hyperlink>
        </w:p>
        <w:p>
          <w:pPr>
            <w:pStyle w:val="Tabledesmatiresniveau2"/>
            <w:tabs>
              <w:tab w:val="right" w:pos="9638" w:leader="dot"/>
            </w:tabs>
            <w:rPr/>
          </w:pPr>
          <w:hyperlink w:anchor="__RefHeading___Toc298358_1346298689">
            <w:r>
              <w:rPr>
                <w:rStyle w:val="Sautdindex"/>
              </w:rPr>
              <w:t>”</w:t>
            </w:r>
            <w:r>
              <w:rPr>
                <w:rStyle w:val="Sautdindex"/>
              </w:rPr>
              <w:t>Migrations”</w:t>
              <w:tab/>
              <w:t>90</w:t>
            </w:r>
          </w:hyperlink>
        </w:p>
        <w:p>
          <w:pPr>
            <w:pStyle w:val="Tabledesmatiresniveau2"/>
            <w:tabs>
              <w:tab w:val="right" w:pos="9638" w:leader="dot"/>
            </w:tabs>
            <w:rPr/>
          </w:pPr>
          <w:hyperlink w:anchor="__RefHeading___Toc298370_1346298689">
            <w:r>
              <w:rPr>
                <w:rStyle w:val="Sautdindex"/>
              </w:rPr>
              <w:t>Koulutus, kulttuuri, nuoriso ja urheilu</w:t>
              <w:tab/>
              <w:t>94</w:t>
            </w:r>
          </w:hyperlink>
        </w:p>
        <w:p>
          <w:pPr>
            <w:pStyle w:val="Tabledesmatiresniveau1"/>
            <w:tabs>
              <w:tab w:val="right" w:pos="9638" w:leader="dot"/>
            </w:tabs>
            <w:rPr/>
          </w:pPr>
          <w:hyperlink w:anchor="__RefHeading___Toc298380_1346298689">
            <w:r>
              <w:rPr>
                <w:rStyle w:val="Sautdindex"/>
              </w:rPr>
              <w:t>Johtokunnan lopulliset huomiot</w:t>
              <w:tab/>
              <w:t>98</w:t>
            </w:r>
          </w:hyperlink>
        </w:p>
        <w:p>
          <w:pPr>
            <w:pStyle w:val="Tabledesmatiresniveau1"/>
            <w:tabs>
              <w:tab w:val="right" w:pos="9638" w:leader="dot"/>
            </w:tabs>
            <w:rPr/>
          </w:pPr>
          <w:hyperlink w:anchor="__RefHeading___Toc297141_1346298689">
            <w:r>
              <w:rPr>
                <w:rStyle w:val="Sautdindex"/>
              </w:rPr>
              <w:t>Liite I – Neljän eurooppalaisen kansalaispaneelin suositukset</w:t>
              <w:tab/>
              <w:t>101</w:t>
            </w:r>
          </w:hyperlink>
        </w:p>
        <w:p>
          <w:pPr>
            <w:pStyle w:val="Tabledesmatiresniveau2"/>
            <w:tabs>
              <w:tab w:val="right" w:pos="9638" w:leader="dot"/>
            </w:tabs>
            <w:rPr/>
          </w:pPr>
          <w:hyperlink w:anchor="__RefHeading___Toc297143_1346298689">
            <w:r>
              <w:rPr>
                <w:rStyle w:val="Sautdindex"/>
              </w:rPr>
              <w:t>Eurooppalainen kansalaispaneeli 1: Vahvempi talous, sosiaalinen oikeudenmukaisuus ja työllisyys/koulutus, kulttuuri, nuoriso ja urheilu/digitaalinen muutos</w:t>
              <w:tab/>
              <w:t>102</w:t>
            </w:r>
          </w:hyperlink>
        </w:p>
        <w:p>
          <w:pPr>
            <w:pStyle w:val="Tabledesmatiresniveau2"/>
            <w:tabs>
              <w:tab w:val="right" w:pos="9638" w:leader="dot"/>
            </w:tabs>
            <w:rPr/>
          </w:pPr>
          <w:hyperlink w:anchor="__RefHeading___Toc297195_1346298689">
            <w:r>
              <w:rPr>
                <w:rStyle w:val="Sautdindex"/>
              </w:rPr>
              <w:t>Eurooppalainen kansalaispaneeli 2: ”Eurooppalainen demokratia; arvot ja oikeudet, oikeusvaltio, turvallisuus</w:t>
              <w:tab/>
              <w:t>120</w:t>
            </w:r>
          </w:hyperlink>
        </w:p>
        <w:p>
          <w:pPr>
            <w:pStyle w:val="Tabledesmatiresniveau2"/>
            <w:tabs>
              <w:tab w:val="right" w:pos="9638" w:leader="dot"/>
            </w:tabs>
            <w:rPr/>
          </w:pPr>
          <w:hyperlink w:anchor="__RefHeading___Toc297245_1346298689">
            <w:r>
              <w:rPr>
                <w:rStyle w:val="Sautdindex"/>
              </w:rPr>
              <w:t>Eurooppalainen kansalaispaneeli 3: Ilmastonmuutos ja ympäristö/terveys</w:t>
              <w:tab/>
              <w:t>133</w:t>
            </w:r>
          </w:hyperlink>
        </w:p>
        <w:p>
          <w:pPr>
            <w:pStyle w:val="Tabledesmatiresniveau2"/>
            <w:tabs>
              <w:tab w:val="right" w:pos="9638" w:leader="dot"/>
            </w:tabs>
            <w:rPr/>
          </w:pPr>
          <w:hyperlink w:anchor="__RefHeading___Toc297297_1346298689">
            <w:r>
              <w:rPr>
                <w:rStyle w:val="Sautdindex"/>
              </w:rPr>
              <w:t>Eurooppalainen kansalaispaneeli 4: ”EU maailmassa/maahanmuutto”</w:t>
              <w:tab/>
              <w:t>150</w:t>
            </w:r>
          </w:hyperlink>
        </w:p>
        <w:p>
          <w:pPr>
            <w:pStyle w:val="Tabledesmatiresniveau1"/>
            <w:tabs>
              <w:tab w:val="right" w:pos="9638" w:leader="dot"/>
            </w:tabs>
            <w:rPr/>
          </w:pPr>
          <w:hyperlink w:anchor="__RefHeading___Toc297345_1346298689">
            <w:r>
              <w:rPr>
                <w:rStyle w:val="Sautdindex"/>
              </w:rPr>
              <w:t>II A – Kansalliset paneelit: Belgia</w:t>
              <w:tab/>
              <w:t>163</w:t>
            </w:r>
          </w:hyperlink>
        </w:p>
        <w:p>
          <w:pPr>
            <w:pStyle w:val="Tabledesmatiresniveau1"/>
            <w:tabs>
              <w:tab w:val="right" w:pos="9638" w:leader="dot"/>
            </w:tabs>
            <w:rPr/>
          </w:pPr>
          <w:hyperlink w:anchor="__RefHeading___Toc297349_1346298689">
            <w:r>
              <w:rPr>
                <w:rStyle w:val="Sautdindex"/>
              </w:rPr>
              <w:t>II B Kansalliset paneelit: Ranska</w:t>
              <w:tab/>
              <w:t>177</w:t>
            </w:r>
          </w:hyperlink>
        </w:p>
        <w:p>
          <w:pPr>
            <w:pStyle w:val="Tabledesmatiresniveau2"/>
            <w:tabs>
              <w:tab w:val="right" w:pos="9638" w:leader="dot"/>
            </w:tabs>
            <w:rPr/>
          </w:pPr>
          <w:hyperlink w:anchor="__RefHeading___Toc300448_1346298689">
            <w:r>
              <w:rPr>
                <w:rStyle w:val="Sautdindex"/>
              </w:rPr>
              <w:t>Esittely</w:t>
              <w:tab/>
              <w:t>180</w:t>
            </w:r>
          </w:hyperlink>
        </w:p>
        <w:p>
          <w:pPr>
            <w:pStyle w:val="Tabledesmatiresniveau2"/>
            <w:tabs>
              <w:tab w:val="right" w:pos="9638" w:leader="dot"/>
            </w:tabs>
            <w:rPr/>
          </w:pPr>
          <w:hyperlink w:anchor="__RefHeading___Toc300450_1346298689">
            <w:r>
              <w:rPr>
                <w:rStyle w:val="Sautdindex"/>
              </w:rPr>
              <w:t>Tärkeimpien tulosten esittely</w:t>
              <w:tab/>
              <w:t>183</w:t>
            </w:r>
          </w:hyperlink>
        </w:p>
        <w:p>
          <w:pPr>
            <w:pStyle w:val="Tabledesmatiresniveau2"/>
            <w:tabs>
              <w:tab w:val="right" w:pos="9638" w:leader="dot"/>
            </w:tabs>
            <w:rPr/>
          </w:pPr>
          <w:hyperlink w:anchor="__RefHeading___Toc300452_1346298689">
            <w:r>
              <w:rPr>
                <w:rStyle w:val="Sautdindex"/>
              </w:rPr>
              <w:t>Alueellisten konferenssien paneelien esittely</w:t>
              <w:tab/>
              <w:t>185</w:t>
            </w:r>
          </w:hyperlink>
        </w:p>
        <w:p>
          <w:pPr>
            <w:pStyle w:val="Tabledesmatiresniveau2"/>
            <w:tabs>
              <w:tab w:val="right" w:pos="9638" w:leader="dot"/>
            </w:tabs>
            <w:rPr/>
          </w:pPr>
          <w:hyperlink w:anchor="__RefHeading___Toc300454_1346298689">
            <w:r>
              <w:rPr>
                <w:rStyle w:val="Sautdindex"/>
              </w:rPr>
              <w:t>Metodologiset sitoumukset ja vinoumat</w:t>
              <w:tab/>
              <w:t>187</w:t>
            </w:r>
          </w:hyperlink>
        </w:p>
        <w:p>
          <w:pPr>
            <w:pStyle w:val="Tabledesmatiresniveau2"/>
            <w:tabs>
              <w:tab w:val="right" w:pos="9638" w:leader="dot"/>
            </w:tabs>
            <w:rPr/>
          </w:pPr>
          <w:hyperlink w:anchor="__RefHeading___Toc297351_1346298689">
            <w:r>
              <w:rPr>
                <w:rStyle w:val="Sautdindex"/>
              </w:rPr>
              <w:t>Toinen osa: ”Sana to Youth” -kuulemisen tulosten esittely</w:t>
              <w:tab/>
              <w:t>203</w:t>
            </w:r>
          </w:hyperlink>
        </w:p>
        <w:p>
          <w:pPr>
            <w:pStyle w:val="Tabledesmatiresniveau2"/>
            <w:tabs>
              <w:tab w:val="right" w:pos="9638" w:leader="dot"/>
            </w:tabs>
            <w:rPr/>
          </w:pPr>
          <w:hyperlink w:anchor="__RefHeading___Toc300458_1346298689">
            <w:r>
              <w:rPr>
                <w:rStyle w:val="Sautdindex"/>
              </w:rPr>
              <w:t>Johtopäätös</w:t>
              <w:tab/>
              <w:t>206</w:t>
            </w:r>
          </w:hyperlink>
        </w:p>
        <w:p>
          <w:pPr>
            <w:pStyle w:val="Tabledesmatiresniveau1"/>
            <w:tabs>
              <w:tab w:val="right" w:pos="9638" w:leader="dot"/>
            </w:tabs>
            <w:rPr/>
          </w:pPr>
          <w:hyperlink w:anchor="__RefHeading___Toc297353_1346298689">
            <w:r>
              <w:rPr>
                <w:rStyle w:val="Sautdindex"/>
              </w:rPr>
              <w:t>II C Kansalliset paneelit: Saksa</w:t>
              <w:tab/>
              <w:t>207</w:t>
            </w:r>
          </w:hyperlink>
        </w:p>
        <w:p>
          <w:pPr>
            <w:pStyle w:val="Tabledesmatiresniveau1"/>
            <w:tabs>
              <w:tab w:val="right" w:pos="9638" w:leader="dot"/>
            </w:tabs>
            <w:rPr/>
          </w:pPr>
          <w:hyperlink w:anchor="__RefHeading___Toc297355_1346298689">
            <w:r>
              <w:rPr>
                <w:rStyle w:val="Sautdindex"/>
              </w:rPr>
              <w:t>II D Kansalliset paneelit: Italia</w:t>
              <w:tab/>
              <w:t>213</w:t>
            </w:r>
          </w:hyperlink>
        </w:p>
        <w:p>
          <w:pPr>
            <w:pStyle w:val="Tabledesmatiresniveau2"/>
            <w:tabs>
              <w:tab w:val="right" w:pos="9638" w:leader="dot"/>
            </w:tabs>
            <w:rPr/>
          </w:pPr>
          <w:hyperlink w:anchor="__RefHeading___Toc300314_1346298689">
            <w:r>
              <w:rPr>
                <w:rStyle w:val="Sautdindex"/>
              </w:rPr>
              <w:t>4. Työohjelma</w:t>
              <w:tab/>
              <w:t>219</w:t>
            </w:r>
          </w:hyperlink>
        </w:p>
        <w:p>
          <w:pPr>
            <w:pStyle w:val="Tabledesmatiresniveau2"/>
            <w:tabs>
              <w:tab w:val="right" w:pos="9638" w:leader="dot"/>
            </w:tabs>
            <w:rPr/>
          </w:pPr>
          <w:hyperlink w:anchor="__RefHeading___Toc300322_1346298689">
            <w:r>
              <w:rPr>
                <w:rStyle w:val="Sautdindex"/>
              </w:rPr>
              <w:t>6. Osallistujien suorittama loppuarviointi</w:t>
              <w:tab/>
              <w:t>228</w:t>
            </w:r>
          </w:hyperlink>
        </w:p>
        <w:p>
          <w:pPr>
            <w:pStyle w:val="Tabledesmatiresniveau1"/>
            <w:tabs>
              <w:tab w:val="right" w:pos="9638" w:leader="dot"/>
            </w:tabs>
            <w:rPr/>
          </w:pPr>
          <w:hyperlink w:anchor="__RefHeading___Toc298382_1346298689">
            <w:r>
              <w:rPr>
                <w:rStyle w:val="Sautdindex"/>
              </w:rPr>
              <w:t>II E Kansalliset paneelit: Liettua</w:t>
              <w:tab/>
              <w:t>231</w:t>
            </w:r>
          </w:hyperlink>
        </w:p>
        <w:p>
          <w:pPr>
            <w:pStyle w:val="Tabledesmatiresniveau1"/>
            <w:tabs>
              <w:tab w:val="right" w:pos="9638" w:leader="dot"/>
            </w:tabs>
            <w:rPr/>
          </w:pPr>
          <w:hyperlink w:anchor="__RefHeading___Toc297357_1346298689">
            <w:r>
              <w:rPr>
                <w:rStyle w:val="Sautdindex"/>
              </w:rPr>
              <w:t>II F Kansalliset paneelit: Alankomaat</w:t>
              <w:tab/>
              <w:t>239</w:t>
            </w:r>
          </w:hyperlink>
        </w:p>
        <w:p>
          <w:pPr>
            <w:pStyle w:val="Tabledesmatiresniveau1"/>
            <w:tabs>
              <w:tab w:val="right" w:pos="9638" w:leader="dot"/>
            </w:tabs>
            <w:rPr/>
          </w:pPr>
          <w:hyperlink w:anchor="__RefHeading___Toc297359_1346298689">
            <w:r>
              <w:rPr>
                <w:rStyle w:val="Sautdindex"/>
              </w:rPr>
              <w:t>III Viittaukset kansallisten tapahtumien tuloksiin</w:t>
              <w:tab/>
              <w:t>291</w:t>
            </w:r>
          </w:hyperlink>
        </w:p>
        <w:p>
          <w:pPr>
            <w:pStyle w:val="Tabledesmatiresniveau1"/>
            <w:tabs>
              <w:tab w:val="right" w:pos="9638" w:leader="dot"/>
            </w:tabs>
            <w:rPr/>
          </w:pPr>
          <w:hyperlink w:anchor="__RefHeading___Toc344888_2081073262">
            <w:r>
              <w:rPr>
                <w:rStyle w:val="Sautdindex"/>
              </w:rPr>
              <w:t>IV Viittaus monikielisen digitaalisen foorumin raporttiin</w:t>
              <w:tab/>
              <w:t>292</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120130" cy="8663305"/>
            <wp:effectExtent l="0" t="0" r="0" b="0"/>
            <wp:wrapSquare wrapText="largest"/>
            <wp:docPr id="10" name="Kuva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uva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Esittely</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Euroopan parlamentin puhemies David Sassoli, Portugalin pääministeri António Costa EU:n neuvoston puolesta ja Euroopan komission puheenjohtaja Ursula von der Leyen allekirjoittivat 10. maaliskuuta 2021 yhteisen julistuksen Euroopan tulevaisuutta käsittelevästä konferenssista. Heidän tekemänsä sitoumus oli yksinkertainen: kyse oli kansalaiskeskeisestä harjoituksesta, joka perustui alhaalta ylöspäin suuntautuvaan lähestymistapaan sen varmistamiseksi, että kaikki eurooppalaiset voivat vaikuttaa siihen, mitä he odottavat Euroopan unionilta, ja että heillä on entistä suurempi rooli unionin tulevaisuuden muovaamisessa. Heidän tehtävänsä oli toisaalta erittäin vaikea: tavoitteena oli järjestää ensimmäistä kertaa ylikansallinen, monikielinen ja toimielinten välinen keskusteludemokratia, johon osallistuu tuhansia Euroopan kansalaisia sekä poliittisia toimijoita, työmarkkinaosapuolia, kansalaisyhteiskunnan edustajia ja konferenssin työjärjestyksen 16 artiklassa tarkoitettuja keskeisiä sidosryhmiä.</w:t>
      </w:r>
    </w:p>
    <w:p>
      <w:pPr>
        <w:pStyle w:val="Normal"/>
        <w:rPr/>
      </w:pPr>
      <w:r>
        <w:rPr/>
        <w:t>Kuukausia kestäneiden intensiivisten keskustelujen jälkeen 9. toukokuuta 2022 konferenssi sai työnsä päätökseen ja esitti EU:n kolmelle toimielimelle raportin lopullisista tuloksista ja 49 ehdotusta. Nämä ehdotukset vastaavat Euroopan kansalaisten odotuksia yhdeksästä aiheesta: Vahvempi talous, sosiaalinen oikeudenmukaisuus ja työllisyys; Koulutus, kulttuuri, nuoriso ja urheilu; Digitaalinen muutos; Eurooppalainen demokratia; Arvot ja oikeudet, oikeusvaltioperiaate, turvallisuus; Ilmastonmuutos ja ympäristö; Terveys; EU:n asema maailmassa; ja muuttoliikettä. Kaikki nämä aiheet on esitetty tässä loppuraportissa, jonka tarkoituksena on myös antaa yleiskuva tämän ainutlaatuisen prosessin, Euroopan tulevaisuutta käsittelevän konferenssin, yhteydessä toteutetuista eri toimista.</w:t>
      </w:r>
    </w:p>
    <w:p>
      <w:pPr>
        <w:pStyle w:val="Corpsdetexte"/>
        <w:rPr/>
      </w:pPr>
      <w:r>
        <w:rPr/>
        <w:t>Puheenjohtajana toimii kolme yhteispuhemiestä (Guy Verhofstadt Euroopan parlamentin puolesta; Ana Paula Zacarias, Gašper Dovžan ja Clément Beaune peräkkäin EU:n neuvostolle; ja Dubravka Šuica Euroopan komissiolle) ja sitä johti johtokunta (joka koostui yhtä lailla kolmen toimielimen edustajista ja tärkeimpien sidosryhmien tarkkailijoista). Konferenssi oli ennennäkemätön kokemus ylikansallisesta keskusteludemokratiasta. Se on myös osoittanut historiallisen merkityksensä ja merkityksensä covid-19-pandemian ja Venäjän Ukrainaan kohdistaman hyökkäyksen yhteydessä. Euroopan tulevaisuutta käsittelevä konferenssi johti monikielisen digitaalisen foorumin perustamiseen Euroopan kansalaisille kaikilla EU:n 24 kielellä sekä neljän eurooppalaisen kansalaispaneelin, kuuden kansallisen kansalaispaneelin, tuhansien kansallisten ja paikallisten tapahtumien sekä seitsemän konferenssin täysistunnon järjestämiseen. Se on tulosta EU:n toimielinten, jäsenvaltioiden mutta myös ja ennen kaikkea Euroopan kansalaisten ennennäkemättömästä halukkuudesta keskustella Euroopan unionin painopisteistä ja sen kohtaamista haasteista ja omaksua uusi lähestymistapa Eurooppa-hankkeeseen.</w:t>
      </w:r>
    </w:p>
    <w:p>
      <w:pPr>
        <w:pStyle w:val="Corpsdetexte"/>
        <w:rPr/>
      </w:pPr>
      <w:r>
        <w:rPr/>
        <w:t>Tämä on kuitenkin vasta alkua. Konferenssin perustekstin mukaisesti kolme toimielintä pohtivat nyt nopeasti, miten tämä kertomus voidaan panna tehokkaasti täytäntöön kukin toimivaltansa puitteissa ja perussopimusten mukaisesti. Kolmen toimielimen päättäväisyys tässä suhteessa on ensiarvoisen tärkeää.</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Konferenssin arkkitehtuuri</w:t>
      </w:r>
    </w:p>
    <w:p>
      <w:pPr>
        <w:pStyle w:val="Corpsdetexte"/>
        <w:rPr>
          <w:sz w:val="40"/>
        </w:rPr>
      </w:pPr>
      <w:r>
        <w:rPr>
          <w:sz w:val="40"/>
        </w:rPr>
        <w:t>Euroopan tulevaisuutta käsittelevä konferenssi</w:t>
      </w:r>
      <w:r>
        <w:rPr>
          <w:rStyle w:val="Ancredenotedebasdepage"/>
          <w:rStyle w:val="Ancredenotedebasdepage"/>
          <w:sz w:val="40"/>
        </w:rPr>
        <w:footnoteReference w:id="2"/>
      </w:r>
      <w:r>
        <w:rPr>
          <w:sz w:val="40"/>
        </w:rPr>
        <w:t xml:space="preserve"> oli uusi ja innovatiivinen prosessi, joka avasi uuden mahdollisuuden kansalaisten kanssa käytävälle keskustelulle Euroopan painopisteiden ja haasteiden tarkastelemiseksi, jotta voidaan vahvistaa Eurooppa-hankkeen demokraattinen legitimiteetti ja edistää kansalaisten sitoutumista yhteisiin arvoihimme ja tavoitteisiimme. Konferenssi oli alhaalta ylöspäin suuntautuvaan lähestymistapaan perustuva kansalaiskeskeinen harjoitus, jonka tavoitteena oli varmistaa, että eurooppalaiset voivat vaikuttaa siihen, mitä he odottavat Euroopan unionilta. Kyseessä oli Euroopan parlamentin, neuvoston ja Euroopan komission yhteinen aloite, joka toimi tasavertaisesti Euroopan unionin jäsenvaltioiden kanssa.</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Yhteinen julistus</w:t>
      </w:r>
    </w:p>
    <w:p>
      <w:pPr>
        <w:pStyle w:val="Normal"/>
        <w:rPr/>
      </w:pPr>
      <w:r>
        <w:rPr/>
      </w:r>
    </w:p>
    <w:p>
      <w:pPr>
        <w:pStyle w:val="Normal"/>
        <w:rPr/>
      </w:pPr>
      <w:r>
        <w:rPr/>
        <w:t>Euroopan tulevaisuutta käsittelevää konferenssia koskevan yhteisen julistuksen, jäljempänä ’yhteinen julistus’, allekirjoittivat 10. maaliskuuta 2021 edesmennyt Euroopan parlamentin puhemies David Sassoli, Portugalin pääministeri António Costa EU:n neuvoston puolesta ja Euroopan komission puheenjohtaja Ursula von der Leyen, joka pohjustaa tietä tälle ennennäkemättömälle, avoimelle ja osallistavalle eurooppalaiselle demokraattiselle toiminnalle, joka antaa kansalaisille keskeisen aseman.</w:t>
      </w:r>
    </w:p>
    <w:p>
      <w:pPr>
        <w:pStyle w:val="Normal"/>
        <w:rPr/>
      </w:pPr>
      <w:r>
        <w:rPr/>
        <w:t>Konferenssi asetettiin kolmen toimielimen puheenjohtajien alaisuuteen yhteispuheenjohtajana. Yhteistä puheenjohtajuutta avusti johtokunta, jonka puheenjohtajina toimi yksi jäsen kustakin kolmesta EU:n toimielimestä.</w:t>
      </w:r>
    </w:p>
    <w:p>
      <w:pPr>
        <w:pStyle w:val="Normal"/>
        <w:rPr/>
      </w:pPr>
      <w:r>
        <w:rPr/>
        <w:t xml:space="preserve">Yhteisen julistuksen mukaisesti on perustettu seuraavat rakenteet: </w:t>
      </w:r>
    </w:p>
    <w:p>
      <w:pPr>
        <w:pStyle w:val="Alineanegatifpuce"/>
        <w:numPr>
          <w:ilvl w:val="0"/>
          <w:numId w:val="3"/>
        </w:numPr>
        <w:rPr/>
      </w:pPr>
      <w:r>
        <w:rPr/>
        <w:t>johtokunta, joka valvoo konferenssin järjestämistä. Se koostui EU:n kolmen toimielimen edustajista (kolme jäsentä ja neljä tarkkailijaa) sekä Euroopan unionin kansallisten parlamenttien yhteisöasiain elinten konferenssin (COSAC) presidentin troikan edustajista. Alueiden komitea, Euroopan talous- ja sosiaalikomitea ja työmarkkinaosapuolten edustajat kutsuttiin tarkkailijoiksi.</w:t>
      </w:r>
    </w:p>
    <w:p>
      <w:pPr>
        <w:pStyle w:val="Alineanegatifpuce"/>
        <w:numPr>
          <w:ilvl w:val="0"/>
          <w:numId w:val="3"/>
        </w:numPr>
        <w:rPr/>
      </w:pPr>
      <w:r>
        <w:rPr/>
        <w:t>yhteinen sihteeristö, jolla varmistetaan kolmen toimielimen yhdenvertainen edustus, joka tukee johtokunnan työtä. Erityisesti kolmen toimielimen kolmen puheenjohtajan johdolla toimiva ryhmä valvoi johtokunnan, konferenssin täysistuntojen ja eurooppalaisten kansalaispaneelien kokousten järjestämistä ja valmisteluja. Hän vastasi yhteistyössä palveluntarjoajien kanssa monikielisen digitaalisen alustan hallinnoinnista ja raportoinnista keskeisistä välitavoitteista koko prosessin ajan.</w:t>
        <w:br/>
        <w:t xml:space="preserve">Ryhmän ainutlaatuinen kokoonpano mahdollisti työn jatkuvan kollegiaalisuuden ja varmisti synergian ja tehokkuuden parantamisen kaikilla aloilla. </w:t>
      </w:r>
    </w:p>
    <w:p>
      <w:pPr>
        <w:pStyle w:val="Alineanegatifpuce"/>
        <w:numPr>
          <w:ilvl w:val="0"/>
          <w:numId w:val="3"/>
        </w:numPr>
        <w:rPr/>
      </w:pPr>
      <w:r>
        <w:rPr/>
        <w:t>konferenssin täysistunto (ks. lisätietoja III luvusta), jossa keskusteltiin kansallisten ja eurooppalaisten kansalaispaneelien antamista suosituksista aiheittain ryhmiteltyinä EU:n arvoja ja konferenssin peruskirjaa täysimääräisesti kunnioittaen</w:t>
      </w:r>
      <w:r>
        <w:rPr>
          <w:rStyle w:val="Ancredenotedebasdepage"/>
          <w:rStyle w:val="Ancredenotedebasdepage"/>
        </w:rPr>
        <w:footnoteReference w:id="3"/>
      </w:r>
      <w:r>
        <w:rPr/>
        <w:t>ja ilman, että keskustelujen tuloksia määriteltäisiin etukäteen tai niiden soveltamisala rajoittuisi ennalta määriteltyihin politiikan aloihin. Lisäksi keskusteltiin tarvittaessa monikielisestä digitaalisesta foorumista kerätyistä kannanotoista. Täysistunnon keskustelujen ja ehdotusten valmistelua varten on perustettu yhdeksän temaattista työryhmää.</w:t>
      </w:r>
    </w:p>
    <w:p>
      <w:pPr>
        <w:pStyle w:val="Alineanegatifpuce"/>
        <w:numPr>
          <w:ilvl w:val="0"/>
          <w:numId w:val="0"/>
        </w:numPr>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Kuva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uva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Työjärjestys</w:t>
      </w:r>
    </w:p>
    <w:p>
      <w:pPr>
        <w:pStyle w:val="Normal"/>
        <w:rPr/>
      </w:pPr>
      <w:r>
        <w:rPr/>
        <w:t>Johtokunta hyväksyi 9. toukokuuta 2021 Euroopan tulevaisuutta käsittelevää konferenssia koskevan yhteisen julistuksen mukaisesti laaditun konferenssin työjärjestyksen, jossa vahvistetaan konferenssin perusta ja periaatteet.</w:t>
      </w:r>
    </w:p>
    <w:p>
      <w:pPr>
        <w:pStyle w:val="Normal"/>
        <w:rPr/>
      </w:pPr>
      <w:r>
        <w:rPr/>
        <w:t>Työjärjestyksessä vahvistetaan puitteet konferenssien eri rakenteiden toiminnalle ja niiden vuorovaikutukselle.</w:t>
      </w:r>
    </w:p>
    <w:p>
      <w:pPr>
        <w:pStyle w:val="Titre2"/>
        <w:numPr>
          <w:ilvl w:val="1"/>
          <w:numId w:val="2"/>
        </w:numPr>
        <w:rPr/>
      </w:pPr>
      <w:bookmarkStart w:id="3" w:name="__RefHeading___Toc298052_1346298689"/>
      <w:bookmarkEnd w:id="3"/>
      <w:r>
        <w:rPr/>
        <w:t>3. Konferenssiin liittyvät tapahtumat</w:t>
      </w:r>
    </w:p>
    <w:p>
      <w:pPr>
        <w:pStyle w:val="Corpsdetexte"/>
        <w:rPr/>
      </w:pPr>
      <w:r>
        <w:rPr/>
        <w:t>Yhteisen julistuksen mukaan kukin EU:n jäsenvaltio tai toimielin voisi järjestää konferenssin puitteissa tapahtumia kansallisista tai institutionaalisista erityispiirteistään riippuen ja osallistua konferenssiin (lisätietoja kohdassa II.C).</w:t>
      </w:r>
    </w:p>
    <w:p>
      <w:pPr>
        <w:pStyle w:val="Corpsdetexte"/>
        <w:rPr/>
      </w:pPr>
      <w:r>
        <w:rPr/>
        <w:t>Sen vuoksi EU:n toimielimiä ja elimiä, jäsenvaltioita, alue- ja paikallisviranomaisia, järjestäytynyttä kansalaisyhteiskuntaa, työmarkkinaosapuolia ja kansalaisia pyydettiin järjestämään tapahtumia yhteistyössä kansalaisyhteiskunnan ja sidosryhmien kanssa Euroopan, kansallisella, alueellisella ja paikallisella tasolla monissa eri muodoissa eri puolilla Eurooppaa ja julkaisemaan näiden tapahtumien tulokset digitaalisella alustalla. Tällaisia tapahtumia järjestettiin useita tuhansia, joihin osallistui noin 650 000 osallistujaa.</w:t>
      </w:r>
    </w:p>
    <w:p>
      <w:pPr>
        <w:pStyle w:val="Titre2"/>
        <w:numPr>
          <w:ilvl w:val="1"/>
          <w:numId w:val="2"/>
        </w:numPr>
        <w:rPr/>
      </w:pPr>
      <w:bookmarkStart w:id="4" w:name="__RefHeading___Toc298054_1346298689"/>
      <w:bookmarkEnd w:id="4"/>
      <w:r>
        <w:rPr/>
        <w:t>4.</w:t>
        <w:tab/>
        <w:t>Monikielisen digitaalisen alustan käyttöönotto</w:t>
      </w:r>
    </w:p>
    <w:p>
      <w:pPr>
        <w:pStyle w:val="Normal"/>
        <w:rPr/>
      </w:pPr>
      <w:r>
        <w:rPr/>
        <w:t>Monikielinen digitaalinen foorumi (ks. lisätietoja luvussa II.A) on perustettu, jotta kansalaiset voivat jakaa ajatuksiaan ja lähettää kommentteja verkossa yhteisen julistuksen mukaisesti. Se toimi konferenssin eri osista kansalaisille suunnattujen kannanottojen ja tiedotuksen pääkeskuksena ja interaktiivisena välineenä, jonka avulla voidaan jakaa ja keskustella konferenssin yhteydessä järjestettyjen lukuisten tapahtumien ideoista ja panoksesta. Foorumi käynnistettiin virallisesti 19. huhtikuuta 2021. Alustalla on julkaistu yli 17 000 ideaa.</w:t>
      </w:r>
    </w:p>
    <w:p>
      <w:pPr>
        <w:pStyle w:val="Corpsdetexte"/>
        <w:rPr/>
      </w:pPr>
      <w:r>
        <w:rPr/>
        <w:t>Konferenssin aikana laadittiin raportteja foorumilla esitetyistä kannanotoista.</w:t>
      </w:r>
    </w:p>
    <w:p>
      <w:pPr>
        <w:pStyle w:val="Normal"/>
        <w:rPr/>
      </w:pPr>
      <w:r>
        <w:rPr/>
        <w:t>Foorumin kautta kerätyt kannanotot otettiin huomioon eurooppalaisissa kansalaispaneeleissa, ja niistä keskusteltiin ja niistä keskusteltiin konferenssin täysistunnossa.</w:t>
      </w:r>
    </w:p>
    <w:p>
      <w:pPr>
        <w:pStyle w:val="Titre2"/>
        <w:numPr>
          <w:ilvl w:val="1"/>
          <w:numId w:val="2"/>
        </w:numPr>
        <w:rPr/>
      </w:pPr>
      <w:bookmarkStart w:id="5" w:name="__RefHeading___Toc298056_1346298689"/>
      <w:bookmarkEnd w:id="5"/>
      <w:r>
        <w:rPr/>
        <w:t>5.</w:t>
        <w:tab/>
        <w:t>Eurooppalaiset kansalaispaneelit</w:t>
      </w:r>
    </w:p>
    <w:p>
      <w:pPr>
        <w:pStyle w:val="Normal"/>
        <w:rPr/>
      </w:pPr>
      <w:r>
        <w:rPr/>
        <w:t>Yhteisen julistuksen mukaisesti konferenssin pääaiheiden ympärille järjestetyt eurooppalaiset kansalaispaneelit olivat konferenssin keskeinen ja erityisen innovatiivinen osa (lisätietoja luvussa II.B).</w:t>
      </w:r>
    </w:p>
    <w:p>
      <w:pPr>
        <w:pStyle w:val="Normal"/>
        <w:rPr/>
      </w:pPr>
      <w:r>
        <w:rPr/>
        <w:t>Yhteensä 800 satunnaisesti valittua kansalaista, jotka edustivat EU:n sosiologista ja maantieteellistä monimuotoisuutta, ryhmiteltiin neljään paneeliin, joissa oli 200 kansalaista, jotka kokoontuivat kolmeen keskustelutilaisuuteen paneelia kohden. Eurooppalaiset kansalaispaneelit antoivat suosituksia, jotka hyödynsivät konferenssin yleisiä keskusteluja, erityisesti konferenssin täysistunnoissa.</w:t>
      </w:r>
    </w:p>
    <w:p>
      <w:pPr>
        <w:pStyle w:val="Normal"/>
        <w:rPr/>
      </w:pPr>
      <w:r>
        <w:rPr/>
        <w:t>Johtokunnan yhteispuheenjohtajat vahvistivat yhdessä käytännön järjestelyt eurooppalaisten kansalaispaneelien järjestämiseksi yhteisen julistuksen ja työjärjestyksen mukaisesti ja ilmoittivat asiasta etukäteen johtokunnalle.</w:t>
      </w:r>
    </w:p>
    <w:p>
      <w:pPr>
        <w:pStyle w:val="Normal"/>
        <w:rPr/>
      </w:pPr>
      <w:r>
        <w:rPr/>
        <w:t>Johtokunnalle on tiedotettu säännöllisesti eurooppalaisten kansalaispaneelien perustamisen ja järjestämisen edistymisestä.</w:t>
      </w:r>
    </w:p>
    <w:p>
      <w:pPr>
        <w:pStyle w:val="Normal"/>
        <w:rPr/>
      </w:pPr>
      <w:r>
        <w:rPr/>
      </w:r>
    </w:p>
    <w:p>
      <w:pPr>
        <w:pStyle w:val="Titre2"/>
        <w:numPr>
          <w:ilvl w:val="1"/>
          <w:numId w:val="2"/>
        </w:numPr>
        <w:rPr/>
      </w:pPr>
      <w:bookmarkStart w:id="6" w:name="__RefHeading___Toc298058_1346298689"/>
      <w:bookmarkEnd w:id="6"/>
      <w:r>
        <w:rPr/>
        <w:t>6.</w:t>
        <w:tab/>
        <w:t>Kansalliset kansalaispaneelit</w:t>
      </w:r>
    </w:p>
    <w:p>
      <w:pPr>
        <w:pStyle w:val="Normal"/>
        <w:rPr/>
      </w:pPr>
      <w:r>
        <w:rPr/>
        <w:t>Yhteisen julistuksen mukaan jäsenvaltiot voisivat järjestää kansallisia paneeleja. Kansallisten kansalaispaneelien järjestämistä suunnittelevien jäsenvaltioiden avustamiseksi yhteispuheenjohtajat hyväksyivät suuntaviivat, jotka toimitettiin johtokunnalle 26. toukokuuta 2021 sen varmistamiseksi, että kansalliset paneelit järjestetään samojen periaatteiden mukaisesti kuin eurooppalaiset kansalaispaneelit. Ohjeisiin sisältyi hyvän käsittelyn periaatteita, jotka perustuvat OECD:n suuntaviivoihin</w:t>
      </w:r>
      <w:r>
        <w:rPr>
          <w:rStyle w:val="Ancredenotedebasdepage"/>
          <w:rStyle w:val="Ancredenotedebasdepage"/>
        </w:rPr>
        <w:footnoteReference w:id="4"/>
      </w:r>
      <w:r>
        <w:rPr/>
        <w:t>. Kukin jäsenvaltio voisi päättää, järjestävätkö ne kansallisten kansalaisten paneelin vai eivät. Yhteensä kuusi jäsenvaltiota järjesti yhden (Belgia, Ranska, Saksa, Italia, Liettua ja Alankomaat).</w:t>
      </w:r>
    </w:p>
    <w:p>
      <w:pPr>
        <w:pStyle w:val="Normal"/>
        <w:rPr/>
      </w:pPr>
      <w:r>
        <w:rPr/>
        <w:t>Yhteisen julistuksen mukaisesti kansallisten kansalaispaneelien suositukset esiteltiin ja niistä keskusteltiin konferenssin täysistunnoissa samanaikaisesti eurooppalaisten kansalaispaneelien suositusten kanssa.</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EI, EI, EI, EI, EI. Kansalaisten osallistuminen konferenssiin</w:t>
      </w:r>
    </w:p>
    <w:p>
      <w:pPr>
        <w:pStyle w:val="Normal"/>
        <w:rPr/>
      </w:pPr>
      <w:r>
        <w:rPr/>
      </w:r>
      <w:r>
        <w:br w:type="page"/>
      </w:r>
    </w:p>
    <w:p>
      <w:pPr>
        <w:pStyle w:val="Titre2"/>
        <w:numPr>
          <w:ilvl w:val="1"/>
          <w:numId w:val="2"/>
        </w:numPr>
        <w:rPr/>
      </w:pPr>
      <w:bookmarkStart w:id="8" w:name="__RefHeading___Toc298190_1346298689"/>
      <w:bookmarkEnd w:id="8"/>
      <w:r>
        <w:rPr/>
        <w:t>A. Monikielinen digitaalinen alusta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Monikielinen digitaalinen alusta käynnistettiin 19. huhtikuuta 2021, ja se oli konferenssin keskeinen yhteyspiste. Sen kautta kaikki pääsivät osallistumaan konferenssiin: kaikki kansalaiset ja muualla, kansalaisyhteiskunta, työmarkkinaosapuolet ja useat muut sidosryhmät.</w:t>
      </w:r>
    </w:p>
    <w:p>
      <w:pPr>
        <w:pStyle w:val="Normal"/>
        <w:rPr/>
      </w:pPr>
      <w:r>
        <w:rPr/>
        <w:t>Foorumi kehitettiin erityisesti konferenssia varten käyttäen Decidim-ohjelmaa, joka on kansalaisten osallistumista edistävä eurooppalainen ilmainen ohjelmisto. Tällaisessa määrin ja niin laajalla interaktiivisuudella ja monikielisyydellä tämä saavutus oli ensimmäinen, ei vain eurooppalainen vaan myös maailmanlaajuinen. Kaikki vastaukset olivat saatavilla kaikilla EU:n 24 virallisella kielellä konekäännösten avulla. Keskustelu jakautui kymmeneen teemaan: ”Ilmastonmuutos ja ympäristö”, ”Terveys”, ”Vahvempi talous, sosiaalinen oikeudenmukaisuus ja työllisyys”, ”EU maailmassa”, ”Arvot ja oikeudet, oikeusvaltio, turvallisuus”, ”digitaalinen muutos”, ”eurooppalainen demokratia”, ”muuttoliike”, ”Koulutus, kulttuuri, nuoriso ja urheilu” ja ”Muut ajatukset”.</w:t>
      </w:r>
    </w:p>
    <w:p>
      <w:pPr>
        <w:pStyle w:val="Normal"/>
        <w:rPr/>
      </w:pPr>
      <w:r>
        <w:rPr/>
        <w:t>Foorumille oli mahdollista osallistua monin eri tavoin.</w:t>
      </w:r>
    </w:p>
    <w:p>
      <w:pPr>
        <w:pStyle w:val="Normal"/>
        <w:rPr/>
      </w:pPr>
      <w:r>
        <w:rPr/>
        <w:t>Jokainen, joka halusi sitä, voisi jakaa ajatuksiaan yhdestä kymmenestä teemasta. Oli myös mahdollista kommentoida muiden ajatuksia. Foorumi on siten mahdollistanut todellisen yleiseurooppalaisen keskustelun kansalaisten välillä.</w:t>
      </w:r>
    </w:p>
    <w:p>
      <w:pPr>
        <w:pStyle w:val="Normal"/>
        <w:rPr/>
      </w:pPr>
      <w:r>
        <w:rPr/>
        <w:t>Osallistujat voisivat myös tukea ideoita ja ilmoittaa tukevansa toisen käyttäjän panosta.</w:t>
      </w:r>
    </w:p>
    <w:p>
      <w:pPr>
        <w:pStyle w:val="Normal"/>
        <w:rPr/>
      </w:pPr>
      <w:r>
        <w:rPr/>
        <w:t xml:space="preserve">Toinen tärkeä tapa osallistua konferenssiin oli järjestää tapahtumia (virtuaalisia, kasvokkain tai hybriditapahtumia), ilmoittaa niistä foorumilla, raportoida niiden tuloksista ja yhdistää ne ideoihin. Foorumin järjestäjille </w:t>
      </w:r>
      <w:hyperlink r:id="rId23">
        <w:r>
          <w:rPr>
            <w:rStyle w:val="LienInternet"/>
          </w:rPr>
          <w:t>oli annettuoppaita ja tiedotusmateriaalia</w:t>
        </w:r>
      </w:hyperlink>
      <w:r>
        <w:rPr/>
        <w:t xml:space="preserve"> tapahtumien osallistavan ja osallistavan luonteen edistämiseksi.</w:t>
      </w:r>
    </w:p>
    <w:p>
      <w:pPr>
        <w:pStyle w:val="Normal"/>
        <w:rPr/>
      </w:pPr>
      <w:r>
        <w:rPr/>
        <w:t xml:space="preserve">Foorumilla on ollut keskeinen rooli koko prosessin avoimuudessa ja kaikkien konferenssiin liittyvien tietojen saatavuudessa. Näin kaikki saivat tietoa itse konferenssin työskentelymenetelmistä ja organisoinnista, esimerkiksi itse konferenssiprosessista (konferenssin täysistunto ja sen työryhmät, </w:t>
      </w:r>
      <w:hyperlink r:id="rId24">
        <w:r>
          <w:rPr>
            <w:rStyle w:val="LienInternet"/>
          </w:rPr>
          <w:t>eurooppalaiset kansalaispaneelit</w:t>
        </w:r>
      </w:hyperlink>
      <w:r>
        <w:rPr/>
        <w:t xml:space="preserve">, </w:t>
      </w:r>
      <w:hyperlink r:id="rId25">
        <w:r>
          <w:rPr>
            <w:rStyle w:val="LienInternet"/>
          </w:rPr>
          <w:t>kansalliset paneelit ja tapahtumat</w:t>
        </w:r>
      </w:hyperlink>
      <w:r>
        <w:rPr/>
        <w:t xml:space="preserve"> sekä </w:t>
      </w:r>
      <w:hyperlink r:id="rId26">
        <w:r>
          <w:rPr>
            <w:rStyle w:val="LienInternet"/>
          </w:rPr>
          <w:t>johtokunta</w:t>
        </w:r>
      </w:hyperlink>
      <w:r>
        <w:rPr/>
        <w:t>). Täysistunnon ja sen työryhmien keskustelut esitettiin suorana lähetyksenä internetissä, samoin kuin eurooppalaisten kansalaispaneelien kokoukset. Kaikki nämä tiedot ovat saatavilla alustalla.</w:t>
      </w:r>
    </w:p>
    <w:p>
      <w:pPr>
        <w:pStyle w:val="Normal"/>
        <w:rPr/>
      </w:pPr>
      <w:r>
        <w:rPr/>
        <w:t>Koko työn ajan alustalle tehtiin parannuksia aina kun se oli mahdollista lisäämällä esimerkiksi ominaisuuksia tai visuaalista mediaa. Ajan myötä foorumi on myös helpottunut vammaisten henkilöiden saavutettavuutta.</w:t>
      </w:r>
    </w:p>
    <w:p>
      <w:pPr>
        <w:pStyle w:val="Normal"/>
        <w:rPr/>
      </w:pPr>
      <w:r>
        <w:rPr/>
        <w:t>Kaikki foorumin kannanotot olivat julkisia: kaikki voivat käyttää niitä sekä digitaaliseen alustaan linkitettyjä avoimia datatiedostoja, joilla varmistettiin täysi avoimuus. Vastausten keräämisen ja analysoinnin helpottamiseksi komission yhteinen tutkimuskeskus oli kehittänyt automaattisen tekstianalyysityökalun ja analyysialustan, joka mahdollisti monikielisen tulkkauksen ja alustan sisällön perusteellisen analysoinnin. Analyysialusta on osoittautunut välttämättömäksi, jotta voidaan laatia säännöllisiä raportteja, joiden laatutaso on yhdenmukainen kaikilla kielillä. Lisäksi Euroopan komission maaliskuussa 2022 järjestämässä ”datathonissa” kannustettiin uusia lähestymistapoja avoimen datasarjan analysoinnissa ja edistettiin tietojen analysointiprosessin läpinäkyvyyttä.</w:t>
      </w:r>
    </w:p>
    <w:p>
      <w:pPr>
        <w:pStyle w:val="Normal"/>
        <w:rPr/>
      </w:pPr>
      <w:r>
        <w:rPr/>
        <w:t>Antaakseen yleiskuvan alustalla tehdyistä kannanotoista ulkopuolinen palveluntarjoaja on laatinut raportteja, jotka on julkaistu itse alustalla.</w:t>
      </w:r>
    </w:p>
    <w:p>
      <w:pPr>
        <w:pStyle w:val="Normal"/>
        <w:rPr/>
      </w:pPr>
      <w:hyperlink r:id="rId27">
        <w:r>
          <w:rPr>
            <w:rStyle w:val="LienInternet"/>
          </w:rPr>
          <w:t>Ensimmäinen osavuosikatsaus</w:t>
        </w:r>
      </w:hyperlink>
      <w:r>
        <w:rPr/>
        <w:t xml:space="preserve"> julkaistiin syyskuussa: siinä keskityttiin rahoitusosuuksiin</w:t>
      </w:r>
    </w:p>
    <w:p>
      <w:pPr>
        <w:pStyle w:val="Normal"/>
        <w:rPr/>
      </w:pPr>
      <w:r>
        <w:rPr/>
        <w:t xml:space="preserve">toimitettu 2 päivään elokuuta 2021. </w:t>
      </w:r>
      <w:hyperlink r:id="rId28">
        <w:r>
          <w:rPr>
            <w:rStyle w:val="LienInternet"/>
          </w:rPr>
          <w:t>Toinen väliraportti</w:t>
        </w:r>
      </w:hyperlink>
      <w:r>
        <w:rPr/>
        <w:t xml:space="preserve">julkaistiin lokakuun 2021 puolivälissä, ja se kattaa 7. syyskuuta 2021 mennessä toimitetut kannanotot. </w:t>
      </w:r>
      <w:hyperlink r:id="rId29">
        <w:r>
          <w:rPr>
            <w:rStyle w:val="LienInternet"/>
          </w:rPr>
          <w:t>Kolmas väliraportti</w:t>
        </w:r>
      </w:hyperlink>
      <w:r>
        <w:rPr/>
        <w:t xml:space="preserve"> julkaistiin joulukuussa 2021, ja se kattoi kannanottoja 3. marraskuuta 2021 saakka. Konferenssin loppuvaiheen lähestyessä viimeisin raportti, joka inspiroi konferenssin täysistuntojen työtä, julkaistiin maaliskuun 2022 puolivälissä ottaen huomioon digitaalisella alustalla 20. helmikuuta 2022 asti esitetyt kannanotot. Aikataulusta ilmoitettiin selkeästi alustalla ja muualla, minkä seurauksena maksuosuudet kasvoivat tammi- ja helmikuussa 2022. Toukokuun 9. päivään mennessä saatuja kannanottoja käsitellään lisäkertomuksessa. Lisäksi jäsenvaltioiden foorumissa esittämiä kannanottoja koskevat lisäkertomukset asetettiin saataville samaan aikaan kuin syys- ja joulukuussa 2021 ja maaliskuussa 2022 annetut kertomukset.</w:t>
      </w:r>
    </w:p>
    <w:p>
      <w:pPr>
        <w:pStyle w:val="Normal"/>
        <w:rPr/>
      </w:pPr>
      <w:r>
        <w:rPr/>
        <w:t xml:space="preserve">Näissä raporteissa keskityttiin pääasiassa foorumilla julkaistujen vastausten laadulliseen analyysiin, jotta saataisiin yleiskuva foorumilla ehdotettujen ja tapahtumissa keskusteltujen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Kuva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uva5" descr=""/>
                    <pic:cNvPicPr>
                      <a:picLocks noChangeAspect="1" noChangeArrowheads="1"/>
                    </pic:cNvPicPr>
                  </pic:nvPicPr>
                  <pic:blipFill>
                    <a:blip r:embed="rId30"/>
                    <a:stretch>
                      <a:fillRect/>
                    </a:stretch>
                  </pic:blipFill>
                  <pic:spPr bwMode="auto">
                    <a:xfrm>
                      <a:off x="0" y="0"/>
                      <a:ext cx="5779135" cy="3321685"/>
                    </a:xfrm>
                    <a:prstGeom prst="rect">
                      <a:avLst/>
                    </a:prstGeom>
                  </pic:spPr>
                </pic:pic>
              </a:graphicData>
            </a:graphic>
          </wp:anchor>
        </w:drawing>
      </w:r>
      <w:r>
        <w:rPr/>
        <w:t>i</w:t>
      </w:r>
      <w:r>
        <w:rPr/>
        <w:t>deoiden laajuudesta ja moninaisuudesta. Tätä varten tutkimusryhmä suoritti manuaalisen tekstianalyysin ja aineistojen yhdistämisen käyttäen komission Yhteisen tutkimuskeskuksen tarjoamia analyyttisiä välineitä. Tämä mahdollisti yhteisten aiheiden ja alaluokkien tunnistamisen, jotka kuvattiin yksityiskohtaisesti kunkin aiheen alla ja syntetisoidaan käsitteellisissä kaavioissa, joiden avulla ne voitiin visualisoida nopeasti. Tämän laadullisen lähestymistavan täydentämiseksi määrällisillä osatekijöillä, teemoilla, alateemoilla tai ideoilla, jotka tulivat usein takaisin tai joita on paljon kommentoitu tai tuettu, mainittiin kussakin raportissa. Tavoitteena oli kuvastaa konferenssin eri vaiheissa käytyjen keskustelujen tilaa, mukaan lukien tiettyjen ajatusten aiheuttamaa suurta kiinnostusta tai keskustelua. Raporteissa esitettiin myös yleiskuva osallistujien sosiodemografisista tiedoista. Osallistujia pyydettiin antamaan tietoja asuinmaastaan, koulutustasostaan, iästään, sukupuolestaan ja ammatillisesta asemastaan; näiden tietojen valinnaisuus kuitenkin rajoittaa osallistujien profiilin selkeyttä. Esimerkiksi 26,9 prosenttia kaikista maksuista tuli osallistujilta, jotka eivät ilmoittaneet asuinmaataan.</w:t>
      </w:r>
    </w:p>
    <w:p>
      <w:pPr>
        <w:pStyle w:val="Normal"/>
        <w:rPr/>
      </w:pPr>
      <w:r>
        <w:rPr/>
      </w:r>
      <w:r>
        <w:br w:type="page"/>
      </w:r>
    </w:p>
    <w:p>
      <w:pPr>
        <w:pStyle w:val="Normal"/>
        <w:rPr/>
      </w:pPr>
      <w:r>
        <w:rPr/>
        <w:t>Foorumin perustamisesta lähtien teema ”Eurooppalainen demokratia” on ollut se, johon on kirjattu eniten kannanottoja (ideat, kommentit ja tapahtumat). Toinen oli teema ”Ilmastonmuutos ja ympäristö”. ”Muut ideat” -osiossa esitetyt kannanotot tulivat kolmanneksi ”Arvot ja oikeudet, oikeusvaltioperiaate, turvallisuus” ja ”Vahvempi talous, sosiaalinen oikeudenmukaisuus ja työllisyys” edellä.</w:t>
      </w:r>
    </w:p>
    <w:p>
      <w:pPr>
        <w:pStyle w:val="Normal"/>
        <w:rPr/>
      </w:pPr>
      <w:r>
        <w:rPr/>
        <w:t>Foorumilta kerättyjä kannanottoja, myös käsitteellisiä järjestelmiä, koskevat raportit ovat antaneet arvokkaan panoksen eurooppalaisten kansalaispaneelien työhön. Kunkin kolmen paneeliistunnon alussa raportin tärkeimmät havainnot ja käsitteelliset kaaviot esiteltiin paneelille, joka sai linkit kokonaisiin kertomuksiin. Näin monet foorumille ilmestyneet ideat näkyvät eurooppalaisten kansalaispaneelien suosituksissa.</w:t>
      </w:r>
    </w:p>
    <w:p>
      <w:pPr>
        <w:pStyle w:val="Normal"/>
        <w:spacing w:before="2802" w:after="57"/>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Viitekehys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Mitä Euroopan tulevaisuutta käsittelevässä konferenssissa tapahtuu?</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konferenssin osallistujat</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tapahtuman osallistujat</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ideoita</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kommentit</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tapahtumat</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hyväksynnät</w:t>
                                  </w:r>
                                </w:p>
                              </w:tc>
                            </w:tr>
                          </w:tbl>
                          <w:p>
                            <w:pPr>
                              <w:pStyle w:val="Contenudecadre"/>
                              <w:spacing w:before="57" w:after="57"/>
                              <w:rPr/>
                            </w:pPr>
                            <w:r>
                              <w:rPr>
                                <w:color w:val="auto"/>
                              </w:rPr>
                              <w:t xml:space="preserve">Osallistumistilanne 20. huhtikuuta 2022 (lähde: </w:t>
                            </w:r>
                            <w:hyperlink r:id="rId31">
                              <w:r>
                                <w:rPr>
                                  <w:rStyle w:val="LienInternet"/>
                                  <w:color w:val="auto"/>
                                </w:rPr>
                                <w:t>Euroopan tulevaisuutta käsittelevä konferenssi (europa.eu</w:t>
                              </w:r>
                            </w:hyperlink>
                            <w:r>
                              <w:rPr>
                                <w:color w:val="auto"/>
                              </w:rPr>
                              <w:t>)</w:t>
                            </w:r>
                          </w:p>
                        </w:txbxContent>
                      </wps:txbx>
                      <wps:bodyPr lIns="54000" rIns="54000" tIns="54000" bIns="54000">
                        <a:noAutofit/>
                      </wps:bodyPr>
                    </wps:wsp>
                  </a:graphicData>
                </a:graphic>
              </wp:anchor>
            </w:drawing>
          </mc:Choice>
          <mc:Fallback>
            <w:pict>
              <v:rect id="shape_0" ID="Viitekehys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Mitä Euroopan tulevaisuutta käsittelevässä konferenssissa tapahtuu?</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konferenssin osallistujat</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tapahtuman osallistujat</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ideoita</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kommentit</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tapahtumat</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hyväksynnät</w:t>
                            </w:r>
                          </w:p>
                        </w:tc>
                      </w:tr>
                    </w:tbl>
                    <w:p>
                      <w:pPr>
                        <w:pStyle w:val="Contenudecadre"/>
                        <w:spacing w:before="57" w:after="57"/>
                        <w:rPr/>
                      </w:pPr>
                      <w:r>
                        <w:rPr>
                          <w:color w:val="auto"/>
                        </w:rPr>
                        <w:t xml:space="preserve">Osallistumistilanne 20. huhtikuuta 2022 (lähde: </w:t>
                      </w:r>
                      <w:hyperlink r:id="rId32">
                        <w:r>
                          <w:rPr>
                            <w:rStyle w:val="LienInternet"/>
                            <w:color w:val="auto"/>
                          </w:rPr>
                          <w:t>Euroopan tulevaisuutta käsittelevä konferenssi (europa.eu</w:t>
                        </w:r>
                      </w:hyperlink>
                      <w:r>
                        <w:rPr>
                          <w:color w:val="auto"/>
                        </w:rPr>
                        <w:t>)</w:t>
                      </w:r>
                    </w:p>
                  </w:txbxContent>
                </v:textbox>
              </v:rect>
            </w:pict>
          </mc:Fallback>
        </mc:AlternateContent>
      </w:r>
      <w:r>
        <w:rPr/>
        <w:t>Raporteista keskusteltiin myös konferenssin täysistunnoissa 23. lokakuuta 2021 pidetystä täysistunnosta alkaen sekä työryhmien aiemmissa kokouksissa. Näin ollen foorumin kannanotot rikastuttivat edelleen konferenssin täysistunnossa laadittuja ehdotuksia.</w:t>
      </w:r>
    </w:p>
    <w:p>
      <w:pPr>
        <w:pStyle w:val="Normal"/>
        <w:rPr/>
      </w:pPr>
      <w:r>
        <w:rPr/>
        <w:t>20. huhtikuuta 2022 mennessä lähes viisi miljoonaa ainutlaatuista kävijää oli vieraillut monikielisellä digitaalisella alustalla, jossa oli aktiivisia yli 50 000 osallistujaa, 17 000 ideaa ja yli 6 000 rekisteröityä tapahtumaa. Näiden lukujen takana on tuhansia sitoutuneita kansalaisia, jotka jakavat ja keskustelevat monista ideoista ja järjestävät lukuisia omaperäisiä ja innovatiivisia tapahtumia eri jäsenvaltioissa.</w:t>
      </w:r>
    </w:p>
    <w:p>
      <w:pPr>
        <w:pStyle w:val="Normal"/>
        <w:rPr/>
      </w:pPr>
      <w:r>
        <w:rPr/>
        <w:t xml:space="preserve">Jotta voidaan varmistaa, että foorumi on paikka, jossa kansalaiset kaikilta elämänaloilta ja Euroopan kolkilta tuntevat olonsa mukavaksi ja rohkaisevat osallistumaan keskusteluun, kaikkien foorumia käyttävien on täytynyt allekirjoittaa </w:t>
      </w:r>
      <w:hyperlink r:id="rId33">
        <w:r>
          <w:rPr>
            <w:rStyle w:val="LienInternet"/>
          </w:rPr>
          <w:t>konferenssin peruskirja</w:t>
        </w:r>
      </w:hyperlink>
      <w:r>
        <w:rPr/>
        <w:t xml:space="preserve"> ja </w:t>
      </w:r>
      <w:hyperlink r:id="rId34">
        <w:r>
          <w:rPr>
            <w:rStyle w:val="LienInternet"/>
          </w:rPr>
          <w:t>osallistumissäännöt</w:t>
        </w:r>
      </w:hyperlink>
      <w:r>
        <w:rPr/>
        <w:t>. On perustettu moderointiryhmä, joka työskentelee koko konferenssin ajan yhteisen sihteeristön valvonnassa johtokunnan puolesta sen varmistamiseksi, että peruskirjaa ja osallistumissääntöjä noudatetaan. Sisältöä ei ole aiemmin moderoitu. Kun vastaus oli piilotettu, käyttäjä sai moderointiryhmältä viestin, jossa selitettiin syy. Yksityiskohtaiset tiedot periaatteista ja moderointiprosessista on esitetty foorumin Usein kysytyt</w:t>
      </w:r>
      <w:hyperlink r:id="rId35">
        <w:r>
          <w:rPr>
            <w:rStyle w:val="LienInternet"/>
          </w:rPr>
          <w:t>kysymykset</w:t>
        </w:r>
      </w:hyperlink>
      <w:r>
        <w:rPr/>
        <w:t xml:space="preserve"> -osiossa.</w:t>
      </w:r>
    </w:p>
    <w:p>
      <w:pPr>
        <w:pStyle w:val="Normal"/>
        <w:rPr/>
      </w:pPr>
      <w:r>
        <w:rPr/>
        <w:t>Huhtikuun 19. päivän 2021 ja 20. huhtikuuta 2022 välisenä aikana naamioitiin 430 ideaa (2,4 %), 312 kommenttia (1,4 %) ja 396 tapahtumaa (6,0 %). Noin 71 % ideoista oli naamioitu, koska ne eivät sisältäneet ehdotuksia, olivatpa ne roskapostia, käyttäjien pyyntöjä tai koska ne sisälsivät henkilökohtaisia tietoja tai sopimatonta kuvaa; noin 17 % piilotetuista ideoista oli kaksoiskappaleita. Vain 11 prosenttia piilevistä ideoista johtui loukkaavasta sisällöstä. Suurin osa tapahtumista, 76 prosenttia, naamioitiin, koska ne olivat kaksoiskappaleita tai koska tiedot tapahtumasta olivat epätäydellisiä järjestäjien pyynnöstä tai koska ne eivät liittyneet konferenssiin.</w:t>
      </w:r>
    </w:p>
    <w:p>
      <w:pPr>
        <w:pStyle w:val="Normal"/>
        <w:rPr/>
      </w:pPr>
      <w:r>
        <w:rPr/>
        <w:t>Mahdollisuus osallistua foorumiin oli avoinna 9. toukokuuta 2022 saakka. Kyseisen päivämäärän jälkeen laaditaan lisäraportti, jossa täydennetään yhteenveto kaikista konferenssin aikana saaduista kannanotoista.</w:t>
      </w:r>
    </w:p>
    <w:p>
      <w:pPr>
        <w:pStyle w:val="Normal"/>
        <w:rPr/>
      </w:pPr>
      <w:r>
        <w:rPr/>
        <w:t>Foorumiin osallistuminen lisääntyi koko konferenssin ajan, mutta se pysyi epätasaisena eri jäsenvaltioissa ja osallistujien sosiodemografiset profiilit. Yleisesti ottaen foorumi on tarjonnut innovatiivisen keskustelutilan, jonka ansiosta useat tuhannet kansalaiset ja sidosryhmät eri puolilta Eurooppaa ja sen ulkopuolella ovat voineet osallistua monikieliseen verkkokeskusteluun EU-asioista kaikissa jäsenvaltioissa. Se osoittautui arvokkaaksi välineeksi EU:n tason keskusteludemokratiassa.</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Kuva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uva6" descr=""/>
                    <pic:cNvPicPr>
                      <a:picLocks noChangeAspect="1" noChangeArrowheads="1"/>
                    </pic:cNvPicPr>
                  </pic:nvPicPr>
                  <pic:blipFill>
                    <a:blip r:embed="rId36"/>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Kansalaispaneelit</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Eurooppalaiset kansalaispaneelit</w:t>
      </w:r>
    </w:p>
    <w:p>
      <w:pPr>
        <w:pStyle w:val="Corpsdetexte"/>
        <w:rPr/>
      </w:pPr>
      <w:r>
        <w:rPr/>
        <w:t>Eurooppalaiset kansalaispaneelit olivat yksi konferenssin tärkeimmistä pilareista. Niihin kuuluivat kansalliset paneelit, monikieliset digitaaliset foorumit ja konferenssin täysistunto. Ne ovat Euroopan tulevaisuutta käsittelevän konferenssin ytimessä, ja niihin osallistui noin 800 kansalaista Euroopan unionin eri taustoista ja alueista. Vaikka kansalaispaneelien tai -kokousten käsitettä on käytetty jo vuosikymmeniä kuntatasolla ja se on yhä näkyvämpi kansallisella tai alueellisella tasolla, yleiseurooppalaista ulottuvuutta ei ole paljolti tutkittu tällä alalla. Eurooppalaiset kansalaispaneelit olivat ensimmäinen kansainvälinen ja monikielinen kokemus näin laajuudeltaan ja tavoitetasoltaan. Prosessiin liittyvä merkittävä tulkintajärjestelmä johti sidosryhmien väliseen osallistavaan, kunnioittavaan ja tehokkaaseen vuoropuheluun, jolla varmistettiin monikielisyyden kunnioittaminen.</w:t>
      </w:r>
    </w:p>
    <w:p>
      <w:pPr>
        <w:pStyle w:val="Corpsdetexte"/>
        <w:rPr/>
      </w:pPr>
      <w:r>
        <w:rPr/>
        <w:t>Kolme toimielintä järjestivät eurooppalaiset kansalaispaneelit yhteisen julistuksen, työjärjestyksen ja yhteispuheenjohtajien vahvistamien järjestelyjen pohjalta johtokunnan valvonnassa. Niitä tuki ulkopuolisten palveluntarjoajien yhteenliittymä, joka koostui erilaisista neuvotteludemokratian asiantuntijoista ja logistiikan tukiryhmästä. Johtokunnalle tiedotettiin paneelien työskentelystä, päivitettiin käytännön järjestelyjä ja mukautettiin tarvittaessa eurooppalaisten kansalaispaneelien istuntojen alustavaa aikataulua prosessin aikana.</w:t>
      </w:r>
    </w:p>
    <w:p>
      <w:pPr>
        <w:pStyle w:val="Corpsdetexte"/>
        <w:rPr/>
      </w:pPr>
      <w:r>
        <w:rPr/>
        <w:t>Eurooppalaisten kansalaispaneelien osallistujat valittiin kesällä 2021. EU:n kansalaiset valittiin satunnaisesti (lähinnä ulkoisen palveluntarjoajan koordinoimat 27 kansallista tutkimuslaitosta ottivat yhteyttä) tarkoituksenaan muodostaa EU:n moninaisuutta edustavia ”paneleja”, jotka perustuvat viiteen kriteeriin: sukupuoli, ikä, maantieteellinen alkuperä (kansalaisuus sekä kaupunki- ja maaseutuympäristö), sosioekonominen tausta ja koulutustaso. Kunkin jäsenvaltion kansalaisten lukumäärä laskettiin Euroopan parlamentin kokoonpanoon sovellettavan alenevan suhteellisuuden periaatteen mukaisesti ottaen huomioon, että kussakin paneelissa olisi oltava vähintään yksi kansalainen ja yksi kansalainen jäsenvaltiota kohden. Koska konferenssissa kiinnitettiin erityistä huomiota nuoriin, kolmasosa kussakin paneelissa olevista kansalaisista oli 16–24-vuotiaita. Kutakin 200 hengen ryhmää kohti valittiin 50 uutta kansalaista perustamaan reservi.</w:t>
      </w:r>
    </w:p>
    <w:p>
      <w:pPr>
        <w:pStyle w:val="Corpsdetexte"/>
        <w:rPr/>
      </w:pPr>
      <w:r>
        <w:rPr/>
        <w:t>Lisäksi järjestettiin neljä eurooppalaista kansalaispaneelia. Keskusteluaiheet vastasivat monikielisellä digitaalisella foorumilla yksilöityjä aiheita, ja ne ryhmiteltiin seuraavasti:</w:t>
      </w:r>
    </w:p>
    <w:p>
      <w:pPr>
        <w:pStyle w:val="Puce3"/>
        <w:rPr/>
      </w:pPr>
      <w:r>
        <w:rPr/>
        <w:t>1. Vahvempi talous, sosiaalinen oikeudenmukaisuus ja työllisyys; koulutus, kulttuuri, nuoriso ja urheilu; digitaalinen muutos;</w:t>
      </w:r>
    </w:p>
    <w:p>
      <w:pPr>
        <w:pStyle w:val="Puce3"/>
        <w:rPr/>
      </w:pPr>
      <w:r>
        <w:rPr/>
        <w:t>2. Eurooppalainen demokratia; arvot ja oikeudet, oikeusvaltioperiaate, turvallisuus;</w:t>
      </w:r>
    </w:p>
    <w:p>
      <w:pPr>
        <w:pStyle w:val="Puce3"/>
        <w:rPr/>
      </w:pPr>
      <w:r>
        <w:rPr/>
        <w:t>3.Ilmastonmuutos ja ympäristö; terveys;</w:t>
      </w:r>
    </w:p>
    <w:p>
      <w:pPr>
        <w:pStyle w:val="Puce3"/>
        <w:tabs>
          <w:tab w:val="clear" w:pos="720"/>
        </w:tabs>
        <w:rPr/>
      </w:pPr>
      <w:r>
        <w:rPr/>
        <w:t>4.EU maailmassa; maahanmuuttoa.</w:t>
      </w:r>
    </w:p>
    <w:p>
      <w:pPr>
        <w:pStyle w:val="Corpsdetexte"/>
        <w:rPr/>
      </w:pPr>
      <w:r>
        <w:rPr/>
        <w:t>Kukin paneeli kokoontui kolmen viikonlopun ajan. Ensimmäinen istuntosarja pidettiin Strasbourgissa, toinen verkossa ja kolmas neljässä kaupungissa (Dublin, Firenze, Varsova/Natolin ja Maastricht), julkisissa korkeakouluissa ja paikallisviranomaisten tuella.</w:t>
      </w:r>
    </w:p>
    <w:p>
      <w:pPr>
        <w:pStyle w:val="Titre4"/>
        <w:numPr>
          <w:ilvl w:val="3"/>
          <w:numId w:val="2"/>
        </w:numPr>
        <w:rPr/>
      </w:pPr>
      <w:bookmarkStart w:id="11" w:name="__RefHeading___Toc298196_1346298689"/>
      <w:bookmarkEnd w:id="11"/>
      <w:r>
        <w:rPr/>
        <w:t>PANEELIEN ENSIMMÄINEN KIERROS</w:t>
      </w:r>
    </w:p>
    <w:p>
      <w:pPr>
        <w:pStyle w:val="Corpsdetexte"/>
        <w:rPr/>
      </w:pPr>
      <w:r>
        <w:rPr/>
        <w:t>Kunkin paneelin ensimmäisessä istunnossa osallistujat tapasivat fyysisesti Strasbourgissa. Istunnon tavoitteena oli määritellä keskustelujen esityslista. Paneeliin osallistuneet kansalaiset alkoivat pohtimalla ja kehittämällä näkemystään Euroopasta, alkaen tyhjästä sivulta ja yksilöimällä käsiteltävät asiat paneelin pääteemojen puitteissa. Tämän jälkeen he priorisoivat aiheita, joihin ne halusivat keskittyä perusteellisemmin, jotta EU:n toimielimille voitaisiin antaa erityissuosituksia jatkotoimia varten. Keskustelut ja kollektiivinen työ käytiin kahdessa muodossa:</w:t>
      </w:r>
    </w:p>
    <w:p>
      <w:pPr>
        <w:pStyle w:val="Alineanegatifpuce"/>
        <w:numPr>
          <w:ilvl w:val="0"/>
          <w:numId w:val="3"/>
        </w:numPr>
        <w:rPr/>
      </w:pPr>
      <w:r>
        <w:rPr/>
        <w:t xml:space="preserve"> </w:t>
      </w:r>
      <w:r>
        <w:rPr/>
        <w:t>alaryhmissä, joissa on 12–14 kansalaista. Kussakin alaryhmässä puhuttiin neljästä viiteen kieltä, joilla kansalaiset voivat ilmaista itseään omalla kielellään. Alaryhmien työtä ohjasivat ulkoisten palveluntarjoajien yhteenliittymän valitsemat ammattimaiset fasilitaattorit.</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Viitekehys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ISTUNTO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PÄIVÄ 1 </w:t>
                                  </w:r>
                                </w:p>
                                <w:p>
                                  <w:pPr>
                                    <w:pStyle w:val="P68B1DB1Contenudetableau9"/>
                                    <w:spacing w:before="57" w:after="57"/>
                                    <w:jc w:val="center"/>
                                    <w:rPr>
                                      <w:sz w:val="16"/>
                                    </w:rPr>
                                  </w:pPr>
                                  <w:r>
                                    <w:rPr/>
                                    <w:t>Paneelin uusi kokous ja viikonlopun valmistelu</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PÄIVÄ 2 </w:t>
                                  </w:r>
                                </w:p>
                                <w:p>
                                  <w:pPr>
                                    <w:pStyle w:val="P68B1DB1Contenudetableau9"/>
                                    <w:spacing w:before="57" w:after="57"/>
                                    <w:jc w:val="center"/>
                                    <w:rPr>
                                      <w:sz w:val="16"/>
                                    </w:rPr>
                                  </w:pPr>
                                  <w:r>
                                    <w:rPr/>
                                    <w:t>Asiantuntijapanos, Ongelmien tunnistaminen, Ohjeiden tuottaminen</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PÄIVÄ 3 </w:t>
                                  </w:r>
                                </w:p>
                                <w:p>
                                  <w:pPr>
                                    <w:pStyle w:val="P68B1DB1Contenudetableau9"/>
                                    <w:spacing w:before="57" w:after="57"/>
                                    <w:jc w:val="center"/>
                                    <w:rPr>
                                      <w:sz w:val="16"/>
                                    </w:rPr>
                                  </w:pPr>
                                  <w:r>
                                    <w:rPr/>
                                    <w:t>Suuntaviivojen viimeistely, loppuhuomautukset</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Alateemoja käsittelevien asiantuntijoiden panos</w:t>
                                  </w:r>
                                </w:p>
                              </w:tc>
                              <w:tc>
                                <w:tcPr>
                                  <w:tcW w:w="3120" w:type="dxa"/>
                                  <w:gridSpan w:val="2"/>
                                  <w:tcBorders/>
                                  <w:shd w:fill="0000FF" w:val="clear"/>
                                </w:tcPr>
                                <w:p>
                                  <w:pPr>
                                    <w:pStyle w:val="P68B1DB1Contenudetableau9"/>
                                    <w:spacing w:before="57" w:after="57"/>
                                    <w:jc w:val="center"/>
                                    <w:rPr>
                                      <w:sz w:val="16"/>
                                    </w:rPr>
                                  </w:pPr>
                                  <w:r>
                                    <w:rPr/>
                                    <w:t>Asiantuntijoiden lisäpanos</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Tervetuloa, </w:t>
                                  </w:r>
                                </w:p>
                                <w:p>
                                  <w:pPr>
                                    <w:pStyle w:val="P68B1DB1Contenudetableau9"/>
                                    <w:spacing w:before="57" w:after="57"/>
                                    <w:jc w:val="center"/>
                                    <w:rPr>
                                      <w:sz w:val="16"/>
                                    </w:rPr>
                                  </w:pPr>
                                  <w:r>
                                    <w:rPr/>
                                    <w:t xml:space="preserve">Sanoja kansalaisten suurlähettiläille heidän palautteestaan, </w:t>
                                    <w:br/>
                                    <w:t>Alustan päivitys, Agenda</w:t>
                                  </w:r>
                                </w:p>
                              </w:tc>
                              <w:tc>
                                <w:tcPr>
                                  <w:tcW w:w="3120" w:type="dxa"/>
                                  <w:gridSpan w:val="2"/>
                                  <w:tcBorders/>
                                  <w:shd w:fill="00FF00" w:val="clear"/>
                                </w:tcPr>
                                <w:p>
                                  <w:pPr>
                                    <w:pStyle w:val="P68B1DB1Contenudetableau9"/>
                                    <w:spacing w:before="57" w:after="57"/>
                                    <w:jc w:val="center"/>
                                    <w:rPr>
                                      <w:sz w:val="16"/>
                                    </w:rPr>
                                  </w:pPr>
                                  <w:r>
                                    <w:rPr/>
                                    <w:t>Suuntaviivojen laatiminen</w:t>
                                  </w:r>
                                </w:p>
                              </w:tc>
                              <w:tc>
                                <w:tcPr>
                                  <w:tcW w:w="3120" w:type="dxa"/>
                                  <w:gridSpan w:val="2"/>
                                  <w:tcBorders/>
                                  <w:shd w:fill="00FF00" w:val="clear"/>
                                </w:tcPr>
                                <w:p>
                                  <w:pPr>
                                    <w:pStyle w:val="P68B1DB1Contenudetableau9"/>
                                    <w:spacing w:before="57" w:after="57"/>
                                    <w:jc w:val="center"/>
                                    <w:rPr>
                                      <w:sz w:val="16"/>
                                    </w:rPr>
                                  </w:pPr>
                                  <w:r>
                                    <w:rPr/>
                                    <w:t xml:space="preserve"> </w:t>
                                  </w:r>
                                  <w:r>
                                    <w:rPr/>
                                    <w:t>Suuntaviivojen viimeistely</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Tiettyjen suuntaviivojen jakaminen, </w:t>
                                    <w:br/>
                                    <w:t>Loppuhuomautukset</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Täysistunto</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Teeman täysistunto</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Alaryhmän istunto</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wps:txbx>
                      <wps:bodyPr lIns="54000" rIns="54000" tIns="54000" bIns="54000">
                        <a:noAutofit/>
                      </wps:bodyPr>
                    </wps:wsp>
                  </a:graphicData>
                </a:graphic>
              </wp:anchor>
            </w:drawing>
          </mc:Choice>
          <mc:Fallback>
            <w:pict>
              <v:rect id="shape_0" ID="Viitekehys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ISTUNTO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PÄIVÄ 1 </w:t>
                            </w:r>
                          </w:p>
                          <w:p>
                            <w:pPr>
                              <w:pStyle w:val="P68B1DB1Contenudetableau9"/>
                              <w:spacing w:before="57" w:after="57"/>
                              <w:jc w:val="center"/>
                              <w:rPr>
                                <w:sz w:val="16"/>
                              </w:rPr>
                            </w:pPr>
                            <w:r>
                              <w:rPr/>
                              <w:t>Paneelin uusi kokous ja viikonlopun valmistelu</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PÄIVÄ 2 </w:t>
                            </w:r>
                          </w:p>
                          <w:p>
                            <w:pPr>
                              <w:pStyle w:val="P68B1DB1Contenudetableau9"/>
                              <w:spacing w:before="57" w:after="57"/>
                              <w:jc w:val="center"/>
                              <w:rPr>
                                <w:sz w:val="16"/>
                              </w:rPr>
                            </w:pPr>
                            <w:r>
                              <w:rPr/>
                              <w:t>Asiantuntijapanos, Ongelmien tunnistaminen, Ohjeiden tuottaminen</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PÄIVÄ 3 </w:t>
                            </w:r>
                          </w:p>
                          <w:p>
                            <w:pPr>
                              <w:pStyle w:val="P68B1DB1Contenudetableau9"/>
                              <w:spacing w:before="57" w:after="57"/>
                              <w:jc w:val="center"/>
                              <w:rPr>
                                <w:sz w:val="16"/>
                              </w:rPr>
                            </w:pPr>
                            <w:r>
                              <w:rPr/>
                              <w:t>Suuntaviivojen viimeistely, loppuhuomautukset</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Alateemoja käsittelevien asiantuntijoiden panos</w:t>
                            </w:r>
                          </w:p>
                        </w:tc>
                        <w:tc>
                          <w:tcPr>
                            <w:tcW w:w="3120" w:type="dxa"/>
                            <w:gridSpan w:val="2"/>
                            <w:tcBorders/>
                            <w:shd w:fill="0000FF" w:val="clear"/>
                          </w:tcPr>
                          <w:p>
                            <w:pPr>
                              <w:pStyle w:val="P68B1DB1Contenudetableau9"/>
                              <w:spacing w:before="57" w:after="57"/>
                              <w:jc w:val="center"/>
                              <w:rPr>
                                <w:sz w:val="16"/>
                              </w:rPr>
                            </w:pPr>
                            <w:r>
                              <w:rPr/>
                              <w:t>Asiantuntijoiden lisäpanos</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Tervetuloa, </w:t>
                            </w:r>
                          </w:p>
                          <w:p>
                            <w:pPr>
                              <w:pStyle w:val="P68B1DB1Contenudetableau9"/>
                              <w:spacing w:before="57" w:after="57"/>
                              <w:jc w:val="center"/>
                              <w:rPr>
                                <w:sz w:val="16"/>
                              </w:rPr>
                            </w:pPr>
                            <w:r>
                              <w:rPr/>
                              <w:t xml:space="preserve">Sanoja kansalaisten suurlähettiläille heidän palautteestaan, </w:t>
                              <w:br/>
                              <w:t>Alustan päivitys, Agenda</w:t>
                            </w:r>
                          </w:p>
                        </w:tc>
                        <w:tc>
                          <w:tcPr>
                            <w:tcW w:w="3120" w:type="dxa"/>
                            <w:gridSpan w:val="2"/>
                            <w:tcBorders/>
                            <w:shd w:fill="00FF00" w:val="clear"/>
                          </w:tcPr>
                          <w:p>
                            <w:pPr>
                              <w:pStyle w:val="P68B1DB1Contenudetableau9"/>
                              <w:spacing w:before="57" w:after="57"/>
                              <w:jc w:val="center"/>
                              <w:rPr>
                                <w:sz w:val="16"/>
                              </w:rPr>
                            </w:pPr>
                            <w:r>
                              <w:rPr/>
                              <w:t>Suuntaviivojen laatiminen</w:t>
                            </w:r>
                          </w:p>
                        </w:tc>
                        <w:tc>
                          <w:tcPr>
                            <w:tcW w:w="3120" w:type="dxa"/>
                            <w:gridSpan w:val="2"/>
                            <w:tcBorders/>
                            <w:shd w:fill="00FF00" w:val="clear"/>
                          </w:tcPr>
                          <w:p>
                            <w:pPr>
                              <w:pStyle w:val="P68B1DB1Contenudetableau9"/>
                              <w:spacing w:before="57" w:after="57"/>
                              <w:jc w:val="center"/>
                              <w:rPr>
                                <w:sz w:val="16"/>
                              </w:rPr>
                            </w:pPr>
                            <w:r>
                              <w:rPr/>
                              <w:t xml:space="preserve"> </w:t>
                            </w:r>
                            <w:r>
                              <w:rPr/>
                              <w:t>Suuntaviivojen viimeistely</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Tiettyjen suuntaviivojen jakaminen, </w:t>
                              <w:br/>
                              <w:t>Loppuhuomautukset</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Täysistunto</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Teeman täysistunto</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Alaryhmän istunto</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v:textbox>
              </v:rect>
            </w:pict>
          </mc:Fallback>
        </mc:AlternateContent>
      </w:r>
      <w:r>
        <w:rPr/>
        <w:t xml:space="preserve"> </w:t>
      </w:r>
      <w:r>
        <w:rPr/>
        <w:t>täysistunnossa, kaikkien osallistujien kanssa. Täysistuntoja johti kaksi päävalvojaa. Keskusteluissa syntyneet ensisijaiset aiheet jaettiin ”akseliin” (vastaa temaattisia klustereita) ja ”alaakseliin”, ja ne toimivat perustana toiselle istuntosarjalle. Tätä varten osallistujat saivat taustatietoa aiheista sekä asiaan liittyviä kannanottoja, mukaan lukien analyysit ja käsitteelliset kaaviot, monikielisen digitaalisen foorumin ensimmäisestä väliraportista ja korkean tason ulkopuolisten asiantuntijoiden esitelmistä.</w:t>
      </w:r>
    </w:p>
    <w:p>
      <w:pPr>
        <w:pStyle w:val="Corpsdetexte"/>
        <w:rPr/>
      </w:pPr>
      <w:r>
        <w:rPr/>
        <w:t>Ensimmäisten istuntojen aikana 20 henkilöä, joita pyydettiin edustamaan kutakin täysistuntopaneelia, valittiin vapaaehtoisten kansalaisten keskuudesta. tätä varten häntä tarkkailtiin iän ja sukupuolen monimuotoisuudesta.</w:t>
      </w:r>
    </w:p>
    <w:p>
      <w:pPr>
        <w:pStyle w:val="Titre4"/>
        <w:numPr>
          <w:ilvl w:val="3"/>
          <w:numId w:val="2"/>
        </w:numPr>
        <w:rPr/>
      </w:pPr>
      <w:bookmarkStart w:id="12" w:name="__RefHeading___Toc298198_1346298689"/>
      <w:bookmarkEnd w:id="12"/>
      <w:r>
        <w:rPr/>
        <w:t>PANEELIN ISTUNTOJEN TOINEN KIERROS</w:t>
      </w:r>
    </w:p>
    <w:p>
      <w:pPr>
        <w:pStyle w:val="Corpsdetexte"/>
        <w:rPr/>
      </w:pPr>
      <w:r>
        <w:rPr/>
        <w:t>Eurooppalaiset kansalaispaneelit jatkoivat työskentelyään verkossa koko marraskuun ajan. Tätä tarkoitusta varten on otettu käyttöön erityisjärjestelmä: Brysselissä sijaitsevassa studiossa järjestettiin tärkeimmät moderointi- ja täysistuntotilaisuudet, ja osallistujat eri puolilta EU:ta voisivat puuttua asiaan yhteys- ja tulkkausjärjestelmän kautta.</w:t>
      </w:r>
    </w:p>
    <w:p>
      <w:pPr>
        <w:pStyle w:val="Corpsdetexte"/>
        <w:rPr/>
      </w:pPr>
      <w:r>
        <w:rPr/>
        <w:t>Toisella istuntokierroksella kansalaiset tunnistivat asiantuntijoiden ja faktantarkistajien tuella joukon erityiskysymyksiä ja laativat suuntaviivat kullekin ensimmäisessä istunnossa yksilöidylle aihekohtaiselle toimintalinjalle. Erityistä huomiota on kiinnitetty sukupuolten tasa-arvoon ja maantieteelliseen tasapainoon asiantuntijaryhmässä ja että kukin näistä asiantuntijoista antaa panoksellaan kansalaisille syvällistä tietoa tiedottamalla tosiasioista ja/tai edistymisestä keskustelussa ja pidättäytymällä antamasta henkilökohtaisia mielipiteitä. Kansalaisille toimitettiin myös monikielisen digitaalisen alustan väliraportit.</w:t>
      </w:r>
    </w:p>
    <w:p>
      <w:pPr>
        <w:pStyle w:val="Corpsdetexte"/>
        <w:rPr/>
      </w:pPr>
      <w:r>
        <w:rPr/>
        <w:t>He pystyivät näin yksilöimään ja keskustelemaan aiheista, jotka liittyvät heille osoitettuihin teemoihin, käyttäen perustana asiantuntijoiden näkemyksiä käsiteltävistä aiheista sekä omia tietojaan ja kokemuksiaan toisella istuntokierroksella käydyissä keskusteluissa. Ongelmat on määritelty ongelmia, jotka vaativat ratkaisuja tai tilanteita, jotka vaativat muutosta.</w:t>
      </w:r>
    </w:p>
    <w:p>
      <w:pPr>
        <w:pStyle w:val="Corpsdetexte"/>
        <w:rPr/>
      </w:pPr>
      <w:r>
        <w:rPr/>
        <w:t>Tämän jälkeen kansalaiset käsittelivät näitä kysymyksiä laatimalla suuntaviivoja, jotka olivat ensimmäinen askel kohti suositusten laatimista, mikä oli kolmannen istuntosarjan tavoite. Myös kansalaisia pyydettiin perustelemaan nämä suuntaviivat.</w:t>
      </w:r>
    </w:p>
    <w:p>
      <w:pPr>
        <w:pStyle w:val="Corpsdetexte"/>
        <w:rPr/>
      </w:pPr>
      <w:r>
        <w:rPr/>
        <w:t>Keskustelut ja kollektiivinen työ käytiin kolmessa muodossa:</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Viitekehys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ISTUNTO 3</w:t>
                                  </w:r>
                                </w:p>
                              </w:tc>
                            </w:tr>
                            <w:tr>
                              <w:trPr/>
                              <w:tc>
                                <w:tcPr>
                                  <w:tcW w:w="3138" w:type="dxa"/>
                                  <w:tcBorders/>
                                  <w:shd w:fill="0000FF" w:val="clear"/>
                                </w:tcPr>
                                <w:p>
                                  <w:pPr>
                                    <w:pStyle w:val="P68B1DB1Contenudetableau10"/>
                                    <w:spacing w:before="57" w:after="57"/>
                                    <w:jc w:val="center"/>
                                    <w:rPr>
                                      <w:b/>
                                      <w:b/>
                                    </w:rPr>
                                  </w:pPr>
                                  <w:r>
                                    <w:rPr/>
                                    <w:t xml:space="preserve">PÄIVÄ 1 </w:t>
                                  </w:r>
                                </w:p>
                                <w:p>
                                  <w:pPr>
                                    <w:pStyle w:val="Contenudetableau"/>
                                    <w:spacing w:before="57" w:after="57"/>
                                    <w:jc w:val="center"/>
                                    <w:rPr/>
                                  </w:pPr>
                                  <w:r>
                                    <w:rPr/>
                                    <w:t>Uudelleenkytkeminen, priorisointi ja työn aloittaminen</w:t>
                                  </w:r>
                                </w:p>
                              </w:tc>
                              <w:tc>
                                <w:tcPr>
                                  <w:tcW w:w="3138" w:type="dxa"/>
                                  <w:tcBorders/>
                                  <w:shd w:fill="0000FF" w:val="clear"/>
                                </w:tcPr>
                                <w:p>
                                  <w:pPr>
                                    <w:pStyle w:val="P68B1DB1Contenudetableau10"/>
                                    <w:spacing w:before="57" w:after="57"/>
                                    <w:jc w:val="center"/>
                                    <w:rPr>
                                      <w:b/>
                                      <w:b/>
                                    </w:rPr>
                                  </w:pPr>
                                  <w:r>
                                    <w:rPr/>
                                    <w:t xml:space="preserve">PÄIVÄ 2 </w:t>
                                  </w:r>
                                </w:p>
                                <w:p>
                                  <w:pPr>
                                    <w:pStyle w:val="Contenudetableau"/>
                                    <w:jc w:val="center"/>
                                    <w:rPr/>
                                  </w:pPr>
                                  <w:r>
                                    <w:rPr/>
                                    <w:t xml:space="preserve">Suuntaviivojen muuttaminen </w:t>
                                  </w:r>
                                </w:p>
                                <w:p>
                                  <w:pPr>
                                    <w:pStyle w:val="Contenudetableau"/>
                                    <w:spacing w:before="57" w:after="57"/>
                                    <w:jc w:val="center"/>
                                    <w:rPr/>
                                  </w:pPr>
                                  <w:r>
                                    <w:rPr/>
                                    <w:t>lopulliset suositukset</w:t>
                                  </w:r>
                                </w:p>
                              </w:tc>
                              <w:tc>
                                <w:tcPr>
                                  <w:tcW w:w="3138" w:type="dxa"/>
                                  <w:tcBorders/>
                                  <w:shd w:fill="0000FF" w:val="clear"/>
                                </w:tcPr>
                                <w:p>
                                  <w:pPr>
                                    <w:pStyle w:val="P68B1DB1Contenudetableau10"/>
                                    <w:spacing w:before="57" w:after="57"/>
                                    <w:jc w:val="center"/>
                                    <w:rPr>
                                      <w:b/>
                                      <w:b/>
                                    </w:rPr>
                                  </w:pPr>
                                  <w:r>
                                    <w:rPr/>
                                    <w:t xml:space="preserve">PÄIVÄ 3 </w:t>
                                  </w:r>
                                </w:p>
                                <w:p>
                                  <w:pPr>
                                    <w:pStyle w:val="Contenudetableau"/>
                                    <w:spacing w:before="57" w:after="57"/>
                                    <w:jc w:val="center"/>
                                    <w:rPr/>
                                  </w:pPr>
                                  <w:r>
                                    <w:rPr/>
                                    <w:t>Äänestys lopullisista suosituksista</w:t>
                                  </w:r>
                                </w:p>
                              </w:tc>
                            </w:tr>
                            <w:tr>
                              <w:trPr/>
                              <w:tc>
                                <w:tcPr>
                                  <w:tcW w:w="3138" w:type="dxa"/>
                                  <w:tcBorders/>
                                  <w:shd w:fill="800000" w:val="clear"/>
                                </w:tcPr>
                                <w:p>
                                  <w:pPr>
                                    <w:pStyle w:val="Contenudetableau"/>
                                    <w:spacing w:before="57" w:after="57"/>
                                    <w:jc w:val="center"/>
                                    <w:rPr/>
                                  </w:pPr>
                                  <w:r>
                                    <w:rPr/>
                                    <w:t>Tervetuloa ja viikonlopun tavoitteita</w:t>
                                  </w:r>
                                </w:p>
                              </w:tc>
                              <w:tc>
                                <w:tcPr>
                                  <w:tcW w:w="3138" w:type="dxa"/>
                                  <w:tcBorders/>
                                  <w:shd w:fill="00FF00" w:val="clear"/>
                                </w:tcPr>
                                <w:p>
                                  <w:pPr>
                                    <w:pStyle w:val="Contenudetableau"/>
                                    <w:spacing w:before="57" w:after="57"/>
                                    <w:jc w:val="center"/>
                                    <w:rPr/>
                                  </w:pPr>
                                  <w:r>
                                    <w:rPr/>
                                    <w:t>Ohjeiden muuttaminen suosituksiksi</w:t>
                                  </w:r>
                                </w:p>
                              </w:tc>
                              <w:tc>
                                <w:tcPr>
                                  <w:tcW w:w="3138" w:type="dxa"/>
                                  <w:tcBorders/>
                                  <w:shd w:fill="800000" w:val="clear"/>
                                </w:tcPr>
                                <w:p>
                                  <w:pPr>
                                    <w:pStyle w:val="Contenudetableau"/>
                                    <w:spacing w:before="57" w:after="57"/>
                                    <w:jc w:val="center"/>
                                    <w:rPr/>
                                  </w:pPr>
                                  <w:r>
                                    <w:rPr/>
                                    <w:t>Äänestys lopullisista suosituksista</w:t>
                                  </w:r>
                                </w:p>
                              </w:tc>
                            </w:tr>
                            <w:tr>
                              <w:trPr/>
                              <w:tc>
                                <w:tcPr>
                                  <w:tcW w:w="3138" w:type="dxa"/>
                                  <w:tcBorders/>
                                  <w:shd w:fill="0000FF" w:val="clear"/>
                                </w:tcPr>
                                <w:p>
                                  <w:pPr>
                                    <w:pStyle w:val="Contenudetableau"/>
                                    <w:spacing w:before="57" w:after="57"/>
                                    <w:jc w:val="center"/>
                                    <w:rPr/>
                                  </w:pPr>
                                  <w:r>
                                    <w:rPr/>
                                    <w:t xml:space="preserve">Avoin foorumi, </w:t>
                                  </w:r>
                                </w:p>
                                <w:p>
                                  <w:pPr>
                                    <w:pStyle w:val="Contenudetableau"/>
                                    <w:spacing w:before="57" w:after="57"/>
                                    <w:jc w:val="center"/>
                                    <w:rPr/>
                                  </w:pPr>
                                  <w:r>
                                    <w:rPr/>
                                    <w:t>Suuntaviivojen lukeminen ja priorisointi</w:t>
                                  </w:r>
                                </w:p>
                              </w:tc>
                              <w:tc>
                                <w:tcPr>
                                  <w:tcW w:w="3138" w:type="dxa"/>
                                  <w:tcBorders/>
                                  <w:shd w:fill="00FF00" w:val="clear"/>
                                </w:tcPr>
                                <w:p>
                                  <w:pPr>
                                    <w:pStyle w:val="Contenudetableau"/>
                                    <w:spacing w:before="57" w:after="57"/>
                                    <w:jc w:val="center"/>
                                    <w:rPr/>
                                  </w:pPr>
                                  <w:r>
                                    <w:rPr/>
                                    <w:t>Palaute muille ryhmille, suositusten viimeistely</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Ohjeiden muuttaminen suosituksiksi</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Täysistunto</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Avoin foorumi</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Alaryhmän työskentely</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wps:txbx>
                      <wps:bodyPr lIns="54000" rIns="54000" tIns="54000" bIns="54000">
                        <a:noAutofit/>
                      </wps:bodyPr>
                    </wps:wsp>
                  </a:graphicData>
                </a:graphic>
              </wp:anchor>
            </w:drawing>
          </mc:Choice>
          <mc:Fallback>
            <w:pict>
              <v:rect id="shape_0" ID="Viitekehys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ISTUNTO 3</w:t>
                            </w:r>
                          </w:p>
                        </w:tc>
                      </w:tr>
                      <w:tr>
                        <w:trPr/>
                        <w:tc>
                          <w:tcPr>
                            <w:tcW w:w="3138" w:type="dxa"/>
                            <w:tcBorders/>
                            <w:shd w:fill="0000FF" w:val="clear"/>
                          </w:tcPr>
                          <w:p>
                            <w:pPr>
                              <w:pStyle w:val="P68B1DB1Contenudetableau10"/>
                              <w:spacing w:before="57" w:after="57"/>
                              <w:jc w:val="center"/>
                              <w:rPr>
                                <w:b/>
                                <w:b/>
                              </w:rPr>
                            </w:pPr>
                            <w:r>
                              <w:rPr/>
                              <w:t xml:space="preserve">PÄIVÄ 1 </w:t>
                            </w:r>
                          </w:p>
                          <w:p>
                            <w:pPr>
                              <w:pStyle w:val="Contenudetableau"/>
                              <w:spacing w:before="57" w:after="57"/>
                              <w:jc w:val="center"/>
                              <w:rPr/>
                            </w:pPr>
                            <w:r>
                              <w:rPr/>
                              <w:t>Uudelleenkytkeminen, priorisointi ja työn aloittaminen</w:t>
                            </w:r>
                          </w:p>
                        </w:tc>
                        <w:tc>
                          <w:tcPr>
                            <w:tcW w:w="3138" w:type="dxa"/>
                            <w:tcBorders/>
                            <w:shd w:fill="0000FF" w:val="clear"/>
                          </w:tcPr>
                          <w:p>
                            <w:pPr>
                              <w:pStyle w:val="P68B1DB1Contenudetableau10"/>
                              <w:spacing w:before="57" w:after="57"/>
                              <w:jc w:val="center"/>
                              <w:rPr>
                                <w:b/>
                                <w:b/>
                              </w:rPr>
                            </w:pPr>
                            <w:r>
                              <w:rPr/>
                              <w:t xml:space="preserve">PÄIVÄ 2 </w:t>
                            </w:r>
                          </w:p>
                          <w:p>
                            <w:pPr>
                              <w:pStyle w:val="Contenudetableau"/>
                              <w:jc w:val="center"/>
                              <w:rPr/>
                            </w:pPr>
                            <w:r>
                              <w:rPr/>
                              <w:t xml:space="preserve">Suuntaviivojen muuttaminen </w:t>
                            </w:r>
                          </w:p>
                          <w:p>
                            <w:pPr>
                              <w:pStyle w:val="Contenudetableau"/>
                              <w:spacing w:before="57" w:after="57"/>
                              <w:jc w:val="center"/>
                              <w:rPr/>
                            </w:pPr>
                            <w:r>
                              <w:rPr/>
                              <w:t>lopulliset suositukset</w:t>
                            </w:r>
                          </w:p>
                        </w:tc>
                        <w:tc>
                          <w:tcPr>
                            <w:tcW w:w="3138" w:type="dxa"/>
                            <w:tcBorders/>
                            <w:shd w:fill="0000FF" w:val="clear"/>
                          </w:tcPr>
                          <w:p>
                            <w:pPr>
                              <w:pStyle w:val="P68B1DB1Contenudetableau10"/>
                              <w:spacing w:before="57" w:after="57"/>
                              <w:jc w:val="center"/>
                              <w:rPr>
                                <w:b/>
                                <w:b/>
                              </w:rPr>
                            </w:pPr>
                            <w:r>
                              <w:rPr/>
                              <w:t xml:space="preserve">PÄIVÄ 3 </w:t>
                            </w:r>
                          </w:p>
                          <w:p>
                            <w:pPr>
                              <w:pStyle w:val="Contenudetableau"/>
                              <w:spacing w:before="57" w:after="57"/>
                              <w:jc w:val="center"/>
                              <w:rPr/>
                            </w:pPr>
                            <w:r>
                              <w:rPr/>
                              <w:t>Äänestys lopullisista suosituksista</w:t>
                            </w:r>
                          </w:p>
                        </w:tc>
                      </w:tr>
                      <w:tr>
                        <w:trPr/>
                        <w:tc>
                          <w:tcPr>
                            <w:tcW w:w="3138" w:type="dxa"/>
                            <w:tcBorders/>
                            <w:shd w:fill="800000" w:val="clear"/>
                          </w:tcPr>
                          <w:p>
                            <w:pPr>
                              <w:pStyle w:val="Contenudetableau"/>
                              <w:spacing w:before="57" w:after="57"/>
                              <w:jc w:val="center"/>
                              <w:rPr/>
                            </w:pPr>
                            <w:r>
                              <w:rPr/>
                              <w:t>Tervetuloa ja viikonlopun tavoitteita</w:t>
                            </w:r>
                          </w:p>
                        </w:tc>
                        <w:tc>
                          <w:tcPr>
                            <w:tcW w:w="3138" w:type="dxa"/>
                            <w:tcBorders/>
                            <w:shd w:fill="00FF00" w:val="clear"/>
                          </w:tcPr>
                          <w:p>
                            <w:pPr>
                              <w:pStyle w:val="Contenudetableau"/>
                              <w:spacing w:before="57" w:after="57"/>
                              <w:jc w:val="center"/>
                              <w:rPr/>
                            </w:pPr>
                            <w:r>
                              <w:rPr/>
                              <w:t>Ohjeiden muuttaminen suosituksiksi</w:t>
                            </w:r>
                          </w:p>
                        </w:tc>
                        <w:tc>
                          <w:tcPr>
                            <w:tcW w:w="3138" w:type="dxa"/>
                            <w:tcBorders/>
                            <w:shd w:fill="800000" w:val="clear"/>
                          </w:tcPr>
                          <w:p>
                            <w:pPr>
                              <w:pStyle w:val="Contenudetableau"/>
                              <w:spacing w:before="57" w:after="57"/>
                              <w:jc w:val="center"/>
                              <w:rPr/>
                            </w:pPr>
                            <w:r>
                              <w:rPr/>
                              <w:t>Äänestys lopullisista suosituksista</w:t>
                            </w:r>
                          </w:p>
                        </w:tc>
                      </w:tr>
                      <w:tr>
                        <w:trPr/>
                        <w:tc>
                          <w:tcPr>
                            <w:tcW w:w="3138" w:type="dxa"/>
                            <w:tcBorders/>
                            <w:shd w:fill="0000FF" w:val="clear"/>
                          </w:tcPr>
                          <w:p>
                            <w:pPr>
                              <w:pStyle w:val="Contenudetableau"/>
                              <w:spacing w:before="57" w:after="57"/>
                              <w:jc w:val="center"/>
                              <w:rPr/>
                            </w:pPr>
                            <w:r>
                              <w:rPr/>
                              <w:t xml:space="preserve">Avoin foorumi, </w:t>
                            </w:r>
                          </w:p>
                          <w:p>
                            <w:pPr>
                              <w:pStyle w:val="Contenudetableau"/>
                              <w:spacing w:before="57" w:after="57"/>
                              <w:jc w:val="center"/>
                              <w:rPr/>
                            </w:pPr>
                            <w:r>
                              <w:rPr/>
                              <w:t>Suuntaviivojen lukeminen ja priorisointi</w:t>
                            </w:r>
                          </w:p>
                        </w:tc>
                        <w:tc>
                          <w:tcPr>
                            <w:tcW w:w="3138" w:type="dxa"/>
                            <w:tcBorders/>
                            <w:shd w:fill="00FF00" w:val="clear"/>
                          </w:tcPr>
                          <w:p>
                            <w:pPr>
                              <w:pStyle w:val="Contenudetableau"/>
                              <w:spacing w:before="57" w:after="57"/>
                              <w:jc w:val="center"/>
                              <w:rPr/>
                            </w:pPr>
                            <w:r>
                              <w:rPr/>
                              <w:t>Palaute muille ryhmille, suositusten viimeistely</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Ohjeiden muuttaminen suosituksiksi</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Täysistunto</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Avoin foorumi</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Alaryhmän työskentely</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v:textbox>
              </v:rect>
            </w:pict>
          </mc:Fallback>
        </mc:AlternateContent>
      </w:r>
      <w:r>
        <w:rPr/>
        <w:t xml:space="preserve"> </w:t>
      </w:r>
      <w:r>
        <w:rPr/>
        <w:t>alaryhmissä. Kukin 15 alaryhmästä koostui kahdestatoista neljääntoista kansalaiseen. Kussakin alaryhmässä käytettiin neljästä viiteen kieltä, jotta kansalaiset voisivat ilmaista itseään omalla kielellään tai kielellä, jolla he tunsivat olonsa mukavaksi. Kullakin alaryhmällä oli ulkopuolisten palveluntarjoajien yhteenliittymän ammatillinen avustaja.</w:t>
      </w:r>
    </w:p>
    <w:p>
      <w:pPr>
        <w:pStyle w:val="Alineanegatifpuce"/>
        <w:numPr>
          <w:ilvl w:val="0"/>
          <w:numId w:val="3"/>
        </w:numPr>
        <w:rPr/>
      </w:pPr>
      <w:r>
        <w:rPr/>
        <w:t xml:space="preserve"> </w:t>
      </w:r>
      <w:r>
        <w:rPr/>
        <w:t>täysistunnossa, jonka aiheena oli työvirta. Kukin työlinjalle omistettu täysistunto kokoaa yhteen samaa temaattista toimintalinjaa käsittelevät alaryhmät. Työvirralle omistettuja täysistuntoja avustivat ammattilaiset, ja tulkkaus kattoi kaikki osallistujien vaatimat kielet.</w:t>
      </w:r>
    </w:p>
    <w:p>
      <w:pPr>
        <w:pStyle w:val="Alineanegatifpuce"/>
        <w:numPr>
          <w:ilvl w:val="0"/>
          <w:numId w:val="3"/>
        </w:numPr>
        <w:rPr/>
      </w:pPr>
      <w:r>
        <w:rPr/>
        <w:t xml:space="preserve"> </w:t>
      </w:r>
      <w:r>
        <w:rPr/>
        <w:t>täysistuntoon osallistuneiden kansalaisten läsnäollessa ja päättämisessä. Täysistuntoja johti kaksi konsortion pääjärjestäjää, joista tulkkattiin EU:n 24 virallisella kielellä.</w:t>
      </w:r>
    </w:p>
    <w:p>
      <w:pPr>
        <w:pStyle w:val="Alineanegatifpuce"/>
        <w:numPr>
          <w:ilvl w:val="0"/>
          <w:numId w:val="0"/>
        </w:numPr>
        <w:ind w:left="0" w:right="0" w:hanging="0"/>
        <w:rPr/>
      </w:pPr>
      <w:r>
        <w:rPr/>
      </w:r>
      <w:r>
        <w:br w:type="page"/>
      </w:r>
    </w:p>
    <w:p>
      <w:pPr>
        <w:pStyle w:val="Titre4"/>
        <w:numPr>
          <w:ilvl w:val="3"/>
          <w:numId w:val="2"/>
        </w:numPr>
        <w:rPr/>
      </w:pPr>
      <w:bookmarkStart w:id="13" w:name="__RefHeading___Toc298200_1346298689"/>
      <w:bookmarkEnd w:id="13"/>
      <w:r>
        <w:rPr/>
        <w:t>PANEELIEN KOLMAS KIERROS</w:t>
      </w:r>
    </w:p>
    <w:p>
      <w:pPr>
        <w:pStyle w:val="Corpsdetexte"/>
        <w:rPr/>
      </w:pPr>
      <w:r>
        <w:rPr/>
        <w:t>Paneelin kolmas ja viimeinen kierros järjestettiin henkilökohtaisesti oppilaitoksissa neljässä jäsenvaltiossa. Covid-19-pandemian ja siihen liittyvien toimenpiteiden vuoksi Irlannissa ja Alankomaissa paneelien 1 kolmas kokous (Vahvempi talous, sosiaalinen oikeudenmukaisuus ja työllisyys); koulutus, kulttuuri, nuoriso ja urheilu; digitalisaatio) ja 4 (EU maailmassa; maahanmuuttoa) oli lykättävä helmikuuhun 2022 kuullen kansallisia viranomaisia ja assosioituneita kumppaneita.</w:t>
      </w:r>
    </w:p>
    <w:p>
      <w:pPr>
        <w:pStyle w:val="Corpsdetexte"/>
        <w:rPr/>
      </w:pPr>
      <w:r>
        <w:rPr/>
        <w:t xml:space="preserve">Keskustelut ja kollektiivinen työ käytiin seuraavissa muodoissa: </w:t>
      </w:r>
    </w:p>
    <w:p>
      <w:pPr>
        <w:pStyle w:val="Alineanegatifpuce"/>
        <w:numPr>
          <w:ilvl w:val="0"/>
          <w:numId w:val="3"/>
        </w:numPr>
        <w:rPr/>
      </w:pPr>
      <w:r>
        <w:rPr/>
        <w:t xml:space="preserve"> </w:t>
      </w:r>
      <w:r>
        <w:rPr/>
        <w:t>täysistunnossa, johon osallistuvat kaikki osallistujat, ohjelman esittelyn alussa ja istunnon lopussa, kuten jäljempänä selitetään. Täysistuntoja johti kaksi keskusteluryhmän päävalvojaa, joista tulkkattiin EU:n 24 virallisella kielellä.</w:t>
      </w:r>
    </w:p>
    <w:p>
      <w:pPr>
        <w:pStyle w:val="Alineanegatifpuce"/>
        <w:numPr>
          <w:ilvl w:val="0"/>
          <w:numId w:val="3"/>
        </w:numPr>
        <w:rPr/>
      </w:pPr>
      <w:r>
        <w:rPr/>
        <w:t xml:space="preserve"> </w:t>
      </w:r>
      <w:r>
        <w:rPr/>
        <w:t>Kansalaiset aloittivat tarkastelemalla kaikkia ohjausta, joita paneeli kehitti istunnon 2 aikana osana avointa foorumia. Tämän jälkeen kukin kansalainen asetti etusijalle enintään kymmenen linjaa kutakin työlinjaa kohti. Kun tämä priorisointiprosessi oli saatu päätökseen paneelitasolla, kansalaiset liittyivät alaryhmään, jossa he olivat jo työskennelleet toisessa istunnossa, ja panivat yhdessä merkille ryhmän ohjeistuksen, jonka muut paneelit olivat priorisoineet – mahdollisuuden vertailla tätä valintaa omaan arvioonsa. Suositusten laatimista varten kullekin alaryhmälle annettiin ohjeellinen vaihteluväli laadittavien suositusten lukumäärälle: yhdestä kolmeen, enintään viisi.</w:t>
      </w:r>
    </w:p>
    <w:p>
      <w:pPr>
        <w:pStyle w:val="Alineanegatifpuce"/>
        <w:numPr>
          <w:ilvl w:val="0"/>
          <w:numId w:val="3"/>
        </w:numPr>
        <w:rPr/>
      </w:pPr>
      <w:r>
        <w:rPr/>
        <w:t xml:space="preserve"> </w:t>
      </w:r>
      <w:r>
        <w:rPr/>
        <w:t xml:space="preserve">Kukin 15 alaryhmästä kehitti suosituksia koskevia ohjeita. Kansalaiset keskustelivat suuntaviivoista, jotka olivat saaneet eniten kannatusta (ensisijaisessa järjestyksessä) ja aloittivat suositusten laatimisprosessin. </w:t>
      </w:r>
    </w:p>
    <w:p>
      <w:pPr>
        <w:pStyle w:val="Normal"/>
        <w:rPr/>
      </w:pPr>
      <w:r>
        <w:rPr/>
        <w:t>Kolmannen istuntosarjan aikana asiantuntemusta ja tietoa ei tuotu suorassa vuorovaikutuksessa kansalaisten kanssa, vaan erityisesti suunnitellun järjestelmän, ”Resurssit ja tietopisteen” kautta. Järjestelmää on käytetty kaikkien tietopyyntöjen ja faktantarkistamispyyntöjen keskittämiseen paikan päällä ja asiantuntijoiden ja faktantarkistajien lyhyiden ja tosiasioihin perustuvien vastausten antamiseen alaryhmille. Järjestelmän tarkoituksena on varmistaa, että asiantuntijoiden ja faktantarkistajien panokset valmistellaan korkeimpien laatuvaatimusten mukaisesti, ja välttää epäasianmukainen vaikutus prosessin tässä vaiheessa. Kansalaisille toimitettiin myös monikielisen digitaalisen alustan väliraportit.</w:t>
      </w:r>
    </w:p>
    <w:p>
      <w:pPr>
        <w:pStyle w:val="Corpsdetexte"/>
        <w:rPr/>
      </w:pPr>
      <w:r>
        <w:rPr/>
        <w:t>Alaryhmän työn aikana järjestettiin palautetilaisuuksia, joiden tarkoituksena oli auttaa osallistujia ymmärtämään muiden alaryhmien työtä ja vahvistamaan heidän suosituksiaan.</w:t>
      </w:r>
    </w:p>
    <w:p>
      <w:pPr>
        <w:pStyle w:val="Corpsdetexte"/>
        <w:rPr/>
      </w:pPr>
      <w:r>
        <w:rPr/>
        <w:t>Paneeli äänesti kunkin alaryhmän suosituksista istunnon viimeisenä päivänä. Kaikki osallistujat saivat ennen äänestystä asiakirjan, joka sisälsi kaikki edellisenä päivänä laaditut suositusluonnokset, jotta he voisivat lukea ne omalla kielellään (automaattinen käännös englannista). Jokainen suositus luettiin englanniksi täysistunnossa, jotta kansalaiset voisivat kuulla tulkkausta samanaikaisesti. Yksi toisensa jälkeen suosituksista äänestettiin osallistujille verkkolomakkeella.</w:t>
      </w:r>
    </w:p>
    <w:p>
      <w:pPr>
        <w:pStyle w:val="Corpsdetexte"/>
        <w:rPr/>
      </w:pPr>
      <w:r>
        <w:rPr/>
        <w:t>Lopullisten äänestysten tulosten perusteella suositukset luokiteltiin seuraavasti:</w:t>
      </w:r>
    </w:p>
    <w:p>
      <w:pPr>
        <w:pStyle w:val="Corpsdetexte"/>
        <w:rPr/>
      </w:pPr>
      <w:r>
        <w:rPr/>
        <w:t>Paneeli hyväksyi suositukset, jotka saivat vähintään 70 prosenttia annetuista äänistä; paneelin ei katsottu vahvistaneen suosituksia, jotka eivät täyttäneet tätä kynnysarvoa. Eurooppalaiset kansalaispaneelit antoivat yhteensä 178 suositusta.</w:t>
      </w:r>
    </w:p>
    <w:p>
      <w:pPr>
        <w:pStyle w:val="Corpsdetexte"/>
        <w:rPr/>
      </w:pPr>
      <w:r>
        <w:rPr/>
        <w:t>Äänestysmenettelyä valvoi äänestyskomitea, joka koostui kahdesta kansalaisesta, jotka olivat ehdottaneet tämän tehtävän hoitamista.</w:t>
      </w:r>
    </w:p>
    <w:p>
      <w:pPr>
        <w:pStyle w:val="Titre4"/>
        <w:numPr>
          <w:ilvl w:val="3"/>
          <w:numId w:val="2"/>
        </w:numPr>
        <w:rPr/>
      </w:pPr>
      <w:bookmarkStart w:id="14" w:name="__RefHeading___Toc298202_1346298689"/>
      <w:bookmarkEnd w:id="14"/>
      <w:r>
        <w:rPr/>
        <w:t>EUROOPAN KANSALAISPANEELIEN EDUSTAJAT TÄYSISTUNNOSSA</w:t>
      </w:r>
    </w:p>
    <w:p>
      <w:pPr>
        <w:pStyle w:val="Corpsdetexte"/>
        <w:rPr/>
      </w:pPr>
      <w:r>
        <w:rPr/>
        <w:t>Tämän jälkeen eurooppalaisten kansalaispaneelien 80 edustajaa esitteli ja keskusteli neljän eurooppalaisen kansalaispaneelin hyväksymistä suosituksista konferenssin täysistunnossa ja työryhmissä 21.–22. tammikuuta 2022 (paneelit 2 ja 3) ja 11.–12. maaliskuuta 2022 (paneelit 1 ja 4). Eurooppalaisten kansalaispaneelien 80 edustajaa (keskimäärin 70 paikan päällä ja 10 verkossa) jatkoivat eurooppalaisten kansalaispaneelien suositusten edistämistä ja selittämistä kolmessa peräkkäisessä täysistunnossa ja työryhmissä (25.–26. maaliskuuta, 8.–9. huhtikuuta ja 29.–30. huhtikuuta).</w:t>
      </w:r>
    </w:p>
    <w:p>
      <w:pPr>
        <w:pStyle w:val="Corpsdetexte"/>
        <w:rPr/>
      </w:pPr>
      <w:r>
        <w:rPr/>
        <w:t>He kävivät myös säännöllisiä keskusteluja kansalaisosion kokouksissa (verkkokokouksissa ja paikan päällä pidetyissä täysistunnoissa), keskenään ja 27 kansallisten tapahtumien ja/tai kansallisten paneelien edustajan kanssa. Eurooppalaisten kansalaispaneelien edustajat tapasivat 23. huhtikuuta verkossa kaikki kollegansa selvittääkseen, miten suosituksista oli keskusteltu ja sisällytetty täysistunnon ehdotuksiin, ja saada palautetta muilta paneelin osallistujilta. Ryhmä yhteisen sihteeristön ja konsortion jäseniä tuki kansalaisosaamista täysistunnossa.</w:t>
      </w:r>
    </w:p>
    <w:p>
      <w:pPr>
        <w:pStyle w:val="Titre4"/>
        <w:numPr>
          <w:ilvl w:val="3"/>
          <w:numId w:val="2"/>
        </w:numPr>
        <w:rPr/>
      </w:pPr>
      <w:bookmarkStart w:id="15" w:name="__RefHeading___Toc298204_1346298689"/>
      <w:bookmarkEnd w:id="15"/>
      <w:r>
        <w:rPr/>
        <w:t>PROSESSIN LÄPINÄKYVYYS</w:t>
      </w:r>
    </w:p>
    <w:p>
      <w:pPr>
        <w:pStyle w:val="Corpsdetexte"/>
        <w:rPr/>
      </w:pPr>
      <w:r>
        <w:rPr/>
        <w:t xml:space="preserve"> </w:t>
      </w:r>
      <w:r>
        <w:rPr/>
        <w:t>Koko prosessi toteutettiin läpinäkyvällä tavalla. Eurooppalaisten kansalaispaneelien täysistunnot olivat suoratoistona suoratoistona, ja keskustelujen ja keskustelujen tuloksena saadut asiakirjat asetettiin yleisön saataville monikielisellä digitaalisella alustalla. Paneelin kunkin istunnon loppuraportti on saatavilla foorumilla yhdessä suositusten kanssa. Raporteissa on myös tietoa kaikista asiantuntijoista, jotka tukivat paneelien työtä.</w:t>
      </w:r>
    </w:p>
    <w:p>
      <w:pPr>
        <w:pStyle w:val="Corpsdetexte"/>
        <w:rPr/>
      </w:pPr>
      <w:r>
        <w:rPr/>
        <w:t>Todellisena demokraattisena innovaationa Euroopan kansalaispaneelit ovat saaneet paljon huomiota tiedeyhteisöltä. Tutkijat pystyivät osallistumaan eurooppalaisten kansalaispaneelien kokouksiin ja seuraamaan tiettyjen sääntöjen mukaisesti suoritettua työtä ja osallistujien yksityisyyttä.</w:t>
      </w:r>
    </w:p>
    <w:p>
      <w:pPr>
        <w:pStyle w:val="Corpsdetexte"/>
        <w:rPr/>
      </w:pPr>
      <w:r>
        <w:rPr/>
      </w:r>
      <w:r>
        <w:br w:type="page"/>
      </w:r>
    </w:p>
    <w:p>
      <w:pPr>
        <w:pStyle w:val="Titre4"/>
        <w:numPr>
          <w:ilvl w:val="3"/>
          <w:numId w:val="2"/>
        </w:numPr>
        <w:rPr/>
      </w:pPr>
      <w:bookmarkStart w:id="16" w:name="__RefHeading___Toc298206_1346298689"/>
      <w:bookmarkEnd w:id="16"/>
      <w:r>
        <w:rPr/>
        <w:t xml:space="preserve">Paneeli 1 </w:t>
        <w:br/>
        <w:t>Vahvempi talous, sosiaalinen oikeudenmukaisuus ja työllisyys; koulutus, kulttuuri, nuoriso ja urheilu; digitaalinen muutos</w:t>
      </w:r>
    </w:p>
    <w:p>
      <w:pPr>
        <w:pStyle w:val="Corpsdetexte"/>
        <w:rPr/>
      </w:pPr>
      <w:r>
        <w:rPr/>
        <w:t>Paneelin ensimmäinen kokous aiheesta ”Vahvempi talous, sosiaalinen oikeudenmukaisuus ja työllisyys”, koulutus, kulttuuri, nuoriso ja urheilu; digitalisaatio” tapahtui Strasbourgissa 17.–19. syyskuuta 2021. Paneeli käsitteli talouksiemme ja työpaikkojen tulevaisuutta erityisesti pandemian jälkeen kiinnittäen asianmukaista huomiota asiaan liittyviin sosiaaliseen oikeudenmukaisuuteen liittyviin kysymyksiin. Hän käsitteli myös digitalisaation mahdollisuuksia ja haasteita, jotka ovat yksi tärkeimmistä tulevaisuutta koskevista aiheista.</w:t>
      </w:r>
    </w:p>
    <w:p>
      <w:pPr>
        <w:pStyle w:val="Corpsdetexte"/>
        <w:spacing w:before="3316" w:after="57"/>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Viitekehys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rPr>
                            </w:pPr>
                            <w:r>
                              <w:rPr>
                                <w:color w:val="auto"/>
                              </w:rPr>
                              <w:drawing>
                                <wp:inline distT="0" distB="0" distL="0" distR="0">
                                  <wp:extent cx="6120130" cy="2105660"/>
                                  <wp:effectExtent l="0" t="0" r="0" b="0"/>
                                  <wp:docPr id="22" name="Kuva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uva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Valokuvaus: Euroopan kansalaisten paneeli 1 </w:t>
                              <w:tab/>
                              <w:t>Valokuvaus: Euroopan kansalaisten paneeli 2</w:t>
                            </w:r>
                          </w:p>
                        </w:txbxContent>
                      </wps:txbx>
                      <wps:bodyPr lIns="0" rIns="0" tIns="0" bIns="0">
                        <a:noAutofit/>
                      </wps:bodyPr>
                    </wps:wsp>
                  </a:graphicData>
                </a:graphic>
              </wp:anchor>
            </w:drawing>
          </mc:Choice>
          <mc:Fallback>
            <w:pict>
              <v:rect id="shape_0" ID="Viitekehys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rPr>
                      </w:pPr>
                      <w:r>
                        <w:rPr>
                          <w:color w:val="auto"/>
                        </w:rPr>
                        <w:drawing>
                          <wp:inline distT="0" distB="0" distL="0" distR="0">
                            <wp:extent cx="6120130" cy="2105660"/>
                            <wp:effectExtent l="0" t="0" r="0" b="0"/>
                            <wp:docPr id="23" name="Kuva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uva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Valokuvaus: Euroopan kansalaisten paneeli 1 </w:t>
                        <w:tab/>
                        <w:t>Valokuvaus: Euroopan kansalaisten paneeli 2</w:t>
                      </w:r>
                    </w:p>
                  </w:txbxContent>
                </v:textbox>
              </v:rect>
            </w:pict>
          </mc:Fallback>
        </mc:AlternateContent>
      </w:r>
      <w:r>
        <w:rPr/>
        <w:t>Paneelissa keskusteltiin myös Euroopan tulevaisuudesta nuorison, urheilun, kulttuurin ja koulutuksen aloilla. Yhteispuheenjohtaja Guy Verhofstadt toivotti paneeliin osallistuneet kansalaiset tervetulleiksi. Ensimmäisen istunnon päätteeksi hyväksyttiin viisi toimintalohkoa: ”Työ Euroopassa”, ”Tulevaisuuden talous”, ”Oppiminen Euroopassa” ja ”Ettinen ja turvallinen digitaalinen muutos”.</w:t>
      </w:r>
    </w:p>
    <w:p>
      <w:pPr>
        <w:pStyle w:val="Corpsdetexte"/>
        <w:rPr/>
      </w:pPr>
      <w:r>
        <w:rPr/>
        <w:t>Paneeli 1 kokoontui 5.–7. marraskuuta 2021 toisen kerran, tällä kertaa virtuaalisessa muodossa, ja jatkoi ensimmäisen istunnon käsittelyä. Toisessa istunnossa panelistit laativat ”suuntaviivat” konkreettisten suositusten laatimiseksi (kolmannessa istunnossaan) kutakin ensimmäisessä istunnossa yksilöityä viittä toimintalinjaa varten. Paneeliin 1 osallistuneet kansalaiset tuottivat yhteensä 142 ohjausryhmää.</w:t>
      </w:r>
    </w:p>
    <w:p>
      <w:pPr>
        <w:pStyle w:val="Corpsdetexte"/>
        <w:rPr/>
      </w:pPr>
      <w:r>
        <w:rPr/>
        <w:t>Paneeli 1:een osallistuneet kansalaiset tapasivat 25.–27. helmikuuta 2022 kolmannen kerran ja jatkoivat istuntojen 1 ja 2 aikana käytyjä keskusteluja. Tätä viimeistä istuntoa varten paneeli 1 osallistujat isännöi Dublinin linnassa Institute of International and European Affairs (IIEA), jossa oli mahdollisuus osallistua verkossa.</w:t>
      </w:r>
    </w:p>
    <w:p>
      <w:pPr>
        <w:pStyle w:val="Corpsdetexte"/>
        <w:rPr/>
      </w:pPr>
      <w:r>
        <w:rPr/>
        <w:t>kansalaiset laativat ja hyväksyivät 48 lopullista suositusta istunnossa 2 työnsä pohjaksi kehittämiensä ohjeiden perusteella.</w:t>
      </w:r>
    </w:p>
    <w:p>
      <w:pPr>
        <w:pStyle w:val="Titre4"/>
        <w:numPr>
          <w:ilvl w:val="3"/>
          <w:numId w:val="2"/>
        </w:numPr>
        <w:rPr/>
      </w:pPr>
      <w:bookmarkStart w:id="17" w:name="__RefHeading___Toc298208_1346298689"/>
      <w:bookmarkEnd w:id="17"/>
      <w:r>
        <w:rPr/>
        <w:t xml:space="preserve">Paneeli 2 </w:t>
        <w:br/>
        <w:t>Eurooppalainen demokratia; arvot ja oikeudet, oikeusvaltio, turvallisuus</w:t>
      </w:r>
    </w:p>
    <w:p>
      <w:pPr>
        <w:pStyle w:val="Corpsdetexte"/>
        <w:rPr/>
      </w:pPr>
      <w:r>
        <w:rPr/>
        <w:t>Eurooppa-demokratiaa käsittelevän paneelin ensimmäinen istunto arvot ja oikeudet, oikeusvaltio ja turvallisuus” pidettiin Strasbourgissa 24.–26. syyskuuta. Paneelissa keskityttiin demokratiaan liittyviin kysymyksiin, kuten vaaleihin, vaalikauden ulkopuolella osallistumiseen, kansalaisten ja heidän vaaleilla valittujen edustajiensa välimatkaan, tiedotusvälineiden vapauteen ja disinformaatioon. Siinä käsiteltiin myös perusoikeuksia ja -arvoja, oikeusvaltioperiaatetta ja kaikenlaisen syrjinnän torjumista koskevia kysymyksiä. Samalla hän keskittyi EU:n sisäiseen turvallisuuteen, kuten eurooppalaisten suojelemiseen terroriteoilta ja muilta rikoksilta. Yhteispuheenjohtaja Gašper Dovžan toivotti puhujat tervetulleiksi.</w:t>
      </w:r>
    </w:p>
    <w:p>
      <w:pPr>
        <w:pStyle w:val="Corpsdetexte"/>
        <w:rPr/>
      </w:pPr>
      <w:r>
        <w:rPr/>
        <w:t>Tämän ensimmäisen istunnon päätteeksi hyväksyttiin viisi toimintalohkoa: ”Oikeuksien kunnioittamisen ja syrjimättömyyden varmistaminen”, ”Demokratian ja oikeusvaltion suojelu”, ”EU:n uudistaminen”, ”Eurooppalaisen identiteetin rakentaminen” ja ”Kansalaisten osallistumisen vahvistaminen”.</w:t>
      </w:r>
    </w:p>
    <w:p>
      <w:pPr>
        <w:pStyle w:val="Corpsdetexte"/>
        <w:rPr/>
      </w:pPr>
      <w:r>
        <w:rPr/>
        <w:t>Paneeli 2 kokoontui 12.–14. marraskuuta 2021 toisen kerran virtuaalimuodossa ja jatkoi ensimmäisen istunnon käsittelyä. Toisessa istunnossa panelistit laativat ”suuntaviivat” konkreettisten suositusten laatimiseksi (kolmannessa istunnossaan) kutakin ensimmäisessä istunnossa yksilöityä viittä toimintalinjaa varten. Paneeliin 2 osallistuneet kansalaiset tuottivat yhteensä 124 ohjausryhmää.</w:t>
      </w:r>
    </w:p>
    <w:p>
      <w:pPr>
        <w:pStyle w:val="Corpsdetexte"/>
        <w:rPr/>
      </w:pPr>
      <w:r>
        <w:rPr/>
        <w:t>Paneeli 2:een osallistuneet kansalaiset tapasivat 10.–12. joulukuuta 2021 yliopistollisessa Eurooppa-instituutissa Firenzessä järjestetyssä lopputilaisuudessa, jossa he voivat osallistua verkossa. Kansalaiset laativat ja hyväksyivät 39 lopullista suositusta istunnossa 2 työnsä pohjaksi kehittämiensä ohjeiden perusteella.</w:t>
      </w:r>
    </w:p>
    <w:p>
      <w:pPr>
        <w:pStyle w:val="Titre4"/>
        <w:numPr>
          <w:ilvl w:val="3"/>
          <w:numId w:val="2"/>
        </w:numPr>
        <w:rPr/>
      </w:pPr>
      <w:bookmarkStart w:id="18" w:name="__RefHeading___Toc298210_1346298689"/>
      <w:bookmarkEnd w:id="18"/>
      <w:r>
        <w:rPr/>
        <w:t>Paneeli 3 Ilmastonmuutos ja ympäristö; terveys</w:t>
      </w:r>
    </w:p>
    <w:p>
      <w:pPr>
        <w:pStyle w:val="Corpsdetexte"/>
        <w:rPr/>
      </w:pPr>
      <w:r>
        <w:rPr/>
        <w:t>Paneeli aiheesta ”Ilmastonmuutos ja ympäristö”; terveys” piti ensimmäisen istuntonsa Strasbourgissa 1.</w:t>
      </w:r>
      <w:r>
        <w:rPr>
          <w:vertAlign w:val="superscript"/>
        </w:rPr>
        <w:t>–</w:t>
      </w:r>
      <w:r>
        <w:rPr/>
        <w:t xml:space="preserve"> 3. lokakuuta. Paneelissa keskityttiin ilmastonmuutoksen vaikutuksiin, ympäristökysymyksiin ja uusiin terveyshaasteisiin Euroopan unionissa. Se kattoi myös EU:n tavoitteet ja strategiat, kuten maatalous, liikenne ja liikkuvuus, energia ja siirtyminen hiilenjälkeisiin yhteiskuntiin, tutkimus, terveydenhuoltojärjestelmät, reagointi terveyskriiseihin, ennaltaehkäisy ja terveelliset elämäntavat. Tämän ensimmäisen istunnon päätteeksi hyväksyttiin viisi toiminta-aluetta: ”Paremmat elämäntavat”, ”ympäristön ja terveyden suojelu”, ”taloutemme ja kulutuksen uudelleensuuntaaminen”, ”Kohti kestävää yhteiskuntaa” ja ”Huolto kaikille”. Istunnon loppuraportti on saatavilla monikielisellä digitaalisella alustalla.</w:t>
      </w:r>
    </w:p>
    <w:p>
      <w:pPr>
        <w:pStyle w:val="Corpsdetexte"/>
        <w:rPr/>
      </w:pPr>
      <w:r>
        <w:rPr/>
        <w:t>Paneeli 3 kokoontui 19.–21. marraskuuta 2021 toisen kerran, tällä kertaa virtuaalisessa muodossa, jatkamaan ensimmäisen istunnon käsittelyä. Toisessa istunnossa panelistit laativat ”suuntaviivat” konkreettisten suositusten laatimiseksi (kolmannessa istunnossaan) kutakin ensimmäisessä istunnossa yksilöityä viittä toimintalinjaa varten. Paneeliin 3 osallistuneet kansalaiset tuottivat yhteensä 130 ohjausryhmää.</w:t>
      </w:r>
    </w:p>
    <w:p>
      <w:pPr>
        <w:pStyle w:val="Corpsdetexte"/>
        <w:rPr/>
      </w:pPr>
      <w:r>
        <w:rPr/>
        <w:t>Paneelin 3 kansalaiset kokoontuivat 7.–9. tammikuuta 2022 viimeiseen istuntoon, jonka he järjestivät College of Europessa Natolinissa ja kulttuurin ja tieteen palatsissa Varsovan kaupungin tuella. Siihen oli mahdollista osallistua verkossa. Kansalaiset laativat ja hyväksyivät 51 lopullista suositusta istunnossa 2 työnsä pohjaksi kehittämiensä ohjeiden perusteella.</w:t>
      </w:r>
    </w:p>
    <w:p>
      <w:pPr>
        <w:pStyle w:val="Titre4"/>
        <w:numPr>
          <w:ilvl w:val="3"/>
          <w:numId w:val="2"/>
        </w:numPr>
        <w:rPr/>
      </w:pPr>
      <w:bookmarkStart w:id="19" w:name="__RefHeading___Toc298212_1346298689"/>
      <w:bookmarkEnd w:id="19"/>
      <w:r>
        <w:rPr/>
        <w:t>Paneeli 4 – EU maailmassa; maahanmuutto</w:t>
      </w:r>
    </w:p>
    <w:p>
      <w:pPr>
        <w:pStyle w:val="Corpsdetexte"/>
        <w:rPr/>
      </w:pPr>
      <w:r>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Viitekehys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3905"/>
                                  <wp:effectExtent l="0" t="0" r="0" b="0"/>
                                  <wp:docPr id="26" name="Kuva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uva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Valokuvaus: Euroopan kansalaisten paneeli 3</w:t>
                            </w:r>
                          </w:p>
                        </w:txbxContent>
                      </wps:txbx>
                      <wps:bodyPr lIns="0" rIns="0" tIns="0" bIns="0">
                        <a:noAutofit/>
                      </wps:bodyPr>
                    </wps:wsp>
                  </a:graphicData>
                </a:graphic>
              </wp:anchor>
            </w:drawing>
          </mc:Choice>
          <mc:Fallback>
            <w:pict>
              <v:rect id="shape_0" ID="Viitekehys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3905"/>
                            <wp:effectExtent l="0" t="0" r="0" b="0"/>
                            <wp:docPr id="27" name="Kuva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uva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Valokuvaus: Euroopan kansalaisten paneeli 3</w:t>
                      </w:r>
                    </w:p>
                  </w:txbxContent>
                </v:textbox>
              </v:rect>
            </w:pict>
          </mc:Fallback>
        </mc:AlternateContent>
      </w:r>
    </w:p>
    <w:p>
      <w:pPr>
        <w:pStyle w:val="Corpsdetexte"/>
        <w:rPr/>
      </w:pPr>
      <w:r>
        <w:rPr/>
        <w:t>Neljäs paneeli, jonka nimi on ”EU maailmassa”; muuttoliike” kokoontui ensimmäisen kerran 15.–17. lokakuuta Strasbourgissa, jossa osallistujat keskustelivat erityisesti EU:n roolista kansainvälisellä areenalla.</w:t>
      </w:r>
    </w:p>
    <w:p>
      <w:pPr>
        <w:pStyle w:val="Corpsdetext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Viitekehys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6445"/>
                                  <wp:effectExtent l="0" t="0" r="0" b="0"/>
                                  <wp:docPr id="30" name="Kuva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uva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Valokuvaus: Euroopan kansalaisten paneeli 4</w:t>
                              <w:br/>
                            </w:r>
                          </w:p>
                        </w:txbxContent>
                      </wps:txbx>
                      <wps:bodyPr lIns="0" rIns="0" tIns="0" bIns="0">
                        <a:noAutofit/>
                      </wps:bodyPr>
                    </wps:wsp>
                  </a:graphicData>
                </a:graphic>
              </wp:anchor>
            </w:drawing>
          </mc:Choice>
          <mc:Fallback>
            <w:pict>
              <v:rect id="shape_0" ID="Viitekehys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6445"/>
                            <wp:effectExtent l="0" t="0" r="0" b="0"/>
                            <wp:docPr id="31" name="Kuva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uva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Valokuvaus: Euroopan kansalaisten paneeli 4</w:t>
                        <w:br/>
                      </w:r>
                    </w:p>
                  </w:txbxContent>
                </v:textbox>
              </v:rect>
            </w:pict>
          </mc:Fallback>
        </mc:AlternateContent>
      </w:r>
      <w:r>
        <w:rPr/>
        <w:t>Erityisesti keskusteltiin EU:n tavoitteista ja strategioista, jotka koskevat turvallisuutta, puolustusta, kauppapolitiikkaa, humanitaarista apua ja kehitysyhteistyötä, ulkopolitiikkaa, EU:n naapuruuspolitiikkaa ja laajentumista sekä sitä, miten EU:n olisi käsiteltävä muuttoliikettä. Yhteispuheenjohtaja Dubravka Šuica toivotti kansalaiset tervetulleiksi. Tämän ensimmäisen istunnon päätteeksi hyväksyttiin viisi osa-aluetta: ”omavaraisuus ja vakaus”, ”EU kansainvälisenä kumppanina”, ”Vahva EU rauhan maailmassa”, ”Maahanmuutto inhimillisestä näkökulmasta” ja ”vastuu ja solidaarisuus kaikkialla. Istunnon loppuraportti on saatavilla monikielisellä digitaalisella alustalla.</w:t>
      </w:r>
    </w:p>
    <w:p>
      <w:pPr>
        <w:pStyle w:val="Corpsdetexte"/>
        <w:rPr/>
      </w:pPr>
      <w:r>
        <w:rPr/>
        <w:t>Paneeli 4 piti 16.–28. marraskuuta 2021 toisen verkkoistuntonsa ensimmäisessä istunnossa tehdyn työn perusteella. Toisessa istunnossa panelistit laativat ”suuntaviivat” konkreettisten suositusten laatimiseksi (kolmannessa istunnossaan) kutakin ensimmäisessä istunnossa yksilöityä viittä toimintalinjaa varten. Paneeliin 4 osallistuneet kansalaiset tuottivat yhteensä 95 ohjausryhmää.</w:t>
      </w:r>
    </w:p>
    <w:p>
      <w:pPr>
        <w:pStyle w:val="Corpsdetexte"/>
        <w:rPr/>
      </w:pPr>
      <w:r>
        <w:rPr/>
        <w:t>Neljä kansalaista kokoontui 11.–13. helmikuuta 2022 viimeiseen istuntoonsa, jonka Studio Europa Maastricht järjesti Maastrichtin messu- ja konferenssikeskuksessa (MECC) yhteistyössä Maastrichtin yliopiston ja Euroopan julkishallinnon instituutin (IEAP) kanssa. Siihen oli mahdollista osallistua verkossa.</w:t>
      </w:r>
    </w:p>
    <w:p>
      <w:pPr>
        <w:pStyle w:val="Corpsdetexte"/>
        <w:rPr/>
      </w:pPr>
      <w:r>
        <w:rPr/>
        <w:t>kansalaiset laativat ja hyväksyivät 40 lopullista suositusta istunnossa 2 työnsä pohjaksi kehittämiensä ohjeiden perusteella.</w:t>
      </w:r>
    </w:p>
    <w:p>
      <w:pPr>
        <w:pStyle w:val="Normal"/>
        <w:rPr/>
      </w:pPr>
      <w:r>
        <w:rPr/>
      </w:r>
    </w:p>
    <w:p>
      <w:pPr>
        <w:pStyle w:val="Titre3"/>
        <w:numPr>
          <w:ilvl w:val="2"/>
          <w:numId w:val="2"/>
        </w:numPr>
        <w:rPr/>
      </w:pPr>
      <w:bookmarkStart w:id="20" w:name="__RefHeading___Toc298214_1346298689"/>
      <w:bookmarkEnd w:id="20"/>
      <w:r>
        <w:rPr/>
        <w:t>2.</w:t>
        <w:tab/>
        <w:t>Kansalliset kansalaispaneelit</w:t>
      </w:r>
    </w:p>
    <w:p>
      <w:pPr>
        <w:pStyle w:val="Corpsdetexte"/>
        <w:rPr/>
      </w:pPr>
      <w:r>
        <w:rPr/>
        <w:t>Konferenssin täysistunto keskusteli yhteisen julistuksen mukaisesti kansallisten ja eurooppalaisten kansalaispaneelien suosituksista aiheittain ryhmiteltyinä. Kansallisten kansalaispaneelien järjestämistä suunnittelevien jäsenvaltioiden avustamiseksi yhteispuheenjohtajat hyväksyivät suuntaviivat, ja ne toimitettiin johtokunnalle 26. toukokuuta 2021. Ne noudattivat samoja periaatteita kuin eurooppalaiset kansalaispaneelit ja sisälsivät OECD:n raporttiin perustuvia hyvän käsittelyn periaatteita</w:t>
      </w:r>
      <w:r>
        <w:rPr>
          <w:rStyle w:val="Ancredenotedebasdepage"/>
          <w:rStyle w:val="Ancredenotedebasdepage"/>
        </w:rPr>
        <w:footnoteReference w:id="5"/>
      </w:r>
      <w:r>
        <w:rPr/>
        <w:t>.</w:t>
      </w:r>
    </w:p>
    <w:p>
      <w:pPr>
        <w:pStyle w:val="Corpsdetexte"/>
        <w:rPr/>
      </w:pPr>
      <w:r>
        <w:rPr/>
        <w:t>Kuusi jäsenvaltiota – Belgia, Ranska, Saksa, Italia, Liettua ja Alankomaat – järjesti kansallisten kansalaisten paneelit näissä suuntaviivoissa vahvistettuja periaatteita noudattaen. Näiden kansallisten kansalaispaneelien suositukset esiteltiin ja niistä keskusteltiin tammi- ja maaliskuun täysistunnoissa sekä täysistunnon työryhmissä samaan aikaan kuin eurooppalaisten kansalaispaneelien suositukset samoista aiheista.</w:t>
      </w:r>
    </w:p>
    <w:p>
      <w:pPr>
        <w:pStyle w:val="Titre4"/>
        <w:numPr>
          <w:ilvl w:val="3"/>
          <w:numId w:val="2"/>
        </w:numPr>
        <w:rPr/>
      </w:pPr>
      <w:bookmarkStart w:id="21" w:name="__RefHeading___Toc298216_1346298689"/>
      <w:bookmarkEnd w:id="21"/>
      <w:r>
        <w:rPr/>
        <w:t>1)</w:t>
        <w:tab/>
        <w:t>BELGIA</w:t>
      </w:r>
    </w:p>
    <w:p>
      <w:pPr>
        <w:pStyle w:val="Normal"/>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Viitekehys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34" name="Kuva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Kuva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Valokuva: Belgian kansalaispaneeli</w:t>
                            </w:r>
                          </w:p>
                        </w:txbxContent>
                      </wps:txbx>
                      <wps:bodyPr lIns="0" rIns="0" tIns="0" bIns="0">
                        <a:noAutofit/>
                      </wps:bodyPr>
                    </wps:wsp>
                  </a:graphicData>
                </a:graphic>
              </wp:anchor>
            </w:drawing>
          </mc:Choice>
          <mc:Fallback>
            <w:pict>
              <v:rect id="shape_0" ID="Viitekehys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35" name="Kuva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Kuva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Valokuva: Belgian kansalaispaneeli</w:t>
                      </w:r>
                    </w:p>
                  </w:txbxContent>
                </v:textbox>
              </v:rect>
            </w:pict>
          </mc:Fallback>
        </mc:AlternateContent>
      </w:r>
    </w:p>
    <w:p>
      <w:pPr>
        <w:pStyle w:val="Corpsdetexte"/>
        <w:rPr/>
      </w:pPr>
      <w:r>
        <w:rPr/>
        <w:t>Lokakuussa 2021 kokoontunut kansalaispaneeli kokosi kolmen viikonlopun aikana 50 satunnaisesti valittua kansalaista, jotka edustavat koko väestöä, keskustelemaan eurooppalaisesta demokratiasta ja siitä, miten kansalaiset voisivat osallistua enemmän Eurooppa-asioihin.</w:t>
      </w:r>
    </w:p>
    <w:p>
      <w:pPr>
        <w:pStyle w:val="Corpsdetexte"/>
        <w:rPr/>
      </w:pPr>
      <w:r>
        <w:rPr/>
        <w:t>Paneeli järjestettiin Belgian varapääministerin ja ulkoasiain- ja Eurooppa-ministerin Sophie Wilmèsin johdolla.</w:t>
      </w:r>
    </w:p>
    <w:p>
      <w:pPr>
        <w:pStyle w:val="Corpsdetexte"/>
        <w:rPr/>
      </w:pPr>
      <w:r>
        <w:rPr/>
        <w:t>Kansalaiset antoivat suosituksia viidestä valitsemastaan aiheesta:</w:t>
      </w:r>
    </w:p>
    <w:p>
      <w:pPr>
        <w:pStyle w:val="Alineanegatifpuce"/>
        <w:numPr>
          <w:ilvl w:val="0"/>
          <w:numId w:val="3"/>
        </w:numPr>
        <w:rPr/>
      </w:pPr>
      <w:r>
        <w:rPr/>
        <w:t xml:space="preserve"> </w:t>
      </w:r>
      <w:r>
        <w:rPr/>
        <w:t>Euroopan unionia koskevan viestinnän parantaminen,</w:t>
      </w:r>
    </w:p>
    <w:p>
      <w:pPr>
        <w:pStyle w:val="Alineanegatifpuce"/>
        <w:numPr>
          <w:ilvl w:val="0"/>
          <w:numId w:val="3"/>
        </w:numPr>
        <w:rPr/>
      </w:pPr>
      <w:r>
        <w:rPr/>
        <w:t xml:space="preserve"> </w:t>
      </w:r>
      <w:r>
        <w:rPr/>
        <w:t>tunnistaa ja torjua EU:ta koskevaa disinformaatiota,</w:t>
      </w:r>
    </w:p>
    <w:p>
      <w:pPr>
        <w:pStyle w:val="Alineanegatifpuce"/>
        <w:numPr>
          <w:ilvl w:val="0"/>
          <w:numId w:val="3"/>
        </w:numPr>
        <w:rPr/>
      </w:pPr>
      <w:r>
        <w:rPr/>
        <w:t xml:space="preserve"> </w:t>
      </w:r>
      <w:r>
        <w:rPr/>
        <w:t>kansalaispaneelit osallistumisen välineenä,</w:t>
      </w:r>
    </w:p>
    <w:p>
      <w:pPr>
        <w:pStyle w:val="Alineanegatifpuce"/>
        <w:numPr>
          <w:ilvl w:val="0"/>
          <w:numId w:val="3"/>
        </w:numPr>
        <w:rPr/>
      </w:pPr>
      <w:r>
        <w:rPr/>
        <w:t xml:space="preserve"> </w:t>
      </w:r>
      <w:r>
        <w:rPr/>
        <w:t>kansanäänestys EU-asioista,</w:t>
      </w:r>
    </w:p>
    <w:p>
      <w:pPr>
        <w:pStyle w:val="Alineanegatifpuce"/>
        <w:numPr>
          <w:ilvl w:val="0"/>
          <w:numId w:val="3"/>
        </w:numPr>
        <w:rPr/>
      </w:pPr>
      <w:r>
        <w:rPr/>
        <w:t xml:space="preserve"> </w:t>
      </w:r>
      <w:r>
        <w:rPr/>
        <w:t>parannetaan nykyisiä osallistavia välineitä Euroopan unionissa.</w:t>
      </w:r>
    </w:p>
    <w:p>
      <w:pPr>
        <w:pStyle w:val="Corpsdetexte"/>
        <w:rPr/>
      </w:pPr>
      <w:r>
        <w:rPr/>
        <w:t>Belgian kansalaispaneelin työn tuloksena annettiin 115 suositusta, joista 50 satunnaisesti valittua Belgian kansalaista laati, keskusteli ja äänesti.</w:t>
      </w:r>
    </w:p>
    <w:p>
      <w:pPr>
        <w:pStyle w:val="Corpsdetexte"/>
        <w:rPr/>
      </w:pPr>
      <w:r>
        <w:rPr/>
      </w:r>
    </w:p>
    <w:p>
      <w:pPr>
        <w:pStyle w:val="Titre4"/>
        <w:numPr>
          <w:ilvl w:val="3"/>
          <w:numId w:val="2"/>
        </w:numPr>
        <w:rPr/>
      </w:pPr>
      <w:bookmarkStart w:id="22" w:name="__RefHeading___Toc298218_1346298689"/>
      <w:bookmarkEnd w:id="22"/>
      <w:r>
        <w:rPr/>
        <w:t>2)</w:t>
        <w:tab/>
        <w:t>SAKSA</w:t>
      </w:r>
    </w:p>
    <w:p>
      <w:pPr>
        <w:pStyle w:val="Corpsdetexte"/>
        <w:rPr/>
      </w:pPr>
      <w:r>
        <w:rPr/>
        <w:t>Tammikuussa 2022 Saksan ulkoministeriö järjesti kansalaispaneelin. Tähän verkkopaneeliin osallistui 100 satunnaisesti valittua kansalaista, jotka edustavat väestöä.</w:t>
      </w:r>
    </w:p>
    <w:p>
      <w:pPr>
        <w:pStyle w:val="Corpsdetexte"/>
        <w:rPr/>
      </w:pPr>
      <w:r>
        <w:rPr/>
        <w:t>Verkossa järjestettiin 5. ja 8. tammikuuta 2022 viisi käynnistystyöpajaa, joihin osallistui 20 osallistujaa seuraavista aiheista:</w:t>
      </w:r>
    </w:p>
    <w:p>
      <w:pPr>
        <w:pStyle w:val="Corpsdetexte"/>
        <w:rPr/>
      </w:pPr>
      <w:r>
        <w:rPr/>
        <w:t xml:space="preserve">— </w:t>
      </w:r>
      <w:r>
        <w:rPr/>
        <w:t>Euroopan rooli maailmassa, ilmastossa ja ympäristössä,</w:t>
      </w:r>
    </w:p>
    <w:p>
      <w:pPr>
        <w:pStyle w:val="Corpsdetexte"/>
        <w:rPr/>
      </w:pPr>
      <w:r>
        <w:rPr/>
        <w:t xml:space="preserve">— </w:t>
      </w:r>
      <w:r>
        <w:rPr/>
        <w:t>oikeusvaltioperiaate ja arvot,</w:t>
      </w:r>
    </w:p>
    <w:p>
      <w:pPr>
        <w:pStyle w:val="Corpsdetexte"/>
        <w:rPr/>
      </w:pPr>
      <w:r>
        <w:rPr/>
        <w:t>vahvempi talous ja sosiaalinen oikeudenmukaisuus.</w:t>
      </w:r>
    </w:p>
    <w:p>
      <w:pPr>
        <w:pStyle w:val="Corpsdetexte"/>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Viitekehys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1900555"/>
                                  <wp:effectExtent l="0" t="0" r="0" b="0"/>
                                  <wp:docPr id="38" name="Kuva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uva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Valokuvaus: Saksan kansalaisten paneeli</w:t>
                            </w:r>
                          </w:p>
                        </w:txbxContent>
                      </wps:txbx>
                      <wps:bodyPr lIns="0" rIns="0" tIns="0" bIns="0">
                        <a:noAutofit/>
                      </wps:bodyPr>
                    </wps:wsp>
                  </a:graphicData>
                </a:graphic>
              </wp:anchor>
            </w:drawing>
          </mc:Choice>
          <mc:Fallback>
            <w:pict>
              <v:rect id="shape_0" ID="Viitekehys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1900555"/>
                            <wp:effectExtent l="0" t="0" r="0" b="0"/>
                            <wp:docPr id="39" name="Kuva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Kuva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Valokuvaus: Saksan kansalaisten paneeli</w:t>
                      </w:r>
                    </w:p>
                  </w:txbxContent>
                </v:textbox>
              </v:rect>
            </w:pict>
          </mc:Fallback>
        </mc:AlternateContent>
      </w:r>
    </w:p>
    <w:p>
      <w:pPr>
        <w:pStyle w:val="Corpsdetexte"/>
        <w:rPr/>
      </w:pPr>
      <w:r>
        <w:rPr/>
        <w:t>100 satunnaisesti valittua kansalaista kokoontui 15. ja 16. tammikuuta 2022 keskustelemaan näihin kysymyksiin liittyvistä haasteista ja mahdollisista ratkaisuista ja hyväksyi heidän suosituksensa. Osallistujat laativat kaksi erityisehdotusta kutakin edellä mainittua aihetta varten.</w:t>
      </w:r>
    </w:p>
    <w:p>
      <w:pPr>
        <w:pStyle w:val="Corpsdetexte"/>
        <w:rPr/>
      </w:pPr>
      <w:r>
        <w:rPr/>
        <w:t>Tulokset esiteltiin 16. tammikuuta lopullisessa verkkokonferenssissa, johon osallistuivat Saksan ulkoministeri Annalena Baerbock ja Eurooppa- ja ilmastoasioista vastaava varaministeri Anna Lührmann.</w:t>
      </w:r>
    </w:p>
    <w:p>
      <w:pPr>
        <w:pStyle w:val="Corpsdetexte"/>
        <w:rPr/>
      </w:pPr>
      <w:r>
        <w:rPr/>
      </w:r>
    </w:p>
    <w:p>
      <w:pPr>
        <w:pStyle w:val="Titre4"/>
        <w:numPr>
          <w:ilvl w:val="3"/>
          <w:numId w:val="2"/>
        </w:numPr>
        <w:rPr/>
      </w:pPr>
      <w:bookmarkStart w:id="23" w:name="__RefHeading___Toc298220_1346298689"/>
      <w:bookmarkEnd w:id="23"/>
      <w:r>
        <w:rPr/>
        <w:t>3)</w:t>
        <w:tab/>
        <w:t>RANSKA</w:t>
      </w:r>
    </w:p>
    <w:p>
      <w:pPr>
        <w:pStyle w:val="Corpsdetexte"/>
        <w:rPr/>
      </w:pPr>
      <w:r>
        <w:rPr/>
        <w:t>Ranskan Eurooppa- ja ulkoasiainministeriö järjesti kansalaispaneeleja Ranskassa suhteista parlamenttiin ja kansalaisten osallistumiseen vastaavan ministeriön tuella.</w:t>
      </w:r>
    </w:p>
    <w:p>
      <w:pPr>
        <w:pStyle w:val="Normal"/>
        <w:rPr/>
      </w:pPr>
      <w:r>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Viitekehys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42" name="Kuva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Kuva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Valokuvaus: Ranskan kansalaisten paneeli</w:t>
                            </w:r>
                          </w:p>
                        </w:txbxContent>
                      </wps:txbx>
                      <wps:bodyPr lIns="0" rIns="0" tIns="0" bIns="0">
                        <a:noAutofit/>
                      </wps:bodyPr>
                    </wps:wsp>
                  </a:graphicData>
                </a:graphic>
              </wp:anchor>
            </w:drawing>
          </mc:Choice>
          <mc:Fallback>
            <w:pict>
              <v:rect id="shape_0" ID="Viitekehys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43" name="Kuva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uva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Valokuvaus: Ranskan kansalaisten paneeli</w:t>
                      </w:r>
                    </w:p>
                  </w:txbxContent>
                </v:textbox>
              </v:rect>
            </w:pict>
          </mc:Fallback>
        </mc:AlternateContent>
      </w:r>
    </w:p>
    <w:p>
      <w:pPr>
        <w:pStyle w:val="Corpsdetexte"/>
        <w:rPr/>
      </w:pPr>
      <w:r>
        <w:rPr/>
        <w:t>Syyskuussa ja lokakuun alussa 2021 järjestettiin 18 kansalaispaneelia kaikilla Ranskan alueilla, suurkaupunkialueilla ja merentakaisilla alueilla. Kukin paneeli kokosi yhteen 30–50 satunnaisesti valittua kansalaista, jotka edustivat alueiden väestön monimuotoisuutta. Paneeliin osallistui yhteensä yli 700 kansalaista. Alueellisten paneelien työn tuloksena laadittiin 101 tavoitetta, joihin sisältyi 515 tarkistusta ja 1 301 konkreettista ehdotusta.</w:t>
      </w:r>
    </w:p>
    <w:p>
      <w:pPr>
        <w:pStyle w:val="Corpsdetext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Viitekehys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40890"/>
                                  <wp:effectExtent l="0" t="0" r="0" b="0"/>
                                  <wp:docPr id="46" name="Kuva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uva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Valokuvaus: Italian kansalaisten paneeli</w:t>
                            </w:r>
                          </w:p>
                        </w:txbxContent>
                      </wps:txbx>
                      <wps:bodyPr lIns="0" rIns="0" tIns="0" bIns="0">
                        <a:noAutofit/>
                      </wps:bodyPr>
                    </wps:wsp>
                  </a:graphicData>
                </a:graphic>
              </wp:anchor>
            </w:drawing>
          </mc:Choice>
          <mc:Fallback>
            <w:pict>
              <v:rect id="shape_0" ID="Viitekehys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40890"/>
                            <wp:effectExtent l="0" t="0" r="0" b="0"/>
                            <wp:docPr id="47" name="Kuva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uva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Valokuvaus: Italian kansalaisten paneeli</w:t>
                      </w:r>
                    </w:p>
                  </w:txbxContent>
                </v:textbox>
              </v:rect>
            </w:pict>
          </mc:Fallback>
        </mc:AlternateContent>
      </w:r>
      <w:r>
        <w:rPr/>
        <w:t>Yhteensä 100 paneelia edustavaa kansalaista kokoontui Pariisissa 16.–17. lokakuuta 2021 kansallista yhteenvetokonferenssia varten laatimaan ja hyväksymään suositukset. Tässä prosessissa määriteltiin yhteensä 14 ensisijaista suositusta. Konferenssin yhdeksän aihetta koskevat suositukset toimitettiin Ranskan hallitukselle, mukaan lukien valtiosihteeri Clément Beaune, ja ne muodostivat Ranskan hallituksen panoksen konferenssiin.</w:t>
      </w:r>
    </w:p>
    <w:p>
      <w:pPr>
        <w:pStyle w:val="Titre4"/>
        <w:numPr>
          <w:ilvl w:val="3"/>
          <w:numId w:val="2"/>
        </w:numPr>
        <w:rPr/>
      </w:pPr>
      <w:bookmarkStart w:id="24" w:name="__RefHeading___Toc298222_1346298689"/>
      <w:bookmarkEnd w:id="24"/>
      <w:r>
        <w:rPr/>
        <w:t>4)</w:t>
        <w:tab/>
        <w:t>ITALIA</w:t>
      </w:r>
    </w:p>
    <w:p>
      <w:pPr>
        <w:pStyle w:val="Corpsdetexte"/>
        <w:rPr/>
      </w:pPr>
      <w:r>
        <w:rPr/>
        <w:t>Riippumaton kolmas osapuoli järjesti maaliskuussa 2022 kansalaispaneelin ministerineuvoston puheenjohtajavaltion Italian Eurooppa-politiikasta vastaavan osaston valvonnassa.</w:t>
      </w:r>
    </w:p>
    <w:p>
      <w:pPr>
        <w:pStyle w:val="Corpsdetexte"/>
        <w:rPr/>
      </w:pPr>
      <w:r>
        <w:rPr/>
      </w:r>
    </w:p>
    <w:p>
      <w:pPr>
        <w:pStyle w:val="Corpsdetexte"/>
        <w:rPr/>
      </w:pPr>
      <w:r>
        <w:rPr/>
        <w:t>Mukana oli yhteensä 55 satunnaisesti valittua kansalaista, jotka edustavat Italian yhteiskuntaa ja sen alueita. Osallistujat valittiin satunnaisesti eri sukupuolen, iän, sosiaalisen alkuperän, asuinpaikan ja ammatillisen aseman varmistamiseksi.</w:t>
      </w:r>
    </w:p>
    <w:p>
      <w:pPr>
        <w:pStyle w:val="Corpsdetexte"/>
        <w:rPr/>
      </w:pPr>
      <w:r>
        <w:rPr/>
        <w:t>Kansalaiset tapasivat verkossa 11. ja 12. maaliskuuta 2022 keskustellakseen konferenssin kahdesta aiheesta:</w:t>
      </w:r>
    </w:p>
    <w:p>
      <w:pPr>
        <w:pStyle w:val="Alineanegatifpuce"/>
        <w:numPr>
          <w:ilvl w:val="0"/>
          <w:numId w:val="3"/>
        </w:numPr>
        <w:rPr/>
      </w:pPr>
      <w:r>
        <w:rPr/>
        <w:t xml:space="preserve"> ”</w:t>
      </w:r>
      <w:r>
        <w:rPr/>
        <w:t>Vahvempi talous, sosiaalinen oikeudenmukaisuus ja työllisyys” ja</w:t>
      </w:r>
    </w:p>
    <w:p>
      <w:pPr>
        <w:pStyle w:val="Alineanegatifpuce"/>
        <w:numPr>
          <w:ilvl w:val="0"/>
          <w:numId w:val="3"/>
        </w:numPr>
        <w:rPr/>
      </w:pPr>
      <w:r>
        <w:rPr/>
        <w:t xml:space="preserve"> ”</w:t>
      </w:r>
      <w:r>
        <w:rPr/>
        <w:t>Eurooppa maailmassa”.</w:t>
      </w:r>
    </w:p>
    <w:p>
      <w:pPr>
        <w:pStyle w:val="Corpsdetexte"/>
        <w:rPr/>
      </w:pPr>
      <w:r>
        <w:rPr/>
        <w:t>Paneeli hyväksyi 12. maaliskuuta 2022 yhteensä 58 suositusta, joista 33 koski ”Vahvempi talous, sosiaalinen oikeudenmukaisuus ja työllisyys” ja 25 ”Globaali Eurooppa”. Viimeisenä päivänä osallistujat suorittivat työn ensimmäisessä vaiheessa annettujen suositusten ensimmäisen luonnoksen todentamisen ja validoinnin.</w:t>
      </w:r>
    </w:p>
    <w:p>
      <w:pPr>
        <w:pStyle w:val="Corpsdetexte"/>
        <w:rPr/>
      </w:pPr>
      <w:r>
        <w:rPr/>
      </w:r>
    </w:p>
    <w:p>
      <w:pPr>
        <w:pStyle w:val="Titre4"/>
        <w:numPr>
          <w:ilvl w:val="3"/>
          <w:numId w:val="2"/>
        </w:numPr>
        <w:rPr/>
      </w:pPr>
      <w:bookmarkStart w:id="25" w:name="__RefHeading___Toc298224_1346298689"/>
      <w:bookmarkEnd w:id="25"/>
      <w:r>
        <w:rPr/>
        <w:t>5)</w:t>
        <w:tab/>
        <w:t>LIETTUA</w:t>
      </w:r>
    </w:p>
    <w:p>
      <w:pPr>
        <w:pStyle w:val="Corpsdetexte"/>
        <w:rPr/>
      </w:pPr>
      <w:r>
        <w:rPr/>
        <w:t>Ulkoministeriön puolesta riippumaton kolmas osapuoli järjesti tammikuussa 2022 kansallisen kansalaispaneelin.</w:t>
      </w:r>
    </w:p>
    <w:p>
      <w:pPr>
        <w:pStyle w:val="Corpsdetexte"/>
        <w:rPr/>
      </w:pPr>
      <w: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Viitekehys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8985"/>
                                  <wp:effectExtent l="0" t="0" r="0" b="0"/>
                                  <wp:docPr id="50" name="Kuva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uva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Valokuvaus: Liettuan kansalaispaneeli</w:t>
                            </w:r>
                          </w:p>
                        </w:txbxContent>
                      </wps:txbx>
                      <wps:bodyPr lIns="0" rIns="0" tIns="0" bIns="0">
                        <a:noAutofit/>
                      </wps:bodyPr>
                    </wps:wsp>
                  </a:graphicData>
                </a:graphic>
              </wp:anchor>
            </w:drawing>
          </mc:Choice>
          <mc:Fallback>
            <w:pict>
              <v:rect id="shape_0" ID="Viitekehys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8985"/>
                            <wp:effectExtent l="0" t="0" r="0" b="0"/>
                            <wp:docPr id="51" name="Kuva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Kuva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Valokuvaus: Liettuan kansalaispaneeli</w:t>
                      </w:r>
                    </w:p>
                  </w:txbxContent>
                </v:textbox>
              </v:rect>
            </w:pict>
          </mc:Fallback>
        </mc:AlternateContent>
      </w:r>
    </w:p>
    <w:p>
      <w:pPr>
        <w:pStyle w:val="Corpsdetexte"/>
        <w:rPr/>
      </w:pPr>
      <w:r>
        <w:rPr/>
        <w:t>Siihen osallistui yhteensä 25 satunnaisesti valittua 18–65-vuotiasta kansalaista, jotka edustivat Liettuan eri sosioekonomisia ryhmiä ja alueita.</w:t>
      </w:r>
    </w:p>
    <w:p>
      <w:pPr>
        <w:pStyle w:val="Corpsdetexte"/>
        <w:rPr/>
      </w:pPr>
      <w:r>
        <w:rPr/>
        <w:t>Verkossa järjestettiin 4. tammikuuta 2022 avaustilaisuus, ja kansalaiset keskustelivat kahdesta aiheesta:</w:t>
      </w:r>
    </w:p>
    <w:p>
      <w:pPr>
        <w:pStyle w:val="Alineanegatifpuce"/>
        <w:numPr>
          <w:ilvl w:val="0"/>
          <w:numId w:val="3"/>
        </w:numPr>
        <w:rPr/>
      </w:pPr>
      <w:r>
        <w:rPr/>
        <w:t xml:space="preserve"> </w:t>
      </w:r>
      <w:r>
        <w:rPr/>
        <w:t>EU:n rooli ja toimivalta ulkopolitiikassa;</w:t>
      </w:r>
    </w:p>
    <w:p>
      <w:pPr>
        <w:pStyle w:val="Alineanegatifpuce"/>
        <w:numPr>
          <w:ilvl w:val="0"/>
          <w:numId w:val="3"/>
        </w:numPr>
        <w:rPr/>
      </w:pPr>
      <w:r>
        <w:rPr/>
        <w:t xml:space="preserve"> </w:t>
      </w:r>
      <w:r>
        <w:rPr/>
        <w:t>EU:n taloudellinen rooli.</w:t>
      </w:r>
    </w:p>
    <w:p>
      <w:pPr>
        <w:pStyle w:val="Normal"/>
        <w:rPr/>
      </w:pPr>
      <w:r>
        <w:rPr/>
      </w:r>
    </w:p>
    <w:p>
      <w:pPr>
        <w:pStyle w:val="Corpsdetexte"/>
        <w:rPr/>
      </w:pPr>
      <w:r>
        <w:rPr/>
        <w:t>Osallistujat kokoontuivat 15. tammikuuta 2022 henkilökohtaisesti muotoilemaan keskustelujensa tärkeimmät päätelmät. He antoivat 25. tammikuuta 2022 virtuaalisessa istunnossa 21 suositusta, joista 10 keskittyi EU:n rooliin ja toimivaltuuksiin ulkopolitiikassa ja 11 EU:n taloudelliseen rooliin.</w:t>
      </w:r>
    </w:p>
    <w:p>
      <w:pPr>
        <w:pStyle w:val="Corpsdetexte"/>
        <w:rPr/>
      </w:pPr>
      <w:r>
        <w:rPr/>
      </w:r>
    </w:p>
    <w:p>
      <w:pPr>
        <w:pStyle w:val="Titre4"/>
        <w:numPr>
          <w:ilvl w:val="3"/>
          <w:numId w:val="2"/>
        </w:numPr>
        <w:rPr/>
      </w:pPr>
      <w:bookmarkStart w:id="26" w:name="__RefHeading___Toc298226_1346298689"/>
      <w:bookmarkEnd w:id="26"/>
      <w:r>
        <w:rPr/>
        <w:t>6)</w:t>
        <w:tab/>
        <w:t>ALANKOMAAT</w:t>
      </w:r>
    </w:p>
    <w:p>
      <w:pPr>
        <w:pStyle w:val="Corpsdetexte"/>
        <w:rPr/>
      </w:pPr>
      <w:r>
        <w:rPr/>
        <w:t>Kansalaispaneelin järjesti riippumaton kolmas osapuoli, ja vuoropuhelut ”Visions of Europe” alkoivat 1.</w:t>
      </w:r>
      <w:r>
        <w:rPr>
          <w:vertAlign w:val="superscript"/>
        </w:rPr>
        <w:t>syyskuuta</w:t>
      </w:r>
      <w:r>
        <w:rPr/>
        <w:t>. Ne jaettiin useisiin osiin.</w:t>
      </w:r>
    </w:p>
    <w:p>
      <w:pPr>
        <w:pStyle w:val="Corpsdetexte"/>
        <w:rPr/>
      </w:pPr>
      <w:r>
        <w:rPr/>
        <w:t>Verkko</w:t>
      </w:r>
      <w:r>
        <w:rPr>
          <w:vertAlign w:val="superscript"/>
        </w:rPr>
        <w:t>-</w:t>
      </w:r>
      <w:r>
        <w:rPr/>
        <w:t xml:space="preserve"> osio, joka käynnistettiin 1. syyskuuta 2021, sisälsi</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Kuva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Kuva16" descr=""/>
                    <pic:cNvPicPr>
                      <a:picLocks noChangeAspect="1" noChangeArrowheads="1"/>
                    </pic:cNvPicPr>
                  </pic:nvPicPr>
                  <pic:blipFill>
                    <a:blip r:embed="rId45"/>
                    <a:stretch>
                      <a:fillRect/>
                    </a:stretch>
                  </pic:blipFill>
                  <pic:spPr bwMode="auto">
                    <a:xfrm>
                      <a:off x="0" y="0"/>
                      <a:ext cx="3610610" cy="2474595"/>
                    </a:xfrm>
                    <a:prstGeom prst="rect">
                      <a:avLst/>
                    </a:prstGeom>
                  </pic:spPr>
                </pic:pic>
              </a:graphicData>
            </a:graphic>
          </wp:anchor>
        </w:drawing>
      </w:r>
      <w:r>
        <w:rPr/>
        <w:t>k</w:t>
      </w:r>
      <w:r>
        <w:rPr/>
        <w:t>yselyn ja yksinkertaistetun valintavälineen, jonka avulla kansalaiset voivat ilmaista mieltymyksensä, toiveensa ja suosituksensa konferenssin yhdeksästä teemasta. Kyselylomake jaettiin valikoidulle edustavalle ja osallistavalle ryhmälle, jossa oli 4 000 kansalaista.</w:t>
      </w:r>
    </w:p>
    <w:p>
      <w:pPr>
        <w:pStyle w:val="Corpsdetexte"/>
        <w:rPr/>
      </w:pPr>
      <w:r>
        <w:rPr/>
      </w:r>
    </w:p>
    <w:p>
      <w:pPr>
        <w:pStyle w:val="Corpsdetexte"/>
        <w:rPr/>
      </w:pPr>
      <w:r>
        <w:rPr/>
        <w:t>Loka- ja marraskuussa 2021 järjestettiin perusteellisia keskusteluja kansalaisten kanssa verkossa ja sen ulkopuolella, erityisesti nuorten ja vaikeasti saavutettavien kohderyhmien tavoittamiseksi.</w:t>
      </w:r>
    </w:p>
    <w:p>
      <w:pPr>
        <w:pStyle w:val="Corpsdetexte"/>
        <w:rPr/>
      </w:pPr>
      <w:r>
        <w:rPr/>
        <w:t>On julkaistu kaksi kertomusta, joiden otsikkona on ”Visio Euroopalle”. lausunnot, ideat ja suositukset (Elze kijk op Europa; Meningen, ideeën en Aanbevelingen) ja tuo yhteen 30 suositusta, joita kansalaiset antoivat konferenssin yhdeksästä teemasta.</w:t>
      </w:r>
    </w:p>
    <w:p>
      <w:pPr>
        <w:pStyle w:val="Corpsdetexte"/>
        <w:rPr/>
      </w:pPr>
      <w:r>
        <w:rPr/>
        <mc:AlternateContent>
          <mc:Choice Requires="wps">
            <w:drawing>
              <wp:anchor behindDoc="0" distT="0" distB="0" distL="0" distR="0" simplePos="0" locked="0" layoutInCell="1" allowOverlap="1" relativeHeight="67">
                <wp:simplePos x="0" y="0"/>
                <wp:positionH relativeFrom="column">
                  <wp:posOffset>25400</wp:posOffset>
                </wp:positionH>
                <wp:positionV relativeFrom="paragraph">
                  <wp:posOffset>591820</wp:posOffset>
                </wp:positionV>
                <wp:extent cx="2971165" cy="2225675"/>
                <wp:effectExtent l="0" t="0" r="0" b="0"/>
                <wp:wrapSquare wrapText="largest"/>
                <wp:docPr id="53" name="Viitekehys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t>Hollannin</w:t>
                            </w:r>
                            <w:r>
                              <w:rPr>
                                <w:color w:val="auto"/>
                              </w:rPr>
                              <w:drawing>
                                <wp:inline distT="0" distB="0" distL="0" distR="0">
                                  <wp:extent cx="2970530" cy="2017395"/>
                                  <wp:effectExtent l="0" t="0" r="0" b="0"/>
                                  <wp:docPr id="55" name="Kuva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uva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kansalaispaneeli</w:t>
                            </w:r>
                          </w:p>
                        </w:txbxContent>
                      </wps:txbx>
                      <wps:bodyPr lIns="0" rIns="0" tIns="0" bIns="0">
                        <a:noAutofit/>
                      </wps:bodyPr>
                    </wps:wsp>
                  </a:graphicData>
                </a:graphic>
              </wp:anchor>
            </w:drawing>
          </mc:Choice>
          <mc:Fallback>
            <w:pict>
              <v:rect id="shape_0" ID="Viitekehys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rPr>
                      </w:pPr>
                      <w:r>
                        <w:rPr>
                          <w:color w:val="auto"/>
                        </w:rPr>
                        <w:t>Hollannin</w:t>
                      </w:r>
                      <w:r>
                        <w:rPr>
                          <w:color w:val="auto"/>
                        </w:rPr>
                        <w:drawing>
                          <wp:inline distT="0" distB="0" distL="0" distR="0">
                            <wp:extent cx="2970530" cy="2017395"/>
                            <wp:effectExtent l="0" t="0" r="0" b="0"/>
                            <wp:docPr id="56" name="Kuva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Kuva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kansalaispaneeli</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Konferenssin yhteydessä järjestettävät tapahtumat</w:t>
      </w:r>
    </w:p>
    <w:p>
      <w:pPr>
        <w:pStyle w:val="Titre3"/>
        <w:numPr>
          <w:ilvl w:val="2"/>
          <w:numId w:val="2"/>
        </w:numPr>
        <w:rPr/>
      </w:pPr>
      <w:bookmarkStart w:id="28" w:name="__RefHeading___Toc298230_1346298689"/>
      <w:bookmarkEnd w:id="28"/>
      <w:r>
        <w:rPr/>
        <w:t>1.</w:t>
        <w:tab/>
        <w:t>Kansalliset tapahtumat</w:t>
      </w:r>
    </w:p>
    <w:p>
      <w:pPr>
        <w:pStyle w:val="Corpsdetexte"/>
        <w:rPr/>
      </w:pPr>
      <w:r>
        <w:rPr/>
        <w:t xml:space="preserve">Jäsenvaltiot osallistuivat konferenssiin monenlaisilla tapahtumilla ja aloitteilla. Näihin tapahtumiin osallistui useita tuhansia kansalaisia eri puolilta EU:ta. </w:t>
      </w:r>
      <w:hyperlink r:id="rId47">
        <w:r>
          <w:rPr>
            <w:rStyle w:val="LienInternet"/>
          </w:rPr>
          <w:t>Monikielisen</w:t>
        </w:r>
      </w:hyperlink>
      <w:r>
        <w:rPr/>
        <w:t xml:space="preserve"> digitaalisen foorumin erityisotsake tarjoaa yleiskuvan tärkeimmistä toimista, joita jäsenvaltioiden viranomaiset ovat järjestäneet tai tukeneet. Kansallisten tapahtumien ja/tai kansallisten kansalaispaneelien edustajat esittelivät tapahtumat konferenssin täysistunnoissa 23. lokakuuta 2021 ja 25. maaliskuuta 2022, mutta ne myös osallistuivat konferenssiin </w:t>
      </w:r>
      <w:hyperlink r:id="rId48">
        <w:r>
          <w:rPr>
            <w:rStyle w:val="LienInternet"/>
          </w:rPr>
          <w:t>foorumin raporttien</w:t>
        </w:r>
      </w:hyperlink>
      <w:r>
        <w:rPr/>
        <w:t xml:space="preserve"> kautta, mikä rikastutti keskustelua Euroopan tasolla.</w:t>
      </w:r>
    </w:p>
    <w:p>
      <w:pPr>
        <w:pStyle w:val="Corpsdetexte"/>
        <w:rPr/>
      </w:pPr>
      <w:r>
        <w:rPr/>
        <w:t xml:space="preserve"> </w:t>
      </w:r>
      <w:r>
        <w:rPr/>
        <w:t>Näiden tapahtumien ja aloitteiden päätavoitteena oli kuunnella kansalaisia ja ottaa heidät mukaan Euroopan unionista käytäviin keskusteluihin. Myös osallistaminen ja vuoropuhelu kansalaisten kanssa olivat ensisijaisia tavoitteita, ja niissä pyrittiin ottamaan mukaan ihmisiä, jotka eivät yleensä osallistu liittyviin keskusteluihin.</w:t>
      </w:r>
    </w:p>
    <w:p>
      <w:pPr>
        <w:pStyle w:val="Corpsdetexte"/>
        <w:rPr/>
      </w:pPr>
      <w:r>
        <w:rPr/>
        <w:t>Järjestettiin erilaisia tapahtumia, joissa yhdistettiin keskitettyjä ja hajautettuja lähestymistapoja, mukaan lukien erilaiset alhaalta ylöspäin suuntautuvien aloitteiden tukimuodot. Toimintaa ja tapahtumia jäsenvaltioissa järjestivät eri instituutiot ja toimijat, kuten kansalliset, alueelliset ja paikalliset viranomaiset, kansalaisyhteiskunnan organisaatiot, työmarkkinaosapuolet, järjestöt ja kansalaiset. Joissakin tapauksissa myös kansalaisjärjestöt, kulttuurilaitokset, ajatushautomot, yliopistot ja tutkimuslaitokset osallistuivat aktiivisesti konferenssin tapahtumien järjestämiseen. Monissa näistä toiminnoista ja tapahtumista on kiinnitetty erityistä huomiota nuoremman sukupolven osallistumiseen.</w:t>
      </w:r>
    </w:p>
    <w:p>
      <w:pPr>
        <w:pStyle w:val="Corpsdetexte"/>
        <w:rPr/>
      </w:pPr>
      <w:r>
        <w:rPr/>
        <w:drawing>
          <wp:anchor behindDoc="0" distT="0" distB="0" distL="0" distR="0" simplePos="0" locked="0" layoutInCell="1" allowOverlap="1" relativeHeight="68">
            <wp:simplePos x="0" y="0"/>
            <wp:positionH relativeFrom="column">
              <wp:posOffset>31750</wp:posOffset>
            </wp:positionH>
            <wp:positionV relativeFrom="paragraph">
              <wp:posOffset>123190</wp:posOffset>
            </wp:positionV>
            <wp:extent cx="2518410" cy="7244080"/>
            <wp:effectExtent l="0" t="0" r="0" b="0"/>
            <wp:wrapTopAndBottom/>
            <wp:docPr id="57" name="Kuva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Kuva17" descr=""/>
                    <pic:cNvPicPr>
                      <a:picLocks noChangeAspect="1" noChangeArrowheads="1"/>
                    </pic:cNvPicPr>
                  </pic:nvPicPr>
                  <pic:blipFill>
                    <a:blip r:embed="rId49"/>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Yleiskatsaus jäsenvaltioiden tärkeimmistä tapahtumista ja aloitteista:</w:t>
      </w:r>
    </w:p>
    <w:p>
      <w:pPr>
        <w:pStyle w:val="P68B1DB1Corpsdetexte12"/>
        <w:rPr>
          <w:b/>
          <w:b/>
          <w:i/>
          <w:i/>
          <w:u w:val="single"/>
        </w:rPr>
      </w:pPr>
      <w:r>
        <w:rPr/>
        <w:t>1 Belgia</w:t>
      </w:r>
    </w:p>
    <w:p>
      <w:pPr>
        <w:pStyle w:val="Corpsdetexte"/>
        <w:rPr/>
      </w:pPr>
      <w:r>
        <w:rPr/>
        <w:t>Liitto- ja alueviranomaiset ovat järjestäneet useita tapahtumia. Kansalaisten kanssa käytiin useita keskusteluja esimerkiksi maailmassa sekä ilmastonmuutoksesta ja ympäristöstä. Lisäksi käytiin kansalaisten kanssa jäsenneltyä vuoropuhelua ”Eläminen raja-alueella” ja hackathonia aiheesta ”Terveellisten elintapojen ja ilmastonmuutoksen vaikutus elämänlaatuun” ja ”nuorten työllistymisen esteet”.</w:t>
      </w:r>
    </w:p>
    <w:p>
      <w:pPr>
        <w:pStyle w:val="Corpsdetexte"/>
        <w:rPr/>
      </w:pPr>
      <w:r>
        <w:rPr/>
        <w:t>Lisäksi järjestettiin digitalisaatiota ja kestävää taloutta käsittelevä tapahtuma, ja nuorten ja poliitikkojen välillä käytiin useita keskusteluja aiheesta ”Eurooppa kuuntelee sinua”.</w:t>
      </w:r>
    </w:p>
    <w:p>
      <w:pPr>
        <w:pStyle w:val="P68B1DB1Corpsdetexte12"/>
        <w:rPr>
          <w:b/>
          <w:b/>
          <w:i/>
          <w:i/>
          <w:u w:val="single"/>
        </w:rPr>
      </w:pPr>
      <w:r>
        <w:rPr/>
        <w:t>2 Bulgaria</w:t>
      </w:r>
    </w:p>
    <w:p>
      <w:pPr>
        <w:pStyle w:val="Corpsdetexte"/>
        <w:rPr/>
      </w:pPr>
      <w:r>
        <w:rPr/>
        <w:t>Bulgarialainen harjoitus käynnistettiin seremoniassa ”Kuinka kuulla kansalaisten ääntä Euroopan tulevaisuutta käsittelevän konferenssin kautta?”, johon osallistuivat viranomaiset ja kansalaisten edustajat. Osana järjestettyjä tapahtumia perustettiin vuoropuhelu demografiasta ja demokratiasta.</w:t>
      </w:r>
    </w:p>
    <w:p>
      <w:pPr>
        <w:pStyle w:val="Corpsdetexte"/>
        <w:rPr/>
      </w:pPr>
      <w:r>
        <w:rPr/>
        <w:t>Suurissa yliopistokaupungeissa järjestettiin useita paikallisia tapahtumia Europe Direct -keskusten avulla.</w:t>
      </w:r>
    </w:p>
    <w:p>
      <w:pPr>
        <w:pStyle w:val="P68B1DB1Corpsdetexte12"/>
        <w:rPr>
          <w:b/>
          <w:b/>
          <w:i/>
          <w:i/>
          <w:u w:val="single"/>
        </w:rPr>
      </w:pPr>
      <w:r>
        <w:rPr/>
        <w:t>3 Tšekin tasavalta</w:t>
      </w:r>
    </w:p>
    <w:p>
      <w:pPr>
        <w:pStyle w:val="Corpsdetexte"/>
        <w:rPr/>
      </w:pPr>
      <w:r>
        <w:rPr/>
        <w:t>Tšekin tasavalta järjesti keskuskeskusteluja suuren yleisön kanssa ja tiedotustilaisuuksia asiaankuuluville sidosryhmille. Näitä tapahtumia täydennettiin nuorisotapahtumilla ja kansainvälisillä tapahtumilla. Erityisesti järjestettiin ylikansallinen tapahtuma Saksan ja Tšekin kansalaisten kanssa. Koko maassa järjestettiin useita alueellisia keskusteluja sekä keskiasteen oppilaille suunnattuja alueellisia seminaareja aiheesta ”Decide on Europe”.</w:t>
      </w:r>
    </w:p>
    <w:p>
      <w:pPr>
        <w:pStyle w:val="Normal"/>
        <w:rPr/>
      </w:pPr>
      <w:r>
        <w:rPr/>
      </w:r>
    </w:p>
    <w:p>
      <w:pPr>
        <w:pStyle w:val="P68B1DB1Corpsdetexte12"/>
        <w:tabs>
          <w:tab w:val="left" w:pos="1391" w:leader="none"/>
        </w:tabs>
        <w:rPr>
          <w:b/>
          <w:b/>
          <w:i/>
          <w:i/>
          <w:u w:val="single"/>
        </w:rPr>
      </w:pPr>
      <w:r>
        <w:rPr/>
        <w:t>4 Tanska</w:t>
      </w:r>
    </w:p>
    <w:p>
      <w:pPr>
        <w:pStyle w:val="Corpsdetexte"/>
        <w:rPr/>
      </w:pPr>
      <w:r>
        <w:rPr/>
        <w:t>Järjestettiin laaja ja osallistava kansallinen keskustelu, jossa kansalaisyhteiskunnalla ja muilla valtiosta riippumattomilla toimijoilla oli keskeinen rooli. Nimetty joukko julkisia varoja on myönnetty eri organisaatioille, kuten kansalaisjärjestöille, tiedotusvälineille, nuorisojärjestöille, kulttuurilaitoksille, ajatushautomoille ja tutkimuslaitoksille kansalaisjärjestöjen käynnistämien keskustelujen ja aloitteiden tukemiseksi. Keskusteluissa käytiin yli 180 keskustelua, joista noin puolet oli suunnattu erityisesti nuorille. Lisäksi hallitus ja parlamentti järjestivät useita virallisia tapahtumia, kuten kansalaisten kuulemisia ja keskusteluja.</w:t>
      </w:r>
    </w:p>
    <w:p>
      <w:pPr>
        <w:pStyle w:val="P68B1DB1Corpsdetexte12"/>
        <w:rPr>
          <w:b/>
          <w:b/>
          <w:i/>
          <w:i/>
          <w:u w:val="single"/>
        </w:rPr>
      </w:pPr>
      <w:r>
        <w:rPr/>
        <w:t>5 Saksa</w:t>
      </w:r>
    </w:p>
    <w:p>
      <w:pPr>
        <w:pStyle w:val="Corpsdetexte"/>
        <w:rPr/>
      </w:pPr>
      <w:r>
        <w:rPr/>
        <w:t>Saksan tapahtumiin osallistuivat liittohallitus, liittopäivät, liittovaltiot ja kansalaisyhteiskunta. Liittohallituksen järjestämien tapahtumien lisäksi Saksan kuusitoista liittovaltiota järjesti yli 50 alueellista tapahtumaa ja kansalaisyhteiskunta noin 300.</w:t>
      </w:r>
    </w:p>
    <w:p>
      <w:pPr>
        <w:pStyle w:val="Corpsdetexte"/>
        <w:rPr/>
      </w:pPr>
      <w:r>
        <w:rPr/>
        <w:t>Valtioiden rajat ylittävät tapahtumat ja vuoropuhelu opiskelijoiden ja nuorten kanssa ovat olleet keskeinen osa monissa aloitteissa, ja nuoret ovat olleet eturintamassa keskusteluissa, joilla pyritään muokkaamaan Euroopan tulevaisuutta.</w:t>
      </w:r>
    </w:p>
    <w:p>
      <w:pPr>
        <w:pStyle w:val="P68B1DB1Corpsdetexte12"/>
        <w:rPr>
          <w:b/>
          <w:b/>
          <w:i/>
          <w:i/>
          <w:u w:val="single"/>
        </w:rPr>
      </w:pPr>
      <w:r>
        <w:rPr/>
        <w:t>6 Viro</w:t>
      </w:r>
    </w:p>
    <w:p>
      <w:pPr>
        <w:pStyle w:val="Corpsdetexte"/>
        <w:rPr/>
      </w:pPr>
      <w:r>
        <w:rPr/>
        <w:t>Valtiokansleri järjesti erilaisia tapahtumia, seminaareja ja keskusteluja yhteistyössä muun muassa Euroopan komission Viron-edustuston, ulkoasiainministeriön ja muiden ministeriöiden sekä kansalaisyhteiskunnan ja nuorisojärjestöjen kanssa. Erityisesti lukiolaisille järjestettiin keskustelu ilmastonmuutokseen, energiapolitiikkaan ja konferenssiin liittyvistä keskeisistä kysymyksistä. Keskustelu aiheesta ”Viron diplomatia ilmastotavoitteiden saavuttamiseksi” aloitettiin myös.</w:t>
      </w:r>
    </w:p>
    <w:p>
      <w:pPr>
        <w:pStyle w:val="P68B1DB1Corpsdetexte12"/>
        <w:rPr>
          <w:b/>
          <w:b/>
          <w:i/>
          <w:i/>
          <w:u w:val="single"/>
        </w:rPr>
      </w:pPr>
      <w:r>
        <w:rPr/>
        <w:t>7 Irlanti</w:t>
      </w:r>
    </w:p>
    <w:p>
      <w:pPr>
        <w:pStyle w:val="Corpsdetexte"/>
        <w:rPr/>
      </w:pPr>
      <w:r>
        <w:rPr/>
        <w:t>Osallisuus ja vuoropuhelu koko väestön, erityisesti nuorten, kanssa oli Irlannissa järjestetyn toiminnan keskeinen aihe.</w:t>
      </w:r>
    </w:p>
    <w:p>
      <w:pPr>
        <w:pStyle w:val="Corpsdetexte"/>
        <w:rPr/>
      </w:pPr>
      <w:r>
        <w:rPr/>
        <w:t>Vuosina 2021 ja 2022 käynnistettiin yhteistyössä European Movement Irelandin (EMI) kanssa alueellisia ja alakohtaisia sitoumuksia koskeva ohjelma. Alueellisten kokousten ensimmäinen vaihe järjestettiin kesä- ja heinäkuussa virtuaalikuulemisen muodossa. Alueellisten tapahtumien toinen vaihe toteutettiin kasvokkain pidettävien julkisten kokousten muodossa vuoden 2022 alussa. Heinäkuusta lähtien hallitusjohtoisten tapahtumien ohjelma on ollut käynnissä.</w:t>
      </w:r>
    </w:p>
    <w:p>
      <w:pPr>
        <w:pStyle w:val="P68B1DB1Corpsdetexte12"/>
        <w:rPr>
          <w:b/>
          <w:b/>
          <w:i/>
          <w:i/>
          <w:u w:val="single"/>
        </w:rPr>
      </w:pPr>
      <w:r>
        <w:rPr/>
        <w:t>8 Kreikka</w:t>
      </w:r>
    </w:p>
    <w:p>
      <w:pPr>
        <w:pStyle w:val="Corpsdetexte"/>
        <w:rPr/>
      </w:pPr>
      <w:r>
        <w:rPr/>
        <w:t>Ulkoministeriö vastasi kansallisen vuoropuhelun koordinoinnista. Keskus- ja paikallishallinnon virastoja ja kansalaisyhteiskuntaa kehotettiin voimakkaasti järjestämään keskusteluja ja muita tapahtumia. Esimerkiksi Euro-Välimeri-yhteistyöstä, Länsi-Balkanista, väestöhaasteesta, muuttoliikkeestä ja demokratiasta järjestettiin tapahtumia, joissa kansalaiset ja eri sidosryhmät olivat mukana.</w:t>
      </w:r>
    </w:p>
    <w:p>
      <w:pPr>
        <w:pStyle w:val="P68B1DB1Corpsdetexte12"/>
        <w:rPr>
          <w:b/>
          <w:b/>
          <w:i/>
          <w:i/>
          <w:u w:val="single"/>
        </w:rPr>
      </w:pPr>
      <w:r>
        <w:rPr/>
        <w:t>9 Espanja</w:t>
      </w:r>
    </w:p>
    <w:p>
      <w:pPr>
        <w:pStyle w:val="Corpsdetexte"/>
        <w:rPr/>
      </w:pPr>
      <w:r>
        <w:rPr/>
        <w:t>Espanjan kehykseen sisältyi kuusi valtakunnallista tapahtumaa (esim. Espanjan kansalaisten kuuleminen Euroopan tulevaisuudesta) ja noin 20 tapahtumaa alueellisella tasolla. Portugalin ja Espanjan kansalaisten kanssa järjestettiin myös tapahtuma, jossa keskusteltiin heidän alueidensa tulevaisuutta ja EU:ta kiinnostavista keskeisistä aiheista. Alue- ja paikallistasolla viranomaiset järjestivät tapahtumia useista aiheista, kuten rajatylittävästä yhteistyöstä, väestörakenteen muutoksen vaikutuksista, kestävästä liikenteestä ja liikkuvuudesta, ilmastonmuutoksesta, muuttoliikkeestä ja syrjäisimpien alueiden tulevaisuudesta.</w:t>
      </w:r>
    </w:p>
    <w:p>
      <w:pPr>
        <w:pStyle w:val="Normal"/>
        <w:rPr/>
      </w:pPr>
      <w:r>
        <w:rPr/>
      </w:r>
    </w:p>
    <w:p>
      <w:pPr>
        <w:pStyle w:val="P68B1DB1Corpsdetexte12"/>
        <w:rPr>
          <w:b/>
          <w:b/>
          <w:i/>
          <w:i/>
          <w:u w:val="single"/>
        </w:rPr>
      </w:pPr>
      <w:r>
        <w:rPr/>
        <w:t>10 Ranska</w:t>
      </w:r>
    </w:p>
    <w:p>
      <w:pPr>
        <w:pStyle w:val="Corpsdetexte"/>
        <w:rPr/>
      </w:pPr>
      <w:r>
        <w:rPr/>
        <w:t>Ranskan hallitus järjesti nuorille laajan verkkokuulemisen touko-heinäkuussa 2021. Viisikymmentätuhatta nuorta ranskalaista ilmaisi näkemyksensä ja kannatti 16:ta keskeistä ajatusta Euroopan tulevaisuudesta. Tutkimuksen tulokset koottiin yhdessä Ranskan kansalaispaneelin tulosten kanssa loppuraporttiin, joka muodostaa Ranskan panoksen konferenssiin. Ranskan hallitus kannusti myös kaikkia niitä ranskalaisia toimijoita (yhdistykset, paikallisviranomaiset, vaaleilla valitut virkamiehet, kansalaisyhteiskunnan edustajat) järjestämään tapahtumia.</w:t>
      </w:r>
    </w:p>
    <w:p>
      <w:pPr>
        <w:pStyle w:val="P68B1DB1Corpsdetexte12"/>
        <w:rPr>
          <w:b/>
          <w:b/>
          <w:i/>
          <w:i/>
          <w:u w:val="single"/>
        </w:rPr>
      </w:pPr>
      <w:r>
        <w:rPr/>
        <w:t>11 Kroatia</w:t>
      </w:r>
    </w:p>
    <w:p>
      <w:pPr>
        <w:pStyle w:val="Corpsdetexte"/>
        <w:rPr/>
      </w:pPr>
      <w:r>
        <w:rPr/>
        <w:t>Toiminnan koordinointia varten on perustettu työryhmä, joka on kerännyt ideoita ja suunnitelmia toimien toteuttamiseksi kansallisella tasolla. Ministeriöt, valtion keskusvirastot, aluekehitysvirastot, yliopistot, kansalaisjärjestöt ja laitokset järjestivät tapahtumia konferensseina, kansalaisvuoropuheluina ja kansalaiskeskusteluina, julkisissa keskusteluissa ja koulutustyöpajoissa, joissa keskityttiin erityisesti nuoriin.</w:t>
      </w:r>
    </w:p>
    <w:p>
      <w:pPr>
        <w:pStyle w:val="Corpsdetexte"/>
        <w:rPr/>
      </w:pPr>
      <w:r>
        <w:rPr/>
        <w:t>Käsiteltyjä aiheita ovat muuttoliike, väestökehitys, ilmastoneutraalius ja kiertotalous. Joitakin tapahtumia järjestettiin muiden jäsenvaltioiden ja EU:n ulkopuolisten naapurimaiden kanssa.</w:t>
      </w:r>
    </w:p>
    <w:p>
      <w:pPr>
        <w:pStyle w:val="P68B1DB1Corpsdetexte12"/>
        <w:rPr>
          <w:b/>
          <w:b/>
          <w:i/>
          <w:i/>
          <w:u w:val="single"/>
        </w:rPr>
      </w:pPr>
      <w:r>
        <w:rPr/>
        <w:t>12 Italia</w:t>
      </w:r>
    </w:p>
    <w:p>
      <w:pPr>
        <w:pStyle w:val="Corpsdetexte"/>
        <w:rPr/>
      </w:pPr>
      <w:r>
        <w:rPr/>
        <w:t>Useita tapahtumia, joissa keskitytään erityisesti nuoriin, on perustettu niin monien kansalaisten tavoittamiseksi kuin mahdollista, muun muassa paikallisviranomaisten aktiivisella tuella. Käynnistettiin mediakampanja, jonka tarkoituksena on lisätä tietoisuutta näistä tapahtumista mahdollisimman paljon. Näihin toimiin kuuluvat Länsi-Balkanin nuorten kanssa järjestetty EU:n ja Balkanin nuorisofoorumi, ”Med Dialogues” -nuorisofoorumi, johon osallistuu eteläisten naapurimaiden nuoria, sekä keskiasteen ja yliopisto-opiskelijoiden kilpailut ”Eurooppa on käsissäsi”.</w:t>
      </w:r>
    </w:p>
    <w:p>
      <w:pPr>
        <w:pStyle w:val="P68B1DB1Corpsdetexte12"/>
        <w:rPr>
          <w:b/>
          <w:b/>
          <w:i/>
          <w:i/>
          <w:u w:val="single"/>
        </w:rPr>
      </w:pPr>
      <w:r>
        <w:rPr/>
        <w:t>13 Kypros</w:t>
      </w:r>
    </w:p>
    <w:p>
      <w:pPr>
        <w:pStyle w:val="Corpsdetexte"/>
        <w:rPr/>
      </w:pPr>
      <w:r>
        <w:rPr/>
        <w:t>On järjestetty useita nuorisokeskeisiä toimia, joihin osallistuu monia toimijoita. Järjestettiin käynnistystapahtuma, johon sisältyi keskustelu nuoremman sukupolven kanssa heidän odotuksistaan, huolenaiheistaan ja visiostaan Euroopalle ja Kyprokselle. Lisäksi käytiin avointa vuoropuhelua nuorten roolista Eurooppaa koskevassa keskustelussa ja heidän kohtaamistaan ongelmista kansallisella ja Euroopan tasolla. Lisäksi järjestettiin tapahtuma, jossa keskusteltiin Euroopan turvallisuuden ja puolustuksen tulevaisuudesta.</w:t>
      </w:r>
    </w:p>
    <w:p>
      <w:pPr>
        <w:pStyle w:val="P68B1DB1Corpsdetexte12"/>
        <w:rPr>
          <w:b/>
          <w:b/>
          <w:i/>
          <w:i/>
          <w:u w:val="single"/>
        </w:rPr>
      </w:pPr>
      <w:r>
        <w:rPr/>
        <w:t>14 Latvia</w:t>
      </w:r>
    </w:p>
    <w:p>
      <w:pPr>
        <w:pStyle w:val="Corpsdetexte"/>
        <w:rPr/>
      </w:pPr>
      <w:r>
        <w:rPr/>
        <w:t>Useita tapahtumia on järjestetty, mukaan lukien valtakunnallinen online-keskustelu opiskelijoiden kanssa ”Tulevaisuus on käsissäsi” taloudellisista, sosiaalisista ja turvallisuuskysymyksistä. Perustettiin kansallinen tutkimus ja keskustelut ajatushautomoissa, joiden tarkoituksena on kerätä yleistä mielipidettä kansalaisten näkemyksistä Euroopan unionin tulevista painopisteistä kaikissa konferenssin teemoissa. Yli 55-vuotiaiden keskuudessa järjestettiin alueellisia kasvokkain käytäviä keskusteluja konferenssin tietoisuuden lisäämiseksi, ja keskiasteen oppilaiden kanssa käytiin kasvokkain keskusteluja.</w:t>
      </w:r>
    </w:p>
    <w:p>
      <w:pPr>
        <w:pStyle w:val="P68B1DB1Corpsdetexte12"/>
        <w:rPr>
          <w:b/>
          <w:b/>
          <w:i/>
          <w:i/>
          <w:u w:val="single"/>
        </w:rPr>
      </w:pPr>
      <w:r>
        <w:rPr/>
        <w:t>15 Liettua</w:t>
      </w:r>
    </w:p>
    <w:p>
      <w:pPr>
        <w:pStyle w:val="Corpsdetexte"/>
        <w:rPr/>
      </w:pPr>
      <w:r>
        <w:rPr/>
        <w:t>Tapahtumat järjestettiin pääasiassa hajautetusti, ja niissä keskityttiin Liettuan eri alueisiin ja nuoriin (esim. Baltian maiden nuorisokeskustelussa). Järjestettiin useita kansalaisvuoropuheluja (demokratia, digitalisaatio, ilmastonmuutos jne.), valtioiden rajat ylittävää vuoropuhelua (esimerkiksi Ranskan, Irlannin ja Italian kanssa) ja kansalaisyhteiskunnan tapahtumia. Lisäksi kouluja kehotettiin käsittelemään Euroopan tulevaisuutta koskevaa kysymystä.</w:t>
      </w:r>
    </w:p>
    <w:p>
      <w:pPr>
        <w:pStyle w:val="Normal"/>
        <w:rPr/>
      </w:pPr>
      <w:r>
        <w:rPr/>
      </w:r>
    </w:p>
    <w:p>
      <w:pPr>
        <w:pStyle w:val="P68B1DB1Corpsdetexte12"/>
        <w:rPr>
          <w:b/>
          <w:b/>
          <w:i/>
          <w:i/>
          <w:u w:val="single"/>
        </w:rPr>
      </w:pPr>
      <w:r>
        <w:rPr/>
        <w:t>16 Luxemburg</w:t>
      </w:r>
    </w:p>
    <w:p>
      <w:pPr>
        <w:pStyle w:val="Corpsdetexte"/>
        <w:rPr/>
      </w:pPr>
      <w:r>
        <w:rPr/>
        <w:t>Kansallisella tasolla järjestettiin useita tapahtumia, joissa sovellettiin avointa, osallistavaa ja läpinäkyvää lähestymistapaa. Esimerkiksi parlamentti järjesti useita tapahtumia uusissa muodoissa, kuten ”bistrot-keskusteluja”. Opiskelijoille ja nuorille yrittäjille järjestettiin myös hackathon, jossa keskusteltiin digitaalisesta kompassista ja EU:n teollisuusstrategiasta.</w:t>
      </w:r>
    </w:p>
    <w:p>
      <w:pPr>
        <w:pStyle w:val="Corpsdetexte"/>
        <w:rPr/>
      </w:pPr>
      <w:r>
        <w:rPr/>
        <w:t>Lisäksi saksalaisten, ranskalaisten ja luxemburgilaisten lukiolaisten välillä järjestettiin kolmikansallinen vaihto.</w:t>
      </w:r>
    </w:p>
    <w:p>
      <w:pPr>
        <w:pStyle w:val="P68B1DB1Corpsdetexte12"/>
        <w:rPr>
          <w:b/>
          <w:b/>
          <w:i/>
          <w:i/>
          <w:u w:val="single"/>
        </w:rPr>
      </w:pPr>
      <w:r>
        <w:rPr/>
        <w:t>17 Unkari</w:t>
      </w:r>
    </w:p>
    <w:p>
      <w:pPr>
        <w:pStyle w:val="Corpsdetexte"/>
        <w:rPr/>
      </w:pPr>
      <w:r>
        <w:rPr/>
        <w:t>Erilaisia tapahtumia eri puolilla yhteiskuntaa (yli 800) järjestettiin. Institutionaalisia tapahtumia ovat useiden ministeriöiden järjestämät korkean tason kansainväliset konferenssit (esim. EU:n laajentuminen ja digitaalistrategia) sekä pyöreän pöydän keskustelut opiskelijoiden ja nuorisojärjestöjen kanssa (esim. Euroopan yhdentymisestä). Useat organisaatiot järjestivät paneelikeskusteluja seuraavista aiheista: EU:n toimielimet; vahvempi talous, sosiaalinen oikeudenmukaisuus ja työllisyys, digitalisaatio, koulutus, kulttuuri, nuoriso ja urheilu; arvot ja oikeudet, oikeusvaltioperiaate ja turvallisuus; Kansalaisjärjestöt; maahanmuutto; väestörakenne, perhe, terveys, ilmastonmuutos ja ympäristö.</w:t>
      </w:r>
    </w:p>
    <w:p>
      <w:pPr>
        <w:pStyle w:val="P68B1DB1Corpsdetexte12"/>
        <w:rPr>
          <w:b/>
          <w:b/>
          <w:i/>
          <w:i/>
          <w:u w:val="single"/>
        </w:rPr>
      </w:pPr>
      <w:r>
        <w:rPr/>
        <w:t>18 Malta</w:t>
      </w:r>
    </w:p>
    <w:p>
      <w:pPr>
        <w:pStyle w:val="Corpsdetexte"/>
        <w:rPr/>
      </w:pPr>
      <w:r>
        <w:rPr/>
        <w:t>Käynnistystapahtuman jälkeen perustettiin kansallinen koordinointikomitea, jonka tehtävänä on edistää aloitetta eri viestintäkanavien kautta ja opastaa keskustelua kansallisten ja paikallisten tapahtumien kautta.</w:t>
      </w:r>
    </w:p>
    <w:p>
      <w:pPr>
        <w:pStyle w:val="Corpsdetexte"/>
        <w:rPr/>
      </w:pPr>
      <w:r>
        <w:rPr/>
        <w:t>Temaattiset julkiset vuoropuhelut (esim. terveys, eurooppalaiset arvot ja työn tulevaisuus oikeudenmukaisen yhteiskunnan hyväksi), lehdistötilaisuudet, asianomaisten alojen sidosryhmien kuuleminen ja interaktiiviset tapaamiset lasten ja opiskelijoiden kanssa järjestettiin fyysisessä tai hybridimuodossa.</w:t>
      </w:r>
    </w:p>
    <w:p>
      <w:pPr>
        <w:pStyle w:val="Corpsdetexte"/>
        <w:rPr/>
      </w:pPr>
      <w:r>
        <w:rPr/>
      </w:r>
    </w:p>
    <w:p>
      <w:pPr>
        <w:pStyle w:val="P68B1DB1Corpsdetexte12"/>
        <w:rPr>
          <w:b/>
          <w:b/>
          <w:i/>
          <w:i/>
          <w:u w:val="single"/>
        </w:rPr>
      </w:pPr>
      <w:r>
        <w:rPr/>
        <w:t>19 Alankomaat</w:t>
      </w:r>
    </w:p>
    <w:p>
      <w:pPr>
        <w:pStyle w:val="Corpsdetexte"/>
        <w:rPr/>
      </w:pPr>
      <w:r>
        <w:rPr/>
        <w:t>Alankomaissa painotettiin ”Euroopan Visions of Europe – Kijk op Europa” -kansalaispaneelin järjestämistä, joka järjestettiin sekä verkossa että henkilökohtaisesti. Se perustui kaksivaiheiseen lähestymistapaan: ensimmäinen oli kerätä kansalaisten pohdintoja ja mielipiteitä siitä, mitä he odottivat ja halusivat. toisessa vaiheessa pyrittiin ymmärtämään niiden taustalla olevia näkemyksiä (”miksi” ja ”miten”) ryhmäkeskustelujen kautta.</w:t>
      </w:r>
    </w:p>
    <w:p>
      <w:pPr>
        <w:pStyle w:val="Corpsdetexte"/>
        <w:rPr/>
      </w:pPr>
      <w:r>
        <w:rPr/>
      </w:r>
    </w:p>
    <w:p>
      <w:pPr>
        <w:pStyle w:val="P68B1DB1Corpsdetexte12"/>
        <w:rPr>
          <w:b/>
          <w:b/>
          <w:i/>
          <w:i/>
          <w:u w:val="single"/>
        </w:rPr>
      </w:pPr>
      <w:r>
        <w:rPr/>
        <w:t>20 Itävalta</w:t>
      </w:r>
    </w:p>
    <w:p>
      <w:pPr>
        <w:pStyle w:val="Corpsdetexte"/>
        <w:rPr/>
      </w:pPr>
      <w:r>
        <w:rPr/>
        <w:t>Keskusteluja käytiin eri muodoissa liittovaltio-, alue- ja paikallistasolla. ”Tulevat laboratoriot” ja ”tulevat vuoropuhelut” mahdollistivat perusteellisen keskustelun korkean tason asiantuntijoiden kanssa eri aiheista ja lisäratkaisujen etsimisen tulevaisuutta varten. Lisäksi Itävallan Eurooppa-asioista vastaavat kunnanvaltuustot järjestivät useita tapahtumia. Useita tapahtumia on suunnattu suoraan nuorille ja opiskelijoille.</w:t>
      </w:r>
    </w:p>
    <w:p>
      <w:pPr>
        <w:pStyle w:val="P68B1DB1Corpsdetexte12"/>
        <w:rPr>
          <w:b/>
          <w:b/>
          <w:i/>
          <w:i/>
          <w:u w:val="single"/>
        </w:rPr>
      </w:pPr>
      <w:r>
        <w:rPr/>
        <w:t>21 Puola</w:t>
      </w:r>
    </w:p>
    <w:p>
      <w:pPr>
        <w:pStyle w:val="Corpsdetexte"/>
        <w:rPr/>
      </w:pPr>
      <w:r>
        <w:rPr/>
        <w:t>Tapahtumat järjestettiin pääasiassa osana hajautettua lähestymistapaa. Aluetasolla kansainvälisen keskustelun alueelliset keskukset järjestivät julkisia tapahtumia Puolan 16 alueella fyysisessä ja virtuaalisessa muodossa. Keskusteluissa käsiteltiin konferenssin aihealueita, kuten solidaarisuutta kriisiaikoina, maataloutta ja uusia teknologioita.</w:t>
      </w:r>
    </w:p>
    <w:p>
      <w:pPr>
        <w:pStyle w:val="Corpsdetexte"/>
        <w:rPr/>
      </w:pPr>
      <w:r>
        <w:rPr/>
        <w:t>Lisäksi käytiin kansallinen keskustelu ilmastosta, digitalisaatiosta, sisämarkkinoista, terveydestä, maailmassa ja muuttoliikkeestä.</w:t>
      </w:r>
    </w:p>
    <w:p>
      <w:pPr>
        <w:pStyle w:val="P68B1DB1Corpsdetexte12"/>
        <w:rPr>
          <w:b/>
          <w:b/>
          <w:i/>
          <w:i/>
          <w:u w:val="single"/>
        </w:rPr>
      </w:pPr>
      <w:r>
        <w:rPr/>
        <w:t>22 Portugali</w:t>
      </w:r>
    </w:p>
    <w:p>
      <w:pPr>
        <w:pStyle w:val="Corpsdetexte"/>
        <w:rPr/>
      </w:pPr>
      <w:r>
        <w:rPr/>
        <w:t>Lissabonissa järjestetyn ensimmäisen kansalaistapahtuman jälkeen, joka käynnisti kansalaisten osallistumisen konferenssiin, järjestettiin monia tapahtumia muun muassa paikallisviranomaisten, yliopistojen, koulujen, työmarkkinaosapuolten, nuorisojärjestöjen ja paikallisten kansalaisjärjestöjen kanssa. Espanjan kanssa järjestettiin esimerkiksi kansainvälinen tapahtuma, jossa keskusteltiin molempien maiden ja EU:n alueiden tulevaisuutta kiinnostavista keskeisistä aiheista. Lisäksi järjestettiin hajautettuja kansallisia tapahtumia eri aiheista, kuten muuttoliikkeestä ja kansainvälisistä kumppanuuksista, eurooppalaisen demokratian tulevaisuudesta ja digitaalisesta muutoksesta.</w:t>
      </w:r>
    </w:p>
    <w:p>
      <w:pPr>
        <w:pStyle w:val="P68B1DB1Corpsdetexte12"/>
        <w:rPr>
          <w:b/>
          <w:b/>
          <w:i/>
          <w:i/>
          <w:u w:val="single"/>
        </w:rPr>
      </w:pPr>
      <w:r>
        <w:rPr/>
        <w:t>23 Romania</w:t>
      </w:r>
    </w:p>
    <w:p>
      <w:pPr>
        <w:pStyle w:val="Corpsdetexte"/>
        <w:rPr/>
      </w:pPr>
      <w:r>
        <w:rPr/>
        <w:t>Tapahtumat järjestivät tai järjestivät pääasiassa hallinto ja erityisesti laitokset, joihin kansalaisyhteiskunta ja nuorisojärjestöt osallistuivat aktiivisesti.</w:t>
      </w:r>
    </w:p>
    <w:p>
      <w:pPr>
        <w:pStyle w:val="Corpsdetexte"/>
        <w:rPr/>
      </w:pPr>
      <w:r>
        <w:rPr/>
        <w:t>Keskusteluissa keskityttiin monenlaisiin aiheisiin, kuten digitaaliseen muutokseen, koulutukseen, terveyteen, ympäristöön, kestävään kehitykseen, talouteen, maatalouteen ja EU:n strategisiin kumppanuuksiin. Tapahtumat järjestettiin pääkaupungissa ja paikallistasolla, ja kaikki ikäryhmät osallistuivat.</w:t>
      </w:r>
    </w:p>
    <w:p>
      <w:pPr>
        <w:pStyle w:val="P68B1DB1Corpsdetexte12"/>
        <w:rPr>
          <w:b/>
          <w:b/>
          <w:i/>
          <w:i/>
          <w:u w:val="single"/>
        </w:rPr>
      </w:pPr>
      <w:r>
        <w:rPr/>
        <w:t>24 Slovenia</w:t>
      </w:r>
    </w:p>
    <w:p>
      <w:pPr>
        <w:pStyle w:val="Corpsdetexte"/>
        <w:rPr/>
      </w:pPr>
      <w:r>
        <w:rPr/>
        <w:t>Ajatuksena oli edistää laajaa keskustelua, jossa kansalaisyhteiskunnalla on keskeinen rooli, sekä erityisesti nuorten osallistumista.</w:t>
      </w:r>
    </w:p>
    <w:p>
      <w:pPr>
        <w:pStyle w:val="Corpsdetexte"/>
        <w:rPr/>
      </w:pPr>
      <w:r>
        <w:rPr/>
        <w:t>Hallitus järjesti käynnistystapahtuman, jota seurasi useita aloitteita, kuten Bledin strateginen foorumi, jonka pääteemana oli Euroopan tulevaisuus ja jossa keskityttiin erityisesti EU:n laajentumiseen ja Länsi-Balkaniin. Muissa tapahtumissa keskityttiin muun muassa rahapolitiikkaan, ilmastoneutraaliuteen, nuorisoon ja EU:n rooliin moninapaisessa kansainvälisessä ympäristössä.</w:t>
      </w:r>
    </w:p>
    <w:p>
      <w:pPr>
        <w:pStyle w:val="P68B1DB1Corpsdetexte12"/>
        <w:rPr>
          <w:b/>
          <w:b/>
          <w:i/>
          <w:i/>
          <w:u w:val="single"/>
        </w:rPr>
      </w:pPr>
      <w:r>
        <w:rPr/>
        <w:t>25 Slovakia</w:t>
      </w:r>
    </w:p>
    <w:p>
      <w:pPr>
        <w:pStyle w:val="Corpsdetexte"/>
        <w:rPr/>
      </w:pPr>
      <w:r>
        <w:rPr/>
        <w:t>Tapahtumat järjestettiin kahden pääpilarin ympärille. Ensimmäinen pilari oli WeAreEU-hanke, jossa keskityttiin suureen yleisöön, mukaan lukien opiskelijoiden kanssa käydyt keskustelut ja julkiset kuulemiset sekä joukko alueellisia tapahtumia, jotka järjestettiin osana WeAreEU-tienäyttelyä. Toinen pilari oli EU:ta koskeva kansallinen yleissopimus, jossa keskityttiin asiantuntijoiden analyyseihin ja analyyseihin sisämarkkinoiden, disinformaation ja populismin sekä digitaalisen ja ekologisen siirtymän kaltaisista aiheista.</w:t>
      </w:r>
    </w:p>
    <w:p>
      <w:pPr>
        <w:pStyle w:val="P68B1DB1Corpsdetexte12"/>
        <w:rPr>
          <w:b/>
          <w:b/>
          <w:i/>
          <w:i/>
          <w:u w:val="single"/>
        </w:rPr>
      </w:pPr>
      <w:r>
        <w:rPr/>
        <w:t>26 Suomi</w:t>
      </w:r>
    </w:p>
    <w:p>
      <w:pPr>
        <w:pStyle w:val="Corpsdetexte"/>
        <w:rPr/>
      </w:pPr>
      <w:r>
        <w:rPr/>
        <w:t>Hallitus järjesti useita alueellisia kuulemisia, mukaan lukien ”EU:n pohjoisimman konferenssin tapahtuma” eri aiheista, kuten kestävästä kasvusta, koulutuksesta ja oikeusvaltioperiaatteesta. Lisäksi toteutettiin kysely, jonka tarkoituksena oli antaa tietoa keskustelulle.</w:t>
      </w:r>
    </w:p>
    <w:p>
      <w:pPr>
        <w:pStyle w:val="Corpsdetexte"/>
        <w:spacing w:before="6264" w:after="57"/>
        <w:rPr/>
      </w:pPr>
      <w:r>
        <w:rPr/>
        <w:t xml:space="preserve">Valtio järjesti tapahtumia yhteistyössä kaupunkien, kuntien, yliopistojen, kansalaisjärjestöjen ja nuorisojärjestöjen sekä Suomen eduskunnan, Euroopan parlamentin ja Euroopan komission Suomen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Kuva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Kuva18" descr=""/>
                    <pic:cNvPicPr>
                      <a:picLocks noChangeAspect="1" noChangeArrowheads="1"/>
                    </pic:cNvPicPr>
                  </pic:nvPicPr>
                  <pic:blipFill>
                    <a:blip r:embed="rId50"/>
                    <a:stretch>
                      <a:fillRect/>
                    </a:stretch>
                  </pic:blipFill>
                  <pic:spPr bwMode="auto">
                    <a:xfrm>
                      <a:off x="0" y="0"/>
                      <a:ext cx="6120130" cy="3977640"/>
                    </a:xfrm>
                    <a:prstGeom prst="rect">
                      <a:avLst/>
                    </a:prstGeom>
                  </pic:spPr>
                </pic:pic>
              </a:graphicData>
            </a:graphic>
          </wp:anchor>
        </w:drawing>
      </w:r>
      <w:r>
        <w:rPr/>
        <w:t>t</w:t>
      </w:r>
      <w:r>
        <w:rPr/>
        <w:t>iedotustoimistojen kanssa.</w:t>
      </w:r>
    </w:p>
    <w:p>
      <w:pPr>
        <w:pStyle w:val="Normal"/>
        <w:rPr/>
      </w:pPr>
      <w:r>
        <w:rPr/>
      </w:r>
    </w:p>
    <w:p>
      <w:pPr>
        <w:pStyle w:val="P68B1DB1Corpsdetexte12"/>
        <w:rPr>
          <w:b/>
          <w:b/>
          <w:i/>
          <w:i/>
          <w:u w:val="single"/>
        </w:rPr>
      </w:pPr>
      <w:r>
        <w:rPr/>
        <w:t>27 Ruotsi</w:t>
      </w:r>
    </w:p>
    <w:p>
      <w:pPr>
        <w:pStyle w:val="Corpsdetexte"/>
        <w:rPr/>
      </w:pPr>
      <w:r>
        <w:rPr/>
        <w:t>Tapahtumat järjestettiin pääasiassa hajautetusti hallituksen, kansallisen parlamentin, poliittisten puolueiden, työmarkkinaosapuolten, paikallisten ja alueellisten edustajien, kansalaisyhteiskunnan organisaatioiden ja muiden yhteiskunnan asiaankuuluvien toimijoiden yhteisharjoituksena.</w:t>
      </w:r>
    </w:p>
    <w:p>
      <w:pPr>
        <w:pStyle w:val="Corpsdetexte"/>
        <w:rPr/>
      </w:pPr>
      <w:r>
        <w:rPr/>
        <w:t>Esimerkiksi Ruotsin Eurooppa-ministeri keskusteli Euroopan tulevaisuudesta eri koulujen opiskelijoiden kanssa ja osallistui kuntatason kokouksiin, joissa keskusteltiin Euroopan tulevaisuudesta ja demokratiasta kansalaisten kanssa. Digitaalista mediaa on käytetty myös vuoropuheluun kansalaisten kanssa esimerkiksi kyselyistuntojen kautta.</w:t>
      </w:r>
    </w:p>
    <w:p>
      <w:pPr>
        <w:pStyle w:val="Corpsdetexte"/>
        <w:rPr/>
      </w:pPr>
      <w:r>
        <w:rPr/>
        <w:t>Edellä mainitut kuvaukset eivät ole tyhjentäviä. Lisätietoja kansallisista tapahtumista löytyy monikielisen digitaalisen foorumin erityisestä osiosta.</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Nuorten eurooppalaisten tapaaminen </w:t>
      </w:r>
    </w:p>
    <w:p>
      <w:pPr>
        <w:pStyle w:val="Normal"/>
        <w:rPr/>
      </w:pPr>
      <w:hyperlink r:id="rId51">
        <w:r>
          <w:rPr>
            <w:rStyle w:val="LienInternet"/>
          </w:rPr>
          <w:t>Euroopan nuorisotapahtuma (EYE 2021)</w:t>
        </w:r>
      </w:hyperlink>
      <w:r>
        <w:rPr/>
        <w:t xml:space="preserve"> järjestettiin 8.–9. lokakuuta 2021, ja siihen osallistui 10 000 nuorta verkossa ja Euroopan parlamentti Strasbourgissa muokkaamaan ja vaihtamaan ajatuksia Euroopan tulevaisuudesta. EYE-tapahtuma tarjosi </w:t>
      </w:r>
      <w:r>
        <w:rPr>
          <w:i/>
        </w:rPr>
        <w:t>16–30-vuotiaille nuorille ainutlaatuisen tilaisuuden olla vuorovaikutuksessa henkilökohtaisesti ja verkossa, inspiroida toisiaan ja vaihtaa näkemyksiä asiantuntijoiden, aktivistien, vaikuttajien ja päättäjien kanssa, jotka ovat eurooppalaisen demokratian ytimessä</w:t>
      </w:r>
      <w:r>
        <w:rPr/>
        <w:t>.</w:t>
      </w:r>
    </w:p>
    <w:p>
      <w:pPr>
        <w:pStyle w:val="Normal"/>
        <w:spacing w:before="6132" w:after="57"/>
        <w:rPr/>
      </w:pPr>
      <w:r>
        <w:rPr/>
        <w:t xml:space="preserve">Toukokuusta 2021 alkaen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Kuva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uva19" descr=""/>
                    <pic:cNvPicPr>
                      <a:picLocks noChangeAspect="1" noChangeArrowheads="1"/>
                    </pic:cNvPicPr>
                  </pic:nvPicPr>
                  <pic:blipFill>
                    <a:blip r:embed="rId52"/>
                    <a:stretch>
                      <a:fillRect/>
                    </a:stretch>
                  </pic:blipFill>
                  <pic:spPr bwMode="auto">
                    <a:xfrm>
                      <a:off x="0" y="0"/>
                      <a:ext cx="5980430" cy="3893820"/>
                    </a:xfrm>
                    <a:prstGeom prst="rect">
                      <a:avLst/>
                    </a:prstGeom>
                  </pic:spPr>
                </pic:pic>
              </a:graphicData>
            </a:graphic>
          </wp:anchor>
        </w:drawing>
      </w:r>
      <w:r>
        <w:rPr/>
        <w:t>v</w:t>
      </w:r>
      <w:r>
        <w:rPr/>
        <w:t xml:space="preserve">erkossa on kerätty yhteistyössä yleiseurooppalaisten nuorisojärjestöjen kanssa yli 2 000 ehdotusta nuorten kansalaisilta eri puolilta Euroopan unionia. Lisäksi useissa kokouksissa, sekä verkossa ennen tapahtumaa että EYE-tapahtuman aikana Strasbourgissa, keskityttiin Euroopan tulevaisuutta käsittelevään konferenssiin. Tapahtuman jälkeen osallistujien esiin tuomat 20 pääideaa, kaksi ideaa kutakin konferenssin teemaa kohti, kerättiin 23 kielellä julkaistuun </w:t>
      </w:r>
      <w:hyperlink r:id="rId53">
        <w:r>
          <w:rPr>
            <w:rStyle w:val="LienInternet"/>
          </w:rPr>
          <w:t>Youth Ideas Report for</w:t>
        </w:r>
      </w:hyperlink>
      <w:r>
        <w:rPr/>
        <w:t xml:space="preserve"> the Conference on the Future of Europe -konferenssiin.</w:t>
      </w:r>
    </w:p>
    <w:p>
      <w:pPr>
        <w:pStyle w:val="Normal"/>
        <w:rPr/>
      </w:pPr>
      <w:r>
        <w:rPr/>
        <w:t xml:space="preserve">Nuorisoideoita koskevan raportin esitteli 23. lokakuuta pidetyssä konferenssin täysistunnossa eurooppalaisten kansalaispaneelien nuoret osallistujat, jotka osallistuivat myös EYE 2021 -tapahtumaan. Kaikki kerätyt ideat ovat saatavilla osoitteessa: </w:t>
      </w:r>
      <w:hyperlink r:id="rId54">
        <w:r>
          <w:rPr>
            <w:rStyle w:val="LienInternet"/>
          </w:rPr>
          <w:t>Etsi.youthideas.eu.</w:t>
        </w:r>
      </w:hyperlink>
    </w:p>
    <w:p>
      <w:pPr>
        <w:pStyle w:val="Titre3"/>
        <w:numPr>
          <w:ilvl w:val="2"/>
          <w:numId w:val="2"/>
        </w:numPr>
        <w:rPr/>
      </w:pPr>
      <w:bookmarkStart w:id="31" w:name="__RefHeading___Toc298236_1346298689"/>
      <w:bookmarkEnd w:id="31"/>
      <w:r>
        <w:rPr/>
        <w:t>3.</w:t>
        <w:tab/>
        <w:t>Muut tapahtumat</w:t>
      </w:r>
    </w:p>
    <w:p>
      <w:pPr>
        <w:pStyle w:val="Normal"/>
        <w:rPr/>
      </w:pPr>
      <w:r>
        <w:rPr/>
        <w:t>Edellä mainittujen tapahtumien lisäksi monet muut toimielimet ja sidosryhmät toivat yhteen kansalaisia keskustelemaan Euroopan tulevaisuudesta</w:t>
      </w:r>
      <w:r>
        <w:rPr>
          <w:rStyle w:val="Ancredenotedebasdepage"/>
          <w:rStyle w:val="Ancredenotedebasdepage"/>
        </w:rPr>
        <w:footnoteReference w:id="6"/>
      </w:r>
      <w:r>
        <w:rPr/>
        <w:t>.</w:t>
      </w:r>
    </w:p>
    <w:p>
      <w:pPr>
        <w:pStyle w:val="Normal"/>
        <w:rPr/>
      </w:pPr>
      <w:r>
        <w:rPr/>
        <w:t>Euroopan talous- ja sosiaalikomitea (ETSK) on koko Euroopan tulevaisuutta käsitelleen konferenssin ajan pyrkinyt tekemään siitä tunnetuksi ja auttanut jäsenvaltioiden kansalaisyhteiskunnan organisaatioiden laajaa verkostoa järjestämään kansallisia kuulemisia. Se tuki yhteensä 75 tapahtuman toteuttamista, joista 33 oli kansallisella tasolla ja 42 keskustasolla. Näistä tapahtumista 60 prosenttia julkaisi konferenssialustalla julkaistuja raportteja ja pelkästään näihin 45 tapahtumaan osallistui yli 7 300 osallistujaa. ETSK käynnisti toimintansa kesäkuussa 2021 järjestämällä merkittävän konferenssin ”</w:t>
      </w:r>
      <w:hyperlink r:id="rId55">
        <w:r>
          <w:rPr>
            <w:rStyle w:val="LienInternet"/>
          </w:rPr>
          <w:t>Eurooppa-hankkeen tuominen takaisin kansalaisille</w:t>
        </w:r>
      </w:hyperlink>
      <w:r>
        <w:rPr/>
        <w:t>” ja järjesti Lissabonissa marraskuussa 2021 seminaarin ”</w:t>
      </w:r>
      <w:hyperlink r:id="rId56">
        <w:r>
          <w:rPr>
            <w:rStyle w:val="LienInternet"/>
          </w:rPr>
          <w:t>Connecting EU</w:t>
        </w:r>
      </w:hyperlink>
      <w:r>
        <w:rPr/>
        <w:t>” ja Brysselissä helmikuussa 2022 korkean tason tapahtuman ”</w:t>
      </w:r>
      <w:hyperlink r:id="rId57">
        <w:r>
          <w:rPr>
            <w:rStyle w:val="LienInternet"/>
          </w:rPr>
          <w:t>Shaping Europe Together</w:t>
        </w:r>
      </w:hyperlink>
      <w:r>
        <w:rPr/>
        <w:t>”. Komitea kannusti myös käyttämään verkkoalustaa, johon on ladattu 60 uutta ideaa, ja käynnisti laajan sosiaalisen median viestintäkampanjan, jossa pelkästään Twitterissä on 32 miljoonaa ihmistä. Sen tarkoituksena on edistää kansallisia tapahtumia englanniksi ja paikallisella kielellä sekä antaa tietoa ennen jokaista täysistuntoa ja konferenssiin liittyvää kokousta ja sen jälkeen.</w:t>
      </w:r>
    </w:p>
    <w:p>
      <w:pPr>
        <w:pStyle w:val="Normal"/>
        <w:rPr/>
      </w:pPr>
      <w:r>
        <w:rPr/>
        <w:t xml:space="preserve">Euroopan alueiden komitea (AK) järjesti valiokunnissaan ja täysistunnoissaan temaattisia keskusteluja sekä 140 tapahtumaa paikallisella, rajat ylittävällä ja alueiden välisellä tasolla, joihin osallistui 10 000 kansalaista ja 200 paikallispoliitikkoa. Lisäksi lokakuussa 2021 </w:t>
      </w:r>
      <w:hyperlink r:id="rId58">
        <w:r>
          <w:rPr>
            <w:rStyle w:val="LienInternet"/>
          </w:rPr>
          <w:t>julkaistiin ensimmäinen kysely, johon osallistui 1,2 miljoonaa paikallispoliitikkoa</w:t>
        </w:r>
      </w:hyperlink>
      <w:r>
        <w:rPr/>
        <w:t xml:space="preserve"> 27 jäsenvaltion heidän näkemyksistään Euroopan tulevaisuudesta. Lisäksi Cdr ehdotti </w:t>
      </w:r>
      <w:hyperlink r:id="rId59">
        <w:r>
          <w:rPr>
            <w:rStyle w:val="LienInternet"/>
          </w:rPr>
          <w:t>44 ideaa</w:t>
        </w:r>
      </w:hyperlink>
      <w:r>
        <w:rPr/>
        <w:t xml:space="preserve"> monikielisestä digitaalisesta alustasta. Vuoden 2022 alussa</w:t>
      </w:r>
      <w:hyperlink r:id="rId60">
        <w:r>
          <w:rPr>
            <w:rStyle w:val="LienInternet"/>
          </w:rPr>
          <w:t xml:space="preserve"> riippumaton eurooppalaista demokratiaa käsittelevä korkean tason ryhmä</w:t>
        </w:r>
      </w:hyperlink>
      <w:r>
        <w:rPr/>
        <w:t xml:space="preserve"> esitteli ajatuksia siitä, miten demokratiaa voitaisiin parantaa. AK hyväksyi päätöslauselman, joka sisälsi ehdotuksia konferenssin loppuraportiksi, ja Euroopan alueiden ja kuntien huippukokouksessa maaliskuussa 2022 hyväksyttiin </w:t>
      </w:r>
      <w:hyperlink r:id="rId61">
        <w:r>
          <w:rPr>
            <w:rStyle w:val="LienInternet"/>
          </w:rPr>
          <w:t>Euroopan alueiden ja kuntien huippukokouksessa maaliskuussa 2022 laadittu 12 kohdan manifesti, joka laadittiin EU:n miljoonan paikallis- ja</w:t>
        </w:r>
      </w:hyperlink>
      <w:r>
        <w:rPr/>
        <w:t xml:space="preserve"> aluepoliitikon puolesta. Raportissa</w:t>
      </w:r>
      <w:hyperlink r:id="rId62">
        <w:r>
          <w:rPr>
            <w:rStyle w:val="LienInternet"/>
          </w:rPr>
          <w:t>”Kansalaiset, paikallispoliitikot ja Euroopan tulevaisuus” (maaliskuu</w:t>
        </w:r>
      </w:hyperlink>
      <w:r>
        <w:rPr/>
        <w:t>2022) esitetään yhteenveto kaikista konferenssin yhteydessä toteutetuista AK:n toimista.</w:t>
      </w:r>
    </w:p>
    <w:p>
      <w:pPr>
        <w:pStyle w:val="Normal"/>
        <w:rPr/>
      </w:pPr>
      <w:r>
        <w:rPr/>
      </w:r>
    </w:p>
    <w:p>
      <w:pPr>
        <w:pStyle w:val="Normal"/>
        <w:rPr/>
      </w:pPr>
      <w:r>
        <w:rPr/>
        <w:t xml:space="preserve">EU:n sosiaalisen kumppanuuden, </w:t>
      </w:r>
      <w:hyperlink r:id="rId63">
        <w:r>
          <w:rPr>
            <w:rStyle w:val="LienInternet"/>
          </w:rPr>
          <w:t>BusinessEuropen</w:t>
        </w:r>
      </w:hyperlink>
      <w:r>
        <w:rPr/>
        <w:t xml:space="preserve">, </w:t>
      </w:r>
      <w:hyperlink r:id="rId64">
        <w:r>
          <w:rPr>
            <w:rStyle w:val="LienInternet"/>
          </w:rPr>
          <w:t>SGI Europen</w:t>
        </w:r>
      </w:hyperlink>
      <w:r>
        <w:rPr/>
        <w:t xml:space="preserve"> ja </w:t>
      </w:r>
      <w:hyperlink r:id="rId65">
        <w:r>
          <w:rPr>
            <w:rStyle w:val="LienInternet"/>
          </w:rPr>
          <w:t>UEAPME</w:t>
        </w:r>
      </w:hyperlink>
      <w:r>
        <w:rPr/>
        <w:t>:n yhteydessä olevat kolme työnantajajärjestöä julkaisivat painopisteensä ja panoksensa digitaalisella alustalla ja esittelivät ne asiaankuuluville työryhmille ja täysistunnolle. Lisäksi kaikki edistivät konferenssia sekä sisäisesti että ulkoisesti ja järjestivät tapahtumia ja kävivät vuoropuhelua sidosryhmien kanssa eri foorumeilla. Euroopan ammatillinen yhteisjärjestö (EAY) osallistui konferenssiin ja osallistui täysistunnon ja työryhmien kokouksiin. EAY määritteli ammattiyhdistysten ehdotukset oikeudenmukaisemmasta tulevaisuudesta Euroopalle ja julkaisi ne verkkoalustalla (nämä olivat eniten kannatettuja ehdotuksia). EAY ja sen tytäryhtiöt järjestivät tapahtumia ja tiedotustoimia ammattiyhdistysehdotusten esittämiseksi ja käsittelemiseksi.</w:t>
      </w:r>
    </w:p>
    <w:p>
      <w:pPr>
        <w:pStyle w:val="Normal"/>
        <w:rPr/>
      </w:pPr>
      <w:r>
        <w:rPr/>
        <w:t xml:space="preserve">Kansalaisyhteiskunnan edustajat – </w:t>
      </w:r>
      <w:hyperlink r:id="rId66">
        <w:r>
          <w:rPr>
            <w:rStyle w:val="LienInternet"/>
          </w:rPr>
          <w:t>Euroopan tulevaisuutta käsittelevän konferenssin ja Euroopan kansainvälisen liikkeen kansalaisyhteiskuntaa käsittelevä</w:t>
        </w:r>
      </w:hyperlink>
      <w:r>
        <w:rPr/>
        <w:t xml:space="preserve"> valmistelukunta – järjestivät </w:t>
      </w:r>
      <w:hyperlink r:id="rId67">
        <w:r>
          <w:rPr>
            <w:rStyle w:val="LienInternet"/>
          </w:rPr>
          <w:t>lukuisia tapahtumia</w:t>
        </w:r>
      </w:hyperlink>
      <w:r>
        <w:rPr/>
        <w:t xml:space="preserve"> eri puolilla Eurooppaa ja olivat </w:t>
      </w:r>
      <w:hyperlink r:id="rId68">
        <w:r>
          <w:rPr>
            <w:rStyle w:val="LienInternet"/>
          </w:rPr>
          <w:t>aktiivisia täysistuntotasolla</w:t>
        </w:r>
      </w:hyperlink>
      <w:r>
        <w:rPr/>
        <w:t xml:space="preserve">. Kansalaisyhteiskunta on ottanut satoja kansalaisyhteiskunnan organisaatioita mukaan alhaalta ylöspäin suuntautuvaan lähestymistapaan </w:t>
      </w:r>
      <w:hyperlink r:id="rId69">
        <w:r>
          <w:rPr>
            <w:rStyle w:val="LienInternet"/>
          </w:rPr>
          <w:t>temaattisten ryhmien</w:t>
        </w:r>
      </w:hyperlink>
      <w:r>
        <w:rPr/>
        <w:t xml:space="preserve"> kautta laatiakseen yhteisiä ja kattavia ehdotuksia </w:t>
      </w:r>
      <w:hyperlink r:id="rId70">
        <w:r>
          <w:rPr>
            <w:rStyle w:val="LienInternet"/>
          </w:rPr>
          <w:t>konferenssin kattamilla politiikan aloilla</w:t>
        </w:r>
      </w:hyperlink>
      <w:r>
        <w:rPr/>
        <w:t>. Ideat hyödynsivät konferenssia foorumin, työryhmien, täysistuntojen ja suorassa yhteydessä johtokuntaan, yhteispuheenjohtajiin ja yhteiseen sihteeristöön.</w:t>
      </w:r>
    </w:p>
    <w:p>
      <w:pPr>
        <w:pStyle w:val="Normal"/>
        <w:rPr/>
      </w:pPr>
      <w:r>
        <w:rPr/>
        <w:t>Euroopan komission edustustot jäsenvaltioissa, Europe Direct -keskukset, eurooppalaiset asiakirjakeskukset ja Euroopan parlamentin yhteystoimistot tiedottivat kansalaisille aktiivisesti Euroopan tulevaisuutta käsittelevästä konferenssista. Euroopan komission edustustot raportoivat 1400 tapahtumasta, jotka auttoivat tiedottamaan ja toteuttamaan konferenssia eri puolilla Eurooppaa. He järjestivät tai osallistuivat aktiivisesti yli 850 tapahtumaan, joista noin 65 prosenttia oli suunnattu nuorille ja naisille kannustamaan heitä osallistumaan konferenssiin yleensä. Euroopan parlamentin yhteystoimistot ovat järjestäneet yli 1300 tiedotustoimea eri jäsenvaltioissa.</w:t>
      </w:r>
    </w:p>
    <w:p>
      <w:pPr>
        <w:pStyle w:val="Normal"/>
        <w:rPr/>
      </w:pPr>
      <w:r>
        <w:rPr/>
        <w:t>Konferenssin tärkeimpiä aiheita käsitteleviä temaattisia työpajoja järjestettiin myös Euroopan parlamentin jäsenten, kansalaisten, sidosryhmien, kansallisten ja alueellisten viranomaisten ja paikallisten tiedotusvälineiden läsnä ollessa konferenssin näkyvyyden lisäämiseksi. Eurooppalaiset asiakirjakeskukset raportoivat yli 120 toimesta, jotka liittyvät konferenssin viestintään.</w:t>
      </w:r>
    </w:p>
    <w:p>
      <w:pPr>
        <w:pStyle w:val="Normal"/>
        <w:rPr/>
      </w:pPr>
      <w:r>
        <w:rPr/>
        <w:t>Europe Direct -keskukset raportoivat konferenssista yli 1000 aihekohtaista tapahtumaa ja yli 600 tiedotustoimea, joihin kuului monenlaisia nuorisoryhmiä ja -järjestöjä. Eurooppalaiset asiakirjakeskukset raportoivat yli 120 toimesta, jotka liittyvät konferenssin viestintään.</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III. Konferenssin täysistunto</w:t>
      </w:r>
    </w:p>
    <w:p>
      <w:pPr>
        <w:pStyle w:val="Normal"/>
        <w:rPr/>
      </w:pPr>
      <w:r>
        <w:rPr/>
      </w:r>
      <w:r>
        <w:br w:type="page"/>
      </w:r>
    </w:p>
    <w:p>
      <w:pPr>
        <w:pStyle w:val="Titre2"/>
        <w:numPr>
          <w:ilvl w:val="1"/>
          <w:numId w:val="2"/>
        </w:numPr>
        <w:rPr/>
      </w:pPr>
      <w:bookmarkStart w:id="33" w:name="__RefHeading___Toc298240_1346298689"/>
      <w:bookmarkEnd w:id="33"/>
      <w:r>
        <w:rPr/>
        <w:t>A. Täysistunnon rooli ja toiminta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Konferenssin täysistunto perustettiin keskustelemaan kansallisten ja eurooppalaisten kansalaispaneelien antamista suosituksista aiheittain ryhmiteltynä ilman, että keskustelujen tuloksia määriteltäisiin etukäteen tai niiden soveltamisala rajoittuisi ennalta määriteltyihin politiikanaloihin.</w:t>
      </w:r>
    </w:p>
    <w:p>
      <w:pPr>
        <w:pStyle w:val="Corpsdetexte"/>
        <w:rPr/>
      </w:pPr>
      <w:r>
        <w:rPr/>
        <w:t>Lisäksi keskusteltiin tarvittaessa monikieliseltä foorumilta kerätyistä kannanotoista. Täysistunnon kokoonpano oli ainutlaatuinen: siihen kuului ensimmäistä kertaa kansalaisia, jotka edustavat eurooppalaisia ja kansallisia kansalaistapahtumia ja -paneeleja, EU:n toimielinten ja sen neuvoa-antavien elinten edustajia, vaaleilla valittuja edustajia kansallisella, alueellisella ja paikallisella tasolla sekä kansalaisyhteiskunnan ja työmarkkinaosapuolten edustajia.</w:t>
      </w:r>
    </w:p>
    <w:p>
      <w:pPr>
        <w:pStyle w:val="Corpsdetexte"/>
        <w:rPr/>
      </w:pPr>
      <w:r>
        <w:rPr/>
        <w:t>Kansalaiset esittivät suositukset, joista keskusteltiin heidän kanssaan. tämän jälkeen täysistunnon oli esitettävä ehdotuksensa yhteisymmärryksessä</w:t>
      </w:r>
      <w:r>
        <w:rPr>
          <w:rStyle w:val="Ancredenotedebasdepage"/>
          <w:rStyle w:val="Ancredenotedebasdepage"/>
        </w:rPr>
        <w:footnoteReference w:id="7"/>
      </w:r>
      <w:r>
        <w:rPr/>
        <w:t xml:space="preserve"> johtokunnalle. Konferenssin täysistunto kokoontui seitsemän kertaa kesäkuun 2021 ja huhtikuun 2022 välisenä aikana.</w:t>
      </w:r>
    </w:p>
    <w:p>
      <w:pPr>
        <w:pStyle w:val="Corpsdetexte"/>
        <w:rPr/>
      </w:pPr>
      <w:r>
        <w:rPr/>
        <w:t>Konferenssin täysistunto koostui 108:sta Euroopan parlamentin edustajasta, 54 neuvoston edustajasta ja kolmesta</w:t>
      </w:r>
      <w:r>
        <w:rPr>
          <w:rStyle w:val="Ancredenotedebasdepage"/>
          <w:rStyle w:val="Ancredenotedebasdepage"/>
        </w:rPr>
        <w:footnoteReference w:id="8"/>
      </w:r>
      <w:r>
        <w:rPr/>
        <w:t>Euroopan komission edustajasta sekä 108 edustajasta kaikista kansallisista parlamenteista ja kansalaisista.</w:t>
      </w:r>
    </w:p>
    <w:p>
      <w:pPr>
        <w:pStyle w:val="Corpsdetexte"/>
        <w:rPr/>
      </w:pPr>
      <w:r>
        <w:rPr/>
        <w:t>Euroopan kansalaispaneelien 80 edustajaa, joista vähintään kolmannes oli alle 25-vuotiaita, osallistui myös Euroopan nuorisofoorumin puheenjohtajaan ja 27</w:t>
      </w:r>
      <w:r>
        <w:rPr>
          <w:rStyle w:val="Ancredenotedebasdepage"/>
          <w:rStyle w:val="Ancredenotedebasdepage"/>
        </w:rPr>
        <w:footnoteReference w:id="9"/>
      </w:r>
      <w:r>
        <w:rPr/>
        <w:t xml:space="preserve"> kansallisten tapahtumien ja/tai kansallisten kansalaispaneelien edustajaan.</w:t>
      </w:r>
    </w:p>
    <w:p>
      <w:pPr>
        <w:pStyle w:val="Corpsdetexte"/>
        <w:rPr/>
      </w:pPr>
      <w:r>
        <w:rPr/>
        <w:t>Siihen osallistui myös 18 alueiden komitean edustajaa ja 18 talous- ja sosiaalikomitean edustajaa, kuusi alueyhteisöjen vaaleilla valittua edustajaa ja kuusi paikallisviranomaisten vaaleilla valittua edustajaa, 12 työmarkkinaosapuolten edustajaa ja kahdeksan kansalaisyhteiskunnan edustajaa. Unionin ulkoasioiden ja turvallisuuspolitiikan korkeaa edustajaa pyydettiin keskustelemaan EU:n kansainvälisestä roolista.</w:t>
      </w:r>
    </w:p>
    <w:p>
      <w:pPr>
        <w:pStyle w:val="Corpsdetexte"/>
        <w:rPr/>
      </w:pPr>
      <w:r>
        <w:rPr/>
        <w:t>Myös keskeisten sidosryhmien edustajia, kuten Länsi-Balkanilta, Ukrainasta, uskonnollisista, filosofisista ja ei-tunnustuksellisista ryhmistä, pyydettiin edustajia.</w:t>
      </w:r>
    </w:p>
    <w:p>
      <w:pPr>
        <w:pStyle w:val="Corpsdetexte"/>
        <w:rPr/>
      </w:pPr>
      <w:r>
        <w:rPr/>
        <w:t>Täysistunnon kokousten puheenjohtajina toimivat konferenssin yhteispuheenjohtajat. Konferenssin täysistunnot pidettiin Euroopan parlamentin rakennuksissa Strasbourgissa. Sovellettavien terveys- ja turvallisuusmääräysten vuoksi konferenssin täysistunnon viisi ensimmäistä kokousta pidettiin hybridimuodossa, kun taas kaksi viimeksi mainittua pidettiin henkilökohtaisesti. Konferenssin täysistunnot suoritettiin suoratoistona, ja kaikki kokousasiakirjat asetettiin yleisön saataville monikielisellä digitaalisella alustalla.</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Työryhmät</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Konferenssin työjärjestyksen mukaisesti yhteispuheenjohtajat ehdottivat konferenssin täysistunnolle, että perustetaan yhdeksän aihekohtaista työryhmää monikielisen digitaalisen foorumin aiheiden pohjalta, jotta ne voisivat osallistua konferenssin täysistunnon keskustelujen ja ehdotusten valmisteluun yhteisen julistuksen parametrien mukaisesti. Lokakuussa 2021 yhteispuheenjohtajat sopivat työryhmien toimeksiannosta. Eri työryhmissä käsiteltiin seuraavia aiheita: Ilmastonmuutos ja ympäristö; Terveys; Vahvempi talous, sosiaalinen oikeudenmukaisuus ja työllisyys; EU:n asema maailmassa; Arvot ja oikeudet, oikeusvaltioperiaate, turvallisuus; Digitaalinen muutos; Eurooppalainen demokratia; Maahanmuutto; koulutus, kulttuuri, nuoriso ja urheilu.</w:t>
      </w:r>
    </w:p>
    <w:p>
      <w:pPr>
        <w:pStyle w:val="Normal"/>
        <w:rPr/>
      </w:pPr>
      <w:r>
        <w:rPr/>
        <w:t>Työryhmät esittelivät panoksensa konferenssin täysistunnolle tarkastelemalla kansallisten ja eurooppalaisten kansalaispaneelien suosituksia sekä monikielisessä digitaalisessa foorumissa julkaistuja kannanottoja konferenssin yhteydessä kerätyistä yhdeksästä teemasta. Konferenssin täysistunnon jäsenet jaettiin yhdeksään työryhmään seuraavasti: 12 jäsentä kutakin Euroopan parlamentin ja kansallisten parlamenttien työryhmää, kuusi neuvostoa, kolme kansallisten kansalaispaneelien tai kansallisten tapahtumien edustajia, kaksi alueiden komiteaa ja kaksi talous- ja sosiaalikomiteaa, yksi tai kaksi työmarkkinaosapuolia, yksi kansalaisyhteiskuntaa ja yksi paikallis- ja alueviranomaisten vaaleilla valittuja jäseniä sekä eurooppalaisten kansalaispaneelien edustajia. Eurooppalaisten kansalaispaneelien edustajat osallistuivat paneelista vastaavan työryhmän työhön. Lisäksi on toteutettu erityisjärjestelyjä, jotta komission jäsenten kollegion jäsenet voivat osallistua työryhmiin vastuualueidensa mukaisesti.</w:t>
      </w:r>
    </w:p>
    <w:p>
      <w:pPr>
        <w:pStyle w:val="Normal"/>
        <w:rPr/>
      </w:pPr>
      <w:r>
        <w:rPr/>
        <w:t>Työryhmät kävivät vilkasta keskustelua ja käsittelivät yhteisen sihteeristön avustuksella laadittuja ehdotuksia, jotka on laadittu puheenjohtajan ja tiedottajan johdolla. Työryhmien oli määrä toimia konferenssin työjärjestyksen 17 artiklassa vahvistetun yhteisymmärryksen pohjalta. Tämän jälkeen puheenjohtaja ja tiedottaja esittelivät työryhmän tulokset täysistunnolle. Työryhmän puheenjohtajaa avusti yhteinen sihteeristö. Konferenssin yhteinen sihteeristö laati yhteenvetoraportit kustakin työryhmän kokouksesta puheenjohtajan johdolla ja työryhmän jäseniä kuullen.</w:t>
      </w:r>
    </w:p>
    <w:p>
      <w:pPr>
        <w:pStyle w:val="Normal"/>
        <w:rPr/>
      </w:pPr>
      <w:r>
        <w:rPr/>
        <w:t>Työryhmät kokoontuivat konferenssin täysistuntojen yhteydessä lokakuun 2021 ja 8. huhtikuuta 2022 välisenä aikana sekä verkossa joulukuussa 2021. Jotkut työryhmät pitivät ylimääräisiä kokouksia. Työryhmän kokoukset esitettiin suorana lähetyksenä 20. tammikuuta 2022 alkaen. Niiden yhteenvetoraportit on julkaistu asianmukaisesti monikielistä digitaalista foorumia käsittelevässä konferenssin täysistunnossa.</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Chronologinen yhteenveto</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KONFERENSSIN AVAJAISKOKOUS 19. KESÄKUUTA 2021</w:t>
      </w:r>
    </w:p>
    <w:p>
      <w:pPr>
        <w:pStyle w:val="Normal"/>
        <w:rPr/>
      </w:pPr>
      <w:r>
        <w:rPr/>
        <w:t>Konferenssin avajaisistunto pidettiin 19. kesäkuuta 2021 hybridimuodossa</w:t>
      </w:r>
      <w:r>
        <w:rPr>
          <w:rStyle w:val="Ancredenotedebasdepage"/>
          <w:rStyle w:val="Ancredenotedebasdepage"/>
        </w:rPr>
        <w:footnoteReference w:id="10"/>
      </w:r>
      <w:r>
        <w:rPr/>
        <w:t>. Se antoi täysistunnon jäsenille mahdollisuuden kuunnella esitystä ja käydä yleiskeskustelu konferenssin tarkoituksesta ja odotuksista. Yhteispuheenjohtajat korostivat, että tämä EU:n tason keskusteludemokratia on ennennäkemätön, sillä se vahvistaa edustuksellista demokratiaa ja asettaa kansalaiset Euroopan unionin päätöksenteon keskiöön. Puheenjohtajat hahmottelivat myös konferenssin kolmen pilarin toimintaa: monikielinen digitaalinen foorumi, eurooppalaiset ja kansalliset kansalaispaneelit sekä täysistunto.</w:t>
      </w:r>
    </w:p>
    <w:p>
      <w:pPr>
        <w:pStyle w:val="Normal"/>
        <w:rPr/>
      </w:pPr>
      <w:r>
        <w:rPr/>
        <w:t>Lisäksi täysistunnon jäsenille tiedotettiin aikomuksesta perustaa yhdeksän aihekohtaista työryhmää sekä konferenssin aikataulusta. Sitä seuranneessa keskustelussa, jossa yli 150 osallistujaa käytti puheenvuoron, keskusteltiin monista eri aiheista. Koska eurooppalaisten kansalaispaneelien osallistujien valintaa ei ole vielä saatu päätökseen, Euroopan nuorisofoorumin puheenjohtaja ja 27 kansallisten tapahtumien ja/tai kansalaispaneelien edustajaa edusti kansalaisosaa.</w:t>
      </w:r>
    </w:p>
    <w:p>
      <w:pPr>
        <w:pStyle w:val="Normal"/>
        <w:rPr/>
      </w:pPr>
      <w:r>
        <w:rPr>
          <w:b/>
          <w:i/>
          <w:u w:val="single"/>
        </w:rPr>
        <w:t>KONFERENSSIN TOINEN TÄYSISTUNTO 22.–23. LOKAKUUTA 2021</w:t>
      </w:r>
      <w:r>
        <w:rPr/>
        <w:t xml:space="preserve"> </w:t>
      </w:r>
    </w:p>
    <w:p>
      <w:pPr>
        <w:pStyle w:val="Normal"/>
        <w:rPr/>
      </w:pPr>
      <w:r>
        <w:rPr/>
        <w:t>Konferenssin toinen täysistunto pidettiin 22.–23. lokakuuta 2021 hybridimuodossa, johon osallistui ensimmäistä kertaa eurooppalaisten kansalaispaneelien edustajia. Täysistunnon jäsenillä oli tilaisuus kuulla neljän eurooppalaisen kansalaispaneelin tilannekatsaus ja järjestää keskustelu. Lisäksi kansallisten tapahtumien ja paneelien edustajat pystyivät esittelemään kansallisella tasolla järjestettyjä tapahtumia. Konferenssin täysistunnolle esiteltiin raportti Euroopan nuorisotapahtumasta (EYE). siinä esitettiin yleiskatsaus kokoukseen osallistuneiden nuorten valitsemista 20 konkreettisesta ideasta.</w:t>
      </w:r>
    </w:p>
    <w:p>
      <w:pPr>
        <w:pStyle w:val="Normal"/>
        <w:rPr/>
      </w:pPr>
      <w:r>
        <w:rPr/>
        <w:t>Sitä seuranneessa keskustelussa painotettiin monikielisen digitaalisen foorumin innovatiivisuutta, joka antoi kansalaisille äänen ja mahdollisuuden keskustella kaikilla EU:n virallisilla kielillä. Keskustelu perustui foorumia koskevaan toiseen väliraporttiin. Länsi-Balkanin kumppanit kutsuttiin osallistumaan tähän täysistuntoon keskeisinä sidosryhminä.</w:t>
      </w:r>
    </w:p>
    <w:p>
      <w:pPr>
        <w:pStyle w:val="Normal"/>
        <w:rPr/>
      </w:pPr>
      <w:r>
        <w:rPr>
          <w:b/>
          <w:i/>
          <w:u w:val="single"/>
        </w:rPr>
        <w:t>KONFERENSSIN KOLMAS TÄYSISTUNTO 21.–22. TAMMIKUUTA 2022</w:t>
      </w:r>
      <w:r>
        <w:rPr/>
        <w:t xml:space="preserve"> </w:t>
      </w:r>
    </w:p>
    <w:p>
      <w:pPr>
        <w:pStyle w:val="Normal"/>
        <w:rPr/>
      </w:pPr>
      <w:r>
        <w:rPr/>
        <w:t>Konferenssin kolmas täysistunto, joka pidettiin 21.–22. tammikuuta 2022, oli ensimmäinen omistettu eurooppalaisten kansalaispaneelien ja niihin liittyvien kansallisten kansalaispaneelien suositusten viralliselle esittelylle. Täysistunto järjestettiin ensimmäisen kerran sen jälkeen, kun joidenkin eurooppalaisten kansalaispaneelien suositukset oli viimeistelty: paneelit 2 (Eurooppalainen demokratia; arvot ja oikeudet, oikeusvaltioperiaate, turvallisuus) ja 3 (ilmastonmuutos ja ympäristö; terveys). Täysistunto pidettiin hybridimuodossa, johon osallistui yli 400 konferenssin täysistuntoa joko paikan päällä tai etäyhteyden välityksellä.</w:t>
      </w:r>
    </w:p>
    <w:p>
      <w:pPr>
        <w:pStyle w:val="Normal"/>
        <w:rPr/>
      </w:pPr>
      <w:r>
        <w:rPr/>
        <w:t>Täysistuntoa leimasi myös Euroopan parlamentin puhemiehen David Maria Sassolin kuolema vähän aikaisemmin. Yhteispuheenjohtajat osoittivat kunnioitusta hänen muistolleen kokouksen avajaisissa. Tämän täysistunnon keskustelut järjestettiin aiheittain eurooppalaisten kansalaispaneelien 2 ja 3 kattamista aiheista.</w:t>
      </w:r>
    </w:p>
    <w:p>
      <w:pPr>
        <w:pStyle w:val="Normal"/>
        <w:rPr/>
      </w:pPr>
      <w:r>
        <w:rPr/>
        <w:t>Keskustelut käytiin innovatiivisessa interaktiivisessa muodossa, johon sisältyi kansalaisten palautteelle omistettuja hetkiä sekä erityinen sinisen kortin kysymysten järjestelmä, joka mahdollisti spontaanin ja vilkkaan keskustelun kansalaisten antamista suosituksista.</w:t>
      </w:r>
    </w:p>
    <w:p>
      <w:pPr>
        <w:pStyle w:val="Normal"/>
        <w:rPr/>
      </w:pPr>
      <w:r>
        <w:rPr>
          <w:b/>
          <w:i/>
          <w:u w:val="single"/>
        </w:rPr>
        <w:t>KONFERENSSIN NELJÄS TÄYSISTUNTO 11.–12. MAALISKUUTA 2022</w:t>
      </w:r>
      <w:r>
        <w:rPr/>
        <w:t xml:space="preserve"> </w:t>
      </w:r>
    </w:p>
    <w:p>
      <w:pPr>
        <w:pStyle w:val="Normal"/>
        <w:rPr/>
      </w:pPr>
      <w:r>
        <w:rPr/>
        <w:t>Konferenssin neljännessä täysistunnossa keskityttiin myös eurooppalaisten kansalaispaneelien ja niihin liittyvien kansallisten kansalaispaneelien suositusten esittelyyn. Täysistunto pidettiin sen jälkeen, kun kahden jäljellä olevan eurooppalaisen kansalaispaneelin suositukset oli saatettu lopullisesti päätökseen: paneelit 1 (Vahvempi talous, sosiaalinen oikeudenmukaisuus ja työllisyys; koulutus, kulttuuri, nuoriso ja urheilu; digitalisaatio) ja 4 (EU maailmassa; maahanmuutto).</w:t>
      </w:r>
    </w:p>
    <w:p>
      <w:pPr>
        <w:pStyle w:val="Normal"/>
        <w:rPr/>
      </w:pPr>
      <w:r>
        <w:rPr/>
        <w:t>Tammikuun täysistunnon tapaan tämän täysistunnon keskustelut järjestettiin aiheittain. Tällä kertaa keskusteltiin eurooppalaisten kansalaispaneelien 1 ja 4 aiheista. Keskustelut kansalaisten antamista suosituksista johtivat vilkkaaseen ja perusteelliseen vaihtoon, jota tuettiin innovatiivisella interaktiivisella muodolla.</w:t>
      </w:r>
    </w:p>
    <w:p>
      <w:pPr>
        <w:pStyle w:val="Normal"/>
        <w:rPr/>
      </w:pPr>
      <w:r>
        <w:rPr>
          <w:b/>
          <w:i/>
          <w:u w:val="single"/>
        </w:rPr>
        <w:t>KONFERENSSIN VIIDES TÄYSISTUNTO, 25.–26. MAALISKUUTA 2022</w:t>
      </w:r>
      <w:r>
        <w:rPr/>
        <w:t xml:space="preserve"> </w:t>
      </w:r>
    </w:p>
    <w:p>
      <w:pPr>
        <w:pStyle w:val="Normal"/>
        <w:rPr/>
      </w:pPr>
      <w:r>
        <w:rPr/>
        <w:t>Viides täysistunto merkitsi konferenssin alkua sen seuraavaan vaiheeseen, jolloin käynnistettiin prosessi, jossa täysistunnon ehdotukset määritellään kansalaisten antamien suositusten pohjalta. Näin ollen täysistunnon jäsenet kävivät ensimmäistä kertaa keskusteluja konferenssin yhdeksästä teemasta, kun he olivat valmistautuneet työryhmien pienempään aihepiiriin: vahvempi talous, sosiaalinen oikeudenmukaisuus ja työllisyys; koulutus, kulttuuri, nuoriso ja urheilu; digitaalinen muutos; Eurooppalainen demokratia; arvot ja oikeudet, oikeusvaltioperiaate, turvallisuus; ilmastonmuutos ja ympäristö; terveys; EU:n asema maailmassa; maahanmuuttoa. Täysistunto tarjosi myös EU:n 27 jäsenvaltiossa järjestettyjen kansallisten tapahtumien edustajille tilaisuuden esitellä aloitteidensa tuloksia.</w:t>
      </w:r>
    </w:p>
    <w:p>
      <w:pPr>
        <w:pStyle w:val="Normal"/>
        <w:rPr/>
      </w:pPr>
      <w:r>
        <w:rPr>
          <w:b/>
          <w:i/>
          <w:u w:val="single"/>
        </w:rPr>
        <w:t>KONFERENSSIN KUUDES TÄYSISTUNTO 8.–9. HUHTIKUUTA 2022</w:t>
      </w:r>
      <w:r>
        <w:rPr/>
        <w:t xml:space="preserve"> </w:t>
      </w:r>
    </w:p>
    <w:p>
      <w:pPr>
        <w:pStyle w:val="Normal"/>
        <w:rPr/>
      </w:pPr>
      <w:r>
        <w:rPr/>
        <w:t>Konferenssin kuudennessa täysistunnossa viimeisteltiin täysistunnon ehdotusluonnokset.</w:t>
      </w:r>
    </w:p>
    <w:p>
      <w:pPr>
        <w:pStyle w:val="Normal"/>
        <w:rPr/>
      </w:pPr>
      <w:r>
        <w:rPr/>
        <w:t>Kun temaattisten työryhmien viimeiset kokoukset oli saatu päätökseen, kaikki täysistunnon jäsenet ilmaisivat yhdeksän asiakeskustelun kautta näkemyksensä ja kommenttinsa viime kuukausina valmistelemiinsa ehdotusluonnoksiin. Keskustelu tarjosi heille myös tilaisuuden pohtia ainutlaatuista prosessia, jossa täysistunnon ehdotukset laaditaan kansalaisten suositusten pohjalta, sekä niiden laatimisen jälkeen tehtyä työtä. Kansalaiset korostivat erityisesti tämän neuvotteluprosessin ainutlaatuista inhimillistä kokemusta ja lisäarvoa, joka yhdisti heidät tähän yhteiseen hankkeeseen. Keskustelu pohjautui konferenssin viimeisimpään täysistuntoon toimitettaviin lopullisiin ehdotusluonnoksiin.</w:t>
      </w:r>
    </w:p>
    <w:p>
      <w:pPr>
        <w:pStyle w:val="Normal"/>
        <w:rPr/>
      </w:pPr>
      <w:r>
        <w:rPr>
          <w:b/>
          <w:i/>
          <w:u w:val="single"/>
        </w:rPr>
        <w:t>KONFERENSSIN SEITSEMÄS TÄYSISTUNTO 29.–30. HUHTIKUUTA 2022</w:t>
      </w:r>
      <w:r>
        <w:rPr/>
        <w:t xml:space="preserve"> </w:t>
      </w:r>
    </w:p>
    <w:p>
      <w:pPr>
        <w:pStyle w:val="Normal"/>
        <w:rPr/>
      </w:pPr>
      <w:r>
        <w:rPr/>
        <w:t>Euroopan tulevaisuutta käsittelevän konferenssin seitsemäs ja viimeinen täysistunto oli tärkeä virstanpylväs, ja se saattoi päätökseen useita kuukausia kestäneen intensiivisen keskustelun 49 ehdotuksen muotoilulla. Täysistunto esitteli ja laati 49 ehdotusta johtokunnalle yhteisymmärryksessä. Euroopan parlamentin, neuvoston, Euroopan komission ja kansallisten parlamenttien edustajat pääsivät yhteisymmärrykseen.</w:t>
      </w:r>
    </w:p>
    <w:p>
      <w:pPr>
        <w:pStyle w:val="Normal"/>
        <w:rPr/>
      </w:pPr>
      <w:r>
        <w:rPr/>
        <w:t xml:space="preserve">Alueiden komitean ja Euroopan talous- ja sosiaalikomitean edustajat, alue- ja paikallistason vaaleilla valitut edustajat sekä työmarkkinaosapuolten ja kansalaisyhteiskunnan edustajat ilmaisivat tukensa prosessille ja kannattivat ehdotuksia. </w:t>
      </w:r>
    </w:p>
    <w:p>
      <w:pPr>
        <w:pStyle w:val="Normal"/>
        <w:rPr/>
      </w:pPr>
      <w:r>
        <w:rPr/>
        <w:t>Kansalaiset esittivät lopullisen kantansa ehdotuksiin (ks. keskeiset viestit jäljempänä).</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val="clear" w:fill="EEEEEE"/>
        <w:rPr>
          <w:i/>
          <w:i/>
          <w:sz w:val="20"/>
        </w:rPr>
      </w:pPr>
      <w:r>
        <w:rPr/>
        <w:t>Päätös täysistunnossa (29.–30. huhtikuuta 2022) 108 kansalaista esitteli lopullisen kantansa täysistunnon ehdotuksiin. Heidän esittelynsä suunniteltiin kollektiivisesti ja 17 heistä esitteli ne narratiivisena puheena loppukeskustelun aikana. Alla olevassa tekstissä on yhteenveto niiden toimien keskeisistä viesteistä.</w:t>
      </w:r>
    </w:p>
    <w:p>
      <w:pPr>
        <w:pStyle w:val="P68B1DB1Normal14"/>
        <w:shd w:val="clear" w:fill="EEEEEE"/>
        <w:jc w:val="center"/>
        <w:rPr>
          <w:sz w:val="20"/>
        </w:rPr>
      </w:pPr>
      <w:r>
        <w:rPr/>
        <w:t>**</w:t>
      </w:r>
    </w:p>
    <w:p>
      <w:pPr>
        <w:pStyle w:val="P68B1DB1Normal14"/>
        <w:shd w:val="clear" w:fill="EEEEEE"/>
        <w:rPr>
          <w:sz w:val="20"/>
        </w:rPr>
      </w:pPr>
      <w:r>
        <w:rPr/>
        <w:t>Aluksi kiitämme Euroopan parlamenttia, neuvostoa ja komissiota siitä, että olemme antaneet meille mahdollisuuden auttaa muovaamaan Euroopan tulevaisuutta. Olemme tavanneet eurooppalaisia kollegoja eri puolilta unionia, eri paneeleista ja tapahtumista, poliittisten edustajien ja yhteiskunnallisten toimijoiden kanssa ja laajentaneet näköalojamme. Olemme kasvaneet eurooppalaisina. Sen tähden olemme kaikki tehneet uhrauksia: meidät vietettiin pois jokapäiväisestä elämästämme, vietettiin vapaapäiviä ja vietettiin eurooppalaisten kansalaispaneelien jäsenille yhdeksän viikonloppua perheiltämme. Mutta meillä oli uskomaton ja ainutlaatuinen kokemus. Meille se ei ollut ajanhukkaa.</w:t>
      </w:r>
    </w:p>
    <w:p>
      <w:pPr>
        <w:pStyle w:val="P68B1DB1Normal14"/>
        <w:shd w:val="clear" w:fill="EEEEEE"/>
        <w:rPr>
          <w:sz w:val="20"/>
        </w:rPr>
      </w:pPr>
      <w:r>
        <w:rPr/>
        <w:t>Matkan varrella oli ylä- ja alamäkiä. Emme aina saaneet vastausta kysymyksiimme. Tiedämme, että ehdotusten täytäntöönpano vie aikaa. Olemme kuitenkin vakuuttuneita siitä, että teette tämän tavoitteen saavuttamiseksi kaikkenne kunnioittaen yhteistä työtämme. Jos me, kansalaiset, olemme pystyneet voittamaan erimielisyytensä, kielimuurimme, työskentelemään yhdessä ja nostamaan itsemme teidän tasollenne, voitte myös.</w:t>
      </w:r>
    </w:p>
    <w:p>
      <w:pPr>
        <w:pStyle w:val="P68B1DB1Normal14"/>
        <w:shd w:val="clear" w:fill="EEEEEE"/>
        <w:jc w:val="center"/>
        <w:rPr>
          <w:sz w:val="20"/>
        </w:rPr>
      </w:pPr>
      <w:r>
        <w:rPr/>
        <w:t>**</w:t>
      </w:r>
    </w:p>
    <w:p>
      <w:pPr>
        <w:pStyle w:val="P68B1DB1Normal14"/>
        <w:shd w:val="clear" w:fill="EEEEEE"/>
        <w:rPr>
          <w:sz w:val="20"/>
        </w:rPr>
      </w:pPr>
      <w:r>
        <w:rPr/>
        <w:t>Olemme kaikki päässeet pitkälle, ja nyt kun työmme täysistunnossa on ohi, voimme olla ylpeitä siitä. Näemme kahdeksan monialaista teemaa, jotka antavat selkeän ja vahvan mandaatin Euroopan tulevaisuudelle.</w:t>
      </w:r>
    </w:p>
    <w:p>
      <w:pPr>
        <w:pStyle w:val="P68B1DB1Normal14"/>
        <w:shd w:val="clear" w:fill="EEEEEE"/>
        <w:rPr>
          <w:sz w:val="20"/>
        </w:rPr>
      </w:pPr>
      <w:r>
        <w:rPr>
          <w:b/>
        </w:rPr>
        <w:t>Ensinnäkin</w:t>
      </w:r>
      <w:r>
        <w:rPr/>
        <w:t xml:space="preserve"> Euroopan unioni, joka perustuu solidaarisuuteen, sosiaaliseen oikeudenmukaisuuteen ja tasa-arvoon. Kansalaisten suuri huolenaihe onkin löytää yhtäläiset edellytykset ja oikeudet eri aloilla: terveydenhuolto, sosiaalipalvelut, elinikäinen oppiminen, maaseutu- ja kaupunkialueilla asuvien yhtäläiset mahdollisuudet väestörakenteen huomioon ottaen. Tulevaisuudessa kaikkien jäsenvaltioiden ja alueiden eurooppalaisia ei pitäisi enää syrjiä iän, asuinpaikan, kansalaisuuden, sukupuolen, uskonnon tai poliittisten mieltymysten vuoksi. Heille olisi tarjottava kohtuulliset elintasot, palkat ja työolot. EU:n on oltava muutakin kuin talousliitto. Jäsenvaltioiden on osoitettava enemmän solidaarisuutta toisiaan kohtaan. Olemme perhe, ja meidän on toimittava sellaisena kriisitilanteissa.</w:t>
      </w:r>
    </w:p>
    <w:p>
      <w:pPr>
        <w:pStyle w:val="P68B1DB1Normal14"/>
        <w:shd w:val="clear" w:fill="EEEEEE"/>
        <w:rPr>
          <w:sz w:val="20"/>
        </w:rPr>
      </w:pPr>
      <w:r>
        <w:rPr>
          <w:b/>
        </w:rPr>
        <w:t>Toiseksi</w:t>
      </w:r>
      <w:r>
        <w:rPr/>
        <w:t xml:space="preserve"> EU:n on uskallettava ja toimittava nopeasti, jotta siitä tulee ympäristö- ja ilmastojohtaja, vauhdittaa siirtymistä vihreään energiaan, parantaa rautatieverkkoaan, edistää kestävää liikennettä ja aitoa kiertotaloutta. Ei ole aikaa tuhlata. EU:n on edistettävä muutosta monilla politiikan aloilla: maatalous, biologinen monimuotoisuus, talous, energia, liikenne, koulutus, terveys, digitalisaatio ja ilmastodiplomatia. Meillä on tutkimusvalmiudet, taloudellinen vahvuus ja geopoliittinen vipuvaikutus tähän. Jos asetamme ilmaston etusijalle, voimme toivoa vaurasta tulevaisuutta.</w:t>
      </w:r>
    </w:p>
    <w:p>
      <w:pPr>
        <w:pStyle w:val="P68B1DB1Normal14"/>
        <w:shd w:val="clear" w:fill="EEEEEE"/>
        <w:rPr>
          <w:sz w:val="20"/>
        </w:rPr>
      </w:pPr>
      <w:r>
        <w:rPr>
          <w:b/>
        </w:rPr>
        <w:t>Kolmanneksi</w:t>
      </w:r>
      <w:r>
        <w:rPr/>
        <w:t xml:space="preserve"> Eurooppa tarvitsee demokraattisemman unionin. Euroopan kansalaiset rakastavat EU:ta, mutta olkaamme rehellisiä: se ei ole aina helppoa. Pyysit meitä auttamaan sinua ja kysyit meiltä: miltä eurooppalaisen demokratian pitäisi näyttää tulevaisuudessa? Ja me vastasimme teille: Me kansalaiset haluamme Euroopan, jossa päätökset tehdään avoimesti ja nopeasti, jossa yksimielisyyden periaatetta harkitaan uudelleen ja johon me kansalaiset osallistumme säännöllisesti ja vakavasti.</w:t>
      </w:r>
    </w:p>
    <w:p>
      <w:pPr>
        <w:pStyle w:val="P68B1DB1Normal14"/>
        <w:shd w:val="clear" w:fill="EEEEEE"/>
        <w:rPr>
          <w:sz w:val="20"/>
        </w:rPr>
      </w:pPr>
      <w:r>
        <w:rPr>
          <w:b/>
        </w:rPr>
        <w:t>Neljänneksi</w:t>
      </w:r>
      <w:r>
        <w:rPr/>
        <w:t xml:space="preserve"> EU tarvitsee enemmän yhdenmukaistamista joillakin aloilla ja lähentyä unionina. Sota iskee idän porteillemme, mikä vaatii meitä olemaan yhtenäisempiä kuin koskaan ja antamaan enemmän ulkoasioihin liittyviä taitoja. Konferenssi voi toimia perustana yhtenäisemmän ja poliittisesti johdonmukaisemman Euroopan luomiselle. Kaikki liittyy tähän sanaan: Unioni. Emme voi kuvailla itseämme sellaisiksi, jos emme onnistu saavuttamaan tämän konferenssin kuvaamaa yhteistyötä.</w:t>
      </w:r>
    </w:p>
    <w:p>
      <w:pPr>
        <w:pStyle w:val="P68B1DB1Normal14"/>
        <w:shd w:val="clear" w:fill="EEEEEE"/>
        <w:rPr>
          <w:sz w:val="20"/>
        </w:rPr>
      </w:pPr>
      <w:r>
        <w:rPr>
          <w:b/>
        </w:rPr>
        <w:t>Viidenneksi</w:t>
      </w:r>
      <w:r>
        <w:rPr/>
        <w:t xml:space="preserve"> EU:n on saatava autonomia ja varmistettava maailmanlaajuinen kilpailukykynsä. Koko prosessin ajan puhuimme tämän tavoitteen saavuttamisesta keskeisillä strategisilla aloilla: maatalous, energia, teollisuus, terveys. Meidän on vältettävä olemasta riippuvaisia kolmansista maista monien arkaluonteisten tuotteiden osalta. Meidän on hyödynnettävä työvoimamme lahjakkuutta, ehkäistävä aivovuotoa ja tarjottava kansalaisille asianmukaista ammattitaitokoulutusta heidän elämänsä kaikissa vaiheissa riippumatta siitä, missä he asuvat. EU:n sisällä ja nuorissa ei voi olla valtavia eroja ilman perspektiiviä yhdessä maassa, jonka on pakko mennä toiseen maahan.</w:t>
      </w:r>
    </w:p>
    <w:p>
      <w:pPr>
        <w:pStyle w:val="P68B1DB1Normal14"/>
        <w:shd w:val="clear" w:fill="EEEEEE"/>
        <w:rPr>
          <w:sz w:val="20"/>
        </w:rPr>
      </w:pPr>
      <w:r>
        <w:rPr>
          <w:b/>
        </w:rPr>
        <w:t>Kuudenneksi</w:t>
      </w:r>
      <w:r>
        <w:rPr/>
        <w:t xml:space="preserve"> EU:n tulevaisuus perustuu sen arvoihin. Ne ovat ohjanneet työtämme. Kun aloitimme, kukaan ei olisi voinut kuvitella, että maanosassamme syttyisi sota. Tämä taistelu vapauden puolesta saa meidät tietoisiksi siitä, että meillä on mahdollisuus elää rauhanomaisessa unionissa. Kaikkien ehdotuksiemme taustalla ovat nämä arvot: maahanmuuttajien inhimillinen ja ihmisarvoinen vastaanotto, yhtäläiset terveysmahdollisuudet, korruption torjunta, vaatimus luonnon ja biologisen monimuotoisuuden suojelusta sekä demokraattisempi unioni.</w:t>
      </w:r>
    </w:p>
    <w:p>
      <w:pPr>
        <w:pStyle w:val="P68B1DB1Normal14"/>
        <w:shd w:val="clear" w:fill="EEEEEE"/>
        <w:rPr>
          <w:sz w:val="20"/>
        </w:rPr>
      </w:pPr>
      <w:r>
        <w:rPr>
          <w:b/>
        </w:rPr>
        <w:t>Seitsemänneksi</w:t>
      </w:r>
      <w:r>
        <w:rPr/>
        <w:t>, tulevaisuudessa kansalaisten pitäisi tuntea olonsa eurooppalaisemmaksi ja oppia tuntemaan paremmin EU:ta. Tämä on monialainen kysymys, joka on tukenut kaikkien paneelien työtä. Digitaalinen muutos, koulutus, liikkuvuus ja vaihto voivat antaa sisältöä tälle eurooppalaiselle identiteetille, joka täydentää kansallista identiteettiämme kyseenalaistamatta niitä. Monet meistä eivät tunne itseään eurooppalaisiksi ennen tätä konferenssia: se syntyi täällä hitaasti vaihtamalla keskenään. Meillä oli onni saada tämä tilaisuus, mutta monet eivät. Siksi tiedotus, viestintä ja tietoisuus ovat niin tärkeitä.</w:t>
      </w:r>
    </w:p>
    <w:p>
      <w:pPr>
        <w:pStyle w:val="P68B1DB1Normal14"/>
        <w:shd w:val="clear" w:fill="EEEEEE"/>
        <w:rPr>
          <w:sz w:val="20"/>
        </w:rPr>
      </w:pPr>
      <w:r>
        <w:rPr>
          <w:b/>
        </w:rPr>
        <w:t>Kahdeksas</w:t>
      </w:r>
      <w:r>
        <w:rPr/>
        <w:t xml:space="preserve"> monialainen aihe, joka on meille erittäin tärkeä, on koulutus ja yleensä kansalaisten voimaannuttaminen. Päätit kutsua tähän konferenssiin 16-vuotiaat kansalaiset. Olemme kiitollisia tästä, koska enemmän kuin koskaan on tarpeen lisätä nuorten vaikutusmahdollisuuksia. Nuorten suuri määrä pidättäytyi äänestämästä, mikä osoittaa, että nuorison ja politiikan välinen yhteys on yhdistettävä uudelleen. Niiden on myös oltava taloudellisesti ja sosiaalisesti vastuullisia: on edelleen liian vaikeaa päästä työmarkkinoille, puolustaa sosiaalisia oikeuksia. Covid-19-pandemian aikana he tunsivat itsensä hylätyiksi ja monet kärsivät edelleen heidän mielenterveyteensä kohdistuvista seurauksista. Kaikilla eurooppalaisilla on kuitenkin oltava vaikutusmahdollisuuksia, ei vain nuoria: liikkuvuusohjelmien ja elinikäisen oppimisen avulla meidän on laajennettava kaikkien eurooppalaisten näköaloja. Meidän on myös koulutettava kansalaisia demokratiaan, kansalaisosallistumiseen ja medialukutaitoon. Tarvitsemme todella kokonaisvaltaista lähestymistapaa.</w:t>
      </w:r>
    </w:p>
    <w:p>
      <w:pPr>
        <w:pStyle w:val="P68B1DB1Normal14"/>
        <w:shd w:val="clear" w:fill="EEEEEE"/>
        <w:jc w:val="center"/>
        <w:rPr>
          <w:sz w:val="20"/>
        </w:rPr>
      </w:pPr>
      <w:r>
        <w:rPr/>
        <w:t>**</w:t>
      </w:r>
    </w:p>
    <w:p>
      <w:pPr>
        <w:pStyle w:val="P68B1DB1Normal14"/>
        <w:shd w:val="clear" w:fill="EEEEEE"/>
        <w:rPr>
          <w:sz w:val="20"/>
        </w:rPr>
      </w:pPr>
      <w:r>
        <w:rPr/>
        <w:t>Kukaan ei tiennyt, mikä lopputulos olisi. 27 maata, 24 kieltä, eri ikäisiä. Kun työskentelimme yhdessä, tunsimme olevamme yhteydessä toisiinsa: aivomme, ajatuksemme, kokemuksemme. Emme ole EU:n asiantuntijoita tai konferenssin teemoja, mutta olemme tosielämän asiantuntijoita, ja meillä on omat tarinamme. Menemme töihin, asumme maaseudulla ja lähiöissä, työskentelemme yöllä, opiskelemme, meillä on lapsia, otamme joukkoliikennettä. Voimme luottaa monimuotoisuuteen. Ehdotuksista päästiin yhteisymmärrykseen neljän eri osa-alueen välillä ja kansalaisten välillä. Olemme samaa mieltä ja tuemme kaikkia ehdotuksia, jotka ovat nyt teidän käsissänne. Ilmaisemme eriävän kannan toimenpiteeseen 38.4, kolmanteen kohtaan, koska se ei ole peräisin eurooppalaisista paneeleista tai kansallisista paneeleista eikä siitä ole keskusteltu riittävästi Kokonaistyöryhmässä. Siksi emme kommentoi tämän toimenpiteen sisältöä tai merkitystä. Tätä silmällä pitäen kehotamme teitä tarkastelemaan näitä ehdotuksia kokonaisuutena, panemaan ne täytäntöön eikä vain niitä, jotka sopivat sinulle parhaiten ja ovat helposti sovellettavissa. Tee se läpinäkyvästi. Olemme työskennelleet näiden ehdotusten parissa omistautuneesti ja intohimoisesti, olemme ylpeitä työstämme: kunnioita häntä.</w:t>
      </w:r>
    </w:p>
    <w:p>
      <w:pPr>
        <w:pStyle w:val="P68B1DB1Normal14"/>
        <w:shd w:val="clear" w:fill="EEEEEE"/>
        <w:rPr>
          <w:sz w:val="20"/>
        </w:rPr>
      </w:pPr>
      <w:r>
        <w:rPr/>
        <w:t>Euroopan tulevaisuutta käsitelleessä konferenssissa käytiin pandemia ja käytiin Euroopassa sotaa, mikä osoitti täyttä solidaarisuutta Ukrainan kansaa kohtaan. Vuosi oli hektinen osallistujille ja kaikille eurooppalaisille. Mutta konferenssi jatkoi työtään tuulta ja vuorovesiä vastaan. Sallikaamme konferenssin kansalaisten puolesta päättää asia lähettämällä teille yksinkertainen viesti: tunnemme olevamme eurooppalaisia, olemme sitoutuneita ja kuunneltuja demokratisoitumisprosessissa, uskomme ja haluamme edelleen uskoa siihen. Lue siis sydämemme pohjasta ehdotukset hyvin ja pane ne täytäntöön Euroopan tulevaisuuden vuoksi.</w:t>
      </w:r>
    </w:p>
    <w:p>
      <w:pPr>
        <w:pStyle w:val="Normal"/>
        <w:shd w:val="clear" w:fill="EEEEEE"/>
        <w:rPr/>
      </w:pPr>
      <w:r>
        <w:rPr/>
      </w:r>
      <w:r>
        <w:br w:type="page"/>
      </w:r>
    </w:p>
    <w:p>
      <w:pPr>
        <w:pStyle w:val="Corpsdetexte"/>
        <w:rPr/>
      </w:pPr>
      <w:r>
        <w:rPr/>
        <w:t>Täysistuntoon kuuluvan neuvoston osan edustajat pidättäytyivät kommentoimasta ehdotusten sisältöä, mutta kannattivat ja kannustivat kansalaisten toimintaa ja panivat merkille heidän suosituksensa. Toukokuun 9. päivän 2022 jälkeen neuvosto päättää, miten konferenssin tuloksia seurataan oman toimivaltansa puitteissa ja perussopimusten mukaisesti.</w:t>
      </w:r>
    </w:p>
    <w:p>
      <w:pPr>
        <w:pStyle w:val="Normal"/>
        <w:rPr/>
      </w:pPr>
      <w:r>
        <w:rPr/>
      </w:r>
    </w:p>
    <w:p>
      <w:pPr>
        <w:pStyle w:val="Corpsdetexte"/>
        <w:rPr/>
      </w:pPr>
      <w:r>
        <w:rPr/>
        <w:t>Euroopan tulevaisuutta käsittelevän konferenssin johtokunta panee merkille täysistunnon ehdotukset ja esittää ne konferenssin lopullisena tuloksena. Euroopan tulevaisuutta koskevat ohjeet saatiin lähes vuoden kestäneiden keskustelujen jälkeen yhteisessä julistuksessa ja konferenssin työjärjestyksessä vahvistetuissa puitteissa.</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Kuva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Kuva20" descr=""/>
                    <pic:cNvPicPr>
                      <a:picLocks noChangeAspect="1" noChangeArrowheads="1"/>
                    </pic:cNvPicPr>
                  </pic:nvPicPr>
                  <pic:blipFill>
                    <a:blip r:embed="rId71"/>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IV. Täysistunnon ehdotukset </w:t>
      </w:r>
      <w:r>
        <w:br w:type="page"/>
      </w:r>
    </w:p>
    <w:p>
      <w:pPr>
        <w:pStyle w:val="Normal"/>
        <w:rPr/>
      </w:pPr>
      <w:r>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Kuva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Kuva21" descr=""/>
                    <pic:cNvPicPr>
                      <a:picLocks noChangeAspect="1" noChangeArrowheads="1"/>
                    </pic:cNvPicPr>
                  </pic:nvPicPr>
                  <pic:blipFill>
                    <a:blip r:embed="rId72"/>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Ilmastonmuutos ja ympäristö</w:t>
      </w:r>
    </w:p>
    <w:p>
      <w:pPr>
        <w:pStyle w:val="Titre3"/>
        <w:numPr>
          <w:ilvl w:val="2"/>
          <w:numId w:val="2"/>
        </w:numPr>
        <w:rPr/>
      </w:pPr>
      <w:bookmarkStart w:id="38" w:name="__RefHeading___Toc298250_1346298689"/>
      <w:bookmarkEnd w:id="38"/>
      <w:r>
        <w:rPr/>
        <w:t>1. Ehdotus: Maatalous, elintarviketuotanto, biologinen monimuotoisuus ja ekosysteemit, saastuminen</w:t>
      </w:r>
    </w:p>
    <w:p>
      <w:pPr>
        <w:pStyle w:val="P68B1DB1Normal15"/>
        <w:rPr>
          <w:b/>
          <w:b/>
        </w:rPr>
      </w:pPr>
      <w:r>
        <w:rPr/>
        <w:t>Tavoite: Turvallinen, kestävä, oikeudenmukainen, ilmastoon reagoiva ja kohtuuhintainen elintarviketuotanto, jossa kunnioitetaan kestävyyden ja ympäristön periaatteita ja suojellaan biologista monimuotoisuutta ja ekosysteemejä ja varmistetaan samalla elintarviketurva.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p>
    <w:p>
      <w:pPr>
        <w:pStyle w:val="Puce3"/>
        <w:rPr/>
      </w:pPr>
      <w:r>
        <w:rPr/>
        <w:t>1.</w:t>
        <w:tab/>
        <w:t>Tuomaan vihreän ja sinisen talouden käsitteet etusijalle edistämällä tehokasta ja ympäristöystävällistä ja ilmastoystävällistä maataloutta ja kalastusta ja muualla maailmassa, mukaan lukien luonnonmukainen maatalous ja muut innovatiiviset ja kestävät maatalouden muodot, kuten vertikaalinen maatalous, joka mahdollistaa tuotannon lisäämisen vähemmillä tuotantopanoksilla ja vähentää samalla päästöjä ja ympäristövaikutuksia, mutta varmistaa edelleen tuottavuuden ja elintarviketurvan (paneeli 3 – suositukset 1, 2 ja 10; paneeli 2 – suositus 4).</w:t>
      </w:r>
    </w:p>
    <w:p>
      <w:pPr>
        <w:pStyle w:val="Puce3"/>
        <w:rPr/>
      </w:pPr>
      <w:r>
        <w:rPr/>
        <w:t>2.</w:t>
        <w:tab/>
        <w:t>Suunnataan uudelleen tuet ja vahvistetaan kannustimia luonnonmukaiselle ja kestävälle maataloudelle, joka täyttää erityiset ympäristönormit ja edistää maailmanlaajuisten ilmastotavoitteiden saavuttamista (paneeli 3 – suositukset 1 ja 12).</w:t>
      </w:r>
    </w:p>
    <w:p>
      <w:pPr>
        <w:pStyle w:val="Puce3"/>
        <w:rPr/>
      </w:pPr>
      <w:r>
        <w:rPr/>
        <w:t>3.</w:t>
        <w:tab/>
        <w:t>Sovelletaan kiertotalouden periaatteita maatalouteen ja kannustetaan elintarvikejätteen torjuntaan (keskustelu työryhmässä, monikielisessä digitaalisessa foorumissa – NPC).</w:t>
      </w:r>
    </w:p>
    <w:p>
      <w:pPr>
        <w:pStyle w:val="Puce3"/>
        <w:rPr/>
      </w:pPr>
      <w:r>
        <w:rPr/>
        <w:t>4.</w:t>
        <w:tab/>
        <w:t>Vähennetään merkittävästi torjunta-aineiden ja kemiallisten lannoitteiden käyttöä nykyisten tavoitteiden mukaisesti ja jatketaan elintarviketurvallisuuden varmistamista ja tuetaan tutkimusta kestävämpien ja luontoon perustuvien vaihtoehtojen kehittämiseksi (paneeli 3 – suositus 10, keskustelu työryhmässä).</w:t>
      </w:r>
    </w:p>
    <w:p>
      <w:pPr>
        <w:pStyle w:val="Puce3"/>
        <w:rPr/>
      </w:pPr>
      <w:r>
        <w:rPr/>
        <w:t>5.</w:t>
        <w:tab/>
        <w:t>Otetaan käyttöön hiilipoistumien sertifiointi, joka perustuu vakaaseen, vankkaan ja avoimeen hiilitilinpitoon (täysistuntokeskustelu).</w:t>
      </w:r>
    </w:p>
    <w:p>
      <w:pPr>
        <w:pStyle w:val="Puce3"/>
        <w:rPr/>
      </w:pPr>
      <w:r>
        <w:rPr/>
        <w:t>6.</w:t>
        <w:tab/>
        <w:t>Lisätään tutkimusta ja innovointia erityisesti kestävään tuotantoon, tuholaisten vastustuskykyyn ja täsmäviljelyyn liittyvien teknologisten ratkaisujen osalta sekä viestintää, neuvontajärjestelmiä ja viljelijöiden koulutusta varten (paneeli 3 – suositus 10, keskustelu työryhmässä, täysistuntokeskustelu).</w:t>
      </w:r>
    </w:p>
    <w:p>
      <w:pPr>
        <w:pStyle w:val="Puce3"/>
        <w:rPr/>
      </w:pPr>
      <w:r>
        <w:rPr/>
        <w:t>7.</w:t>
        <w:tab/>
        <w:t>Poistetaan sosiaalinen polkumyynti ja edistetään oikeudenmukaista vihreää siirtymää maatalousalan parempiin työpaikkoihin laadukkaiden turvallisuus-, työterveys- ja työolojen avulla (työryhmässä käytävä keskustelu).</w:t>
      </w:r>
    </w:p>
    <w:p>
      <w:pPr>
        <w:pStyle w:val="Puce3"/>
        <w:rPr/>
      </w:pPr>
      <w:r>
        <w:rPr/>
        <w:t>8.</w:t>
        <w:tab/>
        <w:t>Keskustellaan muun muassa muovin käytöstä maatalouskalvoissa ja tavoista vähentää vedenkulutusta maataloudessa (PNM).</w:t>
      </w:r>
    </w:p>
    <w:p>
      <w:pPr>
        <w:pStyle w:val="Puce3"/>
        <w:rPr/>
      </w:pPr>
      <w:r>
        <w:rPr/>
        <w:t>9.</w:t>
        <w:tab/>
        <w:t>Perustellussa lihankasvatuksessa ja -tuotannossa keskityttiin eläinten hyvinvointiin ja kestävyyteen toimenpiteillä, kuten selkeillä merkinnöillä, korkealaatuisilla ja yhteisillä kotieläintuotanto- ja kuljetusstandardeilla sekä vahvistamalla karjan ja rehun välistä yhteyttä (paneeli 3 – suositukset 16 ja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Ehdotus: Maatalous, elintarviketuotanto, biologinen monimuotoisuus ja ekosysteemit, saastuminen</w:t>
      </w:r>
    </w:p>
    <w:p>
      <w:pPr>
        <w:pStyle w:val="P68B1DB1Normal15"/>
        <w:rPr>
          <w:b/>
          <w:b/>
        </w:rPr>
      </w:pPr>
      <w:r>
        <w:rPr/>
        <w:t>Tavoite: Biologisen monimuotoisuuden, maiseman ja valtamerten suojelu ja ennallistaminen sekä saasteiden poistaminen.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Toimenpiteet:</w:t>
      </w:r>
    </w:p>
    <w:p>
      <w:pPr>
        <w:pStyle w:val="Puce3"/>
        <w:tabs>
          <w:tab w:val="clear" w:pos="720"/>
        </w:tabs>
        <w:rPr/>
      </w:pPr>
      <w:r>
        <w:rPr/>
        <w:t>1.</w:t>
        <w:tab/>
        <w:t>Suojelualueiden luominen, ennallistaminen, hoito ja laajentaminen biologisen monimuotoisuuden suojelemiseksi (suositus FR, paneeli 3 – suositus 11).</w:t>
      </w:r>
    </w:p>
    <w:p>
      <w:pPr>
        <w:pStyle w:val="Puce3"/>
        <w:tabs>
          <w:tab w:val="clear" w:pos="720"/>
        </w:tabs>
        <w:rPr/>
      </w:pPr>
      <w:r>
        <w:rPr/>
        <w:t>2.</w:t>
        <w:tab/>
        <w:t>Perustetaan pakote- ja palkitsemisjärjestelmä pilaantumisen torjumiseksi soveltamalla saastuttaja maksaa -periaatetta, joka olisi myös sisällytettävä verotoimenpiteisiin ja lisäämällä tietoisuutta ja kannustimia (paneeli 3 – suositus 32, FR:n suositus, täysistuntokeskustelu).</w:t>
      </w:r>
    </w:p>
    <w:p>
      <w:pPr>
        <w:pStyle w:val="Puce3"/>
        <w:tabs>
          <w:tab w:val="clear" w:pos="720"/>
        </w:tabs>
        <w:rPr/>
      </w:pPr>
      <w:r>
        <w:rPr/>
        <w:t>3.</w:t>
        <w:tab/>
        <w:t>Laajennetaan kuntien roolia kaupunkisuunnittelussa ja sellaisten uusien rakennusten rakentamisessa, jotka tukevat sinistä ja vihreää infrastruktuuria, vältetään maan tiivistämistä entisestään ja lopetetaan se, pakolliset viheralueet uusille rakennuksille luonnon monimuotoisuuden ja kaupunkimetsien edistämiseksi (paneeli 3 – suositus 5, paneeli 1 – suositus 18, suositus FR).</w:t>
      </w:r>
    </w:p>
    <w:p>
      <w:pPr>
        <w:pStyle w:val="Puce3"/>
        <w:tabs>
          <w:tab w:val="clear" w:pos="720"/>
        </w:tabs>
        <w:rPr/>
      </w:pPr>
      <w:r>
        <w:rPr/>
        <w:t>4.</w:t>
        <w:tab/>
        <w:t>Suojella hyönteisiä, erityisesti kotoperäisiä ja pölyttäviä lajeja, muun muassa suojelemalla vieraslajeja ja parantamalla voimassa olevien sääntöjen täytäntöönpanoa (paneeli 1 – suositus 18).</w:t>
      </w:r>
    </w:p>
    <w:p>
      <w:pPr>
        <w:pStyle w:val="Puce3"/>
        <w:tabs>
          <w:tab w:val="clear" w:pos="720"/>
        </w:tabs>
        <w:rPr/>
      </w:pPr>
      <w:r>
        <w:rPr/>
        <w:t>5.</w:t>
        <w:tab/>
        <w:t>Tuetaan metsittämistä ja uudelleenmetsittämistä, myös tulipaloissa tuhoutuneita metsiä, sovelletaan vastuullista metsänhoitoa ja kannustetaan puun parempaan käyttöön muiden materiaalien korvaamiseksi. Asetetaan sitovia kansallisia tavoitteita kotoperäisten puiden ja paikallisen kasviston uudelleenmetsittämiselle ottaen huomioon erilaiset kansalliset tilanteet ja erityispiirteet (paneeli 3 – suositus 14, paneeli 1 – suositus 18).</w:t>
      </w:r>
    </w:p>
    <w:p>
      <w:pPr>
        <w:pStyle w:val="Puce3"/>
        <w:tabs>
          <w:tab w:val="clear" w:pos="720"/>
        </w:tabs>
        <w:rPr/>
      </w:pPr>
      <w:r>
        <w:rPr/>
        <w:t>6.</w:t>
        <w:tab/>
        <w:t>Pannaan täytäntöön kertakäyttöisten muovien kielto ja laajennetaan sitä.</w:t>
      </w:r>
    </w:p>
    <w:p>
      <w:pPr>
        <w:pStyle w:val="Puce3"/>
        <w:tabs>
          <w:tab w:val="clear" w:pos="720"/>
        </w:tabs>
        <w:rPr/>
      </w:pPr>
      <w:r>
        <w:rPr/>
        <w:t>7.</w:t>
        <w:tab/>
        <w:t>Suojellaan vesilähteitä ja torjutaan jokien ja valtamerten pilaantumista muun muassa tutkimalla ja torjumalla mikromuovien aiheuttamaa pilaantumista, edistetään ympäristöystävällistä liikennettä käyttämällä parasta käytettävissä olevaa teknologiaa ja perustetaan unionin tutkimus ja rahoitus vaihtoehtoisia meriliikenteen polttoaineita ja teknologioita varten (NMP, keskustelu työryhmässä).</w:t>
      </w:r>
    </w:p>
    <w:p>
      <w:pPr>
        <w:pStyle w:val="Puce3"/>
        <w:tabs>
          <w:tab w:val="clear" w:pos="720"/>
        </w:tabs>
        <w:rPr/>
      </w:pPr>
      <w:r>
        <w:rPr/>
        <w:t>8.</w:t>
        <w:tab/>
        <w:t>Rajoitetaan valon aiheuttamaa pilaantumista (keskustelu työryhmässä).</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Ehdotus: Ilmastonmuutos, energia, liikenne</w:t>
      </w:r>
    </w:p>
    <w:p>
      <w:pPr>
        <w:pStyle w:val="P68B1DB1Normal15"/>
        <w:rPr>
          <w:b/>
          <w:b/>
        </w:rPr>
      </w:pPr>
      <w:r>
        <w:rPr/>
        <w:t>Tavoite: Lisätään Euroopan energiavarmuutta ja saavutetaan unionin energiaomavaraisuus samalla kun varmistetaan oikeudenmukainen siirtymä ja tarjotaan riittävästi kestävää ja kohtuuhintaista energiaa eurooppalaisille. Ilmastonmuutoksen torjuminen antamalla maailmanlaajuinen johtoasema kestävän energian politiikassa ja noudattamalla maailmanlaajuisia ilmastonsuojelutavoitteita.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Toimenpiteet:</w:t>
      </w:r>
    </w:p>
    <w:p>
      <w:pPr>
        <w:pStyle w:val="Puce3"/>
        <w:tabs>
          <w:tab w:val="clear" w:pos="720"/>
        </w:tabs>
        <w:rPr/>
      </w:pPr>
      <w:r>
        <w:rPr/>
        <w:t>1.</w:t>
        <w:tab/>
        <w:t>Toteutetaan ja mahdollisuuksien mukaan nopeutetaan vihreää siirtymää muun muassa investoimalla enemmän uusiutuvaan energiaan ulkoisen energiariippuvuuden vähentämiseksi ja tunnustetaan myös paikallis- ja alueviranomaisten rooli vihreässä siirtymässä (keskustelu työryhmässä).</w:t>
      </w:r>
    </w:p>
    <w:p>
      <w:pPr>
        <w:pStyle w:val="Puce3"/>
        <w:tabs>
          <w:tab w:val="clear" w:pos="720"/>
        </w:tabs>
        <w:rPr/>
      </w:pPr>
      <w:r>
        <w:rPr/>
        <w:t>2.</w:t>
        <w:tab/>
        <w:t>Tarkastellaan energiapolitiikan yhteydessä kaikkien kolmansista maista tulevien energiantoimittajien geopoliittisia ja turvallisuuteen liittyviä vaikutuksia erityisesti ihmisoikeuksien, ekologian, hyvän hallintotavan ja oikeusvaltioperiaatteen kannalta (työryhmässä käytävä keskustelu).</w:t>
      </w:r>
    </w:p>
    <w:p>
      <w:pPr>
        <w:pStyle w:val="Puce3"/>
        <w:tabs>
          <w:tab w:val="clear" w:pos="720"/>
        </w:tabs>
        <w:rPr/>
      </w:pPr>
      <w:r>
        <w:rPr/>
        <w:t>3.</w:t>
        <w:tab/>
        <w:t>Vähennetään riippuvuutta öljyn ja kaasun tuonnista energiatehokkuushankkeiden, kohtuuhintaisen julkisen liikenteen tukemisen, suurten nopeuksien tavaraliikenteen rautatieverkon ja puhtaan ja uusiutuvan energian tarjonnan laajentamisen avulla (paneeli 4 – suositus 2, paneeli 1 – suositus 10, FR ja DE).</w:t>
      </w:r>
    </w:p>
    <w:p>
      <w:pPr>
        <w:pStyle w:val="Puce3"/>
        <w:tabs>
          <w:tab w:val="clear" w:pos="720"/>
        </w:tabs>
        <w:rPr/>
      </w:pPr>
      <w:r>
        <w:rPr/>
        <w:t>4.</w:t>
        <w:tab/>
        <w:t>Parannetaan laatua ja yhteenliitettävyyttä, varmistetaan sähköinfrastruktuurin ja -verkkojen ylläpito ja muuntaminen, jotta voidaan parantaa turvallisuutta ja mahdollistaa siirtyminen uusiutuviin energialähteisiin (paneeli 1 – suositus 10, keskustelu työryhmässä).</w:t>
      </w:r>
    </w:p>
    <w:p>
      <w:pPr>
        <w:pStyle w:val="Puce3"/>
        <w:tabs>
          <w:tab w:val="clear" w:pos="720"/>
        </w:tabs>
        <w:rPr/>
      </w:pPr>
      <w:r>
        <w:rPr/>
        <w:t>5.</w:t>
        <w:tab/>
        <w:t>Investoidaan uusiutuvaa energiaa tuottaviin teknologioihin, kuten vihreän vedyn tehokkaaseen tuotantoon, erityisesti aloilla, joita on vaikea sähköistää (paneeli 3 – suositus 31, keskustelu työryhmässä).</w:t>
      </w:r>
    </w:p>
    <w:p>
      <w:pPr>
        <w:pStyle w:val="Puce3"/>
        <w:tabs>
          <w:tab w:val="clear" w:pos="720"/>
        </w:tabs>
        <w:rPr/>
      </w:pPr>
      <w:r>
        <w:rPr/>
        <w:t>6.</w:t>
        <w:tab/>
        <w:t>Investoidaan uusien energialähteiden ja ympäristöystävällisten varastointimenetelmien etsintään ja tehdään konkreettisia ratkaisuja odotettaessa lisäinvestointeja olemassa oleviin optimaalisiin energiantuotanto- ja varastointiratkaisuihin (paneeli 3 – suositukset 9 ja 31).</w:t>
      </w:r>
    </w:p>
    <w:p>
      <w:pPr>
        <w:pStyle w:val="Puce3"/>
        <w:tabs>
          <w:tab w:val="clear" w:pos="720"/>
        </w:tabs>
        <w:rPr/>
      </w:pPr>
      <w:r>
        <w:rPr/>
        <w:t>7.</w:t>
        <w:tab/>
        <w:t>Tehdään hiilidioksidisuodattimista</w:t>
      </w:r>
      <w:r>
        <w:rPr>
          <w:vertAlign w:val="subscript"/>
        </w:rPr>
        <w:t>pakollisia</w:t>
      </w:r>
      <w:r>
        <w:rPr/>
        <w:t xml:space="preserve"> fossiilisia polttoaineita käyttävissä voimalaitoksissa ja tarjotaan taloudellista tukea jäsenvaltioille, joilla ei ole taloudellisia resursseja hiilidioksidisuodattimien toteuttamiseen (</w:t>
      </w:r>
      <w:r>
        <w:rPr>
          <w:vertAlign w:val="subscript"/>
        </w:rPr>
        <w:t>paneeli</w:t>
      </w:r>
      <w:r>
        <w:rPr/>
        <w:t xml:space="preserve"> 3 – suositus 29).</w:t>
      </w:r>
    </w:p>
    <w:p>
      <w:pPr>
        <w:pStyle w:val="Puce3"/>
        <w:tabs>
          <w:tab w:val="clear" w:pos="720"/>
        </w:tabs>
        <w:rPr/>
      </w:pPr>
      <w:r>
        <w:rPr/>
        <w:t>8.</w:t>
        <w:tab/>
        <w:t>Varmistetaan oikeudenmukainen siirtymä, suojellaan työntekijöitä ja työpaikkoja riittävän rahoituksen avulla siirtymää ja lisätutkimusta varten, uudistetaan verojärjestelmää oikeudenmukaisemmalla verotuksella ja veropetosten vastaisilla toimenpiteillä ja varmistetaan osallistava lähestymistapa hallintoon päätöksenteossa kaikilla tasoilla (esim. kunnianhimoiset uudelleenkoulutus- ja täydennyskoulutustoimenpiteet, vahva sosiaalinen suojelu, julkisten palvelujen pitäminen valtion käsissä, työterveyttä ja -turvallisuutta koskevien sääntöjen säilyttäminen) (yleiskeskustelu, keskustelu työryhmässä, NPC).</w:t>
      </w:r>
    </w:p>
    <w:p>
      <w:pPr>
        <w:pStyle w:val="Puce3"/>
        <w:tabs>
          <w:tab w:val="clear" w:pos="720"/>
        </w:tabs>
        <w:rPr/>
      </w:pPr>
      <w:r>
        <w:rPr/>
        <w:t>9.</w:t>
        <w:tab/>
        <w:t>Otetaan käyttöön ilmastoystävällisiä teknologioita ja innovaatioita koskeva investointipaketti, joka olisi rahoitettava ilmastoon liittyvien tuontitullien ja ilmastoon liittyvien hiilimukautusmaksujen avulla (DE:n suositus).</w:t>
      </w:r>
    </w:p>
    <w:p>
      <w:pPr>
        <w:pStyle w:val="Puce3"/>
        <w:tabs>
          <w:tab w:val="clear" w:pos="720"/>
        </w:tabs>
        <w:rPr/>
      </w:pPr>
      <w:r>
        <w:rPr/>
        <w:t>10.</w:t>
        <w:tab/>
        <w:t>Siirtymäkauden päättyessä fossiiliset polttoaineet eivät saisi enää saada tukia eikä perinteiselle kaasuinfrastruktuurille pitäisi myöntää rahoitusta (keskustelu työryhmässä).</w:t>
      </w:r>
    </w:p>
    <w:p>
      <w:pPr>
        <w:pStyle w:val="Puce3"/>
        <w:tabs>
          <w:tab w:val="clear" w:pos="720"/>
        </w:tabs>
        <w:rPr/>
      </w:pPr>
      <w:r>
        <w:rPr/>
        <w:t>11.</w:t>
        <w:tab/>
        <w:t>Lisätään EU:n johtajuutta, roolia ja vastuuta kunnianhimoisten ilmastotoimien ja oikeudenmukaisen siirtymän edistämisessä ja osallistutaan tappioiden ja vahinkojen torjuntaan kansainvälisellä tasolla, jossa YK:n on oltava toiminnan keskiössä (NL:n suositus, työryhmän keskustelu).</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Ehdotus: Ilmastonmuutos, energia, liikenne</w:t>
      </w:r>
    </w:p>
    <w:p>
      <w:pPr>
        <w:pStyle w:val="P68B1DB1Normal15"/>
        <w:rPr>
          <w:b/>
          <w:b/>
        </w:rPr>
      </w:pPr>
      <w:r>
        <w:rPr/>
        <w:t>Tavoite: Tarjota nykyaikaista, turvallista, ekologista ja laadukasta infrastruktuuria, jolla varmistetaan yhteydet, myös maaseutu- ja saarialueilla, muun muassa kohtuuhintaisen julkisen liikenteen avulla.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Toimenpiteet:</w:t>
      </w:r>
    </w:p>
    <w:p>
      <w:pPr>
        <w:pStyle w:val="Puce3"/>
        <w:tabs>
          <w:tab w:val="clear" w:pos="720"/>
        </w:tabs>
        <w:rPr/>
      </w:pPr>
      <w:r>
        <w:rPr/>
        <w:t>1.</w:t>
        <w:tab/>
        <w:t>Tuetaan julkista liikennettä ja kehitetään tehokas, luotettava ja kohtuuhintainen eurooppalainen joukkoliikenneverkko erityisesti maaseutu- ja saarialueilla tarjoamalla lisäkannustimia julkisen liikenteen käyttöön (paneeli 3 – suositus 36, paneeli 4 – suositus 2).</w:t>
      </w:r>
    </w:p>
    <w:p>
      <w:pPr>
        <w:pStyle w:val="Puce3"/>
        <w:tabs>
          <w:tab w:val="clear" w:pos="720"/>
        </w:tabs>
        <w:rPr/>
      </w:pPr>
      <w:r>
        <w:rPr/>
        <w:t>2.</w:t>
        <w:tab/>
        <w:t>Investoidaan suurten nopeuksien yöjuniin ja asetetaan yksi ympäristöystävällisen rautatieteknologian standardi Euroopassa, jotta voidaan tarjota uskottava vaihtoehto ja helpottaa mahdollisuutta korvata ja hillitä lyhyitä lentoja (WG, NPM).</w:t>
      </w:r>
    </w:p>
    <w:p>
      <w:pPr>
        <w:pStyle w:val="Puce3"/>
        <w:tabs>
          <w:tab w:val="clear" w:pos="720"/>
        </w:tabs>
        <w:rPr/>
      </w:pPr>
      <w:r>
        <w:rPr/>
        <w:t>3.</w:t>
        <w:tab/>
        <w:t>Kannustetaan hankkimaan, ottaen huomioon niiden kohtuuhintaisuus kotitalouksille, ja käyttämään (jaetusti) sähköajoneuvoja, jotka täyttävät hyvän akkujen käyttöiän, sekä investointeja tarvittavaan latausinfrastruktuuriin ja investointeja muiden puhtaiden teknologioiden kehittämiseen sellaisten ajoneuvojen osalta, joiden sähköistäminen on vaikeaa (paneeli 3 – suositus 38).</w:t>
      </w:r>
    </w:p>
    <w:p>
      <w:pPr>
        <w:pStyle w:val="Puce3"/>
        <w:tabs>
          <w:tab w:val="clear" w:pos="720"/>
        </w:tabs>
        <w:rPr/>
      </w:pPr>
      <w:r>
        <w:rPr/>
        <w:t>4.</w:t>
        <w:tab/>
        <w:t>Luodaan laajakaistayhteys internetiin ja matkaviestinverkkoon maaseutu- ja saarialueilla (paneeli 3 – suositus 36).</w:t>
      </w:r>
    </w:p>
    <w:p>
      <w:pPr>
        <w:pStyle w:val="Puce3"/>
        <w:tabs>
          <w:tab w:val="clear" w:pos="720"/>
        </w:tabs>
        <w:rPr/>
      </w:pPr>
      <w:r>
        <w:rPr/>
        <w:t>5.</w:t>
        <w:tab/>
        <w:t>Parannetaan olemassa olevaa liikenneinfrastruktuuria ekologisesti (paneeli 3 – suositus 37).</w:t>
      </w:r>
    </w:p>
    <w:p>
      <w:pPr>
        <w:pStyle w:val="Puce3"/>
        <w:tabs>
          <w:tab w:val="clear" w:pos="720"/>
        </w:tabs>
        <w:rPr/>
      </w:pPr>
      <w:r>
        <w:rPr/>
        <w:t>6.</w:t>
        <w:tab/>
        <w:t>Vaaditaan kaupunkikehitysohjelmia, jotka koskevat vähemmän päästöjä aiheuttavia ”vihreämpiä” kaupunkeja, joissa ei ole autoja kaupungeissa, vahingoittamatta kaupallisia alueita (paneeli 3 – suositus 6).</w:t>
      </w:r>
    </w:p>
    <w:p>
      <w:pPr>
        <w:pStyle w:val="Puce3"/>
        <w:tabs>
          <w:tab w:val="clear" w:pos="720"/>
        </w:tabs>
        <w:rPr/>
      </w:pPr>
      <w:r>
        <w:rPr/>
        <w:t>7.</w:t>
        <w:tab/>
        <w:t>Parannetaan polkupyörien infrastruktuuria ja annetaan pyöräilijöille ja jalankulkijoille enemmän oikeuksia ja oikeussuojaa erityisesti moottoriajoneuvoonnettomuuksissa, varmistetaan liikenneturvallisuus ja tarjotaan liikennesääntöjä koskevaa koulutusta (paneeli 3 – suositus 4).</w:t>
      </w:r>
    </w:p>
    <w:p>
      <w:pPr>
        <w:pStyle w:val="Puce3"/>
        <w:tabs>
          <w:tab w:val="clear" w:pos="720"/>
        </w:tabs>
        <w:rPr/>
      </w:pPr>
      <w:r>
        <w:rPr/>
        <w:t>8.</w:t>
        <w:tab/>
        <w:t>Säätele kryptovaluuttojen louhintaa, jotka käyttävät paljon energiaa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Ehdotus: Kestävä kulutus, pakkaaminen ja tuotanto</w:t>
      </w:r>
    </w:p>
    <w:p>
      <w:pPr>
        <w:pStyle w:val="P68B1DB1Normal15"/>
        <w:rPr>
          <w:b/>
          <w:b/>
        </w:rPr>
      </w:pPr>
      <w:r>
        <w:rPr/>
        <w:t>Tavoite: Parannetaan materiaalien käyttöä ja hallintaa unionissa, jotta voidaan edistää kiertotaloutta, lisätä autonomiaa ja vähentää riippuvuutta. Kehitetään kiertotaloutta edistämällä kestävää tuotantoa ja tuotteita unionissa. Varmistettava, että kaikki unionin markkinoille saatettavat tuotteet ovat unionin yhteisten ympäristönormien mukaisia.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Toimenpiteet:</w:t>
      </w:r>
    </w:p>
    <w:p>
      <w:pPr>
        <w:pStyle w:val="Puce3"/>
        <w:tabs>
          <w:tab w:val="clear" w:pos="720"/>
        </w:tabs>
        <w:rPr/>
      </w:pPr>
      <w:r>
        <w:rPr/>
        <w:t>1.</w:t>
        <w:tab/>
        <w:t>Tiukemmat ja yhdenmukaistetut unionin tuotantostandardit ja avoin merkintäjärjestelmä kaikille EU:n markkinoilla myytäville tuotteille niiden kestävyyden, ympäristöjalanjäljen ja pitkäikäisyyden osalta QR-koodin ja ekoscore- tai digitaalisen tuotepassin avulla (paneeli 3 – suositukset 8, 13, 20 ja 21, paneeli 1 – suositus 16, paneeli 4 – suositus 13).</w:t>
      </w:r>
    </w:p>
    <w:p>
      <w:pPr>
        <w:pStyle w:val="Puce3"/>
        <w:tabs>
          <w:tab w:val="clear" w:pos="720"/>
        </w:tabs>
        <w:rPr/>
      </w:pPr>
      <w:r>
        <w:rPr/>
        <w:t>2.</w:t>
        <w:tab/>
        <w:t>Tarkastellaan uudelleen maailmanlaajuisia toimitusketjuja, myös maataloustuotannossa, jotta vähennetään EU:n riippuvuutta ja lyhennyksiä (PNM).</w:t>
      </w:r>
    </w:p>
    <w:p>
      <w:pPr>
        <w:pStyle w:val="Puce3"/>
        <w:tabs>
          <w:tab w:val="clear" w:pos="720"/>
        </w:tabs>
        <w:rPr/>
      </w:pPr>
      <w:r>
        <w:rPr/>
        <w:t>3.</w:t>
        <w:tab/>
        <w:t>Ehkäistään edelleen jätteen syntymistä asettamalla jätteen syntymisen ehkäisemistä ja uudelleenkäyttöä koskevat tavoitteet ja asettamalla jätteiden lajittelujärjestelmien laatuvaatimukset (keskustelu työryhmässä, FR:n suositus).</w:t>
      </w:r>
    </w:p>
    <w:p>
      <w:pPr>
        <w:pStyle w:val="Puce3"/>
        <w:tabs>
          <w:tab w:val="clear" w:pos="720"/>
        </w:tabs>
        <w:rPr/>
      </w:pPr>
      <w:r>
        <w:rPr/>
        <w:t>4.</w:t>
        <w:tab/>
        <w:t>Poistetaan vaiheittain kestämättömät pakkausmuodot, säännellään ympäristöystävällisiä pakkauksia ja vältetään pakkausmateriaalien tuhlaaminen taloudellisilla kannustimilla ja seuraamuksilla sekä investoimalla vaihtoehtoiseen tutkimukseen (paneeli 3 – suositukset 15 ja 25, paneeli 1 – suositus 12, paneeli 4 – suositus 16).</w:t>
      </w:r>
    </w:p>
    <w:p>
      <w:pPr>
        <w:pStyle w:val="Puce3"/>
        <w:tabs>
          <w:tab w:val="clear" w:pos="720"/>
        </w:tabs>
        <w:rPr/>
      </w:pPr>
      <w:r>
        <w:rPr/>
        <w:t>5.</w:t>
        <w:tab/>
        <w:t>Otetaan käyttöön eurooppalainen pakkausten panttijärjestelmä ja kehittyneet standardit kontteja varten (paneeli 3 – suositukset 22 ja 23, NPC).</w:t>
      </w:r>
    </w:p>
    <w:p>
      <w:pPr>
        <w:pStyle w:val="Puce3"/>
        <w:tabs>
          <w:tab w:val="clear" w:pos="720"/>
        </w:tabs>
        <w:rPr/>
      </w:pPr>
      <w:r>
        <w:rPr/>
        <w:t>6.</w:t>
        <w:tab/>
        <w:t>Perustetaan EU:n tietofoorumi siitä, miten varmistetaan tuotteiden kestävä ja pitkäaikainen käyttö ja miten ne ”korjataan”, mukaan lukien kuluttajajärjestöiltä saatavat tiedot (paneeli 3 – suositus 20).</w:t>
      </w:r>
    </w:p>
    <w:p>
      <w:pPr>
        <w:pStyle w:val="Puce3"/>
        <w:tabs>
          <w:tab w:val="clear" w:pos="720"/>
        </w:tabs>
        <w:rPr/>
      </w:pPr>
      <w:r>
        <w:rPr/>
        <w:t>7.</w:t>
        <w:tab/>
        <w:t>Otetaan käyttöön toimenpiteitä varhaisen tai ennenaikaisen vanhenemisen torjumiseksi, mukaan lukien suunniteltu vanheneminen, varmistetaan pidemmät suojatoimet, edistetään korjausoikeutta ja varmistetaan yhteensopivien varaosien saatavuus ja saatavuus (paneeli 3 – suositus 20, FR suositus, suositus DE, paneeli 1 – suositus 14).</w:t>
      </w:r>
    </w:p>
    <w:p>
      <w:pPr>
        <w:pStyle w:val="Puce3"/>
        <w:tabs>
          <w:tab w:val="clear" w:pos="720"/>
        </w:tabs>
        <w:rPr/>
      </w:pPr>
      <w:r>
        <w:rPr/>
        <w:t>8.</w:t>
        <w:tab/>
        <w:t>Luodaan uusioraaka-ainemarkkinat, joissa otetaan huomioon kierrätyssisällön pakolliset määrät, kannustamalla raaka-aineiden käytön vähentämiseen (keskustelu työryhmässä).</w:t>
      </w:r>
    </w:p>
    <w:p>
      <w:pPr>
        <w:pStyle w:val="Puce3"/>
        <w:tabs>
          <w:tab w:val="clear" w:pos="720"/>
        </w:tabs>
        <w:rPr/>
      </w:pPr>
      <w:r>
        <w:rPr/>
        <w:t>9.</w:t>
        <w:tab/>
        <w:t>Kunnianhimoisen tekstiilistrategian nopea täytäntöönpano ja sellaisen mekanismin määrittely, jonka avulla kuluttajat voivat tietää, että tuote täyttää kestävyyskriteerit (paneeli 3 – suositus 28, keskustelu työryhmässä).</w:t>
      </w:r>
    </w:p>
    <w:p>
      <w:pPr>
        <w:pStyle w:val="Puce3"/>
        <w:tabs>
          <w:tab w:val="clear" w:pos="720"/>
        </w:tabs>
        <w:rPr/>
      </w:pPr>
      <w:r>
        <w:rPr/>
        <w:t>10.</w:t>
        <w:tab/>
        <w:t>EU:n toimenpiteet, joilla annetaan kuluttajille mahdollisuus käyttää tuotteita pidempään ja kannustetaan heitä käyttämään niitä (paneeli 3 – suositus 20).</w:t>
      </w:r>
    </w:p>
    <w:p>
      <w:pPr>
        <w:pStyle w:val="Puce3"/>
        <w:tabs>
          <w:tab w:val="clear" w:pos="720"/>
        </w:tabs>
        <w:rPr/>
      </w:pPr>
      <w:r>
        <w:rPr/>
        <w:t>11.</w:t>
        <w:tab/>
        <w:t>Tiukennetaan ympäristönormeja ja pannaan täytäntöön jätteiden vientiä ja kolmansiin maihin koskevat säännökset (paneeli 4 – suositus 15, NPC).</w:t>
      </w:r>
    </w:p>
    <w:p>
      <w:pPr>
        <w:pStyle w:val="Puce3"/>
        <w:tabs>
          <w:tab w:val="clear" w:pos="720"/>
        </w:tabs>
        <w:rPr/>
      </w:pPr>
      <w:r>
        <w:rPr/>
        <w:t>12.</w:t>
        <w:tab/>
        <w:t>Otetaan käyttöön toimenpiteitä, joilla rajoitetaan ympäristölle haitallisten tuotteiden mainontaa ottamalla käyttöön ympäristölle erityisen haitallisia tuotteita koskeva pakollinen vastuuvapauslauseke (paneeli 3 – suositus 22).</w:t>
      </w:r>
    </w:p>
    <w:p>
      <w:pPr>
        <w:pStyle w:val="Puce3"/>
        <w:tabs>
          <w:tab w:val="clear" w:pos="720"/>
        </w:tabs>
        <w:rPr/>
      </w:pPr>
      <w:r>
        <w:rPr/>
        <w:t>13.</w:t>
        <w:tab/>
        <w:t>Sovelletaan tiukempia valmistusstandardeja ja oikeudenmukaisia työoloja koko tuotanto- ja arvoketjussa (paneeli 3 – suositus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Ehdotus: Tiedotus, tietoisuus, vuoropuhelu ja elämäntapa</w:t>
      </w:r>
    </w:p>
    <w:p>
      <w:pPr>
        <w:pStyle w:val="P68B1DB1Normal15"/>
        <w:rPr>
          <w:b/>
          <w:b/>
        </w:rPr>
      </w:pPr>
      <w:r>
        <w:rPr/>
        <w:t>Tavoite: Edistää tietämystä, tietoisuutta, koulutusta ja vuoropuhelua ympäristöstä, ilmastonmuutoksesta, energian käytöstä ja kestävyydestä.</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Toimenpiteet:</w:t>
      </w:r>
    </w:p>
    <w:p>
      <w:pPr>
        <w:pStyle w:val="Puce3"/>
        <w:tabs>
          <w:tab w:val="clear" w:pos="720"/>
        </w:tabs>
        <w:rPr/>
      </w:pPr>
      <w:r>
        <w:rPr/>
        <w:t>1.</w:t>
        <w:tab/>
        <w:t>Luodaan interaktiivinen foorumi, jonka tosiseikat on varmennettu, jotta voidaan tarjota monipuolista ja säännöllisesti päivitettävää tieteellistä tietoa ympäristöalalla (paneeli 3 – suositus 33).</w:t>
      </w:r>
    </w:p>
    <w:p>
      <w:pPr>
        <w:pStyle w:val="Puce3"/>
        <w:tabs>
          <w:tab w:val="clear" w:pos="720"/>
        </w:tabs>
        <w:rPr/>
      </w:pPr>
      <w:r>
        <w:rPr/>
        <w:t>2.</w:t>
        <w:tab/>
        <w:t>Tuetaan ekologisia tiedotuskampanjoita, mukaan lukien kestävää kulutusta ja elämäntapaa koskeva pitkän aikavälin eurooppalainen kampanja (suositukset DE, NL ja FR, paneeli 3 – suositus 7).</w:t>
      </w:r>
    </w:p>
    <w:p>
      <w:pPr>
        <w:pStyle w:val="Puce3"/>
        <w:tabs>
          <w:tab w:val="clear" w:pos="720"/>
        </w:tabs>
        <w:rPr/>
      </w:pPr>
      <w:r>
        <w:rPr/>
        <w:t>3.</w:t>
        <w:tab/>
        <w:t>Kannustetaan ja helpotetaan vuoropuhelua ja kuulemisia kaikkien päätöksentekotasojen välillä, erityisesti nuorten kanssa ja paikallistasolla (DE, NL ja FR, paneeli 3 – suositukset 27 ja 35, täysistuntokeskustelu).</w:t>
      </w:r>
    </w:p>
    <w:p>
      <w:pPr>
        <w:pStyle w:val="Puce3"/>
        <w:tabs>
          <w:tab w:val="clear" w:pos="720"/>
        </w:tabs>
        <w:rPr/>
      </w:pPr>
      <w:r>
        <w:rPr/>
        <w:t>4.</w:t>
        <w:tab/>
        <w:t>Unioni määrittelee jäsenvaltioiden avustuksella yhteisen eurooppalaisen peruskirjan ympäristökysymyksistä ja ympäristötietoisuuden edistämisestä kaikkien kansalaisten keskuudessa (paneeli 3 – suositus 7).</w:t>
      </w:r>
    </w:p>
    <w:p>
      <w:pPr>
        <w:pStyle w:val="Puce3"/>
        <w:tabs>
          <w:tab w:val="clear" w:pos="720"/>
        </w:tabs>
        <w:rPr/>
      </w:pPr>
      <w:r>
        <w:rPr/>
        <w:t>5.</w:t>
        <w:tab/>
        <w:t>Tarjotaan koulutusta ja opetusmateriaalia kaikille, jotta voidaan parantaa tietämystä ilmastosta ja kestävyydestä ja mahdollistaa elinikäinen oppiminen ympäristökysymyksissä (paneeli 1 – suositukset 15 ja 35, paneeli 3 – suositus 24, työryhmän keskustelu).</w:t>
      </w:r>
    </w:p>
    <w:p>
      <w:pPr>
        <w:pStyle w:val="Puce3"/>
        <w:tabs>
          <w:tab w:val="clear" w:pos="720"/>
        </w:tabs>
        <w:rPr/>
      </w:pPr>
      <w:r>
        <w:rPr/>
        <w:t>6.</w:t>
        <w:tab/>
        <w:t>Sisällytetään elintarviketuotanto ja biologisen monimuotoisuuden suojelu koulutusjärjestelmään, mukaan lukien jalostamattomien elintarvikkeiden hyödyt jalostettuihin elintarvikkeisiin nähden, ja kannustetaan perustamaan koulupuutarhoja ja avustuksia kaupunkien puutarhanhoitohankkeisiin ja vertikaaliseen maatalouteen (paneeli 3 – suositus 5, paneeli 1 – suositus 18). Harkitaan biologisen monimuotoisuuden tekemistä pakolliseksi kouluissa ja lisätään yleistä tietoisuutta biologisesta monimuotoisuudesta tiedotusvälineissä ja kilpailuissa, joita edistetään kaikkialla (paikallishallinnon kilpailut) (paneeli 3 – suositus 5, paneeli 1 – suositus 18).</w:t>
      </w:r>
    </w:p>
    <w:p>
      <w:pPr>
        <w:pStyle w:val="Puce3"/>
        <w:tabs>
          <w:tab w:val="clear" w:pos="720"/>
        </w:tabs>
        <w:rPr/>
      </w:pPr>
      <w:r>
        <w:rPr/>
        <w:t>7.</w:t>
        <w:tab/>
        <w:t>Vahvistetaan unionin roolia ja toimintaa ympäristön ja koulutuksen alalla laajentamalla unionin toimivaltaa ilmastonmuutosta ja ympäristöä koskevan koulutuksen alalla ja laajentamalla päätöksenteko määräenemmistöllä ”Euroopan etua” määriteltyihin aiheisiin, kuten ympäristöön (NL:n ja FR:n suositukset).</w:t>
      </w:r>
    </w:p>
    <w:p>
      <w:pPr>
        <w:pStyle w:val="Puce3"/>
        <w:tabs>
          <w:tab w:val="clear" w:pos="720"/>
        </w:tabs>
        <w:rPr/>
      </w:pPr>
      <w:r>
        <w:rPr/>
        <w:t>8.</w:t>
        <w:tab/>
        <w:t>Edistetään kasvinruokavaliota ilmastonsuojelun ja ympäristön säilyttämisen (PNM) vuoksi.</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Kuva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Kuva22" descr=""/>
                    <pic:cNvPicPr>
                      <a:picLocks noChangeAspect="1" noChangeArrowheads="1"/>
                    </pic:cNvPicPr>
                  </pic:nvPicPr>
                  <pic:blipFill>
                    <a:blip r:embed="rId73"/>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w:t>
      </w:r>
      <w:r>
        <w:rPr/>
        <w:t>Terveys”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7.Ehdotus: Terveellinen ruokavalio ja terveellinen elämäntapa </w:t>
      </w:r>
    </w:p>
    <w:p>
      <w:pPr>
        <w:pStyle w:val="P68B1DB1Normal15"/>
        <w:rPr>
          <w:b/>
          <w:b/>
        </w:rPr>
      </w:pPr>
      <w:r>
        <w:rPr/>
        <w:t>Tavoite: Varmistetaan, että kaikilla eurooppalaisilla on mahdollisuus saada terveellistä ruokavaliota koskevaa koulutusta sekä terveellisten ja kohtuuhintaisten elintarvikkeiden saatavuutta terveellisen elämäntavan perustaksi, erityisesti seuraavin toimenpitein: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Toimenpiteet</w:t>
      </w:r>
      <w:r>
        <w:rPr>
          <w:rStyle w:val="Ancredenotedefin"/>
          <w:rStyle w:val="Ancredenotedefin"/>
        </w:rPr>
        <w:endnoteReference w:id="2"/>
      </w:r>
      <w:r>
        <w:rPr/>
        <w:t>:</w:t>
      </w:r>
    </w:p>
    <w:p>
      <w:pPr>
        <w:pStyle w:val="Puce3"/>
        <w:tabs>
          <w:tab w:val="clear" w:pos="720"/>
        </w:tabs>
        <w:rPr/>
      </w:pPr>
      <w:r>
        <w:rPr/>
        <w:t>1.</w:t>
        <w:tab/>
        <w:t>Vahvistetaan elintarvikkeiden laatua ja jäljitettävyyttä koskevat vähimmäisvaatimukset erityisesti rajoittamalla antibioottien ja muiden eläinlääkkeiden käyttö siihen, mikä on ehdottoman välttämätöntä eläinten terveyden ja hyvinvoinnin suojelemiseksi sen sijaan, että niitä käytettäisiin ennaltaehkäisevästi, ja varmistetaan valvonnan tehostaminen tältä osin. [#23, #17]</w:t>
      </w:r>
    </w:p>
    <w:p>
      <w:pPr>
        <w:pStyle w:val="Puce3"/>
        <w:tabs>
          <w:tab w:val="clear" w:pos="720"/>
        </w:tabs>
        <w:rPr/>
      </w:pPr>
      <w:r>
        <w:rPr/>
        <w:t>2.</w:t>
        <w:tab/>
        <w:t>Valistetaan kansalaisia terveellisistä tavoista omaksua jo varhaisesta iästä lähtien ja kannustetaan heitä tekemään turvallisia ja terveellisiä valintoja verottamalla jalostettuja elintarvikkeita, jotka eivät ole, ja antamalla elintarvikkeita koskevaa terveystietoa helposti saataville; tätä varten perustetaan jalostettuja elintarvikkeita koskeva Euroopan laajuinen arviointijärjestelmä, joka perustuu tieteelliseen ja riippumattomaan asiantuntemukseen, sekä hormonaalisten aineiden ja hormonaalisten haitta-aineiden käyttöä elintarviketuotannossa koskeva merkintä, ja tässä yhteydessä vahvistetaan nykyisten sääntöjen seurantaa ja täytäntöönpanoa ja harkitaan niiden vahvistamista. [#18, #19, GT]</w:t>
      </w:r>
    </w:p>
    <w:p>
      <w:pPr>
        <w:pStyle w:val="Puce3"/>
        <w:tabs>
          <w:tab w:val="clear" w:pos="720"/>
        </w:tabs>
        <w:rPr/>
      </w:pPr>
      <w:r>
        <w:rPr/>
        <w:t>3.</w:t>
        <w:tab/>
        <w:t>Kannustetaan vuoropuhelua elintarvikeketjun toimijoiden kanssa tuotannosta myyntiin osana yritysten yhteiskuntavastuuta terveellisistä elintarvikkeista. [#19, GT]</w:t>
      </w:r>
    </w:p>
    <w:p>
      <w:pPr>
        <w:pStyle w:val="Puce3"/>
        <w:tabs>
          <w:tab w:val="clear" w:pos="720"/>
        </w:tabs>
        <w:rPr/>
      </w:pPr>
      <w:r>
        <w:rPr/>
        <w:t>4.</w:t>
        <w:tab/>
        <w:t>Tuetaan unionin tasolla terveellisten, monipuolisten ja kohtuuhintaisten elintarvikkeiden tarjoamista julkisen palvelun laitoksissa, kuten kouluruokaloissa, sairaaloissa tai terveydenhuoltolaitoksissa, myös erityisrahoituksen avulla. [#3, täysistunto, työryhmä]</w:t>
      </w:r>
    </w:p>
    <w:p>
      <w:pPr>
        <w:pStyle w:val="Puce3"/>
        <w:tabs>
          <w:tab w:val="clear" w:pos="720"/>
        </w:tabs>
        <w:rPr/>
      </w:pPr>
      <w:r>
        <w:rPr/>
        <w:t>5.</w:t>
        <w:tab/>
        <w:t>Investoidaan tutkimukseen antibioottien käytön vaikutuksista sekä hormonaalisten aineiden ja hormonaalisten haitta-aineiden vaikutuksista ihmisten terveyteen.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Ehdotus: Terveydenhuoltojärjestelmän vahvistaminen</w:t>
      </w:r>
    </w:p>
    <w:p>
      <w:pPr>
        <w:pStyle w:val="P68B1DB1Normal15"/>
        <w:rPr>
          <w:b/>
          <w:b/>
        </w:rPr>
      </w:pPr>
      <w:r>
        <w:rPr/>
        <w:t>Tavoite: Terveydenhuoltojärjestelmiemme häiriönsietokyvyn ja laadun vahvistaminen muun muassa seuraavin keinoin: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Toimenpiteet</w:t>
      </w:r>
      <w:r>
        <w:rPr>
          <w:rStyle w:val="Ancredenotedefin"/>
          <w:rStyle w:val="Ancredenotedefin"/>
        </w:rPr>
        <w:endnoteReference w:id="4"/>
      </w:r>
      <w:r>
        <w:rPr/>
        <w:t>:</w:t>
      </w:r>
    </w:p>
    <w:p>
      <w:pPr>
        <w:pStyle w:val="Puce3"/>
        <w:tabs>
          <w:tab w:val="clear" w:pos="720"/>
        </w:tabs>
        <w:rPr/>
      </w:pPr>
      <w:r>
        <w:rPr/>
        <w:t>1.</w:t>
        <w:tab/>
        <w:t>Sellaisen eurooppalaisen terveystietoalueen perustaminen, joka helpottaisi terveystietojen vaihtoa; henkilökohtaiset potilastiedot voitaisiin asettaa saataville – vapaaehtoisesti – käyttäen EU:n henkilökohtaista sähköistä terveyspassia tietosuojasääntöjen mukaisesti. [#41, GT]</w:t>
      </w:r>
    </w:p>
    <w:p>
      <w:pPr>
        <w:pStyle w:val="Puce3"/>
        <w:tabs>
          <w:tab w:val="clear" w:pos="720"/>
        </w:tabs>
        <w:rPr/>
      </w:pPr>
      <w:r>
        <w:rPr/>
        <w:t>2.</w:t>
        <w:tab/>
        <w:t>Asianmukaiset työolot, erityisesti vahva työmarkkinaosapuolten vuoropuhelu, mukaan lukien palkat ja työjärjestelyt, sekä terveydenhuollon ammattilaisten koulutus- ja sertifiointistandardien yhdenmukaistaminen; olisi kehitettävä verkostoitumis- ja vaihto-ohjelmia, kuten lääketieteellisten oppilaitosten Erasmus-ohjelma, joka edistäisi merkittävästi taitojen kehittämistä. Jotta lahjakkuuksia voitaisiin säilyttää Euroopassa ja jotta nuoret ammattilaiset voisivat laajentaa tietämystään ja hankkia ammattikokemusta, olisi otettava käyttöön EU:n vaihto-ohjelmia sen varmistamiseksi, että parhaat biotieteelliset aivomme eivät houkuttele kolmansia maita. [#39, GT]</w:t>
      </w:r>
    </w:p>
    <w:p>
      <w:pPr>
        <w:pStyle w:val="Puce3"/>
        <w:tabs>
          <w:tab w:val="clear" w:pos="720"/>
        </w:tabs>
        <w:rPr/>
      </w:pPr>
      <w:r>
        <w:rPr/>
        <w:t>3.</w:t>
        <w:tab/>
        <w:t>Varmistetaan strateginen riippumattomuus unionin tasolla, jotta vältetään riippuvuus kolmansista maista [NL2]</w:t>
      </w:r>
      <w:r>
        <w:rPr>
          <w:rStyle w:val="Ancredenotedefin"/>
          <w:rStyle w:val="Ancredenotedefin"/>
        </w:rPr>
        <w:endnoteReference w:id="5"/>
      </w:r>
      <w:r>
        <w:rPr/>
        <w:t xml:space="preserve"> lääkkeiden (erityisesti vaikuttavien aineiden) ja lääkinnällisten laitteiden (myös raaka-aineiden) osalta; unionin tasolla olisi erityisesti laadittava luettelo olennaisista ja ensisijaisista lääkkeistä ja hoidoista, mutta myös innovatiivisista lääkkeistä ja hoidoista (kuten bioteknologisista ratkaisuista), jotka perustuvat olemassa oleviin eurooppalaisiin virastoihin ja HERAan, jotta voidaan varmistaa, että ne ovat kansalaisten saatavilla. Harkittava koordinoidun strategisen varastoinnin järjestämistä koko unionissa. Tarvittavien koordinoitujen ja pitkän aikavälin toimien toteuttamiseksi unionin tasolla terveys ja terveydenhuolto sisällytetään unionin ja sen jäsenvaltioiden jaettuun toimivaltaan muuttamalla Euroopan unionin toiminnasta tehdyn sopimuksen 4 artiklaa. [#40, #49, täysistunto, työryhmä]</w:t>
      </w:r>
    </w:p>
    <w:p>
      <w:pPr>
        <w:pStyle w:val="Puce3"/>
        <w:tabs>
          <w:tab w:val="clear" w:pos="720"/>
        </w:tabs>
        <w:rPr/>
      </w:pPr>
      <w:r>
        <w:rPr/>
        <w:t>4.</w:t>
        <w:tab/>
        <w:t>Jatkamaan nykyisten terveysalan tutkimus- ja innovointiohjelmien kehittämistä, koordinointia ja rahoitusta vaarantamatta muita terveyteen liittyviä ohjelmia, erityisesti eurooppalaisten osaamisverkostojen osalta, koska ne muodostavat perustan pitkälle erikoistuneiden ja monimutkaisten hoitojen terveydenhuoltoverkostojen kehittämiselle. [#42, #43, GT]</w:t>
      </w:r>
    </w:p>
    <w:p>
      <w:pPr>
        <w:pStyle w:val="Puce3"/>
        <w:tabs>
          <w:tab w:val="clear" w:pos="720"/>
        </w:tabs>
        <w:rPr/>
      </w:pPr>
      <w:r>
        <w:rPr/>
        <w:t>5.</w:t>
        <w:tab/>
        <w:t>Investoidaan terveydenhuoltojärjestelmiin, erityisesti julkiseen ja voittoa tavoittelemattomaan alaan, infrastruktuuriin ja digitaaliseen terveydenhuoltoon, ja varmistetaan, että terveydenhuollon tarjoajat noudattavat palvelujen täyden saatavuuden, kohtuuhintaisuuden ja laadun periaatteita. Näin varmistetaan, että terveydenhuollon ammattilaiset eivät tuhlaa resurssejaan, jotka eivät juurikaan ole huolissaan yleisestä edusta. [#51, GT]</w:t>
      </w:r>
    </w:p>
    <w:p>
      <w:pPr>
        <w:pStyle w:val="Puce3"/>
        <w:tabs>
          <w:tab w:val="clear" w:pos="720"/>
        </w:tabs>
        <w:rPr/>
      </w:pPr>
      <w:r>
        <w:rPr/>
        <w:t>6.</w:t>
        <w:tab/>
        <w:t>Antaa jäsenvaltioille tiukkoja suosituksia investoida tehokkaisiin, helposti saatavilla oleviin, kohtuuhintaisiin, laadukkaisiin ja häiriönsietokykyisiin terveydenhuoltojärjestelmiin, myös talouspolitiikan eurooppalaisen ohjausjakson yhteydessä. Ukrainan sodan vaikutus kansanterveyteen osoittaa, että selviytymiskykyisiä terveydenhuoltojärjestelmiä ja solidaarisuusmekanismeja on kehitettävä edelleen.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Ehdotus: Laajempi näkemys terveydestä</w:t>
      </w:r>
    </w:p>
    <w:p>
      <w:pPr>
        <w:pStyle w:val="P68B1DB1Normal15"/>
        <w:rPr>
          <w:b/>
          <w:b/>
        </w:rPr>
      </w:pPr>
      <w:r>
        <w:rPr/>
        <w:t>Tavoite: Omaksuttava kokonaisvaltainen lähestymistapa terveyteen puuttumalla sairauksien ja hoitojen, terveyskulttuurin ja ennaltaehkäisyn lisäksi ja edistämällä yhteistä ymmärrystä sairaiden tai vammaisten kohtaamista ongelmista noudattaen yhteistä terveyttä koskevaa lähestymistapaa, jota olisi korostettava monialaisena ja perusperiaatteena, joka kattaa kaikki unionin politiikat.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Toimenpiteet</w:t>
      </w:r>
      <w:r>
        <w:rPr>
          <w:rStyle w:val="Ancredenotedefin"/>
          <w:rStyle w:val="Ancredenotedefin"/>
        </w:rPr>
        <w:endnoteReference w:id="6"/>
      </w:r>
      <w:r>
        <w:rPr/>
        <w:t>:</w:t>
      </w:r>
    </w:p>
    <w:p>
      <w:pPr>
        <w:pStyle w:val="Puce3"/>
        <w:tabs>
          <w:tab w:val="clear" w:pos="720"/>
        </w:tabs>
        <w:rPr/>
      </w:pPr>
      <w:r>
        <w:rPr/>
        <w:t>1.</w:t>
        <w:tab/>
        <w:t>Parannetaan ymmärrystä mielenterveyteen liittyvistä kysymyksistä ja siitä, miten niihin, myös varhaislapsuuteen ja varhaiseen diagnosointiin, voidaan puuttua kaikkialla unionissa vahvistettujen hyvien käytäntöjen pohjalta, joiden olisi oltava helposti saatavilla kansanterveysalan hyvien käytänteiden portaalin kautta. Tietoisuuden lisäämiseksi unionin toimielinten ja asiaankuuluvien sidosryhmien olisi järjestettävä tapahtumia parhaiden käytäntöjen vaihtamiseksi ja autettava jäseniään levittämään niitä omassa vaalipiirissään. Olisi laadittava mielenterveyttä koskeva EU:n toimintasuunnitelma, joka tarjoaisi mielenterveyttä koskevan pitkän aikavälin strategian, johon kuuluu myös tutkimus, ja jossa käsiteltäisiin myös ammattilaisten, myös alaikäisten, saatavuutta sekä eurooppalaisen mielenterveyden teemavuoden perustamista lähitulevaisuudessa.</w:t>
      </w:r>
    </w:p>
    <w:p>
      <w:pPr>
        <w:pStyle w:val="Puce3"/>
        <w:tabs>
          <w:tab w:val="clear" w:pos="720"/>
        </w:tabs>
        <w:rPr/>
      </w:pPr>
      <w:r>
        <w:rPr/>
        <w:t>2.</w:t>
        <w:tab/>
        <w:t>Kehitetään EU:n tasolla terveellisiä elämäntapoja koskeva vakiokoulutusohjelma, joka kattaa myös sukupuolikasvatuksen. Ohjelmaan olisi myös sisällyttävä toimia, joilla pyritään sekä terveellisiin elintapoihin että ympäristön suojeluun ja siihen, miten ne voivat auttaa ehkäisemään monia sairauksia, kuten pyöräilyä terveellisenä päivittäisenä matkustusvälineenä. Se olisi saatavilla maksutta jäsenvaltioille ja kouluille, jotka voisivat tarvittaessa käyttää sitä ohjelmissaan. Tällainen ohjelma käsittelee stereotypioita ihmisistä, jotka ovat sairaita tai vammaisia. [#46, GT]</w:t>
      </w:r>
    </w:p>
    <w:p>
      <w:pPr>
        <w:pStyle w:val="Puce3"/>
        <w:tabs>
          <w:tab w:val="clear" w:pos="720"/>
        </w:tabs>
        <w:rPr/>
      </w:pPr>
      <w:r>
        <w:rPr/>
        <w:t>3.</w:t>
        <w:tab/>
        <w:t>Kehitetään käytännön ensiapukoulutusta, jota tarjotaan maksutta kaikille kansalaisille, ja harkitaan mahdollisuutta järjestää säännöllisiä kursseja sekä opiskelijoille että työpaikoilla yleiseksi käytännöksi. Kaikissa jäsenvaltioissa olisi oltava käytettävissä vähimmäismäärä defibrillaattoreita myös julkisilla paikoilla. [#50]</w:t>
      </w:r>
    </w:p>
    <w:p>
      <w:pPr>
        <w:pStyle w:val="Puce3"/>
        <w:tabs>
          <w:tab w:val="clear" w:pos="720"/>
        </w:tabs>
        <w:rPr/>
      </w:pPr>
      <w:r>
        <w:rPr/>
        <w:t>4.</w:t>
        <w:tab/>
        <w:t>Laajennetaan terveysviikkoa koskevaa aloitetta, joka toteutetaan kaikkialla unionissa samalla viikolla ja jonka aikana olisi käsiteltävä kaikkia terveyskysymyksiä ja keskusteltava niistä. Harkitse myös terveysvuoden aloitteita, alkaen mielenterveyden teemavuodesta. [#44, GT]</w:t>
      </w:r>
    </w:p>
    <w:p>
      <w:pPr>
        <w:pStyle w:val="Puce3"/>
        <w:tabs>
          <w:tab w:val="clear" w:pos="720"/>
        </w:tabs>
        <w:rPr/>
      </w:pPr>
      <w:r>
        <w:rPr/>
        <w:t>5.</w:t>
        <w:tab/>
        <w:t>Tunnista säännöllinen lääketieteellinen hoito verotukseen hormonaaliset ehkäisyvalmisteet, joita käytetään lääketieteellisistä syistä, esimerkiksi fibromyalgian ja endometrioosin tapauksissa, sekä naiselliset hygieeniset tuotteet. Varmistetaan lisääntymishoitojen saatavuus kaikille ihmisille, joilla on hedelmällisyysongelmia.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Ehdotus: Terveydenhuollon yhdenvertainen saatavuus kaikille</w:t>
      </w:r>
    </w:p>
    <w:p>
      <w:pPr>
        <w:pStyle w:val="Normal"/>
        <w:rPr/>
      </w:pPr>
      <w:r>
        <w:rPr/>
        <w:t>Tavoite: Luodaan ”oikeus terveyteen” takaamalla kaikille eurooppalaisille yhtäläinen ja yleinen mahdollisuus saada kohtuuhintaista, ennaltaehkäisevää, parantavaa ja laadukasta terveydenhuoltoa.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7"/>
      </w:r>
      <w:r>
        <w:rPr/>
        <w:t>:</w:t>
      </w:r>
    </w:p>
    <w:p>
      <w:pPr>
        <w:pStyle w:val="Puce3"/>
        <w:tabs>
          <w:tab w:val="clear" w:pos="720"/>
        </w:tabs>
        <w:rPr/>
      </w:pPr>
      <w:r>
        <w:rPr/>
        <w:t>1.</w:t>
        <w:tab/>
        <w:t>Vahvistaa unionin tasolla yhteiset terveyttä koskevat vähimmäisvaatimukset, jotka kattavat myös hoidon ennaltaehkäisyn ja saatavuuden sekä hoidon läheisyyden, ja tukea tällaisten standardien laatimista. [#39, GT]</w:t>
      </w:r>
    </w:p>
    <w:p>
      <w:pPr>
        <w:pStyle w:val="Puce3"/>
        <w:tabs>
          <w:tab w:val="clear" w:pos="720"/>
        </w:tabs>
        <w:rPr/>
      </w:pPr>
      <w:r>
        <w:rPr/>
        <w:t>2.</w:t>
        <w:tab/>
        <w:t>Tunnustavat tarpeen ottaa täysimääräisesti huomioon toissijaisuusperiaate sekä paikallisten, alueellisten ja kansallisten terveysalan toimijoiden keskeinen rooli [NL3] sen varmistamiseksi, että unionin tasolla voidaan toteuttaa toimia, kun oikeus terveyteen otetaan paremmin huomioon. Mahdollistaa nopeamman ja tiukemman päätöksenteon keskeisissä kysymyksissä ja parantaa eurooppalaisen hallintotavan tehokkuutta Euroopan terveysunionin kehittämisessä (esim. pandemia tai harvinaiset sairaudet). [#49, FRsouhait11, digitaalinen alusta]</w:t>
      </w:r>
    </w:p>
    <w:p>
      <w:pPr>
        <w:pStyle w:val="Puce3"/>
        <w:tabs>
          <w:tab w:val="clear" w:pos="720"/>
        </w:tabs>
        <w:rPr/>
      </w:pPr>
      <w:r>
        <w:rPr/>
        <w:t>3.</w:t>
        <w:tab/>
        <w:t>Vahvistaa Euroopan terveysunionia hyödyntämällä nykyisen kehyksen koko potentiaali ja sisällyttää terveys ja terveydenhuolto unionin ja sen jäsenvaltioiden jaettuun toimivaltaan muuttamalla SEUT-sopimuksen 4 artiklaa. [#49, FRsouhait11, digitaalinen alusta, GT]</w:t>
      </w:r>
      <w:r>
        <w:rPr>
          <w:rStyle w:val="Ancredenotedefin"/>
          <w:rStyle w:val="Ancredenotedefin"/>
        </w:rPr>
        <w:endnoteReference w:id="8"/>
      </w:r>
      <w:r>
        <w:rPr/>
        <w:t>.</w:t>
      </w:r>
    </w:p>
    <w:p>
      <w:pPr>
        <w:pStyle w:val="Puce3"/>
        <w:tabs>
          <w:tab w:val="clear" w:pos="720"/>
        </w:tabs>
        <w:rPr/>
      </w:pPr>
      <w:r>
        <w:rPr/>
        <w:t>4.</w:t>
        <w:tab/>
        <w:t>Varmistettava, että kuka tahansa voi saada jo olemassa olevia hoitoja ensimmäisessä EU-maassa, jossa niitä on saatavilla; tätä varten on parannettava rajatylittävää yhteistyötä erityisesti harvinaisten sairauksien, syövän, sydän- ja verisuonitautien ja pitkälle erikoistuneiden hoitojen, kuten elinsiirtojen ja vakavien palovammojen hoidon osalta. Kaikille elinsiirtoja ja elinluovutuksia tarvitseville eurooppalaisille potilaille olisi perustettava elinsiirtojen ja luovutusten eurooppalainen verkosto. [täysistunto ja GT]</w:t>
      </w:r>
    </w:p>
    <w:p>
      <w:pPr>
        <w:pStyle w:val="Puce3"/>
        <w:tabs>
          <w:tab w:val="clear" w:pos="720"/>
        </w:tabs>
        <w:rPr/>
      </w:pPr>
      <w:r>
        <w:rPr/>
        <w:t>5.</w:t>
        <w:tab/>
        <w:t>Varmistetaan kohtuuhintainen hoito lisäämällä investointeja terveydenhuoltoon, erityisesti hammashoitoon, ennaltaehkäisy mukaan luettuna, ja varmistetaan, että kohtuuhintainen hammashoito on kaikkien saatavilla 15–20 vuoden kuluessa. [#48, GT]</w:t>
      </w:r>
    </w:p>
    <w:p>
      <w:pPr>
        <w:pStyle w:val="Puce3"/>
        <w:tabs>
          <w:tab w:val="clear" w:pos="720"/>
        </w:tabs>
        <w:rPr/>
      </w:pPr>
      <w:r>
        <w:rPr/>
        <w:t>6.</w:t>
        <w:tab/>
        <w:t>Varmistetaan, että hoidot ja lääkkeet ovat yhtä laadukkaita ja että niillä on oikeudenmukaiset paikalliset kustannukset, myös puuttumalla sisämarkkinoiden nykyiseen hajanaisuuteen. [#40, NL3, työryhmä, täysistunto]</w:t>
      </w:r>
    </w:p>
    <w:p>
      <w:pPr>
        <w:pStyle w:val="Puce3"/>
        <w:tabs>
          <w:tab w:val="clear" w:pos="720"/>
        </w:tabs>
        <w:rPr/>
      </w:pPr>
      <w:r>
        <w:rPr/>
        <w:t>7.</w:t>
        <w:tab/>
        <w:t>Torjutaan terveydellistä epävarmuutta edistämällä ilmaisen hammashoidon tarjoamista lapsille, pienituloisille ja muille haavoittuvassa asemassa oleville ryhmille, kuten vammaisille henkilöille. Tutki myös huonojen asuntojen terveysvaikutuksia. [#48, GT]</w:t>
      </w:r>
    </w:p>
    <w:p>
      <w:pPr>
        <w:pStyle w:val="Puce3"/>
        <w:tabs>
          <w:tab w:val="clear" w:pos="720"/>
        </w:tabs>
        <w:rPr/>
      </w:pPr>
      <w:r>
        <w:rPr/>
        <w:t>8.</w:t>
        <w:tab/>
        <w:t>Otetaan huomioon terveyden kansainvälinen ulottuvuus ja tunnustetaan, että lääkkeiden olisi oltava yleisesti saatavilla myös köyhimmissä maissa.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Kuva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Kuva23" descr=""/>
                    <pic:cNvPicPr>
                      <a:picLocks noChangeAspect="1" noChangeArrowheads="1"/>
                    </pic:cNvPicPr>
                  </pic:nvPicPr>
                  <pic:blipFill>
                    <a:blip r:embed="rId74"/>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Vahvempi talous, sosiaalinen oikeudenmukaisuus ja työllisyys</w:t>
      </w:r>
    </w:p>
    <w:p>
      <w:pPr>
        <w:pStyle w:val="P68B1DB1Normal15"/>
        <w:rPr>
          <w:b/>
          <w:b/>
        </w:rPr>
      </w:pPr>
      <w:r>
        <w:rPr/>
        <w:t>Esittely</w:t>
      </w:r>
    </w:p>
    <w:p>
      <w:pPr>
        <w:pStyle w:val="Normal"/>
        <w:rPr/>
      </w:pPr>
      <w:r>
        <w:rPr/>
        <w:t>Elämme poikkeuksellisissa olosuhteissa, ja Euroopan unionia arvioidaan sen pyrkiessä selviytymään voimakkaammin nykyisistä kriiseistä kestävämmän, osallistavamman, kilpailukykyisemmän ja kestävämmän kasvumallin avulla. Venäjän hyökkäys Ukrainaan ja covid-19-pandemia ovat muuttaneet EU:n kasvoja. Konferenssissa on myös käsiteltävä tämän sodan sosiaalisia ja taloudellisia seurauksia jo ennestään hyvin vaikeassa pandemian jälkeisessä tilanteessa. Samalla ilmastonmuutos on edelleen uhka ihmiskunnalle ja sillä on dramaattinen vaikutus talouteen ja yhteiskuntiimme. Saaduista suosituksista käy selvästi ilmi, että kansalaiset vaativat vahvempia EU:n toimia. Ratkaisemattomat valtioiden rajat ylittävät haasteet, kuten eriarvoisuus, kilpailukyky, terveys, ilmastonmuutos, muuttoliike, digitalisaatio ja oikeudenmukainen verotus, edellyttävät asianmukaisia eurooppalaisia ratkaisuja. Suosituksista ja keskusteluista käy myös selvästi ilmi, että tarvitsemme kattavan strategian Euroopan kansalaisten hyvinvoinnin lisäämiseksi heidän elämänsä eri osa-alueilla. Eräät tämän strategian osatekijät sisältyvät nykyisiin politiikkoihin, ja ne voidaan saavuttaa hyödyntämällä täysimääräisesti olemassa olevaa EU:n ja kansallisen tason institutionaalista kehystä. toiset edellyttävät uusia politiikkoja ja joissakin tapauksissa perussopimusten muuttamista. Uudet politiikat ja sopimusmuutokset on kuitenkin nähtävä keinona parantaa hyvinvointia eikä itsetarkoituksena. On sekä mahdollista että välttämätöntä määritellä unioni uudelleen, jotta voidaan taata sen strateginen riippumattomuus, kestävä kasvu, elin- ja työolojen parantaminen ja inhimillinen edistys ilman, että planeettamme resursseja käytetään loppuun tai tuhotaan uudistetun yhteiskuntasopimuksen mukaisesti. Näillä suosituksilla pyritään saavuttamaan nämä tavoitteet. Jäljempänä esitetyt ehdotukset olisi luettava ottaen huomioon, että kansalaiset eri puolilla Eurooppaa ovat esittäneet erilaisia näkemyksiä ja suosituksia. Tämä näkemysten moninaisuus on yksi Euroopan verrattomista vahvuuksista.</w:t>
      </w:r>
    </w:p>
    <w:p>
      <w:pPr>
        <w:pStyle w:val="Normal"/>
        <w:rPr/>
      </w:pPr>
      <w:r>
        <w:rPr/>
      </w:r>
      <w:r>
        <w:br w:type="page"/>
      </w:r>
    </w:p>
    <w:p>
      <w:pPr>
        <w:pStyle w:val="Titre3"/>
        <w:numPr>
          <w:ilvl w:val="2"/>
          <w:numId w:val="2"/>
        </w:numPr>
        <w:rPr/>
      </w:pPr>
      <w:bookmarkStart w:id="58" w:name="__RefHeading___Toc298290_1346298689"/>
      <w:bookmarkEnd w:id="58"/>
      <w:r>
        <w:rPr/>
        <w:t>11. Ehdotus: Kestävä kasvu ja innovointi</w:t>
      </w:r>
    </w:p>
    <w:p>
      <w:pPr>
        <w:pStyle w:val="P68B1DB1Normal15"/>
        <w:rPr>
          <w:b/>
          <w:b/>
        </w:rPr>
      </w:pPr>
      <w:r>
        <w:rPr/>
        <w:t>Tavoite: Ehdotamme, että EU tukee siirtymistä kestävään ja selviytymiskykyiseen kasvumalliin ottaen huomioon vihreän ja digitaalisen siirtymän, jolla on vahva sosiaalinen ulottuvuus talouspolitiikan eurooppalaisessa ohjausjaksossa ja joka lisää kansalaisten, ammattiliittojen ja yritysten vaikutusmahdollisuuksia. Tavanomaisia makrotaloudellisia indikaattoreita ja BKT:tä voitaisiin täydentää uusilla indikaattoreilla, joilla voidaan vastata uusiin EU:n painopisteisiin, kuten Euroopan vihreän kehityksen ohjelmaan tai Euroopan sosiaalisten oikeuksien pilariin, ja ottaa paremmin huomioon vihreä ja digitaalinen siirtymä ja ihmisten hyvinvointi. Tämä voitaisiin saavuttaa seuraavilla toimenpiteillä: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9"/>
      </w:r>
      <w:r>
        <w:rPr/>
        <w:t>:</w:t>
      </w:r>
    </w:p>
    <w:p>
      <w:pPr>
        <w:pStyle w:val="Puce3"/>
        <w:rPr/>
      </w:pPr>
      <w:r>
        <w:rPr/>
        <w:t>1.</w:t>
        <w:tab/>
        <w:t>Edistetään yritysten ympäristöystävällisempiä tuotantoprosesseja, autetaan yrityksiä löytämään parhaat ratkaisut ja tarjotaan myönteisiä ja kielteisiä kannustimia. (PCE 11 ja 12) sekä paikallisen tuotannon ja kulutuksen lisääminen (keskustelut).</w:t>
      </w:r>
    </w:p>
    <w:p>
      <w:pPr>
        <w:pStyle w:val="Puce3"/>
        <w:tabs>
          <w:tab w:val="clear" w:pos="720"/>
        </w:tabs>
        <w:rPr/>
      </w:pPr>
      <w:r>
        <w:rPr/>
        <w:t>2.</w:t>
        <w:tab/>
        <w:t>Kohti kestävämpää kiertotaloutta puuttumalla suunniteltuun vanhenemiseen ja takaamalla oikeus korvaukseen (PCE 14).</w:t>
      </w:r>
    </w:p>
    <w:p>
      <w:pPr>
        <w:pStyle w:val="Puce3"/>
        <w:tabs>
          <w:tab w:val="clear" w:pos="720"/>
        </w:tabs>
        <w:rPr/>
      </w:pPr>
      <w:r>
        <w:rPr/>
        <w:t>3.</w:t>
        <w:tab/>
        <w:t>Tarkastellaan unionin talouden ohjausjärjestelmää ja eurooppalaista ohjausjaksoa sen varmistamiseksi, että vihreä siirtymä ja digitaalinen siirtymä, sosiaalinen oikeudenmukaisuus ja sosiaalinen edistys kulkevat käsi kädessä taloudellisen kilpailukyvyn kanssa unohtamatta talouspolitiikan eurooppalaisen ohjausjakson taloudellista ja budjettiluonnetta. Lisäksi työmarkkinaosapuolet ja paikallis- ja alueviranomaiset on otettava paremmin mukaan talouspolitiikan eurooppalaisen ohjausjakson täytäntöönpanoon, jotta voidaan parantaa sen soveltamista ja vastuuvelvollisuutta (sähköinen alusta, keskustelut).</w:t>
      </w:r>
    </w:p>
    <w:p>
      <w:pPr>
        <w:pStyle w:val="Puce3"/>
        <w:tabs>
          <w:tab w:val="clear" w:pos="720"/>
        </w:tabs>
        <w:rPr/>
      </w:pPr>
      <w:r>
        <w:rPr/>
        <w:t>4.</w:t>
        <w:tab/>
        <w:t>Torjutaan kertakäyttöisten muovipakkausten/pakkausten käyttöä (PCE 12).</w:t>
      </w:r>
    </w:p>
    <w:p>
      <w:pPr>
        <w:pStyle w:val="Puce3"/>
        <w:tabs>
          <w:tab w:val="clear" w:pos="720"/>
        </w:tabs>
        <w:rPr/>
      </w:pPr>
      <w:r>
        <w:rPr/>
        <w:t>5.</w:t>
        <w:tab/>
        <w:t>Laajennetaan eurooppalaisen teknologian käyttöä ja tehdään siitä toteuttamiskelpoinen vaihtoehto ulkomaiselle teknologialle (keskustelut).</w:t>
      </w:r>
    </w:p>
    <w:p>
      <w:pPr>
        <w:pStyle w:val="Puce3"/>
        <w:tabs>
          <w:tab w:val="clear" w:pos="720"/>
        </w:tabs>
        <w:rPr/>
      </w:pPr>
      <w:r>
        <w:rPr/>
        <w:t>6.</w:t>
        <w:tab/>
        <w:t>Edistetään uusien materiaalien ja teknologioiden tutkimusta sekä olemassa olevien materiaalien innovatiivista käyttöä välttäen samalla päällekkäistä tutkimustyötä (PCE 9, NL 1).</w:t>
      </w:r>
    </w:p>
    <w:p>
      <w:pPr>
        <w:pStyle w:val="Puce3"/>
        <w:tabs>
          <w:tab w:val="clear" w:pos="720"/>
        </w:tabs>
        <w:rPr/>
      </w:pPr>
      <w:r>
        <w:rPr/>
        <w:t>7.</w:t>
        <w:tab/>
        <w:t>Tarkastellaan energian kestävyyttä, kohtuuhintaisuutta ja saatavuutta ottaen huomioon energiaköyhyys ja riippuvuus kolmansista maista lisäämällä kestävästi tuotetun energian osuutta (CEP 10, LT 3, IT 1.1).</w:t>
      </w:r>
    </w:p>
    <w:p>
      <w:pPr>
        <w:pStyle w:val="Puce3"/>
        <w:tabs>
          <w:tab w:val="clear" w:pos="720"/>
        </w:tabs>
        <w:rPr/>
      </w:pPr>
      <w:r>
        <w:rPr/>
        <w:t>8.</w:t>
        <w:tab/>
        <w:t>Lisätään yritysten ja kansalaisten tietoisuutta kestävämmästä käyttäytymisestä ja varmistetaan työmarkkinaosapuolten vuoropuheluun ja laadukkaisiin työpaikkoihin perustuva oikeudenmukainen siirtymä (CEP 12 ja verkkoalusta).</w:t>
      </w:r>
    </w:p>
    <w:p>
      <w:pPr>
        <w:pStyle w:val="Puce3"/>
        <w:tabs>
          <w:tab w:val="clear" w:pos="720"/>
        </w:tabs>
        <w:rPr/>
      </w:pPr>
      <w:r>
        <w:rPr/>
        <w:t>9.</w:t>
        <w:tab/>
        <w:t>Sisällytetään EU:n uusiin kauppasopimuksiin kunnianhimoiset sosiaali-, työ- ja terveysnormit, mukaan lukien työterveys ja -turvallisuus.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Ehdotus: Unionin kilpailukyvyn vahvistaminen ja sisämarkkinoiden syventäminen edelleen</w:t>
      </w:r>
    </w:p>
    <w:p>
      <w:pPr>
        <w:pStyle w:val="Normal"/>
        <w:rPr/>
      </w:pPr>
      <w:r>
        <w:rPr/>
        <w:t>Tavoite: Ehdotamme, että vahvistetaan EU:n talouden, sisämarkkinoiden ja teollisuuden kilpailukykyä ja häiriönsietokykyä sekä puututaan strategisiin riippuvuuksiin. Meidän on edistettävä EU:n yrittäjyyskulttuuria, jossa kaikenkokoisia innovatiivisia yrityksiä, erityisesti mikroyrityksiä, pieniä ja keskisuuria yrityksiä ja startup-yrityksiä, kannustetaan ja jotka voivat menestyä, jotta voidaan edistää selviytymiskykyisempiä ja osallistavampia yhteiskuntia. Tarvitaan vahvaa ja elinkelpoista markkinataloutta, jotta voidaan helpottaa visiota sosiaalisemmasta Euroopasta. Tämä voitaisiin saavuttaa seuraavilla toimenpiteillä: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10"/>
      </w:r>
      <w:r>
        <w:rPr/>
        <w:t>:</w:t>
      </w:r>
    </w:p>
    <w:p>
      <w:pPr>
        <w:pStyle w:val="Puce3"/>
        <w:tabs>
          <w:tab w:val="clear" w:pos="720"/>
        </w:tabs>
        <w:rPr/>
      </w:pPr>
      <w:r>
        <w:rPr/>
        <w:t>1.</w:t>
        <w:tab/>
        <w:t>Kehittää selkeä näkemys Euroopan taloudesta ja hyödyntää Euroopan vahvuuksia, laatua ja moninaisuutta ottaen samalla huomioon jäsenvaltioiden väliset taloudelliset ja muut erot sekä edistää yritysten välistä yhteistyötä ja kilpailua. (NL 1 ja 2)</w:t>
      </w:r>
    </w:p>
    <w:p>
      <w:pPr>
        <w:pStyle w:val="Puce3"/>
        <w:tabs>
          <w:tab w:val="clear" w:pos="720"/>
        </w:tabs>
        <w:rPr/>
      </w:pPr>
      <w:r>
        <w:rPr/>
        <w:t>2.</w:t>
        <w:tab/>
        <w:t>Vahvistaa yhtenäisvaluutan sekä maksujärjestelmien ja televiestinnän yhteenliittämisen alalla tehtyjä toimia. (Kohta 4.a.2)</w:t>
      </w:r>
    </w:p>
    <w:p>
      <w:pPr>
        <w:pStyle w:val="Puce3"/>
        <w:tabs>
          <w:tab w:val="clear" w:pos="720"/>
        </w:tabs>
        <w:rPr/>
      </w:pPr>
      <w:r>
        <w:rPr/>
        <w:t>3.</w:t>
        <w:tab/>
        <w:t>Vähennetään tuotteiden standardointia ja tunnustetaan kulttuuriin ja tuotantoon liittyvät paikalliset ja alueelliset erityispiirteet (tuotantoperinteiden kunnioittaminen). (SE 2.2)</w:t>
      </w:r>
    </w:p>
    <w:p>
      <w:pPr>
        <w:pStyle w:val="Puce3"/>
        <w:tabs>
          <w:tab w:val="clear" w:pos="720"/>
        </w:tabs>
        <w:rPr/>
      </w:pPr>
      <w:r>
        <w:rPr/>
        <w:t>4.</w:t>
        <w:tab/>
        <w:t>Vahvistaa ylöspäin suuntautuvaa sosiaalista ja taloudellista lähentymistä sisämarkkinoilla saattamalla päätökseen olemassa olevat aloitteet, kuten pankkiunionin ja pääomamarkkinaunionin, ja panemalla täytäntöön talous- ja rahaliiton tulevaisuuteen suuntautuvan uudistuksen (keskustelut).</w:t>
      </w:r>
    </w:p>
    <w:p>
      <w:pPr>
        <w:pStyle w:val="Puce3"/>
        <w:tabs>
          <w:tab w:val="clear" w:pos="720"/>
        </w:tabs>
        <w:rPr/>
      </w:pPr>
      <w:r>
        <w:rPr/>
        <w:t>5.</w:t>
        <w:tab/>
        <w:t>Edistetään politiikkoja, joilla luodaan vahva teollinen perusta ja innovointi keskeisissä mahdollistavissa teknologioissa, sekä tulevaisuuteen suuntautuvaa ilmastopolitiikkaa, johon liittyy teollisuuden kilpailukyky, jolla on vahva sosiaalinen ulottuvuus ja joka perustuu työmarkkinaosapuolten vuoropuheluun ja hyvin toimiviin työmarkkinasuhteisiin (keskustelut).</w:t>
      </w:r>
    </w:p>
    <w:p>
      <w:pPr>
        <w:pStyle w:val="Puce3"/>
        <w:tabs>
          <w:tab w:val="clear" w:pos="720"/>
        </w:tabs>
        <w:rPr/>
      </w:pPr>
      <w:r>
        <w:rPr/>
        <w:t>6.</w:t>
        <w:tab/>
        <w:t>Kaikissa uusissa aloitteissa kiinnitetään erityistä huomiota pk-yrityksiin, jotka ovat taloutemme selkäranka. Kaikissa EU:n lainsäädäntöehdotuksissa on noudatettava periaatetta, jonka mukaan pk-yritykset on ensin ajateltava, ja pk-yritystestiä olisi vahvistettava komission vaikutustenarvioinneissa selkeiden periaatteiden mukaisesti samalla kun kunnioitetaan täysimääräisesti sosiaalisia ja ympäristönormeja ja kuluttajien oikeuksia (keskustelut).</w:t>
      </w:r>
    </w:p>
    <w:p>
      <w:pPr>
        <w:pStyle w:val="Puce3"/>
        <w:tabs>
          <w:tab w:val="clear" w:pos="720"/>
        </w:tabs>
        <w:rPr/>
      </w:pPr>
      <w:r>
        <w:rPr/>
        <w:t>7.</w:t>
        <w:tab/>
        <w:t>Varmistetaan pk-yritysten osallistuminen rahoitushakemuksiin, tarjouspyyntöihin ja verkostoihin mahdollisimman vähäisin hallinnollisin ponnistuksin. Suuririskisiä innovointihankkeita toteuttavien pk-yritysten rahoituksen saantia olisi kehitettävä edelleen esimerkiksi Euroopan innovaationeuvoston ja Euroopan investointipankin (keskustelut) kaltaisilta tahoilta.</w:t>
      </w:r>
    </w:p>
    <w:p>
      <w:pPr>
        <w:pStyle w:val="Puce3"/>
        <w:tabs>
          <w:tab w:val="clear" w:pos="720"/>
        </w:tabs>
        <w:rPr/>
      </w:pPr>
      <w:r>
        <w:rPr/>
        <w:t>8.</w:t>
        <w:tab/>
        <w:t>Luodaan paremmat puitteet tutkimukseen ja innovointiin tehtäville investoinneille, jotta voidaan rakentaa kestävämpiä ja biologisesti monimuotoisempia liiketoimintamalleja (CEP 10, 11 ja 14); keskitytään teknologiaan ja innovointiin kasvun vauhdittajina. (IT 1.3)</w:t>
      </w:r>
    </w:p>
    <w:p>
      <w:pPr>
        <w:pStyle w:val="Puce3"/>
        <w:tabs>
          <w:tab w:val="clear" w:pos="720"/>
        </w:tabs>
        <w:rPr/>
      </w:pPr>
      <w:r>
        <w:rPr/>
        <w:t>9.</w:t>
        <w:tab/>
        <w:t>Edistetään kollektiivista taloudellista suorituskykyä itsenäisen ja kilpailukykyisen teollisuuden avulla. (FR3)</w:t>
      </w:r>
    </w:p>
    <w:p>
      <w:pPr>
        <w:pStyle w:val="Puce3"/>
        <w:tabs>
          <w:tab w:val="clear" w:pos="720"/>
        </w:tabs>
        <w:rPr/>
      </w:pPr>
      <w:r>
        <w:rPr/>
        <w:t>10.</w:t>
        <w:tab/>
        <w:t>Määritetään ja kehitetään strategisia aloja, kuten avaruusalaa, robotiikkaa ja tekoälyä. (Fi 3 &amp; 9)</w:t>
      </w:r>
    </w:p>
    <w:p>
      <w:pPr>
        <w:pStyle w:val="Puce3"/>
        <w:tabs>
          <w:tab w:val="clear" w:pos="720"/>
        </w:tabs>
        <w:rPr/>
      </w:pPr>
      <w:r>
        <w:rPr/>
        <w:t>11.</w:t>
        <w:tab/>
        <w:t>Investoidaan matkailu- ja kulttuuritalouteen ja arvostetaan myös Euroopan monia pieniä kohteita. (IT 1.2)</w:t>
      </w:r>
    </w:p>
    <w:p>
      <w:pPr>
        <w:pStyle w:val="Puce3"/>
        <w:tabs>
          <w:tab w:val="clear" w:pos="720"/>
        </w:tabs>
        <w:rPr/>
      </w:pPr>
      <w:r>
        <w:rPr/>
        <w:t>12.</w:t>
        <w:tab/>
        <w:t>Varmistetaan toimitusvarmuus monipuolistamalla tuotantopanosten/raaka-aineiden lähteitä ja lisäämällä keskeisten tavaroiden, kuten terveyden, elintarvikkeiden, energian, puolustuksen ja liikenteen, valmistusta Euroopassa. (EN 9, LT 1, SE 1.4)</w:t>
      </w:r>
    </w:p>
    <w:p>
      <w:pPr>
        <w:pStyle w:val="Puce3"/>
        <w:tabs>
          <w:tab w:val="clear" w:pos="720"/>
        </w:tabs>
        <w:rPr/>
      </w:pPr>
      <w:r>
        <w:rPr/>
        <w:t>13.</w:t>
        <w:tab/>
        <w:t>Edistetään eurooppalaisten yritysten digitalisointia esimerkiksi erityisellä tulostaululla, jonka avulla yritykset voivat vertailla digitalisointiastettaan yleisenä tavoitteenaan lisätä kilpailukykyään. (ALKAEN 2.1)</w:t>
      </w:r>
    </w:p>
    <w:p>
      <w:pPr>
        <w:pStyle w:val="Puce3"/>
        <w:tabs>
          <w:tab w:val="clear" w:pos="720"/>
        </w:tabs>
        <w:rPr/>
      </w:pPr>
      <w:r>
        <w:rPr/>
        <w:t>14.</w:t>
        <w:tab/>
        <w:t>Edistetään digitaalista yhteenkuuluvuutta taloudellisen, sosiaalisen ja alueellisen yhteenkuuluvuuden edistämiseksi siten kuin se on määritelty Euroopan unionin toiminnasta tehdyssä sopimuksessa (keskustelut).</w:t>
      </w:r>
    </w:p>
    <w:p>
      <w:pPr>
        <w:pStyle w:val="Puce3"/>
        <w:tabs>
          <w:tab w:val="clear" w:pos="720"/>
        </w:tabs>
        <w:rPr/>
      </w:pPr>
      <w:r>
        <w:rPr/>
        <w:t>15.</w:t>
        <w:tab/>
        <w:t>Lujitetaan rajat ylittävää yhteistyötä yhteenkuuluvuuden ja selviytymiskyvyn vahvistamiseksi alueilla ja niiden ulkopuolella edistämällä eurooppalaista rajatylittävää mekanismia ja vastaavia välineitä (keskusteluja).</w:t>
      </w:r>
    </w:p>
    <w:p>
      <w:pPr>
        <w:pStyle w:val="Puce3"/>
        <w:tabs>
          <w:tab w:val="clear" w:pos="720"/>
        </w:tabs>
        <w:rPr/>
      </w:pPr>
      <w:r>
        <w:rPr/>
        <w:t>16.</w:t>
        <w:tab/>
        <w:t>Vahvistetaan ja edistetään rajat ylittäviä koulutusmahdollisuuksia Euroopan työvoiman taitojen parantamiseksi ja kilpailukyvyn lisäämiseksi samalla kun vahvistetaan kansalaisten taitoja talouden alalla. (DE 2.2, LT7). Edistetään työntekijöiden välistä kauppaa Euroopassa Euroopan työllisyyskeskuksen avulla; (IT 6.1) kannustaa nuoria opiskelemaan tieteellisiä aiheita. (SE 1.5)</w:t>
      </w:r>
    </w:p>
    <w:p>
      <w:pPr>
        <w:pStyle w:val="Puce3"/>
        <w:tabs>
          <w:tab w:val="clear" w:pos="720"/>
        </w:tabs>
        <w:rPr/>
      </w:pPr>
      <w:r>
        <w:rPr/>
        <w:t>17.</w:t>
        <w:tab/>
        <w:t>Vähennetään byrokratiaa (valtuutukset, sertifioinnit), jos se ei ole välttämätöntä. (IT 2.1)</w:t>
      </w:r>
    </w:p>
    <w:p>
      <w:pPr>
        <w:pStyle w:val="Puce3"/>
        <w:tabs>
          <w:tab w:val="clear" w:pos="720"/>
        </w:tabs>
        <w:rPr/>
      </w:pPr>
      <w:r>
        <w:rPr/>
        <w:t>18.</w:t>
        <w:tab/>
        <w:t>Väärennösten ja vilpillisen kilpailun torjunta. (IT 2.4)</w:t>
      </w:r>
    </w:p>
    <w:p>
      <w:pPr>
        <w:pStyle w:val="Puce3"/>
        <w:tabs>
          <w:tab w:val="clear" w:pos="720"/>
        </w:tabs>
        <w:rPr/>
      </w:pPr>
      <w:r>
        <w:rPr/>
        <w:t>19.</w:t>
        <w:tab/>
        <w:t>Varmistetaan startup-yritysten ja pk-yritysten laajempi osallistuminen innovaatiohankkeisiin, sillä näin vahvistetaan niiden innovaatiovoimaa, kilpailukykyä ja verkostoitumista (sähköiset alustat, keskustelut).</w:t>
      </w:r>
    </w:p>
    <w:p>
      <w:pPr>
        <w:pStyle w:val="Puce3"/>
        <w:tabs>
          <w:tab w:val="clear" w:pos="720"/>
        </w:tabs>
        <w:rPr/>
      </w:pPr>
      <w:r>
        <w:rPr/>
        <w:t>20.</w:t>
        <w:tab/>
        <w:t>Sisämarkkinoiden vakiinnuttamisen ja suojelun olisi pysyttävä ensisijaisena tavoitteena. kansallisella ja unionin tasolla toteutetut toimenpiteet ja aloitteet eivät saisi haitata sisämarkkinoita ja edistää henkilöiden, tavaroiden, palvelujen ja pääoman vapaata liikkuvuutta (keskustelut).</w:t>
      </w:r>
    </w:p>
    <w:p>
      <w:pPr>
        <w:pStyle w:val="Puce3"/>
        <w:tabs>
          <w:tab w:val="clear" w:pos="720"/>
        </w:tabs>
        <w:rPr/>
      </w:pPr>
      <w:r>
        <w:rPr/>
        <w:t>21.</w:t>
        <w:tab/>
        <w:t>EU:n uusista poliittisista aloitteista olisi tehtävä ”kilpailukykytarkastus”, jotta voidaan analysoida niiden vaikutuksia yrityksiin ja niiden liiketoimintaympäristöön (taloudellisen toiminnan kustannukset, innovointikyky, kansainvälinen kilpailukyky, tasapuoliset toimintaedellytykset jne.). Seuranta on Pariisin sopimuksen ja kestävän kehityksen tavoitteiden mukaista, sukupuolten tasa-arvo mukaan luettuna, eikä se heikennä ihmisoikeuksien suojelua, sosiaalisia oikeuksia ja työntekijöiden oikeuksia eikä ympäristö- ja kuluttajansuojanormeja. Tätä varten ehdotamme myös Euroopan kilpailukyvyn neuvoa-antavan elimen perustamista seuraamaan kilpailukyvyn seurantaa ja erityisesti arvioimaan lainsäädännön kumulatiivisia vaikutuksia sekä tekemään ehdotuksia EU:n yritysten kilpailukyvyn asianmukaisten toimintaedellytysten parantamiseksi. Tämän elimen olisi otettava järjestäytynyt kansalaisyhteiskunta ja työmarkkinaosapuolet mukaan sen hallintoon. (keskustelut)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Ehdotus: Osallistavat työmarkkinat</w:t>
      </w:r>
    </w:p>
    <w:p>
      <w:pPr>
        <w:pStyle w:val="P68B1DB1Normal15"/>
        <w:rPr>
          <w:b/>
          <w:b/>
        </w:rPr>
      </w:pPr>
      <w:r>
        <w:rPr/>
        <w:t>Tavoite: Ehdotamme työmarkkinoiden toiminnan parantamista, jotta voidaan varmistaa oikeudenmukaisemmat työolot ja edistää sukupuolten tasa-arvoa ja työllisyyttä erityisesti nuorille ja haavoittuvassa asemassa oleville ryhmille. EU:n, jäsenvaltioiden ja työmarkkinaosapuolten on pyrittävä poistamaan työntekijöiden köyhyys, vahvistamaan alustatyöntekijöiden oikeuksia, kieltämään palkaton harjoittelu ja varmistamaan työvoiman oikeudenmukainen liikkuvuus unionissa. Meidän on edistettävä työmarkkinaosapuolten vuoropuhelua ja työehtosopimusneuvotteluja. Meidän on varmistettava, että Euroopan sosiaalisten oikeuksien pilari ja siihen liittyvät vuoden 2030 yleistavoitteet pannaan täysimääräisesti täytäntöön Euroopan, kansallisella, alueellisella ja paikallisella tasolla tasa-arvoisten mahdollisuuksien ja työmarkkinoille pääsyn sekä oikeudenmukaisten työolojen alalla kunnioittaen samalla toimivaltaa sekä toissijaisuus- ja suhteellisuusperiaatteita, ja sisällytettävä perussopimuksiin pöytäkirja sosiaalisesta edistyksestä. Tässä yhteydessä on kunnioitettava kansallisia perinteitä ja työmarkkinaosapuolten itsenäisyyttä ja tehtävä yhteistyötä kansalaisyhteiskunnan kanssa. Tämä voitaisiin saavuttaa seuraavilla toimenpiteillä: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11"/>
      </w:r>
      <w:r>
        <w:rPr/>
        <w:t>:</w:t>
      </w:r>
    </w:p>
    <w:p>
      <w:pPr>
        <w:pStyle w:val="Puce3"/>
        <w:tabs>
          <w:tab w:val="clear" w:pos="720"/>
        </w:tabs>
        <w:rPr/>
      </w:pPr>
      <w:r>
        <w:rPr/>
        <w:t>1.</w:t>
        <w:tab/>
        <w:t>Varmistetaan, että lakisääteiset vähimmäispalkat takaavat jokaiselle työntekijälle ihmisarvoisen ja samankaltaisen elämänlaadun kaikissa jäsenvaltioissa. Olisi määriteltävä selkeät kriteerit (esim. elinkustannukset, inflaatio, köyhyysrajan ylittävä taso, keskimääräiset palkat ja mediaanipalkat kansallisella tasolla), jotka olisi otettava huomioon vähimmäispalkkatasoa asetettaessa. Lakisääteisten vähimmäispalkkojen tasoja olisi tarkistettava säännöllisesti näiden kriteerien perusteella niiden riittävyyden varmistamiseksi. Erityistä huomiota olisi kiinnitettävä näiden sääntöjen tehokkaaseen täytäntöönpanoon sekä elintason paranemisen seurantaan ja seurantaan. Samalla olisi vahvistettava ja edistettävä työehtosopimusneuvotteluja kaikkialla unionissa (PCE 1 ja 30; 4.2; verkkoalusta).</w:t>
      </w:r>
    </w:p>
    <w:p>
      <w:pPr>
        <w:pStyle w:val="Puce3"/>
        <w:tabs>
          <w:tab w:val="clear" w:pos="720"/>
        </w:tabs>
        <w:rPr/>
      </w:pPr>
      <w:r>
        <w:rPr/>
        <w:t>2.</w:t>
        <w:tab/>
        <w:t>Arvioidaan ja vahvistetaan edelleen työaikadirektiivin (direktiivi 2003/88/EY) ja muun asiaankuuluvan lainsäädännön täytäntöönpanoa, jolla varmistetaan työ- ja yksityiselämän terve tasapaino, samalla kun harkitaan uusia kansallisia politiikkoja tällä alalla (CEP 2).</w:t>
      </w:r>
    </w:p>
    <w:p>
      <w:pPr>
        <w:pStyle w:val="Puce3"/>
        <w:tabs>
          <w:tab w:val="clear" w:pos="720"/>
        </w:tabs>
        <w:rPr/>
      </w:pPr>
      <w:r>
        <w:rPr/>
        <w:t>3.</w:t>
        <w:tab/>
        <w:t>Otetaan käyttöön tai vahvistetaan nykyistä ”älykästä työtä” koskevaa lainsäädäntöä ja kannustetaan yrityksiä edistämään tätä uutta työskentelytapaa. (PCE 7) Unionin olisi taattava oikeus olla tavoittamattomissa, tehdä enemmän digitaalisen kuilun kaventamiseksi työpaikalla ja arvioida etätyön terveys-, työaika- ja suorituskykyvaikutuksia. On varmistettava oikeudenmukainen digitalisaatio, joka perustuu ihmisoikeuksiin, parempiin työoloihin ja työehtosopimusneuvotteluihin (keskustelut).</w:t>
      </w:r>
    </w:p>
    <w:p>
      <w:pPr>
        <w:pStyle w:val="Puce3"/>
        <w:tabs>
          <w:tab w:val="clear" w:pos="720"/>
        </w:tabs>
        <w:rPr/>
      </w:pPr>
      <w:r>
        <w:rPr/>
        <w:t>4.</w:t>
        <w:tab/>
        <w:t>Työllisyyspolitiikkojen yhdentäminen EU:n tasolla, jossa aktiivinen työmarkkinapolitiikka on edelleen keskeistä ja yhä koordinoidumpaa (IT 6.2), kun taas jäsenvaltiot keskittyvät uusiin uudistuspyrkimyksiin luodakseen suotuisat olosuhteet laadukkaiden työpaikkojen luomiselle (keskustelut).</w:t>
      </w:r>
    </w:p>
    <w:p>
      <w:pPr>
        <w:pStyle w:val="Puce3"/>
        <w:tabs>
          <w:tab w:val="clear" w:pos="720"/>
        </w:tabs>
        <w:rPr/>
      </w:pPr>
      <w:r>
        <w:rPr/>
        <w:t>5.</w:t>
        <w:tab/>
        <w:t>Toteutettava toimenpiteitä sen varmistamiseksi, että sosiaalisia oikeuksia suojellaan täysimääräisesti ja että ne ovat etusijalla taloudellisiin vapauksiin nähden konfliktitilanteissa, muun muassa ottamalla käyttöön pöytäkirja sosiaalisesta edistyksestä perussopimuksissa (verkkofoorumi, keskustelut).</w:t>
      </w:r>
    </w:p>
    <w:p>
      <w:pPr>
        <w:pStyle w:val="Puce3"/>
        <w:tabs>
          <w:tab w:val="clear" w:pos="720"/>
        </w:tabs>
        <w:rPr/>
      </w:pPr>
      <w:r>
        <w:rPr/>
        <w:t>6.</w:t>
        <w:tab/>
        <w:t>Sukupuolten tasa-arvon varmistaminen sukupuolten tasa-arvoa koskevan EU:n strategian 2020–2025 mukaisesti. Unionin olisi jatkettava sukupuolten tasa-arvon mittaamista sukupuolten tasa-arvoa koskevan indeksin avulla (asetelmat, palkkaerot, työllisyys, johtajuus jne.), seurattava strategiaa vuosittain, oltava avoin saavutetuista tuloksista, kannustettava asiantuntemuksen ja parhaiden käytäntöjen jakamiseen ja perustettava mahdollinen suora mekanismi kansalaisten palautteen saamiseksi (esim. oikeusasiamies) (ECP 28; 5.a.1). Sukupuolten palkkaeroon on puututtava ja ylemmän johdon virkoja varten on otettava käyttöön kiintiöitä. Naisyrittäjien olisi saatava enemmän tukea liiketoimintaympäristössä samoin kuin naiset luonnontieteiden, teknologian, insinööritieteiden ja matematiikan alalla (keskustelut).</w:t>
      </w:r>
    </w:p>
    <w:p>
      <w:pPr>
        <w:pStyle w:val="Puce3"/>
        <w:tabs>
          <w:tab w:val="clear" w:pos="720"/>
        </w:tabs>
        <w:rPr/>
      </w:pPr>
      <w:r>
        <w:rPr/>
        <w:t>7.</w:t>
        <w:tab/>
        <w:t>Edistetään nuorten työllisyyttä muun muassa myöntämällä taloudellista tukea yrityksille mutta myös tarjoamalla lisätukea työnantajille ja työntekijöille (NL 4) ja tukemalla nuoria yrittäjiä ja nuoria itsenäisiä ammatinharjoittajia esimerkiksi koulutusvälineiden ja kurssien avulla (keskustelut).</w:t>
      </w:r>
    </w:p>
    <w:p>
      <w:pPr>
        <w:pStyle w:val="Puce3"/>
        <w:tabs>
          <w:tab w:val="clear" w:pos="720"/>
        </w:tabs>
        <w:rPr/>
      </w:pPr>
      <w:r>
        <w:rPr/>
        <w:t>8.</w:t>
        <w:tab/>
        <w:t>Edistetään muita heikommassa asemassa olevien ryhmien työllisyyttä (NL 4), erityisesti vammaisten osalta (verkkofoorumi).</w:t>
      </w:r>
    </w:p>
    <w:p>
      <w:pPr>
        <w:pStyle w:val="Puce3"/>
        <w:tabs>
          <w:tab w:val="clear" w:pos="720"/>
        </w:tabs>
        <w:rPr/>
      </w:pPr>
      <w:r>
        <w:rPr/>
        <w:t>9.</w:t>
        <w:tab/>
        <w:t>Edistetään työllisyyttä ja sosiaalista liikkuvuutta, jotta ihmisillä on kaikki mahdollisuudet henkilökohtaiseen kehitykseen ja itsemääräämisoikeuteen. (IT 5.a.4 ja IT 6.1) Olisi olemassa pitkän aikavälin strategia, jolla varmistetaan, että jokaisella yhteiskunnassamme on oikeat taidot löytää työpaikka ja kasvattaa taitojaan, erityisesti nuorempaa sukupolvea (keskusteluja). On tärkeää investoida työmarkkinoiden muuttuviin tarpeisiin mukautettuihin taitoihin ja edistää elinikäistä oppimista muun muassa vaihto-ohjelman avulla kaikissa elämänvaiheissa sekä taata oikeus elinikäiseen oppimiseen ja oikeus koulutukseen. (FR 6; Tätä varten on tarpeen vahvistaa yritysten, ammattiliittojen ja ammatillisten koulutuspalvelujen tarjoajien välistä yhteistyötä (keskustelut).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Ehdotus: Vahvemmat sosiaalipolitiikat</w:t>
      </w:r>
    </w:p>
    <w:p>
      <w:pPr>
        <w:pStyle w:val="Normal"/>
        <w:rPr/>
      </w:pPr>
      <w:r>
        <w:rPr/>
        <w:t>Tavoite: Ehdotamme eriarvoisuuden vähentämistä sekä sosiaalisen syrjäytymisen ja köyhyyden torjuntaa. Meidän on otettava käyttöön kattava köyhyyden vastainen strategia, johon voisi sisältyä muun muassa lapsitakuun ja nuorisotakuun vahvistaminen, vähimmäispalkkojen käyttöönotto, yhteinen eurooppalainen kehys vähimmäistoimeentulojärjestelmille ja kunnollinen sosiaalinen asuntotarjonta. Meidän on varmistettava, että Euroopan sosiaalisten oikeuksien pilari ja siihen liittyvät vuoden 2030 yleistavoitteet pannaan täysimääräisesti täytäntöön Euroopan, kansallisella, alueellisella ja paikallisella tasolla sosiaalisen suojelun ja osallisuuden aloilla kunnioittaen samalla kunkin toimivaltaa sekä toissijaisuus- ja suhteellisuusperiaatteita, ja sisällytettävä perussopimuksiin pöytäkirja sosiaalisesta edistyksestä. Tämä voitaisiin saavuttaa seuraavilla toimenpiteillä: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12"/>
      </w:r>
      <w:r>
        <w:rPr/>
        <w:t>:</w:t>
      </w:r>
    </w:p>
    <w:p>
      <w:pPr>
        <w:pStyle w:val="Puce3"/>
        <w:tabs>
          <w:tab w:val="clear" w:pos="720"/>
        </w:tabs>
        <w:rPr/>
      </w:pPr>
      <w:r>
        <w:rPr/>
        <w:t>1.</w:t>
        <w:tab/>
        <w:t>Vahvistaa unionin toimivaltaa sosiaalipolitiikan alalla ja ehdottaa yhdenmukaistettua unionin laajuista lainsäädäntöä, jolla edistetään sosiaalipolitiikkaa ja varmistetaan yhtäläiset oikeudet, myös terveyteen liittyvät oikeudet, ottaen huomioon hyväksytyt asetukset ja vähimmäisvaatimukset koko alueella. (CEP 19 ja 21) EU voisi tukea ja täydentää jäsenvaltioiden politiikkoja muun muassa ehdottamalla yhteisiä puitteita vähimmäistulon varmistamiseksi niin, että ketään ei jätetä jälkeen. Nämä toimet olisi toteutettava osana Euroopan sosiaalisten oikeuksien pilarin ja sen toimintasuunnitelman täysimääräistä täytäntöönpanoa (keskustelut).</w:t>
      </w:r>
    </w:p>
    <w:p>
      <w:pPr>
        <w:pStyle w:val="Puce3"/>
        <w:tabs>
          <w:tab w:val="clear" w:pos="720"/>
        </w:tabs>
        <w:rPr/>
      </w:pPr>
      <w:r>
        <w:rPr/>
        <w:t>2.</w:t>
        <w:tab/>
        <w:t>Älä tee kompromisseja sosiaalisista oikeuksista (kansanterveys, julkinen koulutus, työvoimapolitiikka). (Kohta 4.a.1)</w:t>
      </w:r>
    </w:p>
    <w:p>
      <w:pPr>
        <w:pStyle w:val="Puce3"/>
        <w:tabs>
          <w:tab w:val="clear" w:pos="720"/>
        </w:tabs>
        <w:rPr/>
      </w:pPr>
      <w:r>
        <w:rPr/>
        <w:t>3.</w:t>
        <w:tab/>
        <w:t>Edistetään sosiaali- ja terveysalan tutkimusta yleisen edun mukaisiksi katsottujen ja jäsenvaltioiden hyväksymien ensisijaisten budjettikohtien mukaisesti ja huolehditaan asianmukaisesta rahoituksesta. Tämä voitaisiin osittain saavuttaa vahvistamalla asiantuntija-alojen, maiden ja opintokeskusten (yliopistot jne.) välistä yhteistyötä (CEP 20).</w:t>
      </w:r>
    </w:p>
    <w:p>
      <w:pPr>
        <w:pStyle w:val="Puce3"/>
        <w:tabs>
          <w:tab w:val="clear" w:pos="720"/>
        </w:tabs>
        <w:rPr/>
      </w:pPr>
      <w:r>
        <w:rPr/>
        <w:t>4.</w:t>
        <w:tab/>
        <w:t>Myönnetään terveyspalvelujen saatavuus kaikille alle 16-vuotiaille kaikkialla, jos näitä palveluja ei ole saatavilla kansallisella tasolla (keskustelut).</w:t>
      </w:r>
    </w:p>
    <w:p>
      <w:pPr>
        <w:pStyle w:val="Puce3"/>
        <w:tabs>
          <w:tab w:val="clear" w:pos="720"/>
        </w:tabs>
        <w:rPr/>
      </w:pPr>
      <w:r>
        <w:rPr/>
        <w:t>5.</w:t>
        <w:tab/>
        <w:t>Varmistetaan, että EU tukee yhdessä työmarkkinaosapuolten ja kansallisten hallitusten kanssa kansalaisten kohdennettua sosiaalista asuntotarjontaa heidän erityistarpeidensa mukaisesti; rahoitus olisi jaettava yksityisten avunantajien, asunnonomistajien, asuntojen edunsaajien, jäsenvaltioiden keskus- ja paikallistason hallitusten sekä Euroopan unionin (ECP 25) kesken.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Ehdotus: Väestörakenteen muutos</w:t>
      </w:r>
    </w:p>
    <w:p>
      <w:pPr>
        <w:pStyle w:val="P68B1DB1Normal15"/>
        <w:rPr>
          <w:b/>
          <w:b/>
        </w:rPr>
      </w:pPr>
      <w:r>
        <w:rPr/>
        <w:t>Tavoite: ehdotamme, että väestörakenteen muutoksesta johtuviin haasteisiin vastataan keskeisenä osana Euroopan yleistä selviytymiskykyä, erityisesti alhaiset syntyvyysluvut ja väestön jatkuva ikääntyminen, ja tarjottava tukea ihmisille koko heidän elämänsä ajan. Tämän pitäisi olla kattava toimenpide, joka kohdistuu kaikkiin sukupolviin, lapsiin ja nuoriin, perheisiin, työikäiseen väestöön, vielä työkykyisiin vanhuksiin sekä eläkkeellä oleviin tai hoidon tarpeessa oleviin. Tämä voitaisiin saavuttaa seuraavilla toimenpiteillä: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13"/>
      </w:r>
      <w:r>
        <w:rPr/>
        <w:t>:</w:t>
      </w:r>
    </w:p>
    <w:p>
      <w:pPr>
        <w:pStyle w:val="Puce3"/>
        <w:tabs>
          <w:tab w:val="clear" w:pos="720"/>
        </w:tabs>
        <w:rPr/>
      </w:pPr>
      <w:r>
        <w:rPr/>
        <w:t>1.</w:t>
        <w:tab/>
        <w:t>Varmistetaan laadukkaat, kohtuuhintaiset ja helposti saatavilla olevat lastenhoitopalvelut kaikkialla, jotta äidit ja isät voivat luotettavasti sovittaa yhteen työ- ja perhe-elämän. Tarvittaessa tähän voisi sisältyä lastenhoitomahdollisuuksia työpaikalla tai sen läheisyydessä. Joissakin jäsenvaltioissa on tarjolla myös yön yli tarjottavaa lastenhoitoa, jonka pitäisi toimia esimerkkinä. Lisäksi näihin toimenpiteisiin voitaisiin liittää tukitoimenpiteitä, kuten alennettuja alv-kantoja lapsille tarvittaviin laitteisiin. On olennaisen tärkeää ehkäistä lasten köyhyyttä ja sosiaalista syrjäytymistä. (CEP 22–26) Lapsitakuun vahvistaminen varmistamalla, että lapset, jotka tarvitsevat palveluja, kuten koulutus ja lastenhoito, terveydenhuolto, ravitsemus ja asuminen, voisivat olla väline tämän tavoitteen saavuttamiseksi (sähköinen alusta, keskustelut).</w:t>
      </w:r>
    </w:p>
    <w:p>
      <w:pPr>
        <w:pStyle w:val="Puce3"/>
        <w:tabs>
          <w:tab w:val="clear" w:pos="720"/>
        </w:tabs>
        <w:rPr/>
      </w:pPr>
      <w:r>
        <w:rPr/>
        <w:t>2.</w:t>
        <w:tab/>
        <w:t>Annetaan nuorille erityistä tukea ja suojellaan työtä. Työikäiseen väestöön kohdistettavien toimenpiteiden olisi sisällettävä äideille ja isille mahdollisuus saada tietoa työhön palatessaan (CEP 22). Nuorisotakuun vahvistaminen voisi olla väline, jolla parannetaan alle 30-vuotiaiden nuorten mahdollisuuksia laadukkaaseen työhön, jatkokoulutukseen, oppisopimuskoulutukseen tai harjoitteluun. (keskustelut)</w:t>
      </w:r>
    </w:p>
    <w:p>
      <w:pPr>
        <w:pStyle w:val="Puce3"/>
        <w:tabs>
          <w:tab w:val="clear" w:pos="720"/>
        </w:tabs>
        <w:rPr/>
      </w:pPr>
      <w:r>
        <w:rPr/>
        <w:t>3.</w:t>
        <w:tab/>
        <w:t>Edistetään oikeutta koulutuksen vapaaseen liikkuvuuteen unionissa erityisesti tutkintotodistusten, palkkaluokkien, pätevyyksien ja pätevyyksien vastavuoroisen tunnustamisen avulla. (keskustelut)</w:t>
      </w:r>
    </w:p>
    <w:p>
      <w:pPr>
        <w:pStyle w:val="Puce3"/>
        <w:tabs>
          <w:tab w:val="clear" w:pos="720"/>
        </w:tabs>
        <w:rPr/>
      </w:pPr>
      <w:r>
        <w:rPr/>
        <w:t>4.</w:t>
        <w:tab/>
        <w:t>Parannetaan lainsäädäntöä ja sen täytäntöönpanoa, jotta perheille voidaan tarjota tukea kaikissa jäsenvaltioissa, esimerkiksi vanhempainvapaan sekä synnytys- ja lastenhoitoavustusten osalta. (PCE 26 ja IT 5.a.1) Asumisella on keskeinen rooli perheiden tukemisessa, ja siihen olisi puututtava (verkkofoorumi, keskustelut).</w:t>
      </w:r>
    </w:p>
    <w:p>
      <w:pPr>
        <w:pStyle w:val="Puce3"/>
        <w:tabs>
          <w:tab w:val="clear" w:pos="720"/>
        </w:tabs>
        <w:rPr/>
      </w:pPr>
      <w:r>
        <w:rPr/>
        <w:t>5.</w:t>
        <w:tab/>
        <w:t>Toteutettava toimenpiteitä sen varmistamiseksi, että kaikilla perheillä on samat perheoikeudet kaikissa jäsenvaltioissa. Tähän pitäisi sisältyä oikeus avioliittoon ja adoptioon. (PCE 27)</w:t>
      </w:r>
    </w:p>
    <w:p>
      <w:pPr>
        <w:pStyle w:val="Puce3"/>
        <w:tabs>
          <w:tab w:val="clear" w:pos="720"/>
        </w:tabs>
        <w:rPr/>
      </w:pPr>
      <w:r>
        <w:rPr/>
        <w:t>6.</w:t>
        <w:tab/>
        <w:t>Edistetään joustavaa eläkeikää ottaen huomioon ikääntyneiden erityistilanne. Eläkeikää määritettäessä on tarpeen eriyttää ammatti ja siten ottaa huomioon erityisen vaativa työ sekä henkinen että fyysinen. (PCE 21 ja IT 5.a.1)</w:t>
      </w:r>
    </w:p>
    <w:p>
      <w:pPr>
        <w:pStyle w:val="Puce3"/>
        <w:tabs>
          <w:tab w:val="clear" w:pos="720"/>
        </w:tabs>
        <w:rPr/>
      </w:pPr>
      <w:r>
        <w:rPr/>
        <w:t>7.</w:t>
        <w:tab/>
        <w:t>Ehkäistään ikääntyneiden köyhyyttä ottamalla käyttöön vähimmäiseläkkeet. Näissä vähimmäistasoissa olisi otettava huomioon elintaso, köyhyysraja ja ostovoima kyseisessä jäsenvaltiossa. (PCE 21)</w:t>
      </w:r>
    </w:p>
    <w:p>
      <w:pPr>
        <w:pStyle w:val="Puce3"/>
        <w:tabs>
          <w:tab w:val="clear" w:pos="720"/>
        </w:tabs>
        <w:rPr/>
      </w:pPr>
      <w:r>
        <w:rPr/>
        <w:t>8.</w:t>
        <w:tab/>
        <w:t>Huolehditaan vanhusten asianmukaisesta sosiaali- ja terveydenhuollosta. Tässä yhteydessä on tärkeää keskittyä sekä yhteisö- että kotihoitoon. Samoin toimenpiteissä on otettava huomioon sekä hoidon vastaanottajat että hoidon tarjoajat. (PCE 23)</w:t>
      </w:r>
    </w:p>
    <w:p>
      <w:pPr>
        <w:pStyle w:val="Puce3"/>
        <w:tabs>
          <w:tab w:val="clear" w:pos="720"/>
        </w:tabs>
        <w:rPr/>
      </w:pPr>
      <w:r>
        <w:rPr/>
        <w:t>9.</w:t>
        <w:tab/>
        <w:t>Varmistetaan kehityksessä jälkeen jääneiden alueiden kestävä kehitys ja väestökestävyys, jotta niistä tehdään dynaamisempia ja houkuttelevampia, myös koheesiopolitiikan avulla. (verkkofoorumi ja keskustelut)</w:t>
      </w:r>
    </w:p>
    <w:p>
      <w:pPr>
        <w:pStyle w:val="Puce3"/>
        <w:tabs>
          <w:tab w:val="clear" w:pos="720"/>
        </w:tabs>
        <w:rPr/>
      </w:pPr>
      <w:r>
        <w:rPr/>
        <w:t>10.</w:t>
        <w:tab/>
        <w:t>Toteuttaa koordinoituja toimia Euroopan tasolla kerätäkseen sukupuolen mukaan eriteltyjä tietoja ja analysoidakseen demografisia suuntauksia, jakaakseen parhaita käytäntöjä ja tietämystä ja auttaakseen jäsenvaltioita kehittämään ja panemaan täytäntöön asianmukaisia toimintalinjoja, muun muassa perustamalla alalle erikoistuneen EU:n elimen. (verkkofoorumi ja keskustelut).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Ehdotus: Vero- ja finanssipolitiikka</w:t>
      </w:r>
    </w:p>
    <w:p>
      <w:pPr>
        <w:pStyle w:val="P68B1DB1Normal15"/>
        <w:rPr>
          <w:b/>
          <w:b/>
        </w:rPr>
      </w:pPr>
      <w:r>
        <w:rPr/>
        <w:t>Tavoite: ehdotamme, että EU kannustaa tulevaisuuteen suuntautuvia investointeja, joissa keskitytään vihreään siirtymään ja digitaaliseen muutokseen, joilla on vahva sosiaalinen ja sukupuoliulottuvuus, ottaen huomioon esimerkit Next Generation EU -välineestä ja hätätilassa esiintyvien työttömyysriskien lieventämiseksi tarkoitetusta eurooppalaisesta tilapäisestä tukivälineestä (SURE). Unionin on otettava huomioon Ukrainan vastaisen sodan sosiaaliset ja taloudelliset vaikutukset sekä sen talouden ohjausjärjestelmän ja uuden geopoliittisen tilanteen välinen yhteys vahvistamalla omaa talousarviotaan uusilla omilla varoilla. Kansalaiset haluavat, että verotus kääntyy pois kansalaisilta ja pk-yrityksiltä ja kohdistuu veropetosten aiheuttajiin, suuriin saastuttajiin ja digitaalisiin jättiläisiin. Samalla he haluavat EU:n tukevan jäsenvaltioiden ja paikallisviranomaisten kykyä rahoittaa itseään ja käyttää EU:n varoja. Tämä tavoite olisi saavutettava seuraavilla toimenpiteillä: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14"/>
      </w:r>
      <w:r>
        <w:rPr/>
        <w:t>:</w:t>
      </w:r>
    </w:p>
    <w:p>
      <w:pPr>
        <w:pStyle w:val="Puce3"/>
        <w:tabs>
          <w:tab w:val="clear" w:pos="720"/>
        </w:tabs>
        <w:rPr/>
      </w:pPr>
      <w:r>
        <w:rPr/>
        <w:t>1.</w:t>
        <w:tab/>
        <w:t>Yhdenmukaistaa ja koordinoida veropolitiikkaa EU:n jäsenvaltioissa veropetosten ja veronkierron estämiseksi, veroparatiisien välttämiseksi EU:n sisällä ja sisäisten siirtojen kohdentamiseksi Eurooppaan muun muassa varmistamalla, että veropäätökset voidaan tehdä määräenemmistöllä EU:n neuvostossa. Toisaalta kansalaispaneelit ovat suositelleet, että verotus kuuluu eri maiden toimivaltaan, joilla on omat tavoitteensa ja olosuhteet. (PCE 13 ja 31, IT 4.b.3, NL 2.3)</w:t>
      </w:r>
    </w:p>
    <w:p>
      <w:pPr>
        <w:pStyle w:val="Puce3"/>
        <w:tabs>
          <w:tab w:val="clear" w:pos="720"/>
        </w:tabs>
        <w:rPr/>
      </w:pPr>
      <w:r>
        <w:rPr/>
        <w:t>2.</w:t>
        <w:tab/>
        <w:t>Edistetään EU:n jäsenvaltioiden välistä yhteistyötä sen varmistamiseksi, että kaikki EU:n yritykset maksavat oikeudenmukaisen osuutensa veroista; otetaan käyttöön yhteinen yhteisöveropohja (CCTB) tai efektiivinen vähimmäisverokanta. (NL 3)</w:t>
      </w:r>
    </w:p>
    <w:p>
      <w:pPr>
        <w:pStyle w:val="Puce3"/>
        <w:tabs>
          <w:tab w:val="clear" w:pos="720"/>
        </w:tabs>
        <w:rPr/>
      </w:pPr>
      <w:r>
        <w:rPr/>
        <w:t>3.</w:t>
        <w:tab/>
        <w:t>Varmistaa, että yritykset maksavat verot siellä, missä voitot syntyvät. (PCE 13)</w:t>
      </w:r>
    </w:p>
    <w:p>
      <w:pPr>
        <w:pStyle w:val="Puce3"/>
        <w:tabs>
          <w:tab w:val="clear" w:pos="720"/>
        </w:tabs>
        <w:rPr/>
      </w:pPr>
      <w:r>
        <w:rPr/>
        <w:t>4.</w:t>
        <w:tab/>
        <w:t>Varmistetaan, että veropolitiikalla tuetaan Euroopan teollisuutta ja ehkäistään työpaikkojen menetyksiä Euroopassa. (PCE 13 ja 31)</w:t>
      </w:r>
    </w:p>
    <w:p>
      <w:pPr>
        <w:pStyle w:val="Puce3"/>
        <w:tabs>
          <w:tab w:val="clear" w:pos="720"/>
        </w:tabs>
        <w:rPr/>
      </w:pPr>
      <w:r>
        <w:rPr/>
        <w:t>5.</w:t>
        <w:tab/>
        <w:t>Tutkimaan yksityiskohtaisemmin mahdollisuutta ottaa yhteistä lainanottoa unionin tasolla, jotta voidaan luoda suotuisammat lainanotto-olosuhteet ja säilyttää samalla vastuullinen finanssipolitiikka jäsenvaltioiden tasolla. (LT 9)</w:t>
      </w:r>
    </w:p>
    <w:p>
      <w:pPr>
        <w:pStyle w:val="Puce3"/>
        <w:tabs>
          <w:tab w:val="clear" w:pos="720"/>
        </w:tabs>
        <w:rPr/>
      </w:pPr>
      <w:r>
        <w:rPr/>
        <w:t>6.</w:t>
        <w:tab/>
        <w:t>Unionin varojen käytön ja käytön seurannan tehostaminen, myös paikallis- ja kuntatasolla.(LT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Kuva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Kuva24"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w:t>
      </w:r>
      <w:r>
        <w:rPr/>
        <w:t>EU maailmassa”</w:t>
      </w:r>
    </w:p>
    <w:p>
      <w:pPr>
        <w:pStyle w:val="Titre3"/>
        <w:numPr>
          <w:ilvl w:val="2"/>
          <w:numId w:val="2"/>
        </w:numPr>
        <w:rPr/>
      </w:pPr>
      <w:bookmarkStart w:id="65" w:name="__RefHeading___Toc298304_1346298689"/>
      <w:bookmarkEnd w:id="65"/>
      <w:r>
        <w:rPr/>
        <w:t>17. Ehdotus: EU:n riippuvuuden vähentäminen strategisilla aloilla toimivista ulkomaisista toimijoista taloudelliselta kannalta</w:t>
      </w:r>
    </w:p>
    <w:p>
      <w:pPr>
        <w:pStyle w:val="P68B1DB1Normal15"/>
        <w:rPr>
          <w:b/>
          <w:b/>
        </w:rPr>
      </w:pPr>
      <w:r>
        <w:rPr/>
        <w:t>Tavoite: Ehdotamme, että EU ryhtyy toimiin riippumattomuutensa vahvistamiseksi keskeisillä strategisilla aloilla, kuten maataloustuotteissa, strategisissa taloudellisissa hyödykkeissä, puolijohteissa, lääkinnällisissä tuotteissa, innovatiivisissa digitaali- ja ympäristöteknologioissa ja energia-alalla seuraavin toimenpitein: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p>
    <w:p>
      <w:pPr>
        <w:pStyle w:val="Puce3"/>
        <w:tabs>
          <w:tab w:val="clear" w:pos="720"/>
        </w:tabs>
        <w:rPr/>
      </w:pPr>
      <w:r>
        <w:rPr/>
        <w:t>1.</w:t>
        <w:tab/>
        <w:t>Tutkimus-, kehitys- ja innovointitoimien sekä julkisten ja yksityisten kumppanien välisen yhteistyön edistäminen tällä alalla.</w:t>
      </w:r>
    </w:p>
    <w:p>
      <w:pPr>
        <w:pStyle w:val="Puce3"/>
        <w:tabs>
          <w:tab w:val="clear" w:pos="720"/>
        </w:tabs>
        <w:rPr/>
      </w:pPr>
      <w:r>
        <w:rPr/>
        <w:t>2.</w:t>
        <w:tab/>
        <w:t>Säilytetään kauppaneuvottelujen kunnianhimoinen ohjelma, joka voi auttaa vahvistamaan toimitusketjujen häiriönsietokykyä ja monipuolistamista erityisesti raaka-aineiden osalta ja jakamaan kaupan edut oikeudenmukaisemmin ja useampien kumppaneiden kanssa, mikä rajoittaa altistumistamme ja riippuvuuttamme pienestä määrästä toimittajia, jotka saattavat aiheuttaa riskin</w:t>
      </w:r>
      <w:r>
        <w:rPr>
          <w:rStyle w:val="Ancredenotedefin"/>
          <w:rStyle w:val="Ancredenotedefin"/>
        </w:rPr>
        <w:endnoteReference w:id="15"/>
      </w:r>
      <w:r>
        <w:rPr/>
        <w:t>.</w:t>
      </w:r>
    </w:p>
    <w:p>
      <w:pPr>
        <w:pStyle w:val="Puce3"/>
        <w:tabs>
          <w:tab w:val="clear" w:pos="720"/>
        </w:tabs>
        <w:rPr/>
      </w:pPr>
      <w:r>
        <w:rPr/>
        <w:t>3.</w:t>
        <w:tab/>
        <w:t>Parannetaan EU:n toimitusketjujen häiriönsietokykyä edistämällä investointeja unionin strategisiin aloihin, varastoimalla kriittistä tuotantoa ja laitteita ja monipuolistamalla kriittisten raaka-aineiden hankintalähteitä.</w:t>
      </w:r>
    </w:p>
    <w:p>
      <w:pPr>
        <w:pStyle w:val="Puce3"/>
        <w:tabs>
          <w:tab w:val="clear" w:pos="720"/>
        </w:tabs>
        <w:rPr/>
      </w:pPr>
      <w:r>
        <w:rPr/>
        <w:t>4.</w:t>
        <w:tab/>
        <w:t>Uudet investoinnit sisämarkkinoiden toteuttamiseen ja tasapuolisten toimintaedellytysten luominen näiden tuotteiden tuotannon ja ostamisen houkuttelevuuden lisäämiseksi Euroopan unionissa.</w:t>
      </w:r>
    </w:p>
    <w:p>
      <w:pPr>
        <w:pStyle w:val="Puce3"/>
        <w:tabs>
          <w:tab w:val="clear" w:pos="720"/>
        </w:tabs>
        <w:rPr/>
      </w:pPr>
      <w:r>
        <w:rPr/>
        <w:t>5.</w:t>
        <w:tab/>
        <w:t>Tuetaan näiden tuotteiden saatavuuden ja kohtuuhintaisuuden mahdollistamista eurooppalaisille kuluttajille ja autetaan vähentämään ulkoisia riippuvuuksia esimerkiksi rakenne- ja aluepolitiikkojen, verohelpotusten, tukien, infrastruktuuri- ja tutkimusinvestointien avulla, pk-yritysten kilpailukyvyn parantamiseksi sekä koulutusohjelmien avulla, jotta voidaan säilyttää vastaavat taidot ja työpaikat Euroopassa, jotka ovat merkityksellisiä perustarpeiden varmistamisen kannalta</w:t>
      </w:r>
      <w:r>
        <w:rPr>
          <w:rStyle w:val="Ancredenotedefin"/>
          <w:rStyle w:val="Ancredenotedefin"/>
        </w:rPr>
        <w:endnoteReference w:id="16"/>
      </w:r>
      <w:r>
        <w:rPr/>
        <w:t>.</w:t>
      </w:r>
    </w:p>
    <w:p>
      <w:pPr>
        <w:pStyle w:val="Puce3"/>
        <w:tabs>
          <w:tab w:val="clear" w:pos="720"/>
        </w:tabs>
        <w:rPr/>
      </w:pPr>
      <w:r>
        <w:rPr/>
        <w:t>6.</w:t>
        <w:tab/>
        <w:t>Eurooppalainen ohjelma, jolla tuetaan kaikkien</w:t>
      </w:r>
      <w:r>
        <w:rPr>
          <w:rStyle w:val="Ancredenotedefin"/>
          <w:rStyle w:val="Ancredenotedefin"/>
        </w:rPr>
        <w:endnoteReference w:id="17"/>
      </w:r>
      <w:r>
        <w:rPr/>
        <w:t>jäsenvaltioiden strategisilla aloilla toimivia pieniä paikallisia tuottajia hyödyntäen enemmän EU:n ohjelmia ja rahoitusvälineitä, kuten InvestEU-ohjelmaa.</w:t>
      </w:r>
    </w:p>
    <w:p>
      <w:pPr>
        <w:pStyle w:val="Puce3"/>
        <w:tabs>
          <w:tab w:val="clear" w:pos="720"/>
        </w:tabs>
        <w:rPr/>
      </w:pPr>
      <w:r>
        <w:rPr/>
        <w:t>7.</w:t>
        <w:tab/>
        <w:t>Parannetaan jäsenvaltioiden välistä yhteistyötä toimitusketjun riskienhallinnan hallinnoimiseksi.</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Ehdotus: EU:n riippuvuuden vähentäminen ulkomaisista energiatoimijoista</w:t>
      </w:r>
    </w:p>
    <w:p>
      <w:pPr>
        <w:pStyle w:val="P68B1DB1Normal15"/>
        <w:rPr>
          <w:b/>
          <w:b/>
        </w:rPr>
      </w:pPr>
      <w:r>
        <w:rPr/>
        <w:t>Tavoite: Ehdotamme, että EU lisää energiantuotannon ja -toimitusten autonomiaa meneillään olevan ekologisen siirtymän yhteydessä seuraavin toimenpitein: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p>
    <w:p>
      <w:pPr>
        <w:pStyle w:val="Puce3"/>
        <w:tabs>
          <w:tab w:val="clear" w:pos="720"/>
        </w:tabs>
        <w:rPr/>
      </w:pPr>
      <w:r>
        <w:rPr/>
        <w:t>1.</w:t>
        <w:tab/>
        <w:t>Sellaisen strategian hyväksyminen, jonka tarkoituksena on tehdä siitä itsenäisempi energiantuotannossa. Eurooppalaisen elimen olisi integroitava olemassa olevat Euroopan energiavirastot, koordinoitava uusiutuvan energian kehittämistä ja edistettävä tietämyksen jakamista</w:t>
      </w:r>
      <w:r>
        <w:rPr>
          <w:rStyle w:val="Ancredenotedefin"/>
          <w:rStyle w:val="Ancredenotedefin"/>
        </w:rPr>
        <w:endnoteReference w:id="19"/>
      </w:r>
      <w:r>
        <w:rPr/>
        <w:t>.</w:t>
      </w:r>
    </w:p>
    <w:p>
      <w:pPr>
        <w:pStyle w:val="Puce3"/>
        <w:tabs>
          <w:tab w:val="clear" w:pos="720"/>
        </w:tabs>
        <w:rPr/>
      </w:pPr>
      <w:r>
        <w:rPr/>
        <w:t>2.</w:t>
        <w:tab/>
        <w:t>Aktiivinen tuki julkista liikennettä ja energiatehokkuutta koskeville hankkeille, nopean eurooppalaisen tavaraliikenteen rautatieverkolle, puhtaan ja uusiutuvan energian tarjonnan laajentamiselle (mukaan lukien aurinko- ja tuulienergia), vaihtoehtoisille teknologioille (kuten vety tai jätteen talteenotto) sekä kaupunkialueiden siirtymiselle yhdestä autokulttuurista julkisen liikenteen kulttuuriin, sähköautojen yhteiskäyttöön ja pyöräilyyn</w:t>
      </w:r>
      <w:r>
        <w:rPr>
          <w:rStyle w:val="Ancredenotedefin"/>
          <w:rStyle w:val="Ancredenotedefin"/>
        </w:rPr>
        <w:endnoteReference w:id="20"/>
      </w:r>
      <w:r>
        <w:rPr/>
        <w:t>.</w:t>
      </w:r>
    </w:p>
    <w:p>
      <w:pPr>
        <w:pStyle w:val="Puce3"/>
        <w:tabs>
          <w:tab w:val="clear" w:pos="720"/>
        </w:tabs>
        <w:rPr/>
      </w:pPr>
      <w:r>
        <w:rPr/>
        <w:t>3.</w:t>
        <w:tab/>
        <w:t>Oikeudenmukaisen ja oikeudenmukaisen siirtymän varmistaminen erityisesti tukemalla haavoittuvassa asemassa olevia kansalaisia, joilla on suurimmat haasteet ilmastoneutraaliuteen siirtymisessä ja jotka kärsivät jo energiariippuvuudesta ja energian hintojen viimeaikaisesta kolminkertaistumisesta johtuvista korkeammista energian hinnoista.</w:t>
      </w:r>
    </w:p>
    <w:p>
      <w:pPr>
        <w:pStyle w:val="Normal"/>
        <w:rPr/>
      </w:pPr>
      <w:r>
        <w:rPr/>
      </w:r>
    </w:p>
    <w:p>
      <w:pPr>
        <w:pStyle w:val="Puce3"/>
        <w:tabs>
          <w:tab w:val="clear" w:pos="720"/>
        </w:tabs>
        <w:rPr/>
      </w:pPr>
      <w:r>
        <w:rPr/>
        <w:t>4.</w:t>
        <w:tab/>
        <w:t>Yhteistyön lisääminen ydinenergian käytön arvioinnissa, kun otetaan huomioon meneillään oleva vihreä siirtyminen uusiutuvaan energiaan Euroopassa, ja tarkastellaan yhteisiä kysymyksiä, joita sillä voitaisiin ratkaista tai luoda, koska monet jäsenvaltiot käyttävät sitä edelleen</w:t>
      </w:r>
      <w:r>
        <w:rPr>
          <w:rStyle w:val="Ancredenotedefin"/>
          <w:rStyle w:val="Ancredenotedefin"/>
        </w:rPr>
        <w:endnoteReference w:id="21"/>
      </w:r>
      <w:r>
        <w:rPr/>
        <w:t>.</w:t>
      </w:r>
    </w:p>
    <w:p>
      <w:pPr>
        <w:pStyle w:val="Puce3"/>
        <w:tabs>
          <w:tab w:val="clear" w:pos="720"/>
        </w:tabs>
        <w:rPr/>
      </w:pPr>
      <w:r>
        <w:rPr/>
        <w:t>5.</w:t>
        <w:tab/>
        <w:t>Yhteistyö kansainvälisten kumppaneiden kanssa, jotta ne voivat sitoutua kunnianhimoisempien ilmastonmuutostavoitteiden saavuttamiseen eri kansainvälisillä foorumeilla, kuten G7- ja G20-maissa.</w:t>
      </w:r>
    </w:p>
    <w:p>
      <w:pPr>
        <w:pStyle w:val="Puce3"/>
        <w:tabs>
          <w:tab w:val="clear" w:pos="720"/>
        </w:tabs>
        <w:rPr/>
      </w:pPr>
      <w:r>
        <w:rPr/>
        <w:t>6.</w:t>
        <w:tab/>
        <w:t>Ulkomaankaupan kytkeminen ilmastonmuutospoliittisiin toimenpiteisiin (esim. käynnistämällä investointipaketti ilmastoystävällisiä teknologioita ja innovaatioita varten, rahoitusohjelmat mukaan luettuina)</w:t>
      </w:r>
      <w:r>
        <w:rPr>
          <w:rStyle w:val="Ancredenotedefin"/>
          <w:rStyle w:val="Ancredenotedefin"/>
        </w:rPr>
        <w:endnoteReference w:id="22"/>
      </w:r>
      <w:r>
        <w:rPr/>
        <w:t>.</w:t>
      </w:r>
    </w:p>
    <w:p>
      <w:pPr>
        <w:pStyle w:val="Puce3"/>
        <w:tabs>
          <w:tab w:val="clear" w:pos="720"/>
        </w:tabs>
        <w:rPr/>
      </w:pPr>
      <w:r>
        <w:rPr/>
        <w:t>7.</w:t>
        <w:tab/>
        <w:t>Tuontienergian ja kestävien energiakumppanuuksien yhteishankinnat, jotta voidaan vähentää Euroopan riippuvuutta energian tuonnista, erityisesti kaasun ja öljyn alalla, ja kehittää EU:n omia energialähteitä.</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Ehdotus: Standardien asettaminen EU:n sisällä ja sen ulkopuolella kauppa- ja investointisuhteissa</w:t>
      </w:r>
    </w:p>
    <w:p>
      <w:pPr>
        <w:pStyle w:val="P68B1DB1Normal15"/>
        <w:rPr>
          <w:b/>
          <w:b/>
        </w:rPr>
      </w:pPr>
      <w:r>
        <w:rPr/>
        <w:t>Tavoite: Ehdotamme, että EU vahvistaa kauppa- ja investointisuhteidensa eettistä ulottuvuutta seuraavin toimenpitein: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p>
    <w:p>
      <w:pPr>
        <w:pStyle w:val="Puce3"/>
        <w:tabs>
          <w:tab w:val="clear" w:pos="720"/>
        </w:tabs>
        <w:rPr/>
      </w:pPr>
      <w:r>
        <w:rPr/>
        <w:t>1.</w:t>
        <w:tab/>
        <w:t>Sääntöihin perustuvan monenvälisen kansainvälisen kaupan rakenteen säilyttäminen ja uudistaminen sekä kumppanuus samanmielisten demokratioiden kanssa.</w:t>
      </w:r>
    </w:p>
    <w:p>
      <w:pPr>
        <w:pStyle w:val="Puce3"/>
        <w:tabs>
          <w:tab w:val="clear" w:pos="720"/>
        </w:tabs>
        <w:rPr/>
      </w:pPr>
      <w:r>
        <w:rPr/>
        <w:t>2.</w:t>
        <w:tab/>
        <w:t>Tehokas ja oikeasuhteinen EU:n lainsäädäntö, jolla varmistetaan, että ihmisarvoista työtä koskevia normeja sovelletaan täysimääräisesti maailmanlaajuisissa arvoketjuissa, myös EU:n tuotanto- ja toimitusprosesseissa, ja että tuontituotteet noudattavat laadullisia eettisiä normeja, kestävää kehitystä ja ihmisoikeuksia koskevia normeja, mukaan lukien työntekijöiden oikeudet ja ammattiyhdistysoikeudet, tarjoamalla tuotteiden sertifiointia tämän EU:n lainsäädännön mukaisesti</w:t>
      </w:r>
      <w:r>
        <w:rPr>
          <w:rStyle w:val="Ancredenotedefin"/>
          <w:rStyle w:val="Ancredenotedefin"/>
        </w:rPr>
        <w:endnoteReference w:id="23"/>
      </w:r>
      <w:r>
        <w:rPr/>
        <w:t xml:space="preserve"> ja osallistumalla EU:n laajuiseen vuoropuheluprosessiin, jonka tarkoituksena on tiedottaa ja kouluttaa kansainvälisen kaupan strategisten muutosten ympäristövaikutuksia ja eettisiä vaikutuksia.</w:t>
      </w:r>
    </w:p>
    <w:p>
      <w:pPr>
        <w:pStyle w:val="Normal"/>
        <w:rPr/>
      </w:pPr>
      <w:r>
        <w:rPr/>
      </w:r>
    </w:p>
    <w:p>
      <w:pPr>
        <w:pStyle w:val="Puce3"/>
        <w:tabs>
          <w:tab w:val="clear" w:pos="720"/>
        </w:tabs>
        <w:rPr/>
      </w:pPr>
      <w:r>
        <w:rPr/>
        <w:t>3.</w:t>
        <w:tab/>
        <w:t>Rajoitukset, jotka koskevat tuotteiden tuontia ja myyntiä pakkotyön ja lapsityövoiman käytön sallivista maista, säännöllisesti päivitettävä musta lista yrityksistä ja kuluttajien tietoisuus lapsityövoimasta EU:n virallisten kanavien kautta julkaistujen tietojen avulla</w:t>
      </w:r>
      <w:r>
        <w:rPr>
          <w:rStyle w:val="Ancredenotedefin"/>
          <w:rStyle w:val="Ancredenotedefin"/>
        </w:rPr>
        <w:endnoteReference w:id="24"/>
      </w:r>
      <w:r>
        <w:rPr/>
        <w:t>.</w:t>
      </w:r>
    </w:p>
    <w:p>
      <w:pPr>
        <w:pStyle w:val="Puce3"/>
        <w:tabs>
          <w:tab w:val="clear" w:pos="720"/>
        </w:tabs>
        <w:rPr/>
      </w:pPr>
      <w:r>
        <w:rPr/>
        <w:t>4.</w:t>
        <w:tab/>
        <w:t>EU:n vapaakauppasopimusten täytäntöönpanokelpoisten kauppaa ja kestävää kehitystä koskevien lukujen seuranta ja täytäntöönpano, mukaan lukien mahdollisuus ottaa käyttöön pakotteisiin perustuva mekanismi viimeisenä keinona.</w:t>
      </w:r>
    </w:p>
    <w:p>
      <w:pPr>
        <w:pStyle w:val="Puce3"/>
        <w:tabs>
          <w:tab w:val="clear" w:pos="720"/>
        </w:tabs>
        <w:rPr/>
      </w:pPr>
      <w:r>
        <w:rPr/>
        <w:t>5.</w:t>
        <w:tab/>
        <w:t>EU:n yleisen tullietuusjärjestelmän (GSP) uudistaminen siten, että siihen sisällytetään tiukat täydentäviä ehtoja koskevat säännökset sekä tehokkaat ja asianmukaiset seuranta-, raportointi- ja vuoropuheluprosessit, joilla parannetaan GSP-järjestelmän mahdollista vaikutusta kauppaan, ihmisoikeuksiin ja kehitykseen kumppanimaissa, sekä mahdollisuus peruuttaa kauppaetuudet, jos niitä ei noudateta.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Ehdotus: Ympäristöpolitiikkaa koskevien normien asettaminen ja sen ulkopuolella</w:t>
      </w:r>
    </w:p>
    <w:p>
      <w:pPr>
        <w:pStyle w:val="P68B1DB1Normal15"/>
        <w:rPr>
          <w:b/>
          <w:b/>
        </w:rPr>
      </w:pPr>
      <w:r>
        <w:rPr/>
        <w:t>Tavoite: Ehdotamme, että EU vahvistaa kauppasuhteidensa ympäristöulottuvuutta seuraavin toimenpitein: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p>
    <w:p>
      <w:pPr>
        <w:pStyle w:val="Puce3"/>
        <w:tabs>
          <w:tab w:val="clear" w:pos="720"/>
        </w:tabs>
        <w:rPr/>
      </w:pPr>
      <w:r>
        <w:rPr/>
        <w:t>1.</w:t>
        <w:tab/>
        <w:t>Ympäristömerkinnän yhdenmukaistaminen ja vahvistaminen sekä eurooppalaisen ympäristövaikutusindikaattorin (ekoscore) pakollinen esittäminen kaikissa kulutustuotteissa. Ekoscore laskettaisiin tuotannon ja liikenteen päästöjen sekä sisällön haitallisuuden perusteella vaarallisten tuotteiden luettelon perusteella. EU:n viranomaisen olisi hallinnoitava ja valvottava Ecoscorea</w:t>
      </w:r>
      <w:r>
        <w:rPr>
          <w:rStyle w:val="Ancredenotedefin"/>
          <w:rStyle w:val="Ancredenotedefin"/>
        </w:rPr>
        <w:endnoteReference w:id="25"/>
      </w:r>
      <w:r>
        <w:rPr/>
        <w:t>.</w:t>
      </w:r>
    </w:p>
    <w:p>
      <w:pPr>
        <w:pStyle w:val="Puce3"/>
        <w:tabs>
          <w:tab w:val="clear" w:pos="720"/>
        </w:tabs>
        <w:rPr/>
      </w:pPr>
      <w:r>
        <w:rPr/>
        <w:t>2.</w:t>
        <w:tab/>
        <w:t>Tiukennetaan jätteiden vientiä koskevia ympäristönormeja sekä tiukennetaan valvontaa ja seuraamuksia laittoman viennin lopettamiseksi. Unionin olisi kannustettava jäsenvaltioita kierrättämään omat jätteensä ja käyttämään niitä energian tuottamiseen</w:t>
      </w:r>
      <w:r>
        <w:rPr>
          <w:rStyle w:val="Ancredenotedefin"/>
          <w:rStyle w:val="Ancredenotedefin"/>
        </w:rPr>
        <w:endnoteReference w:id="26"/>
      </w:r>
      <w:r>
        <w:rPr/>
        <w:t>.</w:t>
      </w:r>
    </w:p>
    <w:p>
      <w:pPr>
        <w:pStyle w:val="Puce3"/>
        <w:tabs>
          <w:tab w:val="clear" w:pos="720"/>
        </w:tabs>
        <w:rPr/>
      </w:pPr>
      <w:r>
        <w:rPr/>
        <w:t>3.</w:t>
        <w:tab/>
        <w:t>Tavoitteena on poistaa saastuttavat pakkaukset edistämällä vähemmän saastuttavia pakkauksia tai ympäristöystävällisempiä pakkauksia</w:t>
      </w:r>
      <w:r>
        <w:rPr>
          <w:rStyle w:val="Ancredenotedefin"/>
          <w:rStyle w:val="Ancredenotedefin"/>
        </w:rPr>
        <w:endnoteReference w:id="27"/>
      </w:r>
      <w:r>
        <w:rPr/>
        <w:t xml:space="preserve"> ja perustamalla kumppanuuksia kehitysmaiden kanssa tukemalla niiden infrastruktuuria ja harkitsemalla molempia osapuolia hyödyttäviä kauppasopimuksia, jotta autetaan niitä siirtymään vihreisiin energialähteisiin</w:t>
      </w:r>
      <w:r>
        <w:rPr>
          <w:rStyle w:val="Ancredenotedefin"/>
          <w:rStyle w:val="Ancredenotedefin"/>
        </w:rPr>
        <w:endnoteReference w:id="28"/>
      </w:r>
      <w:r>
        <w:rPr/>
        <w:t>.</w:t>
      </w:r>
    </w:p>
    <w:p>
      <w:pPr>
        <w:pStyle w:val="Puce3"/>
        <w:tabs>
          <w:tab w:val="clear" w:pos="720"/>
        </w:tabs>
        <w:rPr/>
      </w:pPr>
      <w:r>
        <w:rPr/>
        <w:t>4.</w:t>
        <w:tab/>
        <w:t>Mahdollisuus palkita maita, joilla on korkeat kestävyysstandardit, tarjoamalla EU:n markkinoille lisäpääsyä kestäville tavaroilleen ja palveluilleen joko yksipuolisesti GSP±järjestelmän yleisen tullietuusjärjestelmän kautta tai kahdenvälisesti neuvotelluilla kauppasopimuksilla tai monenvälisesti Maailman kauppajärjestössä toteutettavilla aloitteilla.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Ehdotus: Päätöksenteko ja yhteenkuuluvuus unionissa</w:t>
      </w:r>
    </w:p>
    <w:p>
      <w:pPr>
        <w:pStyle w:val="P68B1DB1Normal15"/>
        <w:rPr>
          <w:b/>
          <w:b/>
        </w:rPr>
      </w:pPr>
      <w:r>
        <w:rPr/>
        <w:t>Tavoite: Ehdotamme, että EU parantaa valmiuksiaan tehdä nopeita ja tehokkaita päätöksiä yhteisen ulko- ja turvallisuuspolitiikan (YUTP) puitteissa puhumalla yhdellä äänellä ja toimimalla aidosti globaalina toimijana, jotta sillä olisi myönteinen rooli maailmassa ja jotta se voisi vaikuttaa kaikkiin kriiseihin, mukaan lukien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p>
    <w:p>
      <w:pPr>
        <w:pStyle w:val="Puce3"/>
        <w:tabs>
          <w:tab w:val="clear" w:pos="720"/>
        </w:tabs>
        <w:rPr/>
      </w:pPr>
      <w:r>
        <w:rPr/>
        <w:t>1.</w:t>
        <w:tab/>
        <w:t>Varmistamalla, että tällä hetkellä yksimielisesti käsiteltävät asiat hoidetaan yleensä määräenemmistöllä erityisesti YUTP:n alalla</w:t>
      </w:r>
      <w:r>
        <w:rPr>
          <w:rStyle w:val="Ancredenotedefin"/>
          <w:rStyle w:val="Ancredenotedefin"/>
        </w:rPr>
        <w:endnoteReference w:id="29"/>
      </w:r>
      <w:r>
        <w:rPr/>
        <w:t>.</w:t>
      </w:r>
    </w:p>
    <w:p>
      <w:pPr>
        <w:pStyle w:val="Puce3"/>
        <w:tabs>
          <w:tab w:val="clear" w:pos="720"/>
        </w:tabs>
        <w:rPr/>
      </w:pPr>
      <w:r>
        <w:rPr/>
        <w:t>2.</w:t>
        <w:tab/>
        <w:t>Turvallisuus- ja puolustuspolitiikan alan yhteistyön perustana on äskettäin hyväksytty strateginen kompassi ja Euroopan rauhanrahaston käyttö</w:t>
      </w:r>
      <w:r>
        <w:rPr>
          <w:rStyle w:val="Ancredenotedefin"/>
          <w:rStyle w:val="Ancredenotedefin"/>
        </w:rPr>
        <w:endnoteReference w:id="30"/>
      </w:r>
      <w:r>
        <w:rPr/>
        <w:t>.</w:t>
      </w:r>
    </w:p>
    <w:p>
      <w:pPr>
        <w:pStyle w:val="Puce3"/>
        <w:tabs>
          <w:tab w:val="clear" w:pos="720"/>
        </w:tabs>
        <w:rPr/>
      </w:pPr>
      <w:r>
        <w:rPr/>
        <w:t>3.</w:t>
        <w:tab/>
        <w:t>Vahvistetaan korkean edustajan roolia sen varmistamisessa, että EU puhuu yhdellä äänellä</w:t>
      </w:r>
      <w:r>
        <w:rPr>
          <w:rStyle w:val="Ancredenotedefin"/>
          <w:rStyle w:val="Ancredenotedefin"/>
        </w:rPr>
        <w:endnoteReference w:id="31"/>
      </w:r>
      <w:r>
        <w:rPr/>
        <w:t>.</w:t>
      </w:r>
    </w:p>
    <w:p>
      <w:pPr>
        <w:pStyle w:val="Puce3"/>
        <w:tabs>
          <w:tab w:val="clear" w:pos="720"/>
        </w:tabs>
        <w:rPr/>
      </w:pPr>
      <w:r>
        <w:rPr/>
        <w:t>4.</w:t>
        <w:tab/>
        <w:t>Sovitaan vahvasta visiosta ja yhteisestä strategiasta EU:n yhtenäisyyden ja päätöksentekokyvyn lujittamiseksi, jotta unioni valmistautuu tuleviin laajentumisiin</w:t>
      </w:r>
      <w:r>
        <w:rPr>
          <w:rStyle w:val="Ancredenotedefin"/>
          <w:rStyle w:val="Ancredenotedefin"/>
        </w:rPr>
        <w:endnoteReference w:id="32"/>
      </w:r>
      <w:r>
        <w:rPr/>
        <w:t>.</w:t>
      </w:r>
    </w:p>
    <w:p>
      <w:pPr>
        <w:pStyle w:val="Puce3"/>
        <w:tabs>
          <w:tab w:val="clear" w:pos="720"/>
        </w:tabs>
        <w:rPr/>
      </w:pPr>
      <w:r>
        <w:rPr/>
        <w:t>5.</w:t>
        <w:tab/>
        <w:t>Ratifioimalla nopeasti äskettäin tehdyt kauppasopimukset luopumatta asianmukaisesta tarkastelusta ja keskustelusta.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Ehdotus: EU:n avoimuus ja sen suhteet kansalaisiin</w:t>
      </w:r>
    </w:p>
    <w:p>
      <w:pPr>
        <w:pStyle w:val="P68B1DB1Normal15"/>
        <w:rPr>
          <w:b/>
          <w:b/>
        </w:rPr>
      </w:pPr>
      <w:r>
        <w:rPr/>
        <w:t>Tavoite: ehdotamme, että erityisesti kansainvälisellä tasolla toteutettavissa toimissaan, kauppaneuvottelut mukaan luettuina, EU:n saavutettavuutta parannetaan parantamalla tiedotusta, koulutusta, kansalaisten osallistumista ja avoimuutta erityisesti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p>
    <w:p>
      <w:pPr>
        <w:pStyle w:val="Puce3"/>
        <w:tabs>
          <w:tab w:val="clear" w:pos="720"/>
        </w:tabs>
        <w:rPr/>
      </w:pPr>
      <w:r>
        <w:rPr/>
        <w:t>1.</w:t>
        <w:tab/>
        <w:t>Vahvistetaan yhteyksiä kansalaisiin ja paikallisiin instituutioihin, jotta voidaan lisätä avoimuutta, tavoittaa kansalaisia ja paremmin viestiä ja olla yhteydessä heihin konkreettisissa EU:n aloitteissa kansainvälisellä tasolla</w:t>
      </w:r>
      <w:r>
        <w:rPr>
          <w:rStyle w:val="Ancredenotedefin"/>
          <w:rStyle w:val="Ancredenotedefin"/>
        </w:rPr>
        <w:endnoteReference w:id="33"/>
      </w:r>
      <w:r>
        <w:rPr/>
        <w:t>.</w:t>
      </w:r>
    </w:p>
    <w:p>
      <w:pPr>
        <w:pStyle w:val="Puce3"/>
        <w:tabs>
          <w:tab w:val="clear" w:pos="720"/>
        </w:tabs>
        <w:rPr/>
      </w:pPr>
      <w:r>
        <w:rPr/>
        <w:t>2.</w:t>
        <w:tab/>
        <w:t>Lisätään kansalaisten osallistumista EU:n kansainväliseen politiikkaan ja tapahtumiin, joihin kansalaiset osallistuvat suoraan, kuten kansallisella, paikallisella ja Euroopan tasolla järjestettyyn Euroopan tulevaisuutta käsittelevään konferenssiin</w:t>
      </w:r>
      <w:r>
        <w:rPr>
          <w:rStyle w:val="Ancredenotedefin"/>
          <w:rStyle w:val="Ancredenotedefin"/>
        </w:rPr>
        <w:endnoteReference w:id="34"/>
      </w:r>
      <w:r>
        <w:rPr/>
        <w:t xml:space="preserve"> ja järjestäytyneen kansalaisyhteiskunnan aktiiviseen osallistumiseen</w:t>
      </w:r>
      <w:r>
        <w:rPr>
          <w:rStyle w:val="Ancredenotedefin"/>
          <w:rStyle w:val="Ancredenotedefin"/>
        </w:rPr>
        <w:endnoteReference w:id="35"/>
      </w:r>
      <w:r>
        <w:rPr/>
        <w:t>.</w:t>
      </w:r>
    </w:p>
    <w:p>
      <w:pPr>
        <w:pStyle w:val="Puce3"/>
        <w:tabs>
          <w:tab w:val="clear" w:pos="720"/>
        </w:tabs>
        <w:rPr/>
      </w:pPr>
      <w:r>
        <w:rPr/>
        <w:t>3.</w:t>
        <w:tab/>
        <w:t>Kaikkien asiaankuuluvien sidosryhmien täysi tuki kansalaisille, jotka haluavat osallistua järjestäytyneisiin kansalaisyhteiskunnan organisaatioihin, kuten covid-19-pandemian ja Ukrainan tapauksessa.</w:t>
      </w:r>
    </w:p>
    <w:p>
      <w:pPr>
        <w:pStyle w:val="Puce3"/>
        <w:tabs>
          <w:tab w:val="clear" w:pos="720"/>
        </w:tabs>
        <w:rPr/>
      </w:pPr>
      <w:r>
        <w:rPr/>
        <w:t>4.</w:t>
        <w:tab/>
        <w:t>Erityismäärärahat EU:n toimintaa ja sen arvoja koskevien koulutusohjelmien kehittämiseen, joita se voi halutessaan ehdottaa jäsenvaltioille, jotta ne voivat sisällyttää ne opetussuunnitelmiinsa (perus-, keski- ja yliopistot). Lisäksi Erasmus-ohjelman kautta voitaisiin tarjota erityistä unionin ja sen toimintaa käsittelevää kurssia opiskelijoille, jotka haluavat opiskella toisessa Euroopan maassa. Opiskelijat, jotka valitsevat tämän kurssin, asetetaan etusijalle, jotta he voivat hyötyä Erasmus-ohjelmista.</w:t>
      </w:r>
    </w:p>
    <w:p>
      <w:pPr>
        <w:pStyle w:val="Puce3"/>
        <w:tabs>
          <w:tab w:val="clear" w:pos="720"/>
        </w:tabs>
        <w:rPr/>
      </w:pPr>
      <w:r>
        <w:rPr/>
        <w:t>5.</w:t>
        <w:tab/>
        <w:t>Parannetaan EU:n mediastrategiaa lisäämällä näkyvyyttä sosiaalisessa mediassa ja edistämällä aktiivisesti sen sisältöä; innovoinnin edistäminen parantamalla EU:n sosiaalisen median läsnäolon saavutettavuutta</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Ehdotus: EU maailman johtavana johtajana rauhan ja turvallisuuden alalla</w:t>
      </w:r>
    </w:p>
    <w:p>
      <w:pPr>
        <w:pStyle w:val="P68B1DB1Normal15"/>
        <w:rPr>
          <w:b/>
          <w:b/>
        </w:rPr>
      </w:pPr>
      <w:r>
        <w:rPr/>
        <w:t>Tavoite: ehdotamme, että EU jatkaa toimiaan vuoropuhelun edistämiseksi ja rauhan ja sääntöihin perustuvan kansainvälisen järjestyksen varmistamiseksi vahvistamalla monenvälisyyttä ja tukeutumalla EU:n pitkäaikaisiin rauhanaloitteisiin, jotka edistivät Nobelin palkinnon myöntämistä vuonna 2012, samalla kun vahvistetaan sen yhteistä turvallisuutta seuraavin toimenpitein: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Yhteiset asevoimat, joita käytetään itsepuolustukseen ja joiden tarkoituksena on estää kaikenlaiset aggressiiviset sotilaalliset toimet, joilla on valmiudet antaa apua kriisiaikoina, myös luonnonkatastrofin sattuessa. Euroopan rajojen ulkopuolella niitä voitaisiin käyttää poikkeuksellisissa olosuhteissa, mieluiten Yhdistyneiden kansakuntien turvallisuusneuvoston oikeudellisen valtuutuksen nojalla ja siten kansainvälisen oikeuden mukaisesti,</w:t>
      </w:r>
      <w:r>
        <w:rPr>
          <w:rStyle w:val="Ancredenotedefin"/>
          <w:rStyle w:val="Ancredenotedefin"/>
        </w:rPr>
        <w:endnoteReference w:id="39"/>
      </w:r>
      <w:r>
        <w:rPr/>
        <w:t>kilpailematta Naton kanssa tai kaksinkertaistamatta Natoa ja kunnioittaen erilaisia kansallisia suhteita Natoon; tältä osin EU:n ja Naton suhteita olisi arvioitava EU:n strategisesta autonomiasta käytävän keskustelun yhteydessä.</w:t>
      </w:r>
    </w:p>
    <w:p>
      <w:pPr>
        <w:pStyle w:val="Normal"/>
        <w:rPr/>
      </w:pPr>
      <w:r>
        <w:rPr/>
      </w:r>
    </w:p>
    <w:p>
      <w:pPr>
        <w:pStyle w:val="Puce3"/>
        <w:tabs>
          <w:tab w:val="clear" w:pos="720"/>
        </w:tabs>
        <w:rPr/>
      </w:pPr>
      <w:r>
        <w:rPr/>
        <w:t>2.</w:t>
        <w:tab/>
        <w:t>Johtava asema Ukrainan sodanjälkeisen maailmanlaajuisen turvallisuusjärjestyksen rakentamisessa, joka perustuu äskettäin hyväksyttyyn EU:n strategiseen kompassiin.</w:t>
      </w:r>
    </w:p>
    <w:p>
      <w:pPr>
        <w:pStyle w:val="Puce3"/>
        <w:tabs>
          <w:tab w:val="clear" w:pos="720"/>
        </w:tabs>
        <w:rPr/>
      </w:pPr>
      <w:r>
        <w:rPr/>
        <w:t>3.</w:t>
        <w:tab/>
        <w:t>Sen strategisen tutkimuksen ja valmiuksien suojaaminen ensisijaisilla aloilla, kuten avaruusalalla, kyberturvallisuudessa, terveydenhuollossa ja ympäristöalalla</w:t>
      </w:r>
      <w:r>
        <w:rPr>
          <w:rStyle w:val="Ancredenotedefin"/>
          <w:rStyle w:val="Ancredenotedefin"/>
        </w:rPr>
        <w:endnoteReference w:id="40"/>
      </w:r>
      <w:r>
        <w:rPr/>
        <w:t>.</w:t>
      </w:r>
    </w:p>
    <w:p>
      <w:pPr>
        <w:pStyle w:val="Puce3"/>
        <w:tabs>
          <w:tab w:val="clear" w:pos="720"/>
        </w:tabs>
        <w:rPr/>
      </w:pPr>
      <w:r>
        <w:rPr/>
        <w:t>4.</w:t>
        <w:tab/>
        <w:t>Sellaisten operatiivisten valmiuksien vahvistaminen, jotka ovat tarpeen Euroopan unionista tehdyn sopimuksen 42 artiklan 7 kohdassa tarkoitetun keskinäistä avunantoa koskevan lausekkeen tehokkuuden varmistamiseksi. Kyseisellä lausekkeella taataan riittävä EU:n suoja kaikille jäsenvaltioille, joihin jokin kolmas maa on hyökännyt.</w:t>
      </w:r>
    </w:p>
    <w:p>
      <w:pPr>
        <w:pStyle w:val="Puce3"/>
        <w:tabs>
          <w:tab w:val="clear" w:pos="720"/>
        </w:tabs>
        <w:rPr/>
      </w:pPr>
      <w:r>
        <w:rPr/>
        <w:t>5.</w:t>
        <w:tab/>
        <w:t>Pohditaan, miten disinformaatiota ja propagandaa voidaan torjua objektiivisesti ja tosiasiallisesti.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Ehdotus: EU johtavana maailmanlaajuisena toimijana suhteiden rakentamisessa</w:t>
      </w:r>
    </w:p>
    <w:p>
      <w:pPr>
        <w:pStyle w:val="P68B1DB1Normal15"/>
        <w:rPr>
          <w:b/>
          <w:b/>
        </w:rPr>
      </w:pPr>
      <w:r>
        <w:rPr/>
        <w:t>Tavoite: Ehdotamme, että EU:n suhteissa kolmansiin maihin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p>
    <w:p>
      <w:pPr>
        <w:pStyle w:val="Puce3"/>
        <w:tabs>
          <w:tab w:val="clear" w:pos="720"/>
        </w:tabs>
        <w:rPr/>
      </w:pPr>
      <w:r>
        <w:rPr/>
        <w:t>1.</w:t>
        <w:tab/>
        <w:t>Käyttämään entistä enemmän kollektiivista poliittista ja taloudellista painoarvoaan yhdellä äänellä ja yhtenäisesti toimimalla ilman, että jotkin jäsenvaltiot jakavat unionia sopimattomilla kahdenvälisillä toimilla</w:t>
      </w:r>
      <w:r>
        <w:rPr>
          <w:rStyle w:val="Ancredenotedefin"/>
          <w:rStyle w:val="Ancredenotedefin"/>
        </w:rPr>
        <w:endnoteReference w:id="41"/>
      </w:r>
      <w:r>
        <w:rPr/>
        <w:t>.</w:t>
      </w:r>
    </w:p>
    <w:p>
      <w:pPr>
        <w:pStyle w:val="Puce3"/>
        <w:tabs>
          <w:tab w:val="clear" w:pos="720"/>
        </w:tabs>
        <w:rPr/>
      </w:pPr>
      <w:r>
        <w:rPr/>
        <w:t>2.</w:t>
        <w:tab/>
        <w:t>Vahvistaa valmiuksiaan määrätä seuraamuksia valtioille, hallituksille, yhteisöille, ryhmille tai järjestöille sekä henkilöille, jotka eivät noudata sen perusperiaatteita, sopimuksia ja lakeja, ja varmistaa, että nykyiset seuraamukset pannaan nopeasti täytäntöön ja pannaan täytäntöön. Kolmansille maille määrättyjen seuraamusten olisi oltava oikeasuhteisia niiden käynnistämiin toimiin nähden, niiden olisi oltava tehokkaita ja niitä olisi sovellettava oikea-aikaisesti</w:t>
      </w:r>
      <w:r>
        <w:rPr>
          <w:rStyle w:val="Ancredenotedefin"/>
          <w:rStyle w:val="Ancredenotedefin"/>
        </w:rPr>
        <w:endnoteReference w:id="42"/>
      </w:r>
      <w:r>
        <w:rPr/>
        <w:t>.</w:t>
      </w:r>
    </w:p>
    <w:p>
      <w:pPr>
        <w:pStyle w:val="Puce3"/>
        <w:tabs>
          <w:tab w:val="clear" w:pos="720"/>
        </w:tabs>
        <w:rPr/>
      </w:pPr>
      <w:r>
        <w:rPr/>
        <w:t>3.</w:t>
        <w:tab/>
        <w:t>Edistää kestävää ja sääntöihin perustuvaa kauppaa ja samalla uusia kaupankäynti- ja investointimahdollisuuksia eurooppalaisille yrityksille. Vaikka kahdenväliset kauppa- ja investointisopimukset ovat olennaisen tärkeitä Euroopan kilpailukyvyn edistämiseksi, tarvitaan standardeja ja sääntöjä tasapuolisten toimintaedellytysten varmistamiseksi. EU:n on pysyttävä aktiivisena ja luotettavana kumppanina neuvoteltaessa, tehtäessä ja pantaessa täytäntöön kauppasopimuksia, joissa asetetaan myös korkeat kestävyysnormit.</w:t>
      </w:r>
    </w:p>
    <w:p>
      <w:pPr>
        <w:pStyle w:val="Puce3"/>
        <w:tabs>
          <w:tab w:val="clear" w:pos="720"/>
        </w:tabs>
        <w:rPr/>
      </w:pPr>
      <w:r>
        <w:rPr/>
        <w:t>4.</w:t>
        <w:tab/>
        <w:t>Teki tärkeimmät kansainväliset yhteistyösopimukset edustamalla Euroopan unionia yksittäisten maiden sijasta</w:t>
      </w:r>
      <w:r>
        <w:rPr>
          <w:rStyle w:val="Ancredenotedefin"/>
          <w:rStyle w:val="Ancredenotedefin"/>
        </w:rPr>
        <w:endnoteReference w:id="43"/>
      </w:r>
      <w:r>
        <w:rPr/>
        <w:t>.</w:t>
      </w:r>
    </w:p>
    <w:p>
      <w:pPr>
        <w:pStyle w:val="Puce3"/>
        <w:tabs>
          <w:tab w:val="clear" w:pos="720"/>
        </w:tabs>
        <w:rPr/>
      </w:pPr>
      <w:r>
        <w:rPr/>
        <w:t>5.</w:t>
        <w:tab/>
        <w:t>Uudistetaan EU:n kauppa- ja investointipolitiikkaa maailmanlaajuisen monenvälisyyden elvyttämiseksi tavoitteena luoda ihmisarvoisia työpaikkoja ja suojella perusihmisoikeuksia, työntekijöiden oikeudet ja ammattiyhdistysoikeudet mukaan luettuina, suojella ympäristöä ja biologista monimuotoisuutta, kunnioittaa Pariisin ilmastosopimusta, varmistaa laadukkaat julkiset palvelut ja vahvistaa Euroopan teollista perustaa. EU:n olisi edistettävä maailmanlaajuisen monenvälisyyden elvyttämistä toteuttamalla syvällisiä uudistuksia, jotka perustuvat demokratiaan ja rauhaan, solidaarisuuteen ja ihmisoikeuksien sekä sosiaalisten ja ympäristöön liittyvien oikeuksien kunnioittamiseen, sekä vahvistamalla ILO:n roolia.</w:t>
      </w:r>
    </w:p>
    <w:p>
      <w:pPr>
        <w:pStyle w:val="Puce3"/>
        <w:tabs>
          <w:tab w:val="clear" w:pos="720"/>
        </w:tabs>
        <w:rPr/>
      </w:pPr>
      <w:r>
        <w:rPr/>
        <w:t>6.</w:t>
        <w:tab/>
        <w:t>Sisältää ihmiskaupan ja laittoman maahanmuuton torjunnan sekä yhteistyön mahdollisissa palauttamisoperaatioissa kolmansien maiden kanssa tehtäviin yhteistyö- ja investointisopimuksiin.</w:t>
      </w:r>
    </w:p>
    <w:p>
      <w:pPr>
        <w:pStyle w:val="Puce3"/>
        <w:tabs>
          <w:tab w:val="clear" w:pos="720"/>
        </w:tabs>
        <w:rPr/>
      </w:pPr>
      <w:r>
        <w:rPr/>
        <w:t>7.</w:t>
        <w:tab/>
        <w:t>Kehitetään kumppanuuksia kehitysmaiden kanssa niiden infrastruktuurin tukemiseksi ja harkitaan molempia osapuolia hyödyttäviä kauppasopimuksia niiden auttamiseksi siirtymään vihreisiin energialähteisiin</w:t>
      </w:r>
      <w:r>
        <w:rPr>
          <w:rStyle w:val="Ancredenotedefin"/>
          <w:rStyle w:val="Ancredenotedefin"/>
        </w:rPr>
        <w:endnoteReference w:id="44"/>
      </w:r>
      <w:r>
        <w:rPr/>
        <w:t>.</w:t>
      </w:r>
    </w:p>
    <w:p>
      <w:pPr>
        <w:pStyle w:val="Puce3"/>
        <w:tabs>
          <w:tab w:val="clear" w:pos="720"/>
        </w:tabs>
        <w:rPr/>
      </w:pPr>
      <w:r>
        <w:rPr/>
        <w:t>8.</w:t>
        <w:tab/>
        <w:t>Kehittää autokraattisia ja hybridijärjestelmiä koskevaa tehokkaampaa ja yhtenäisempää politiikkaa ja kehittää kumppanuuksia näiden maiden kansalaisyhteiskunnan organisaatioiden kanssa.</w:t>
      </w:r>
    </w:p>
    <w:p>
      <w:pPr>
        <w:pStyle w:val="Puce3"/>
        <w:tabs>
          <w:tab w:val="clear" w:pos="720"/>
        </w:tabs>
        <w:rPr/>
      </w:pPr>
      <w:r>
        <w:rPr/>
        <w:t>9.</w:t>
        <w:tab/>
        <w:t>Lisätään EU:n vaalitarkkailuvaltuuskuntien resursseja.</w:t>
      </w:r>
    </w:p>
    <w:p>
      <w:pPr>
        <w:pStyle w:val="Puce3"/>
        <w:tabs>
          <w:tab w:val="clear" w:pos="720"/>
        </w:tabs>
        <w:rPr/>
      </w:pPr>
      <w:r>
        <w:rPr/>
        <w:t>10.</w:t>
        <w:tab/>
        <w:t>Tarjoaa uskottavan mahdollisuuden liittyä ehdokasmaihin ja mahdollisiin ehdokasmaihin, jotta voidaan edistää rauhaa ja vakautta Euroopassa ja tuoda vaurautta miljoonille eurooppalaisille</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HUOMAUTUS: Useat työryhmän jäsenet katsovat, että ehdotukset ”EU:n riippuvuuden vähentäminen energia-alan ulkomaisista toimijoista” ja ”EU:n avoimuus ja sen suhteet kansalaisiin” kuuluvat erityisesti muihin työryhmiin. Jotkut jäsenet halusivat mainita määräenemmistöpäätösten lisäksi vaihtoehtoja yksimielisyydelle neuvostossa, kuten vaihtelevaa geometriaa, osallistumatta jättämistä koskevia lausekkeita ja tiiviimpää yhteistyötä. Eräät työryhmän jäsenet kehottivat käyttämään termiä ”kestävä” eikä ”eettistä” ehdotuksessa ”normien määrittely ja sen ulkopuolella kauppa- ja investointisuhteissa”. Eriävät näkemykset siitä, edellyttääkö uusien jäsenvaltioiden liittyminen edelleen kaikkien nykyisten jäsenvaltioiden yksimielistä suostumusta. Yhteisten asevoimien toivotusta asteesta ilmeni erilaisia näkemyksiä. Kaksi jäsentä viittasi mahdolliseen Irlannin yhtenäisyyteen siinä tapauksessa, että Pohjois-Irlanti äänestäisi tähän suuntaan pitkänperjantain sopimuksen määräysten mukaisesti, ja että unionin on valmistauduttava tällaiseen mahdollisuuteen.</w:t>
      </w:r>
    </w:p>
    <w:p>
      <w:pPr>
        <w:pStyle w:val="Normal"/>
        <w:rPr/>
      </w:pPr>
      <w:r>
        <w:rPr/>
      </w:r>
      <w:r>
        <w:br w:type="page"/>
      </w:r>
    </w:p>
    <w:p>
      <w:pPr>
        <w:pStyle w:val="Normal"/>
        <w:rPr/>
      </w:pPr>
      <w:r>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Kuva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Kuva25"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Arvot ja oikeudet, oikeusvaltio, turvallisuus</w:t>
      </w:r>
    </w:p>
    <w:p>
      <w:pPr>
        <w:pStyle w:val="Titre3"/>
        <w:numPr>
          <w:ilvl w:val="2"/>
          <w:numId w:val="2"/>
        </w:numPr>
        <w:rPr/>
      </w:pPr>
      <w:bookmarkStart w:id="74" w:name="__RefHeading___Toc298322_1346298689"/>
      <w:bookmarkEnd w:id="74"/>
      <w:r>
        <w:rPr/>
        <w:t>25. Ehdotus: Oikeusvaltioperiaate, demokraattiset arvot ja eurooppalainen identiteetti</w:t>
      </w:r>
    </w:p>
    <w:p>
      <w:pPr>
        <w:pStyle w:val="P68B1DB1Normal15"/>
        <w:rPr>
          <w:b/>
          <w:b/>
        </w:rPr>
      </w:pPr>
      <w:r>
        <w:rPr/>
        <w:t>Tavoite: Oikeusvaltioperiaatteen järjestelmällinen noudattaminen kaikissa jäsenvaltioissa, mukaan lukien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46"/>
      </w:r>
      <w:r>
        <w:rPr/>
        <w:t>:</w:t>
      </w:r>
    </w:p>
    <w:p>
      <w:pPr>
        <w:pStyle w:val="Puce3"/>
        <w:tabs>
          <w:tab w:val="clear" w:pos="720"/>
        </w:tabs>
        <w:rPr/>
      </w:pPr>
      <w:r>
        <w:rPr/>
        <w:t>1.</w:t>
        <w:tab/>
        <w:t>Varmistetaan, että EU:n perussopimuksissa ja Euroopan unionin perusoikeuskirjassa vahvistetut arvot ja periaatteet eivät ole neuvoteltavissa ja peruuttamattomia ja että ne ovat ehdoton edellytys unionin jäsenyydelle ja liittymiselle. EU:n arvoja on kunnioitettava täysimääräisesti kaikissa jäsenvaltioissa. niiden olisi myös toimittava kansainvälisenä standardina ja niiden olisi edustettava vetovoimaa diplomatian ja vuoropuhelun kautta. Unionin laajentuminen ei saisi heikentää EU:n säännöstöä perusarvojen ja kansalaisten oikeuksien osalta</w:t>
      </w:r>
      <w:r>
        <w:rPr>
          <w:rStyle w:val="Ancredenotedefin"/>
          <w:rStyle w:val="Ancredenotedefin"/>
        </w:rPr>
        <w:endnoteReference w:id="47"/>
      </w:r>
      <w:r>
        <w:rPr/>
        <w:t>.</w:t>
      </w:r>
    </w:p>
    <w:p>
      <w:pPr>
        <w:pStyle w:val="Puce3"/>
        <w:tabs>
          <w:tab w:val="clear" w:pos="720"/>
        </w:tabs>
        <w:rPr/>
      </w:pPr>
      <w:r>
        <w:rPr/>
        <w:t>2.</w:t>
        <w:tab/>
        <w:t>Tekemällä eurooppalaisista arvoista konkreettista todellisuutta EU:n kansalaisille, erityisesti interaktiivisemman ja suoramman osallistumisen avulla, unionin kansalaisuutta olisi vahvistettava esimerkiksi antamalla unionin kansalaisen asema, jolla on kansalaisten oikeudet ja vapaudet, sekä laatimalla säännöt eurooppalaisille rajat ylittäville yhdistyksille ja voittoa tavoittelemattomille järjestöille. Eurooppalaisia arvoja olisi myös edistettävä ”integraatiosalkun” avulla, joka sisältää koulutuselementtejä ja kansalaisille tarkoitettua tiedotusmateriaalia. Audiovisuaalisen ja verkkomedian eurooppalainen julkinen alue olisi luotava uusilla EU:n investoinneilla, parantamalla olemassa olevia media-alustoja ja lisäämällä tukea yli 500:lle paikallistasolla toimivalle eurooppalaiselle yhteystoimistolle</w:t>
      </w:r>
      <w:r>
        <w:rPr>
          <w:rStyle w:val="Ancredenotedefin"/>
          <w:rStyle w:val="Ancredenotedefin"/>
        </w:rPr>
        <w:endnoteReference w:id="48"/>
      </w:r>
      <w:r>
        <w:rPr/>
        <w:t xml:space="preserve">. </w:t>
      </w:r>
    </w:p>
    <w:p>
      <w:pPr>
        <w:pStyle w:val="Puce3"/>
        <w:tabs>
          <w:tab w:val="clear" w:pos="720"/>
        </w:tabs>
        <w:rPr/>
      </w:pPr>
      <w:r>
        <w:rPr/>
        <w:t>3.</w:t>
        <w:tab/>
        <w:t>Euroopan unionin perusoikeuskirjaa olisi sovellettava yleisesti. Lisäksi olisi järjestettävä vuosittain oikeusvaltiota koskevia konferensseja (komission oikeusvaltiokertomuksen jälkeen) ja koottava yhteen kaikkien jäsenvaltioiden valtuuskunnat, jotka koostuvat kansalaisista, virkamiehistä, parlamentaarikoista, paikallisviranomaisista, työmarkkinaosapuolista ja kansalaisyhteiskunnasta, jotka valitaan satunnaisesti ja monipuolisesti. On myös tärkeää tukea edelleen organisaatioita, myös kansalaisyhteiskunnan organisaatioita, jotka edistävät oikeusvaltioperiaatetta paikan päällä</w:t>
      </w:r>
      <w:r>
        <w:rPr>
          <w:rStyle w:val="Ancredenotedefin"/>
          <w:rStyle w:val="Ancredenotedefin"/>
        </w:rPr>
        <w:endnoteReference w:id="49"/>
      </w:r>
      <w:r>
        <w:rPr/>
        <w:t>.</w:t>
      </w:r>
    </w:p>
    <w:p>
      <w:pPr>
        <w:pStyle w:val="Puce3"/>
        <w:tabs>
          <w:tab w:val="clear" w:pos="720"/>
        </w:tabs>
        <w:rPr/>
      </w:pPr>
      <w:r>
        <w:rPr/>
        <w:t>4.</w:t>
        <w:tab/>
        <w:t>Soveltamalla tehokkaasti niin sanottua täydentäviä ehtoja koskevaa asetusta ja arvioimalla kyseisen asetuksen ja muiden oikeusvaltiovälineiden soveltamisalaa sekä harkitsemalla niiden soveltamisalan laajentamista uusille aloille riippumatta niiden merkityksestä unionin talousarvion kannalta. Kaikkien tarvittavien oikeussuojakeinojen, mukaan lukien perussopimusten muutokset, olisi katsottava rankaisevan oikeusvaltioperiaatteen loukkauksia</w:t>
      </w:r>
      <w:r>
        <w:rPr>
          <w:rStyle w:val="Ancredenotedefin"/>
          <w:rStyle w:val="Ancredenotedefin"/>
        </w:rPr>
        <w:endnoteReference w:id="50"/>
      </w:r>
      <w:r>
        <w:rPr/>
        <w:t>.</w:t>
      </w:r>
    </w:p>
    <w:p>
      <w:pPr>
        <w:pStyle w:val="Puce3"/>
        <w:tabs>
          <w:tab w:val="clear" w:pos="720"/>
        </w:tabs>
        <w:rPr/>
      </w:pPr>
      <w:r>
        <w:rPr/>
        <w:t>5.</w:t>
        <w:tab/>
        <w:t>Sellaisten koulutus- ja mediaohjelmien edistäminen, joissa unionin arvot asetetaan maahanmuuttajien kotouttamisprosessin keskiöön ja edistetään unionin kansalaisten ja maahanmuuttajien välistä vuorovaikutusta, jotta mahdollistetaan heidän onnistunut kotoutuminen unionin yhteiskuntiin ja lisätään tietoisuutta muuttoliikkeeseen liittyvistä kysymyksistä unionin kansalaisten keskuudessa.</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Ehdotus: Tietosuoja</w:t>
      </w:r>
    </w:p>
    <w:p>
      <w:pPr>
        <w:pStyle w:val="Corpsdetexte"/>
        <w:rPr/>
      </w:pPr>
      <w:r>
        <w:rPr/>
      </w:r>
    </w:p>
    <w:p>
      <w:pPr>
        <w:pStyle w:val="P68B1DB1Normal15"/>
        <w:rPr>
          <w:b/>
          <w:b/>
        </w:rPr>
      </w:pPr>
      <w:r>
        <w:rPr/>
        <w:t>Tavoite: varmistetaan kansalaisten kannalta turvallisempi ja parempi tietojenkäsittelypolitiikka, erityisesti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52"/>
      </w:r>
      <w:r>
        <w:rPr/>
        <w:t>:</w:t>
      </w:r>
    </w:p>
    <w:p>
      <w:pPr>
        <w:pStyle w:val="Puce3"/>
        <w:tabs>
          <w:tab w:val="clear" w:pos="720"/>
        </w:tabs>
        <w:rPr/>
      </w:pPr>
      <w:r>
        <w:rPr/>
        <w:t>1.</w:t>
        <w:tab/>
        <w:t>Panemalla täysimääräisesti täytäntöön ja tarkistamalla voimassa olevaa tietosuojalainsäädäntöä, jotta voidaan arvioida tarvetta tehostaa henkilötietojen käsittelyä käsitteleviä yksiköitä koskevia täytäntöönpanomekanismeja, jotka kuuluvat tällä hetkellä riippumattomien kansallisten tietosuojaviranomaisten toimivaltaan toissijaisuusperiaatetta noudattaen. Näitä yhteisöjä olisi rangaistava ankarammin kuin sääntöjen nykyisessä soveltamisessa suhteessa niiden vuotuiseen liikevaihtoon (enintään 4 prosenttia) tai jopa kieltämällä niiden toiminta, ja niille olisi tehtävä riippumaton vuosittainen tarkastus</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Tehostamalla sisäänrakennetun tai oletusarvoisen yksityisyyden suojan periaatetta esimerkiksi arvioimalla ja kehittämällä tietojen suostumuslomakkeita, jotka ovat helposti ymmärrettäviä, ytimekkäitä ja intuitiivisia ja osoittavat selvästi, mitä tarvitaan ja mikä ei. Käyttäjien on voitava antaa tai peruuttaa suostumuksensa tietojen käsittelyyn yksinkertaisella, nopealla ja pysyvällä tavalla.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Arvioidaan ja otetaan käyttöön selkeämmät ja suojaavammat säännöt alaikäisiin liittyvien tietojen käsittelystä, mahdollisesti EU:n yleisessä tietosuoja-asetuksessa, erityisesti luomalla alaikäisten arkaluonteisille tiedoille erityinen luokka ja yhdenmukaistamalla suostumuksen vähimmäisikäraja jäsenvaltioissa. Vaikka yksityisyyden suojaa ja tietoisuuden lisäämistä koskevien sääntöjen täytäntöönpanon olisi kuuluttava edelleen jäsenvaltioiden toimivaltaan erityisesti lisäämällä investointeja ja resursseja kansallisella tasolla, unionilla olisi myös oltava tärkeämpi rooli esimerkiksi luomalla eurooppalaista toimivaltaa tietosuojaa koskevassa kansalaiskasvatuksessa</w:t>
      </w:r>
      <w:r>
        <w:rPr>
          <w:rStyle w:val="Ancredenotedefin"/>
          <w:rStyle w:val="Ancredenotedefin"/>
        </w:rPr>
        <w:endnoteReference w:id="57"/>
      </w:r>
      <w:r>
        <w:rPr/>
        <w:t>.</w:t>
      </w:r>
    </w:p>
    <w:p>
      <w:pPr>
        <w:pStyle w:val="Puce3"/>
        <w:tabs>
          <w:tab w:val="clear" w:pos="720"/>
        </w:tabs>
        <w:rPr/>
      </w:pPr>
      <w:r>
        <w:rPr/>
        <w:t>4.</w:t>
        <w:tab/>
        <w:t>Euroopan tietosuojaviranomaisiin ja kansallisiin tietosuojaviranomaisiin sovellettavien kelpoisuusperusteiden parempi noudattaminen pätevyyden ja soveltuvuuden osalta, jotta varmistetaan niiden jäsenten mahdollisimman suuri riippumattomuus.</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Ehdotus: Tiedotusvälineet, valeuutiset, disinformaatio, faktantarkistus, kyberturvallisuus</w:t>
      </w:r>
    </w:p>
    <w:p>
      <w:pPr>
        <w:pStyle w:val="P68B1DB1Normal15"/>
        <w:rPr>
          <w:b/>
          <w:b/>
        </w:rPr>
      </w:pPr>
      <w:r>
        <w:rPr/>
        <w:t>Tavoite: Disinformaation torjuminen edistämällä tiedotusvälineiden riippumattomuutta, moniarvoisuutta ja medialukutaitoa, erityisesti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60"/>
      </w:r>
      <w:r>
        <w:rPr/>
        <w:t>:</w:t>
      </w:r>
    </w:p>
    <w:p>
      <w:pPr>
        <w:pStyle w:val="Puce3"/>
        <w:tabs>
          <w:tab w:val="clear" w:pos="720"/>
        </w:tabs>
        <w:rPr/>
      </w:pPr>
      <w:r>
        <w:rPr/>
        <w:t>1.</w:t>
        <w:tab/>
        <w:t>Otetaan käyttöön lainsäädäntöä tiedotusvälineiden riippumattomuuteen kohdistuvien uhkien torjumiseksi kaikkialla unionissa sovellettavien vähimmäisvaatimusten avulla, mukaan lukien tiedotusvälineiden liiketoimintamallin tarkistaminen Euroopan mediamarkkinoiden eheyden ja riippumattomuuden varmistamiseksi</w:t>
      </w:r>
      <w:r>
        <w:rPr>
          <w:rStyle w:val="Ancredenotedefin"/>
          <w:rStyle w:val="Ancredenotedefin"/>
        </w:rPr>
        <w:endnoteReference w:id="61"/>
      </w:r>
      <w:r>
        <w:rPr/>
        <w:t>.</w:t>
      </w:r>
    </w:p>
    <w:p>
      <w:pPr>
        <w:pStyle w:val="Puce3"/>
        <w:tabs>
          <w:tab w:val="clear" w:pos="720"/>
        </w:tabs>
        <w:rPr/>
      </w:pPr>
      <w:r>
        <w:rPr/>
        <w:t>2.</w:t>
        <w:tab/>
        <w:t>EU:n kilpailusääntöjen tiukka soveltaminen media-alalla, jotta voidaan estää suurten tiedotusvälineiden monopolien syntyminen ja varmistaa tiedotusvälineiden moniarvoisuus ja riippumattomuus poliittisten, liike-elämän ja/tai ulkomaiden epätoivotusta puuttumisesta. Olisi myös kannustettava laadukasta journalismia, jossa noudatetaan tunnustettuja ja korkeita eettisiä ja itsesääntelyä koskevia normeja</w:t>
      </w:r>
      <w:r>
        <w:rPr>
          <w:rStyle w:val="Ancredenotedefin"/>
          <w:rStyle w:val="Ancredenotedefin"/>
        </w:rPr>
        <w:endnoteReference w:id="62"/>
      </w:r>
      <w:r>
        <w:rPr/>
        <w:t>.</w:t>
      </w:r>
    </w:p>
    <w:p>
      <w:pPr>
        <w:pStyle w:val="Puce3"/>
        <w:tabs>
          <w:tab w:val="clear" w:pos="720"/>
        </w:tabs>
        <w:rPr/>
      </w:pPr>
      <w:r>
        <w:rPr/>
        <w:t>3.</w:t>
        <w:tab/>
        <w:t xml:space="preserve">EU:n elimen perustaminen kohdennetun disinformaation ja siihen puuttumisen torjumiseksi, tilannekuvan parantamiseksi sekä faktantarkistusorganisaatioiden ja riippumattomien tiedotusvälineiden vahvistamiseksi. ”Hätänumeroita” ja sivustoja, kuten Europe Direct -palvelua, joiden avulla kansalaiset ja kansalliset tiedotusvälineet voivat pyytää ja vastaanottaa todennettuja tietoja EU:n strategioista ja politiikoista, olisi myös tuettava ja edistettävä aktiivisemmin.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Edistetään medialukutaitoa ja yleisön tietoisuutta disinformaatiosta ja uutisten tahattomasta leviämisestä muun muassa oppivelvollisuuskoulutuksen avulla. Jäsenvaltioita olisi myös kannustettava osoittamaan tähän tarkoitukseen riittävät henkilö- ja rahoitusresurssit. </w:t>
      </w:r>
      <w:r>
        <w:rPr>
          <w:rStyle w:val="Ancredenotedefin"/>
          <w:rStyle w:val="Ancredenotedefin"/>
        </w:rPr>
        <w:endnoteReference w:id="65"/>
      </w:r>
    </w:p>
    <w:p>
      <w:pPr>
        <w:pStyle w:val="Puce3"/>
        <w:tabs>
          <w:tab w:val="clear" w:pos="720"/>
        </w:tabs>
        <w:rPr/>
      </w:pPr>
      <w:r>
        <w:rPr/>
        <w:t>5.</w:t>
        <w:tab/>
        <w:t>Nykyisten aloitteiden, kuten disinformaation vastaisten käytännesääntöjen ja Euroopan digitaalisen median seurantakeskuksen (EDMO), pohjalta verkkoalustat velvoitetaan julkaisemaan selkeät tiedot käyttämistään algoritmeista (käyttäjien on voitava antaa suostumuksensa vai eivät) ja käyttäjien altistumista disinformaation riskeistä säilyttäen samalla oikeus sananvapauteen ja oikeus yksityisyyteen.</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Ehdotus: Tiedotusvälineet, valeuutiset, disinformaatio, faktantarkistus, kyberturvallisuus (bis)</w:t>
      </w:r>
    </w:p>
    <w:p>
      <w:pPr>
        <w:pStyle w:val="P68B1DB1Normal15"/>
        <w:rPr>
          <w:b/>
          <w:b/>
        </w:rPr>
      </w:pPr>
      <w:r>
        <w:rPr/>
        <w:t>Tavoite: vahvistetaan unionin roolia kyberturvallisuusuhkien torjunnassa, erityisesti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p>
    <w:p>
      <w:pPr>
        <w:pStyle w:val="Puce3"/>
        <w:tabs>
          <w:tab w:val="clear" w:pos="720"/>
        </w:tabs>
        <w:rPr/>
      </w:pPr>
      <w:r>
        <w:rPr/>
        <w:t>1.</w:t>
        <w:tab/>
        <w:t xml:space="preserve">Vahvistetaan Euroopan unionin kyberturvallisuusvirastoa (ENISA), jotta voidaan suojella paremmin yksilöitä, organisaatioita ja instituutioita kyberturvallisuusloukkauksilta ja tekoälyn käytöltä rikollisiin tarkoituksiin. Samalla olisi säilytettävä henkilötietojen luottamuksellisuus ja suoja.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Kansallisten kyberturvallisuusviranomaisten koordinoinnin parantaminen ja lisäponnistelut unionin sääntöjen tehokkaan täytäntöönpanon varmistamiseksi kansallisella tasolla.</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Ehdotus: Syrjinnän, tasa-arvon ja elämänlaadun torjuminen</w:t>
      </w:r>
    </w:p>
    <w:p>
      <w:pPr>
        <w:pStyle w:val="P68B1DB1Normal15"/>
        <w:rPr>
          <w:b/>
          <w:b/>
        </w:rPr>
      </w:pPr>
      <w:r>
        <w:rPr/>
        <w:t>TAVOITE: Toteuttaa toimenpiteitä elinolojen yhdenmukaistamiseksi koko unionissa ja parantaa kansalaistensa sosioekonomista elämänlaatua, erityisesti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72"/>
      </w:r>
      <w:r>
        <w:rPr/>
        <w:t>:</w:t>
      </w:r>
    </w:p>
    <w:p>
      <w:pPr>
        <w:pStyle w:val="Puce3"/>
        <w:tabs>
          <w:tab w:val="clear" w:pos="720"/>
        </w:tabs>
        <w:rPr/>
      </w:pPr>
      <w:r>
        <w:rPr/>
        <w:t>1.</w:t>
        <w:tab/>
        <w:t>Kehitetään avoimia elämänlaatuindikaattoreita, mukaan lukien taloudelliset, sosiaaliset ja oikeusvaltioperiaatetta koskevat kriteerit, asiantuntijoita ja työmarkkinaosapuolia kuullen, jotta voidaan laatia selkeä ja realistinen aikataulu sosiaalisten normien nostamiselle ja unionin yhteisen sosioekonomisen rakenteen luomiselle, myös panemalla täytäntöön Euroopan sosiaalisten oikeuksien pilari. Nämä toimenpiteet olisi sisällytettävä talouden ohjausjärjestelmään ja talouspolitiikan eurooppalaiseen ohjausjaksoon</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Lisätään ja helpotetaan suoria julkisia investointeja terveyteen, koulutukseen, fyysiseen infrastruktuuriin sekä ikääntyneiden ja vammaisten henkilöiden hoitoon. Lisäinvestoinneilla olisi myös pyrittävä varmistamaan tyydyttävä työ- ja yksityiselämän tasapaino kansalaisten kannalta. Nämä investoinnit olisi toteutettava täysin avoimesti, jotta koko prosessia voidaan seurata</w:t>
      </w:r>
      <w:r>
        <w:rPr>
          <w:rStyle w:val="Ancredenotedefin"/>
          <w:rStyle w:val="Ancredenotedefin"/>
        </w:rPr>
        <w:endnoteReference w:id="75"/>
      </w:r>
      <w:r>
        <w:rPr/>
        <w:t>.</w:t>
      </w:r>
    </w:p>
    <w:p>
      <w:pPr>
        <w:pStyle w:val="Puce3"/>
        <w:tabs>
          <w:tab w:val="clear" w:pos="720"/>
        </w:tabs>
        <w:rPr/>
      </w:pPr>
      <w:r>
        <w:rPr/>
        <w:t>3.</w:t>
        <w:tab/>
        <w:t>Suurten yritysten verotuksen edistäminen, veroparatiisien saatavuuden torjuminen ja niiden olemassaolon poistaminen, jotta voidaan lisätä julkisia investointeja ensisijaisiin aloihin, kuten koulutukseen (opintoavustukset, Erasmus) ja tutkimukseen. Veronkierron torjunnan EU:n tasolla olisi myös oltava keino kerätä varoja julkisesti rahoitettuihin aloitteisiin</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Vahvistamalla unionin laajuiset kriteerit syrjinnän torjumiseksi työmarkkinoilla ja kannustamalla yksityisiä yrityksiä palkkaamaan henkilöitä, joihin syrjintä yleensä kohdistuu eniten (mukaan lukien nuoret, ikääntyneet, naiset ja vähemmistöihin kuuluvat henkilöt), myös tukien avulla, ja toiseksi väliaikaisten kiintiöiden avulla. Työmarkkinaosapuolten olisi oltava tiiviisti mukana näissä toimissa. Syrjintä työmarkkinoiden ulkopuolella olisi myös kiellettävä lailla, ja tasa-arvoon olisi kannustettava</w:t>
      </w:r>
      <w:r>
        <w:rPr>
          <w:rStyle w:val="Ancredenotedefin"/>
          <w:rStyle w:val="Ancredenotedefin"/>
        </w:rPr>
        <w:endnoteReference w:id="78"/>
      </w:r>
      <w:r>
        <w:rPr/>
        <w:t>.</w:t>
      </w:r>
    </w:p>
    <w:p>
      <w:pPr>
        <w:pStyle w:val="Puce3"/>
        <w:tabs>
          <w:tab w:val="clear" w:pos="720"/>
        </w:tabs>
        <w:rPr/>
      </w:pPr>
      <w:r>
        <w:rPr/>
        <w:t>5.</w:t>
        <w:tab/>
        <w:t>Kohtuuhintaisten sekä julkisten että yksityisten päiväkotien sekä maksuttomien lastenhoitopalvelujen luominen ja helpottaminen sitä tarvitseville</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Ehdotus: Eläinten oikeudet, maatalous</w:t>
      </w:r>
    </w:p>
    <w:p>
      <w:pPr>
        <w:pStyle w:val="P68B1DB1Normal15"/>
        <w:rPr>
          <w:b/>
          <w:b/>
        </w:rPr>
      </w:pPr>
      <w:r>
        <w:rPr/>
        <w:t>Tavoite: Toteuttaa päättäväisiä toimenpiteitä ympäristöystävällisemmän ja ilmastoystävällisemmän maatalouden edistämiseksi ja varmistamiseksi, erityisesti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80"/>
      </w:r>
      <w:r>
        <w:rPr/>
        <w:t>:</w:t>
      </w:r>
    </w:p>
    <w:p>
      <w:pPr>
        <w:pStyle w:val="Puce3"/>
        <w:tabs>
          <w:tab w:val="clear" w:pos="720"/>
        </w:tabs>
        <w:rPr/>
      </w:pPr>
      <w:r>
        <w:rPr/>
        <w:t>1.</w:t>
        <w:tab/>
        <w:t>Vahvistamalla yksityiskohtaiset, mitattavissa olevat ja aikasidonnaiset vähimmäisvaatimukset tuotantoeläinten suojelemiseksi, jotta voidaan varmistaa tiukemmat eläinten hyvinvointia koskevat vaatimukset kestävyystavoitteiden mukaisesti ja elintarvikejärjestelmää koskevan yhdennetyn lähestymistavan pohjalta</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Otetaan käyttöön taloudellisia seuraamuksia maataloustoiminnasta aiheutuvista haitallisista vaikutuksista (esim. kasvihuonekaasupäästöt, torjunta-aineiden käyttö, liiallinen vedenkulutus, kaukoliikenne jne.) riippuen niiden ympäristövaikutuksista. Unioniin tuotavia maataloustuotteita olisi myös arvioitava tällä perusteella, myös tullien avulla, jotta voidaan poistaa vähemmän tiukoista ympäristönormeista aiheutuva kilpailuetu</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Vähennetään maatalouden massatuotannon tukia silloin, kun se ei edistä kestävää siirtymää, ja suunnataan nämä varat ympäristön kannalta kestävän maatalouden tukemiseen varmistaen samalla elintarvikkeiden kohtuuhintaisuus.</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Kuva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Kuva26"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w:t>
      </w:r>
      <w:r>
        <w:rPr/>
        <w:t>Digitaalinen muutos”</w:t>
      </w:r>
    </w:p>
    <w:p>
      <w:pPr>
        <w:pStyle w:val="Normal"/>
        <w:rPr/>
      </w:pPr>
      <w:r>
        <w:rPr/>
        <w:t>Euroopan on oltava maailman eturintamassa ja asetettava standardit digitaaliselle muutokselle, ja sen on kartoitettava eurooppalainen tie kohti eettistä, ihmiskeskeistä, avointa ja turvallista yhteiskuntaa. Euroopan on omaksuttava kunnianhimoinen lähestymistapa ja hyödynnettävä täysimääräisesti digitalisaation tarjoamia mahdollisuuksia samalla kun hallitaan digitalisaation aiheuttamia riskejä ja haasteita. Digitalisaatio koskee kaikkia yhteiskuntamme osa-alueita, ja se on otettava järjestelmällisesti huomioon. Tässä yhteydessä on viitattu digitaalisia oikeuksia ja digitaalisen vuosikymmenen periaatteita koskevaan eurooppalaiseen julistukseen, ja on ehdotettu, että tulevaisuudessa harkitaan digitaalisten oikeuksien peruskirjan mahdollista laatimista.</w:t>
      </w:r>
    </w:p>
    <w:p>
      <w:pPr>
        <w:pStyle w:val="Normal"/>
        <w:rPr/>
      </w:pPr>
      <w:r>
        <w:rPr/>
        <w:t>Venäjän aggressio Ukrainassa vahvistaa vain monia ehdotuksissa käsiteltyjä seikkoja, kuten digitaalisen suvereniteetin tarvetta, kyberpuolustuksen lisäämistä ja disinformaatiolta suojaamista. Se osoittaa myös, että nykyajan ristiriidoilla on seurauksia digitaalisella alalla ja herättää uusia kysymyksiä, kuten henkilötietojen väärinkäytön pitkän aikavälin seuraukset ja näiden tietojen laiton käyttö tulevaisuudessa.</w:t>
      </w:r>
    </w:p>
    <w:p>
      <w:pPr>
        <w:pStyle w:val="Normal"/>
        <w:rPr/>
      </w:pPr>
      <w:r>
        <w:rPr/>
      </w:r>
    </w:p>
    <w:p>
      <w:pPr>
        <w:pStyle w:val="Titre3"/>
        <w:numPr>
          <w:ilvl w:val="2"/>
          <w:numId w:val="2"/>
        </w:numPr>
        <w:rPr/>
      </w:pPr>
      <w:bookmarkStart w:id="81" w:name="__RefHeading___Toc298336_1346298689"/>
      <w:bookmarkEnd w:id="81"/>
      <w:r>
        <w:rPr/>
        <w:t>31. Ehdotus: Pääsy digitaaliseen infrastruktuuriin</w:t>
      </w:r>
    </w:p>
    <w:p>
      <w:pPr>
        <w:pStyle w:val="Normal"/>
        <w:rPr/>
      </w:pPr>
      <w:r>
        <w:rPr/>
        <w:t>Tavoite: Yhdenvertainen pääsy internetiin on perusoikeus kaikille Euroopan kansalaisille. Ehdotamme, että kaikilla eurooppalaisilla on tosiasiallinen pääsy internetiin ja digitaalisiin palveluihin ja että EU:n digitaalisen infrastruktuurin suvereniteettia vahvistetaan toteuttamalla seuraavat toimenpiteet: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86"/>
      </w:r>
      <w:r>
        <w:rPr/>
        <w:t>:</w:t>
      </w:r>
    </w:p>
    <w:p>
      <w:pPr>
        <w:pStyle w:val="Puce3"/>
        <w:tabs>
          <w:tab w:val="clear" w:pos="720"/>
        </w:tabs>
        <w:rPr/>
      </w:pPr>
      <w:r>
        <w:rPr/>
        <w:t>1.</w:t>
        <w:tab/>
        <w:t>Investoinnit laadukkaaseen ja innovatiiviseen eurooppalaiseen digitaaliseen infrastruktuuriin (mukaan lukien 5G:n ja 6G:n kehittäminen Euroopassa) (Alankomaiden kansallisen yhteyspisteen suositukset 40 ja 47).</w:t>
      </w:r>
    </w:p>
    <w:p>
      <w:pPr>
        <w:pStyle w:val="Puce3"/>
        <w:tabs>
          <w:tab w:val="clear" w:pos="720"/>
        </w:tabs>
        <w:rPr/>
      </w:pPr>
      <w:r>
        <w:rPr/>
        <w:t>2.</w:t>
        <w:tab/>
        <w:t>Varmistetaan nopea, kohtuuhintainen, turvallinen ja vakaa internetyhteys kaikkialla unionissa, verkkovierailut mukaan lukien, asettamalla etusijalle internetyhteyksien luominen ”valkoisilla/kuolleilla alueilla”, maaseutualueilla sekä syrjäisillä ja syrjäisillä alueilla, jotta voidaan kaventaa jäsenvaltioiden välistä ja sisäistä digitaalista kuilua ja varmistaa, ettei ketään jätetä jälkeen (Alankomaiden kansallisen yhteyspisteen 1 suositukset 17 ja 47 ja nro 1).</w:t>
      </w:r>
    </w:p>
    <w:p>
      <w:pPr>
        <w:pStyle w:val="Puce3"/>
        <w:tabs>
          <w:tab w:val="clear" w:pos="720"/>
        </w:tabs>
        <w:rPr/>
      </w:pPr>
      <w:r>
        <w:rPr/>
        <w:t>3.</w:t>
        <w:tab/>
        <w:t>Edistetään sähköisten ja autonomisten ajoneuvojen käytön mahdollistavan digitaalisen ja sähköisen infrastruktuurin käyttöönottoa julkisissa ja yksityisissä tiloissa (keskustelu työryhmässä)</w:t>
      </w:r>
      <w:r>
        <w:rPr>
          <w:rStyle w:val="Ancredenotedefin"/>
          <w:rStyle w:val="Ancredenotedefin"/>
        </w:rPr>
        <w:endnoteReference w:id="87"/>
      </w:r>
      <w:r>
        <w:rPr/>
        <w:t>.</w:t>
      </w:r>
    </w:p>
    <w:p>
      <w:pPr>
        <w:pStyle w:val="Puce3"/>
        <w:tabs>
          <w:tab w:val="clear" w:pos="720"/>
        </w:tabs>
        <w:rPr/>
      </w:pPr>
      <w:r>
        <w:rPr/>
        <w:t>4.</w:t>
        <w:tab/>
        <w:t>Toteutettava toimenpiteitä, joilla varmistetaan oikeudenmukainen ja avoin kilpailu ja estetään monopolit, riippuvuus toimittajista, tietojen keskittyminen ja kolmansien maiden riippuvuus infrastruktuurista ja palveluista; markkinoiden parantaminen kuluttajien näkökulmasta (CEP:n suositus nro 17 1).</w:t>
      </w:r>
    </w:p>
    <w:p>
      <w:pPr>
        <w:pStyle w:val="Puce3"/>
        <w:tabs>
          <w:tab w:val="clear" w:pos="720"/>
        </w:tabs>
        <w:rPr/>
      </w:pPr>
      <w:r>
        <w:rPr/>
        <w:t>5.</w:t>
        <w:tab/>
        <w:t>Asetetaan lapset, perheet, vanhukset ja haavoittuvassa asemassa olevat ryhmät etusijalle Internetin ja tietoteknisten laitteiden saatavuuden osalta, mukaan lukien pääsy koulutukseen, julkisiin palveluihin ja terveydenhuoltoon (CEP 1 -suositus 17 ja keskustelu työryhmässä).</w:t>
      </w:r>
    </w:p>
    <w:p>
      <w:pPr>
        <w:pStyle w:val="Puce3"/>
        <w:tabs>
          <w:tab w:val="clear" w:pos="720"/>
        </w:tabs>
        <w:rPr/>
      </w:pPr>
      <w:r>
        <w:rPr/>
        <w:t>6.</w:t>
        <w:tab/>
        <w:t>Parannetaan kansalaisten ja yritysten kannalta olennaisten julkisten ja yksityisten palvelujen täysimääräistä saatavuutta, esimerkiksi hallinnollisten menettelyjen osalta, ja varmistetaan näiden palvelujen saatavuus ja niihin liittyvä tuki kaikille esimerkiksi tukipalvelujen avulla (keskustelu työryhmässä, monikieliset digitaaliset alustat).</w:t>
      </w:r>
    </w:p>
    <w:p>
      <w:pPr>
        <w:pStyle w:val="Puce3"/>
        <w:tabs>
          <w:tab w:val="clear" w:pos="720"/>
        </w:tabs>
        <w:rPr/>
      </w:pPr>
      <w:r>
        <w:rPr/>
        <w:t>7.</w:t>
        <w:tab/>
        <w:t>Yhdenmukaistetaan korkealaatuisia digitaalisia standardeja ja parannetaan datan turvallista liikkuvuutta rajatylittävän yhteentoimivuuden helpottamiseksi (keskustelu työryhmässä, monikielinen digitaalinen alusta).</w:t>
      </w:r>
    </w:p>
    <w:p>
      <w:pPr>
        <w:pStyle w:val="Puce3"/>
        <w:tabs>
          <w:tab w:val="clear" w:pos="720"/>
        </w:tabs>
        <w:rPr/>
      </w:pPr>
      <w:r>
        <w:rPr/>
        <w:t>8.</w:t>
        <w:tab/>
        <w:t>Pohditaan digitaalisen infrastruktuurin ja digitalisaation ympäristövaikutuksia, jotta digitaalinen muutos olisi kestävä ja siirtyminen kohti vihreää digitaalista yhteiskuntaa (keskustelu työryhmässä, monikielinen digitaalinen foorumi).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Ehdotus: Digitaaliset tiedot ja taidot, jotka voimaannuttavat ihmisiä</w:t>
      </w:r>
    </w:p>
    <w:p>
      <w:pPr>
        <w:pStyle w:val="P68B1DB1Normal15"/>
        <w:rPr>
          <w:b/>
          <w:b/>
        </w:rPr>
      </w:pPr>
      <w:r>
        <w:rPr/>
        <w:t>Tavoite: Ehdotamme, että EU varmistaa, että kaikki Euroopan kansalaiset voivat hyödyntää digitalisaatiota antamalla heille mahdollisuuden hankkia tarvittavat digitaaliset taidot ja mahdollisuudet toteuttamalla seuraavat toimenpiteet: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88"/>
      </w:r>
      <w:r>
        <w:rPr/>
        <w:t>:</w:t>
      </w:r>
    </w:p>
    <w:p>
      <w:pPr>
        <w:pStyle w:val="Puce3"/>
        <w:tabs>
          <w:tab w:val="clear" w:pos="720"/>
        </w:tabs>
        <w:rPr/>
      </w:pPr>
      <w:r>
        <w:rPr/>
        <w:t>1.</w:t>
        <w:tab/>
        <w:t>Varmistetaan, että elinikäiset digitaaliset taidot ja tiedot, mukaan lukien koulut, viralliset ja epäviralliset opetussuunnitelmat, voivat osallistua olemassa oleviin Euroopan tason aloitteisiin, kiinnittäen erityistä huomiota heikossa asemassa oleviin ryhmiin kuuluvien ja iäkkäiden henkilöiden osallistamiseen sekä lasten digitaalisten taitojen vahvistamiseen tavalla, joka on yhteensopiva heidän asianmukaisen kehityksensä ja digitaalisen eriarvoisuuden, mukaan lukien miesten ja naisten välisen digitaalisen kuilun, kanssa yhteensopivalla tavalla (ECP:n suositus nro 8, Italian kansallisen yhteyspisteen suositus 5.2 ja keskustelu työryhmässä).</w:t>
      </w:r>
    </w:p>
    <w:p>
      <w:pPr>
        <w:pStyle w:val="Puce3"/>
        <w:tabs>
          <w:tab w:val="clear" w:pos="720"/>
        </w:tabs>
        <w:rPr/>
      </w:pPr>
      <w:r>
        <w:rPr/>
        <w:t>2.</w:t>
        <w:tab/>
        <w:t>Varmistetaan internetin moitteeton käyttö kannustamalla jäsenvaltioita kehittämään digitaalisia taitoja koskevaa koulutusta kaikille ikäryhmille yhdenmukaistetuilla ohjelmilla ja sisällöillä Euroopan tasolla, kuten internetin riskeistä ja mahdollisuuksista, käyttäjien oikeuksista verkossa ja netiketistä (CEP 1 -suositus 47 ja keskustelu työryhmässä).</w:t>
      </w:r>
    </w:p>
    <w:p>
      <w:pPr>
        <w:pStyle w:val="Puce3"/>
        <w:tabs>
          <w:tab w:val="clear" w:pos="720"/>
        </w:tabs>
        <w:rPr/>
      </w:pPr>
      <w:r>
        <w:rPr/>
        <w:t>3.</w:t>
        <w:tab/>
        <w:t>Toteutettava kaikki tarvittavat toimenpiteet sen varmistamiseksi, että yhteiskunnan digitalisointi ei sulje pois ikääntyneitä ja että teknologia on heidän saatavillaan kannustamalla asiaankuuluvia ohjelmia ja aloitteita, kuten heidän tarpeisiinsa räätälöityjä kursseja. Samalla olisi varmistettava, että keskeiset palvelut ovat saatavilla myös henkilökohtaisesti ja ei-digitaalisesti (CEP:n suositukset 34 ja 47).</w:t>
      </w:r>
    </w:p>
    <w:p>
      <w:pPr>
        <w:pStyle w:val="Puce3"/>
        <w:tabs>
          <w:tab w:val="clear" w:pos="720"/>
        </w:tabs>
        <w:rPr/>
      </w:pPr>
      <w:r>
        <w:rPr/>
        <w:t>4.</w:t>
        <w:tab/>
        <w:t>Otetaan kouluissa käyttöön digitaalisia taitoja koskeva eurooppalainen sertifiointi, jolla valmistellaan nuoria tulevia työmarkkinoita varten (CEP:n suositus 8 1).</w:t>
      </w:r>
    </w:p>
    <w:p>
      <w:pPr>
        <w:pStyle w:val="Puce3"/>
        <w:tabs>
          <w:tab w:val="clear" w:pos="720"/>
        </w:tabs>
        <w:rPr/>
      </w:pPr>
      <w:r>
        <w:rPr/>
        <w:t>5.</w:t>
        <w:tab/>
        <w:t>Toteutetaan unionin tasolla koordinoituja koulutusaloitteita työntekijöiden uudelleenkouluttamiseksi ja taitojen parantamiseksi työmarkkinoiden kilpailukyvyn säilyttämiseksi erityisesti pk-yrityksissä tarvittavien taitojen ja pätevyyksien osalta sekä digitaalisten asiantuntijoiden kouluttamiseksi (CEP:n suositus 8 ja keskustelu työryhmässä).</w:t>
      </w:r>
    </w:p>
    <w:p>
      <w:pPr>
        <w:pStyle w:val="Puce3"/>
        <w:tabs>
          <w:tab w:val="clear" w:pos="720"/>
        </w:tabs>
        <w:rPr/>
      </w:pPr>
      <w:r>
        <w:rPr/>
        <w:t>6.</w:t>
        <w:tab/>
        <w:t>Tiedotetaan olemassa olevista digitaalisista alustoista, jotka yhdistävät kansalaisia työnantajiin ja auttavat heitä löytämään työpaikkoja, kuten Eures-verkostosta (CEP:n suositus nro 8 1).</w:t>
      </w:r>
    </w:p>
    <w:p>
      <w:pPr>
        <w:pStyle w:val="Puce3"/>
        <w:tabs>
          <w:tab w:val="clear" w:pos="720"/>
        </w:tabs>
        <w:rPr/>
      </w:pPr>
      <w:r>
        <w:rPr/>
        <w:t>7.</w:t>
        <w:tab/>
        <w:t>Lisätään investointeja ja toimia koulutuksen, myös korkea-asteen koulutuksen, digitalisoinnin edistämiseksi (keskustelu työryhmässä/monikielisellä digitaalisella alustalla).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Ehdotus: Turvallinen ja luotettava digitaalinen yhteiskunta – kyberturvallisuus ja disinformaatio</w:t>
      </w:r>
    </w:p>
    <w:p>
      <w:pPr>
        <w:pStyle w:val="P68B1DB1Normal15"/>
        <w:rPr>
          <w:b/>
          <w:b/>
        </w:rPr>
      </w:pPr>
      <w:r>
        <w:rPr/>
        <w:t>Tavoite: ehdotamme, että turvallisen, häiriönsietokykyisen ja luotettavan digitaalisen yhteiskunnan luomiseksi EU:n olisi varmistettava voimassa olevan lainsäädännön tehokas ja oikea-aikainen täytäntöönpano ja että sillä olisi enemmän toimivaltaa vahvistaa kyberturvallisuutta, torjua laitonta sisältöä ja kyberrikollisuutta, puuttua valtiosta riippumattomien toimijoiden ja autoritaaristen valtioiden kyberuhkien seurauksiin ja puuttua niihin sekä torjua disinformaatiota toteuttamalla seuraavat toimenpiteet: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89"/>
      </w:r>
      <w:r>
        <w:rPr/>
        <w:t>:</w:t>
      </w:r>
    </w:p>
    <w:p>
      <w:pPr>
        <w:pStyle w:val="Puce3"/>
        <w:tabs>
          <w:tab w:val="clear" w:pos="720"/>
        </w:tabs>
        <w:rPr/>
      </w:pPr>
      <w:r>
        <w:rPr/>
        <w:t>1.</w:t>
        <w:tab/>
        <w:t>Vahvistetaan Europolin/Euroopan verkkorikostorjuntakeskuksen valmiuksia taloudellisten ja henkilöresurssien osalta, jotta mahdollistetaan ennakoivampi lähestymistapa kyberrikollisuuteen ja vahvistetaan yhteisiä eurooppalaisia kyberpuolustusvalmiuksia laajamittaisia hyökkäyksiä vastaan muun muassa parantamalla yhteistyötä (ECP:n suositus nro 39, Liettuan kansallisen yhteyspisteen suositus 2.6 ja Alankomaiden kansallisen yhteyspisteen kansallinen yhteyspiste 1 sekä keskustelu työryhmässä).</w:t>
      </w:r>
    </w:p>
    <w:p>
      <w:pPr>
        <w:pStyle w:val="Puce3"/>
        <w:tabs>
          <w:tab w:val="clear" w:pos="720"/>
        </w:tabs>
        <w:rPr/>
      </w:pPr>
      <w:r>
        <w:rPr/>
        <w:t>2.</w:t>
        <w:tab/>
        <w:t>Toteutettava tarvittavat toimenpiteet, jotta voidaan valmistautua laajamittaisiin hyökkäyksiin ja palveluhäiriöihin ja selviytyä niistä nopeasti esimerkiksi varmistamalla häiriönsietokykyisten infrastruktuurien ja vaihtoehtoisten viestintäkanavien olemassaolo (keskustelu työryhmässä).</w:t>
      </w:r>
    </w:p>
    <w:p>
      <w:pPr>
        <w:pStyle w:val="Puce3"/>
        <w:tabs>
          <w:tab w:val="clear" w:pos="720"/>
        </w:tabs>
        <w:rPr/>
      </w:pPr>
      <w:r>
        <w:rPr/>
        <w:t>3.</w:t>
        <w:tab/>
        <w:t>Varmistetaan vastaavat seuraamukset ja niiden nopea ja tehokas täytäntöönpano jäsenvaltioissa verkkorikollisuuden yhteydessä parantamalla paikallisten, alueellisten ja kansallisten kyberturvallisuuskeskusten ja -viranomaisten koordinointia (CEP:n suositus nro 39 1).</w:t>
      </w:r>
    </w:p>
    <w:p>
      <w:pPr>
        <w:pStyle w:val="Puce3"/>
        <w:tabs>
          <w:tab w:val="clear" w:pos="720"/>
        </w:tabs>
        <w:rPr/>
      </w:pPr>
      <w:r>
        <w:rPr/>
        <w:t>4.</w:t>
        <w:tab/>
        <w:t>Parannetaan digitaalista tietämystä ja kriittistä ajattelua keinona torjua disinformaatiota, verkkouhkia ja vihapuhetta sekä väärennettyjä rajapintoja ja edullisia hintoja (työryhmässä käytävä keskustelu).</w:t>
      </w:r>
    </w:p>
    <w:p>
      <w:pPr>
        <w:pStyle w:val="Puce3"/>
        <w:tabs>
          <w:tab w:val="clear" w:pos="720"/>
        </w:tabs>
        <w:rPr/>
      </w:pPr>
      <w:r>
        <w:rPr/>
        <w:t>5.</w:t>
        <w:tab/>
        <w:t>Disinformaation torjuminen hyväksymällä lainsäädäntöä ja ohjeita, joilla varmistetaan, että verkkoalustat ja sosiaalisen median yritykset puuttuvat disinformaation haavoittuvuuteen, ja soveltavat avoimuustoimenpiteitä, kuten tekoälyyn perustuvia algoritmeja, joilla voidaan korostaa sosiaalisen median ja uusien tiedotusvälineiden tietojen luotettavuutta, tarjoamalla käyttäjälle todennettuja tietolähteitä. Kun algoritmeja käytetään, lopullinen kontrolli päätöksentekoprosesseissa olisi oltava ihmisten vastuulla (CEP 1 -suositus 46 ja keskustelu työryhmässä).</w:t>
      </w:r>
    </w:p>
    <w:p>
      <w:pPr>
        <w:pStyle w:val="Puce3"/>
        <w:tabs>
          <w:tab w:val="clear" w:pos="720"/>
        </w:tabs>
        <w:rPr/>
      </w:pPr>
      <w:r>
        <w:rPr/>
        <w:t>6.</w:t>
        <w:tab/>
        <w:t>Tuetaan digitaalisia alustoja, jotka edistävät tiedotusvälineiden moniarvoisuutta ja tarjoavat resursseja ja aloitteita, joilla arvioidaan perinteisistä tiedotusvälineistä (televisio, painettu, radio) ja muista tiedotusvälineistä peräisin olevan tiedon luotettavuutta ja puolueettomuutta tiedotusvälineiden vapauden periaatetta täysimääräisesti noudattaen ja tarjota kansalaisille tietoa tiedon laadusta (CEP:n suositus 46).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Ehdotus: Turvallinen ja luotettava digitaalinen yhteiskunta – tietosuoja</w:t>
      </w:r>
    </w:p>
    <w:p>
      <w:pPr>
        <w:pStyle w:val="P68B1DB1Normal15"/>
        <w:rPr>
          <w:b/>
          <w:b/>
        </w:rPr>
      </w:pPr>
      <w:r>
        <w:rPr/>
        <w:t>Tavoite: Tuemme ihmisten datasuvereniteettia, tietoisuuden parantamista sekä nykyisten tietosuojasääntöjen (GDPR) tehokkaampaa täytäntöönpanoa ja täytäntöönpanon valvontaa, jotta voidaan vahvistaa ihmisten mahdollisuuksia valvoa heidän tietojaan ja rajoittaa tietojen väärinkäyttöä toteuttamalla seuraavat toimenpiteet: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90"/>
      </w:r>
      <w:r>
        <w:rPr/>
        <w:t>:</w:t>
      </w:r>
    </w:p>
    <w:p>
      <w:pPr>
        <w:pStyle w:val="Puce3"/>
        <w:tabs>
          <w:tab w:val="clear" w:pos="720"/>
        </w:tabs>
        <w:rPr/>
      </w:pPr>
      <w:r>
        <w:rPr/>
        <w:t>1.</w:t>
        <w:tab/>
        <w:t>Selitetään paremmin tietosuojasääntöjä, lisätään avoimuutta ja parannetaan viestintää laatimalla ohjeita tietoon perustuvasta suostumuksesta teksteille, joissa käytetään yksinkertaista, selkeää ja ymmärrettävää kieltä, mukaan lukien visuaalisempi esitys tietojen käytön hyväksymiseksi ja niiden mukana tiedotuskampanjassa sekä varmistetaan, että rekisterinpitäjillä on tarvittavat taidot ja neuvotaan apua tarvitsevia (Hollannin kansallisen yhteyspisteen 1 ja nro 2 suositukset 42 ja 45).</w:t>
      </w:r>
    </w:p>
    <w:p>
      <w:pPr>
        <w:pStyle w:val="Puce3"/>
        <w:tabs>
          <w:tab w:val="clear" w:pos="720"/>
        </w:tabs>
        <w:rPr/>
      </w:pPr>
      <w:r>
        <w:rPr/>
        <w:t>2.</w:t>
        <w:tab/>
        <w:t>Varmistetaan datan uudelleenkäyttöä tai jälleenmyyntiä koskevan oletussuostumuksen nykyisen kiellon täytäntöönpano (CEP:n suositus nro 42 1).</w:t>
      </w:r>
    </w:p>
    <w:p>
      <w:pPr>
        <w:pStyle w:val="Puce3"/>
        <w:tabs>
          <w:tab w:val="clear" w:pos="720"/>
        </w:tabs>
        <w:rPr/>
      </w:pPr>
      <w:r>
        <w:rPr/>
        <w:t>3.</w:t>
        <w:tab/>
        <w:t>Varmistettava, että käyttäjien pyynnöt tietojen lopullisesta poistamisesta hyväksytään tietyssä määräajassa (CEP:n suositus nro 42).</w:t>
      </w:r>
    </w:p>
    <w:p>
      <w:pPr>
        <w:pStyle w:val="Puce3"/>
        <w:tabs>
          <w:tab w:val="clear" w:pos="720"/>
        </w:tabs>
        <w:rPr/>
      </w:pPr>
      <w:r>
        <w:rPr/>
        <w:t>4.</w:t>
        <w:tab/>
        <w:t>Antaa käyttäjille selkeät ja ytimekkäät tiedot siitä, miten tietoja käytetään ja kuka käyttää niitä (CEP:n suositus nro 42 1)</w:t>
      </w:r>
    </w:p>
    <w:p>
      <w:pPr>
        <w:pStyle w:val="Puce3"/>
        <w:tabs>
          <w:tab w:val="clear" w:pos="720"/>
        </w:tabs>
        <w:rPr/>
      </w:pPr>
      <w:r>
        <w:rPr/>
        <w:t>5.</w:t>
        <w:tab/>
        <w:t>Varmistetaan, että Euroopan ulkopuoliset yritykset noudattavat EU:n tietosuojasääntöjä (CEP 1:n suositukset 42 ja 43).</w:t>
      </w:r>
    </w:p>
    <w:p>
      <w:pPr>
        <w:pStyle w:val="Puce3"/>
        <w:tabs>
          <w:tab w:val="clear" w:pos="720"/>
        </w:tabs>
        <w:rPr/>
      </w:pPr>
      <w:r>
        <w:rPr/>
        <w:t>6.</w:t>
        <w:tab/>
        <w:t>Kannustaminen sellaisen EU:n tason sertifiointijärjestelmän perustamiseen, joka todistaa yleisen tietosuoja-asetuksen noudattamisen helposti, selkeästi ja yksinkertaisella tavalla, näkyy verkkosivustoilla ja alustoilla, ja riippumattoman sertifioijan olisi annettava se Euroopan tasolla. Tämä ei saisi aiheuttaa kohtuutonta rasitetta pienille ja keskisuurille yrityksille (CEP 1 -suositus 44 ja keskustelu työryhmässä).</w:t>
      </w:r>
    </w:p>
    <w:p>
      <w:pPr>
        <w:pStyle w:val="Puce3"/>
        <w:tabs>
          <w:tab w:val="clear" w:pos="720"/>
        </w:tabs>
        <w:rPr/>
      </w:pPr>
      <w:r>
        <w:rPr/>
        <w:t>7.</w:t>
        <w:tab/>
        <w:t>Varmistetaan tehokas ja oikea-aikainen apu kansalaisille, joilla on vaikeuksia vastustaa tietojensa käsittelyä tai peruuttaa suostumuksensa. Tätä varten Euroopan tasolla on tarpeen määritellä paremmin tunkeileva käyttäytyminen ja kehittää ohjaavia periaatteita ja mekanismeja, joiden avulla kansalaiset voivat vastustaa tietojensa käsittelyä ja saada ne poistettua sekä tunnistaa petoksen tekijät ja määrätä niistä seuraamuksia (CEP:n suositus 43 ja keskustelu työryhmässä).</w:t>
      </w:r>
    </w:p>
    <w:p>
      <w:pPr>
        <w:pStyle w:val="Puce3"/>
        <w:tabs>
          <w:tab w:val="clear" w:pos="720"/>
        </w:tabs>
        <w:rPr/>
      </w:pPr>
      <w:r>
        <w:rPr/>
        <w:t>8.</w:t>
        <w:tab/>
        <w:t>Säädetään seuraamuksista, mukaan lukien sakko, joka on suhteutettu yritysten liikevaihtoon ja niiden toiminnan rajoittamiseen, esimerkiksi väliaikaisiin tai lopullisiin kieltoihin, jotka koskevat ei-toivottua tietojenkäsittelyä, ja avustaa Euroopan tietosuojavaltuutettua ja kansallisia virastoja niiden täytäntöönpanon varmistamisessa (CEP 1:n suositukset 42 ja 43 sekä keskustelu työryhmässä).</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Ehdotus: Digitaalinen innovointi sosiaalisen ja kestävän talouden vahvistamiseksi</w:t>
      </w:r>
    </w:p>
    <w:p>
      <w:pPr>
        <w:pStyle w:val="Normal"/>
        <w:rPr/>
      </w:pPr>
      <w:r>
        <w:rPr/>
        <w:t>Tavoite: Ehdotamme, että EU edistää digitalisaatiotoimenpiteitä, joilla vahvistetaan taloutta ja sisämarkkinoita oikeudenmukaisella ja kestävällä tavalla, tehdään Euroopasta kilpailukykyisempi teknologian ja innovoinnin alalla, parannetaan kaikenkokoisten yritysten digitaalisia sisämarkkinoita ja asetetaan Eurooppa maailmanlaajuisesti etusijalle digitalisaatiossa ja ihmiskeskeisessä digitalisaatiossa soveltamalla seuraavia toimenpiteitä: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91"/>
      </w:r>
      <w:r>
        <w:rPr/>
        <w:t>:</w:t>
      </w:r>
    </w:p>
    <w:p>
      <w:pPr>
        <w:pStyle w:val="Puce3"/>
        <w:tabs>
          <w:tab w:val="clear" w:pos="720"/>
        </w:tabs>
        <w:rPr/>
      </w:pPr>
      <w:r>
        <w:rPr/>
        <w:t>1.</w:t>
        <w:tab/>
        <w:t>Annetaan lainsäädäntöä tai vahvistetaan nykyistä (ihmiskeskeistä) liikkuvaa työtä koskevaa lainsäädäntöä ottaen huomioon sen vaikutus työntekijöiden fyysiseen ja henkiseen terveyteen esimerkiksi takaamalla oikeus olla tavoittamattomissa. Ihmiskeskeinen lähestymistapa edellyttää ”ihmisen valvonnan” periaatetta (PCE 1 -suositus nro 7 ja keskustelu työryhmässä)</w:t>
      </w:r>
      <w:r>
        <w:rPr>
          <w:rStyle w:val="Ancredenotedefin"/>
          <w:rStyle w:val="Ancredenotedefin"/>
        </w:rPr>
        <w:endnoteReference w:id="92"/>
      </w:r>
      <w:r>
        <w:rPr/>
        <w:t>.</w:t>
      </w:r>
    </w:p>
    <w:p>
      <w:pPr>
        <w:pStyle w:val="Puce3"/>
        <w:tabs>
          <w:tab w:val="clear" w:pos="720"/>
        </w:tabs>
        <w:rPr/>
      </w:pPr>
      <w:r>
        <w:rPr/>
        <w:t>2.</w:t>
        <w:tab/>
        <w:t>Annetaan EU:n tasolla lainsäädäntöä yritysten kannustamiseksi sosiaalisesti vastuullisiksi ja laadukkaiden ”liikkuvien työpaikkojen” ylläpitämiseksi Euroopassa, jotta vältetään näiden työpaikkojen siirtyminen maihin, joissa kustannukset ovat alhaisemmat. Kannustimet voivat olla luonteeltaan taloudellisia ja/tai ne voivat vaikuttaa yrityskuvaan, ja niissä olisi otettava huomioon kansainvälisesti tunnustetut ympäristö-, sosiaali- ja hallintokriteerit. Tätä varten unionin olisi perustettava kaikkien asianomaisten osapuolten asiantuntijoista koostuva työryhmä tarkastelemaan ja vahvistamaan tätä lainsäädäntöä (CEP:n suositus 7).</w:t>
      </w:r>
    </w:p>
    <w:p>
      <w:pPr>
        <w:pStyle w:val="Puce3"/>
        <w:tabs>
          <w:tab w:val="clear" w:pos="720"/>
        </w:tabs>
        <w:rPr/>
      </w:pPr>
      <w:r>
        <w:rPr/>
        <w:t>3.</w:t>
        <w:tab/>
        <w:t>Varmistetaan tekoälyä työpaikalla käyttävien päätöksentekoprosessien hallinta ja käytettyjen algoritmien avoimuus; ottaa huomioon rajattoman digitaalisen valvonnan haitalliset vaikutukset työpaikalla; työntekijöille tiedottaminen ja heidän kuulemisensa ennen työoloihin vaikuttavien digitaaliteknologioiden käyttöönottoa; varmistetaan, että uudet työsuhteen muodot, kuten alustatyö, ovat työntekijöiden oikeuksien mukaisia ja tarjoavat sopivat työolot (työryhmässä käytävä keskustelu).</w:t>
      </w:r>
    </w:p>
    <w:p>
      <w:pPr>
        <w:pStyle w:val="Puce3"/>
        <w:tabs>
          <w:tab w:val="clear" w:pos="720"/>
        </w:tabs>
        <w:rPr/>
      </w:pPr>
      <w:r>
        <w:rPr/>
        <w:t>4.</w:t>
        <w:tab/>
        <w:t>Tehdään aloitteita etätyön tukemiseksi esimerkiksi luomalla toimistotiloja, joissa on nopea ja luotettava internetyhteys, järjestämällä digitaalista koulutusta ja tarjoamalla resursseja ergonomisia laitteita varten kotona tehtävään työhön (CEP 1:n suositus 17 ja keskustelu työryhmässä).</w:t>
      </w:r>
    </w:p>
    <w:p>
      <w:pPr>
        <w:pStyle w:val="Puce3"/>
        <w:tabs>
          <w:tab w:val="clear" w:pos="720"/>
        </w:tabs>
        <w:rPr/>
      </w:pPr>
      <w:r>
        <w:rPr/>
        <w:t>5.</w:t>
        <w:tab/>
        <w:t>Perustetaan julkisesti saatavilla oleva digitaalinen tulostaulu, jossa luodaan luokitusjärjestelmä, jossa ilmoitetaan ja vertaillaan EU:n yritysten nykyistä digitalisointitasoa (Saksan kansallinen yhteyspiste).</w:t>
      </w:r>
    </w:p>
    <w:p>
      <w:pPr>
        <w:pStyle w:val="Puce3"/>
        <w:tabs>
          <w:tab w:val="clear" w:pos="720"/>
        </w:tabs>
        <w:rPr/>
      </w:pPr>
      <w:r>
        <w:rPr/>
        <w:t>6.</w:t>
        <w:tab/>
        <w:t>Vahvan ja kilpailukykyisen digitaalitalouden rakentaminen ja digitalisaation hyötyjen jakaminen tasapuolisesti kaikkialla Euroopassa keskittymällä teknologiaan ja innovointiin kasvun vauhdittajina, kannustamalla muutosvoimaista huippututkimusta sekä tarjoamalla tilaa innovaatioekosysteemeille kaikilla alueilla parantamalla pk-yritysten ja startup-yritysten toimintaympäristöä ja tasapuolista rahoituksen saantia sekä poistamalla oikeudellisia tai muita rasitteita, jotka haittaavat rajat ylittävää toimintaa (Italian kansallisen yhteyspisteen suositus 1.3, työryhmän keskustelu ja monikielinen digitaalinen alusta). Eurooppalaisiin arvoihin perustuvan datainfrastruktuurin rakentaminen; soveltaa ”digitaalisen painopisteen” ja ”yhtenäisen tiedonsiirron” periaatteita ja helpottaa digitaalista ja turvallista pääsyä dataan innovaatioita ja yrityksiä varten; kannustetaan julkisten palvelujen digitalisointia (keskustelu työryhmässä ja monikielisellä digitaalisella alustalla). Hyödynnetään täysimääräisesti tekoälyn luotettavan ja vastuullisen käytön tarjoamia mahdollisuuksia ja hyödynnetään lohkoketju- ja pilvipalveluteknologian tarjoamia mahdollisuuksia määrittelemällä suojatoimia ja standardeja, joilla varmistetaan avoimuus ja yhteentoimivuus, luodaan luottamusta, helpotetaan syrjivien tai puolueellisten algoritmien käyttöä ja poistetaan ne (keskustelu työryhmässä ja monikielisessä digitaalisessa alustassa).</w:t>
      </w:r>
    </w:p>
    <w:p>
      <w:pPr>
        <w:pStyle w:val="Puce3"/>
        <w:tabs>
          <w:tab w:val="clear" w:pos="720"/>
        </w:tabs>
        <w:rPr/>
      </w:pPr>
      <w:r>
        <w:rPr/>
        <w:t>9.</w:t>
        <w:tab/>
        <w:t>Edistetään ilmaisia ohjelmistoja, niiden käyttöä koulutuksessa ja julkisrahoitteisen tutkimuksen ja ohjelmistojen vapaata saatavuutta (keskustelu työryhmässä ja monikielisellä digitaalisella alustalla).</w:t>
      </w:r>
    </w:p>
    <w:p>
      <w:pPr>
        <w:pStyle w:val="Puce3"/>
        <w:tabs>
          <w:tab w:val="clear" w:pos="720"/>
        </w:tabs>
        <w:rPr/>
      </w:pPr>
      <w:r>
        <w:rPr/>
        <w:t>10.</w:t>
        <w:tab/>
        <w:t>Otetaan käyttöön yhteinen eurooppalainen digitaalinen identiteetti rajatylittävien digitaalisten liiketoimien ja palvelujen helpottamiseksi eurooppalaisten standardien ja ohjaavien periaatteiden avulla, jotka tarjoavat tarvittavat suojatoimet (keskustelu työryhmässä ja monikielisellä digitaalisella alustalla).</w:t>
      </w:r>
    </w:p>
    <w:p>
      <w:pPr>
        <w:pStyle w:val="Puce3"/>
        <w:tabs>
          <w:tab w:val="clear" w:pos="720"/>
        </w:tabs>
        <w:rPr/>
      </w:pPr>
      <w:r>
        <w:rPr/>
        <w:t>11.</w:t>
        <w:tab/>
        <w:t>Arvioidaan, olisiko kuluttaja- ja elintarviketietoja mahdollista digitoida standardoidulla eurooppalaisella sovelluksella, joka tarjoaisi käyttäjäystävällisemmän pääsyn tietoihin ja tarjoaisi lisää tuote- ja tuotantoketjutietoja (CEP:n suositus nro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Kuva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Kuva27"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w:t>
      </w:r>
      <w:r>
        <w:rPr/>
        <w:t>Eurooppalainen demokratia”</w:t>
      </w:r>
    </w:p>
    <w:p>
      <w:pPr>
        <w:pStyle w:val="Titre3"/>
        <w:numPr>
          <w:ilvl w:val="2"/>
          <w:numId w:val="2"/>
        </w:numPr>
        <w:rPr/>
      </w:pPr>
      <w:bookmarkStart w:id="87" w:name="__RefHeading___Toc298348_1346298689"/>
      <w:bookmarkEnd w:id="87"/>
      <w:r>
        <w:rPr/>
        <w:t>36. Ehdotus: Tiedottaminen kansalaisille, osallistumiselle ja nuorille</w:t>
      </w:r>
    </w:p>
    <w:p>
      <w:pPr>
        <w:pStyle w:val="P68B1DB1Normal15"/>
        <w:rPr>
          <w:b/>
          <w:b/>
        </w:rPr>
      </w:pPr>
      <w:r>
        <w:rPr/>
        <w:t>Tavoite: Lisätään kansalaisten osallistumista demokratiaan ja nuorten osallistumista demokratiaan EU:n tasolla, jotta voidaan luoda ”täydellinen kansalaiskokemus” eurooppalaisille; varmistettava, että heidän näkemyksensä otetaan huomioon, myös vaalikauden ulkopuolella, ja että heidän osallistumisensa on todellista. Sen vuoksi on tarpeen määrittää, mikä osallistumismuoto sopii parhaiten kullekin teemalle, esimerkiksi: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Kehitetään uusia mekanismeja kansalaisten osallistumiselle ja tehostetaan olemassa olevien mekanismien tehokkuutta EU:n säännöstön mukaisesti samalla kun parannetaan viestintää kaikista näistä mekanismeista. Ihannetapauksessa kaikki tiedot osallistavista paikoista olisi esitettävä tiivistetysti virallisella</w:t>
      </w:r>
      <w:r>
        <w:rPr>
          <w:rStyle w:val="Ancredenotedefin"/>
          <w:rStyle w:val="Ancredenotedefin"/>
        </w:rPr>
        <w:endnoteReference w:id="93"/>
      </w:r>
      <w:r>
        <w:rPr/>
        <w:t xml:space="preserve"> verkkosivustolla, jossa on erilaisia toimintoja</w:t>
      </w:r>
      <w:r>
        <w:rPr>
          <w:rStyle w:val="Ancredenotedefin"/>
          <w:rStyle w:val="Ancredenotedefin"/>
        </w:rPr>
        <w:endnoteReference w:id="94"/>
      </w:r>
      <w:r>
        <w:rPr/>
        <w:t>. Olisi kehitettävä mekanismi osallistavista demokratiaprosesseista johtuvien poliittisten ja lainsäädäntöaloitteiden seuraamiseksi</w:t>
      </w:r>
      <w:r>
        <w:rPr>
          <w:rStyle w:val="Ancredenotedefin"/>
          <w:rStyle w:val="Ancredenotedefin"/>
        </w:rPr>
        <w:endnoteReference w:id="95"/>
      </w:r>
      <w:r>
        <w:rPr/>
        <w:t>. Kaikkien osallistavien mekanismien olisi koskettava koko väestöä, jotta voidaan tavoittaa erilaisia yleisöjä. Huomiota olisi kiinnitettävä moderaattoreiden sisältöön, aiheisiin ja taitoihin. Näiden mekanismien olisi perustuttava kyseisten toimenpiteiden vaikutusten analysointiin, erityisesti naisiin ja haavoittuvassa asemassa oleviin henkilöihin</w:t>
      </w:r>
      <w:r>
        <w:rPr>
          <w:rStyle w:val="Ancredenotedefin"/>
          <w:rStyle w:val="Ancredenotedefin"/>
        </w:rPr>
        <w:endnoteReference w:id="96"/>
      </w:r>
      <w:r>
        <w:rPr/>
        <w:t>.</w:t>
      </w:r>
    </w:p>
    <w:p>
      <w:pPr>
        <w:pStyle w:val="Puce3"/>
        <w:tabs>
          <w:tab w:val="clear" w:pos="720"/>
        </w:tabs>
        <w:rPr/>
      </w:pPr>
      <w:r>
        <w:rPr/>
        <w:t>2.</w:t>
        <w:tab/>
        <w:t>Lisäämällä EU:n toimielinten ja kansalaisten välistä vuorovaikutusta verkossa ja sen ulkopuolella eri tavoin, jotta varmistetaan, että he voivat osallistua EU:n päätöksentekoprosessiin, ilmaista mielipiteensä ja saada palautetta sekä laatia peruskirja kansalaisten osallistumisesta EU:n virkamiehiin</w:t>
      </w:r>
      <w:r>
        <w:rPr>
          <w:rStyle w:val="Ancredenotedefin"/>
          <w:rStyle w:val="Ancredenotedefin"/>
        </w:rPr>
        <w:endnoteReference w:id="97"/>
      </w:r>
      <w:r>
        <w:rPr/>
        <w:t>.</w:t>
      </w:r>
    </w:p>
    <w:p>
      <w:pPr>
        <w:pStyle w:val="Puce3"/>
        <w:tabs>
          <w:tab w:val="clear" w:pos="720"/>
        </w:tabs>
        <w:rPr/>
      </w:pPr>
      <w:r>
        <w:rPr/>
        <w:t>3.</w:t>
        <w:tab/>
        <w:t>Ehdottaa käyttäjäystävällistä digitaalista foorumia, jossa kansalaiset – ja erityisesti nuoret – voisivat jakaa ajatuksiaan, esittää kysymyksiä EU:n toimielinten edustajille ja ilmaista näkemyksensä tärkeistä EU:n kysymyksistä sekä lainsäädäntöehdotuksista. Olisi myös säädettävä mahdollisuudesta järjestää verkkokyselyjä tällä foorumilla</w:t>
      </w:r>
      <w:r>
        <w:rPr>
          <w:rStyle w:val="Ancredenotedefin"/>
          <w:rStyle w:val="Ancredenotedefin"/>
        </w:rPr>
        <w:endnoteReference w:id="98"/>
      </w:r>
      <w:r>
        <w:rPr/>
        <w:t>.</w:t>
      </w:r>
    </w:p>
    <w:p>
      <w:pPr>
        <w:pStyle w:val="Puce3"/>
        <w:tabs>
          <w:tab w:val="clear" w:pos="720"/>
        </w:tabs>
        <w:rPr/>
      </w:pPr>
      <w:r>
        <w:rPr/>
        <w:t>4.</w:t>
        <w:tab/>
        <w:t>Parannetaan ja yhdenmukaistetaan nykyisiä mekanismeja Euroopan, kansallisella ja paikallisella tasolla, jotta niistä tulisi turvallisempia, helpommin saatavilla olevia, näkyvämpiä ja osallistavampia</w:t>
      </w:r>
      <w:r>
        <w:rPr>
          <w:rStyle w:val="Ancredenotedefin"/>
          <w:rStyle w:val="Ancredenotedefin"/>
        </w:rPr>
        <w:endnoteReference w:id="99"/>
      </w:r>
      <w:r>
        <w:rPr/>
        <w:t>.</w:t>
      </w:r>
    </w:p>
    <w:p>
      <w:pPr>
        <w:pStyle w:val="Puce3"/>
        <w:tabs>
          <w:tab w:val="clear" w:pos="720"/>
        </w:tabs>
        <w:rPr/>
      </w:pPr>
      <w:r>
        <w:rPr/>
        <w:t>5.</w:t>
        <w:tab/>
        <w:t>Kansalaisyhteiskunnan organisaatioiden, alue- ja paikallisviranomaisten ja olemassa olevien elinten, kuten Euroopan talous- ja sosiaalikomitean (ETSK) ja alueiden komitean (AK</w:t>
      </w:r>
      <w:r>
        <w:rPr>
          <w:rStyle w:val="Ancredenotedefin"/>
          <w:rStyle w:val="Ancredenotedefin"/>
        </w:rPr>
        <w:endnoteReference w:id="100"/>
      </w:r>
      <w:r>
        <w:rPr/>
        <w:t>), osallistuminen kansalaisten osallistumisprosesseihin</w:t>
      </w:r>
      <w:r>
        <w:rPr>
          <w:rStyle w:val="Ancredenotedefin"/>
          <w:rStyle w:val="Ancredenotedefin"/>
        </w:rPr>
        <w:endnoteReference w:id="101"/>
      </w:r>
      <w:r>
        <w:rPr/>
        <w:t>.</w:t>
      </w:r>
    </w:p>
    <w:p>
      <w:pPr>
        <w:pStyle w:val="Puce3"/>
        <w:tabs>
          <w:tab w:val="clear" w:pos="720"/>
        </w:tabs>
        <w:rPr/>
      </w:pPr>
      <w:r>
        <w:rPr/>
        <w:t>6.</w:t>
        <w:tab/>
        <w:t>Luodaan paikallisten EU:n neuvonantajien järjestelmä, jonka avulla EU:n toimielimet saadaan lähemmäksi kansalaisia</w:t>
      </w:r>
      <w:r>
        <w:rPr>
          <w:rStyle w:val="Ancredenotedefin"/>
          <w:rStyle w:val="Ancredenotedefin"/>
        </w:rPr>
        <w:endnoteReference w:id="102"/>
      </w:r>
      <w:r>
        <w:rPr/>
        <w:t>.</w:t>
      </w:r>
    </w:p>
    <w:p>
      <w:pPr>
        <w:pStyle w:val="Puce3"/>
        <w:tabs>
          <w:tab w:val="clear" w:pos="720"/>
        </w:tabs>
        <w:rPr/>
      </w:pPr>
      <w:r>
        <w:rPr/>
        <w:t>7.</w:t>
        <w:tab/>
        <w:t>Kansalaiskokousten tuominen yhteen määräajoin EU:n lainsäädännön oikeudellisesti sitovalta pohjalta. Osallistujat valitaan arvalla edustavuuskriteerien mukaisesti, ja osallistumista kannustetaan voimakkaasti. Asiantuntijat antavat tarvittaessa kokouksen jäsenille heidän työskentelynsä kannalta merkityksellisiä tietoja. Jos toimielimet eivät ota huomioon kokousten päätelmiä, niiden on perusteltava päätöksensä</w:t>
      </w:r>
      <w:r>
        <w:rPr>
          <w:rStyle w:val="Ancredenotedefin"/>
          <w:rStyle w:val="Ancredenotedefin"/>
        </w:rPr>
        <w:endnoteReference w:id="103"/>
      </w:r>
      <w:r>
        <w:rPr/>
        <w:t>. On tärkeää, että vaaleilla valitut edustajat kuulevat kansalaisia ja kansalaisyhteiskuntaa ennen poliittisten päätösten tekemistä ja ottavat huomioon heidän panoksensa. Euroopan unioni perustuu edustukselliseen demokratiaan: Euroopan parlamentin vaaleissa kansalaiset lähettävät edustajilleen selkeän viestin ja puhuvat välillisesti EU:n politiikoista</w:t>
      </w:r>
      <w:r>
        <w:rPr>
          <w:rStyle w:val="Ancredenotedefin"/>
          <w:rStyle w:val="Ancredenotedefin"/>
        </w:rPr>
        <w:endnoteReference w:id="104"/>
      </w:r>
      <w:r>
        <w:rPr/>
        <w:t>.</w:t>
      </w:r>
    </w:p>
    <w:p>
      <w:pPr>
        <w:pStyle w:val="Puce3"/>
        <w:tabs>
          <w:tab w:val="clear" w:pos="720"/>
        </w:tabs>
        <w:rPr/>
      </w:pPr>
      <w:r>
        <w:rPr/>
        <w:t>8.</w:t>
        <w:tab/>
        <w:t>Tarjotaan tehostettua taloudellista tai muuta rakenteellista tukea kansalaisyhteiskunnalle, erityisesti nuorille, ja paikallisviranomaisille paikallisten nuorisoneuvostojen perustamiseksi</w:t>
      </w:r>
      <w:r>
        <w:rPr>
          <w:rStyle w:val="Ancredenotedefin"/>
          <w:rStyle w:val="Ancredenotedefin"/>
        </w:rPr>
        <w:endnoteReference w:id="105"/>
      </w:r>
      <w:r>
        <w:rPr/>
        <w:t>; kansalaisyhteiskunnan ja työmarkkinaosapuolten osallistuminen voisi olla eurooppalaisen demokratian toimintasuunnitelman täysimittainen pilari, ja kansalaisyhteiskunnalle voitaisiin osoittaa erityinen strategia</w:t>
      </w:r>
      <w:r>
        <w:rPr>
          <w:rStyle w:val="Ancredenotedefin"/>
          <w:rStyle w:val="Ancredenotedefin"/>
        </w:rPr>
        <w:endnoteReference w:id="106"/>
      </w:r>
      <w:r>
        <w:rPr/>
        <w:t>.</w:t>
      </w:r>
    </w:p>
    <w:p>
      <w:pPr>
        <w:pStyle w:val="Puce3"/>
        <w:tabs>
          <w:tab w:val="clear" w:pos="720"/>
        </w:tabs>
        <w:rPr/>
      </w:pPr>
      <w:r>
        <w:rPr/>
        <w:t>9.</w:t>
        <w:tab/>
        <w:t>Otetaan käyttöön lainsäädännön ”nuorisovalvonta”, johon sisältyisi vaikutustenarviointi ja nuorisoedustajien kuulemismekanismi, jossa lainsäädäntö todennäköisesti vaikuttaa nuoriin</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Lujittamalla EU:n lainsäätäjien ja kansalaisyhteiskunnan organisaatioiden välistä yhteistyötä, jotta voidaan hyödyntää niiden yhteyksiä päättäjien ja kansalaisten välillä</w:t>
      </w:r>
      <w:r>
        <w:rPr>
          <w:rStyle w:val="Ancredenotedefin"/>
          <w:rStyle w:val="Ancredenotedefin"/>
        </w:rPr>
        <w:endnoteReference w:id="108"/>
      </w:r>
      <w:r>
        <w:rPr/>
        <w:t>.</w:t>
      </w:r>
    </w:p>
    <w:p>
      <w:pPr>
        <w:pStyle w:val="Puce3"/>
        <w:tabs>
          <w:tab w:val="clear" w:pos="720"/>
        </w:tabs>
        <w:rPr/>
      </w:pPr>
      <w:r>
        <w:rPr/>
        <w:t>11.</w:t>
        <w:tab/>
        <w:t>Yhteenveto kohdista, jotka koskevat kansalaisten osallistumista eurooppalaiseen peruskirjaan kansalaisten panoksesta Eurooppa-asioihin.</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Ehdotus: Tiedottaminen kansalaisille, osallistumiselle ja nuorille (a)</w:t>
      </w:r>
    </w:p>
    <w:p>
      <w:pPr>
        <w:pStyle w:val="P68B1DB1Normal15"/>
        <w:rPr>
          <w:b/>
          <w:b/>
        </w:rPr>
      </w:pPr>
      <w:r>
        <w:rPr/>
        <w:t>Tavoite: Euroopan unionin ymmärrettävyyden ja saavutettavuuden parantaminen yhteisen eurooppalaisen identiteetin vahvistaminen, erityisesti: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Varmistetaan vähimmäistason koulutus Euroopan unionissa ja erityisesti sen demokraattisissa prosesseissa unohtamatta Euroopan yhdentymisen historiaa ja Euroopan kansalaisuutta. Kaikenikäisten ihmisten olisi voitava hyötyä näistä ohjelmista, jotka olisi suunniteltava houkuttelevalla ja ikään sopivalla tavalla, kuten kehittämällä erityisiä koulutusohjelmia ja -materiaaleja lapsille, kouluille</w:t>
      </w:r>
      <w:r>
        <w:rPr>
          <w:rStyle w:val="Ancredenotedefin"/>
          <w:rStyle w:val="Ancredenotedefin"/>
        </w:rPr>
        <w:endnoteReference w:id="110"/>
      </w:r>
      <w:r>
        <w:rPr/>
        <w:t xml:space="preserve"> ja epävirallisessa koulutuksessa toimiville kansalaisyhteiskunnan organisaatioille</w:t>
      </w:r>
      <w:r>
        <w:rPr>
          <w:rStyle w:val="Ancredenotedefin"/>
          <w:rStyle w:val="Ancredenotedefin"/>
        </w:rPr>
        <w:endnoteReference w:id="111"/>
      </w:r>
      <w:r>
        <w:rPr/>
        <w:t>.</w:t>
      </w:r>
    </w:p>
    <w:p>
      <w:pPr>
        <w:pStyle w:val="Puce3"/>
        <w:tabs>
          <w:tab w:val="clear" w:pos="720"/>
        </w:tabs>
        <w:rPr/>
      </w:pPr>
      <w:r>
        <w:rPr/>
        <w:t>2.</w:t>
        <w:tab/>
        <w:t>Varmistetaan osallistavasti, että kaikilla kansalaisilla on helppo saada luotettavaa tietoa unionista. EU:n toimielinten olisi käytettävä helpommin saatavilla olevaa kieltä ja vältettävä byrokraattisen kielen käyttöä viestinnässään säilyttäen samalla annettujen tietojen laatu ja tekninen taso sekä mukautettava tiedot eri viestintäkanaviin ja vastaanottajaprofiileihin.</w:t>
      </w:r>
      <w:r>
        <w:rPr>
          <w:rStyle w:val="Ancredenotedefin"/>
          <w:rStyle w:val="Ancredenotedefin"/>
        </w:rPr>
        <w:endnoteReference w:id="112"/>
      </w:r>
      <w:r>
        <w:rPr/>
        <w:t xml:space="preserve"> Niiden olisi harkittava esimerkiksi sellaisen mobiilisovelluksen luomista, jossa esitetään tietoa EU:n politiikoista selkeällä kielellä</w:t>
      </w:r>
      <w:r>
        <w:rPr>
          <w:rStyle w:val="Ancredenotedefin"/>
          <w:rStyle w:val="Ancredenotedefin"/>
        </w:rPr>
        <w:endnoteReference w:id="113"/>
      </w:r>
      <w:r>
        <w:rPr/>
        <w:t>. Erityisesti olisi pyrittävä tavoittamaan nuoria sosiaalisissa verkostoissa, mutta myös nuorisoliikkeillä ja erilaisilla ”lähettäjillä” (organisaatiot ja yksityishenkilöt), jotka selittävät Eurooppa</w:t>
      </w:r>
      <w:r>
        <w:rPr>
          <w:rStyle w:val="Ancredenotedefin"/>
          <w:rStyle w:val="Ancredenotedefin"/>
        </w:rPr>
        <w:endnoteReference w:id="114"/>
      </w:r>
      <w:r>
        <w:rPr/>
        <w:t xml:space="preserve"> -hanketta</w:t>
      </w:r>
      <w:r>
        <w:rPr>
          <w:rStyle w:val="Ancredenotedefin"/>
          <w:rStyle w:val="Ancredenotedefin"/>
        </w:rPr>
        <w:endnoteReference w:id="115"/>
      </w:r>
      <w:r>
        <w:rPr/>
        <w:t>.</w:t>
      </w:r>
    </w:p>
    <w:p>
      <w:pPr>
        <w:pStyle w:val="Puce3"/>
        <w:tabs>
          <w:tab w:val="clear" w:pos="720"/>
        </w:tabs>
        <w:rPr/>
      </w:pPr>
      <w:r>
        <w:rPr/>
        <w:t>3.</w:t>
        <w:tab/>
        <w:t>Hyödynnetään enemmän tekoälyä ja konekäännösteknologioita</w:t>
      </w:r>
      <w:r>
        <w:rPr>
          <w:rStyle w:val="Ancredenotedefin"/>
          <w:rStyle w:val="Ancredenotedefin"/>
        </w:rPr>
        <w:endnoteReference w:id="116"/>
      </w:r>
      <w:r>
        <w:rPr/>
        <w:t xml:space="preserve"> kielimuurin poistamiseksi ja varmistetaan</w:t>
      </w:r>
      <w:r>
        <w:rPr>
          <w:rStyle w:val="Ancredenotedefin"/>
          <w:rStyle w:val="Ancredenotedefin"/>
        </w:rPr>
        <w:endnoteReference w:id="117"/>
      </w:r>
      <w:r>
        <w:rPr/>
        <w:t>, että kaikki digitaaliset välineet ovat vammaisten saatavilla</w:t>
      </w:r>
      <w:r>
        <w:rPr>
          <w:rStyle w:val="Ancredenotedefin"/>
          <w:rStyle w:val="Ancredenotedefin"/>
        </w:rPr>
        <w:endnoteReference w:id="118"/>
      </w:r>
      <w:r>
        <w:rPr/>
        <w:t xml:space="preserve"> ja helppokäyttöisiä.</w:t>
      </w:r>
    </w:p>
    <w:p>
      <w:pPr>
        <w:pStyle w:val="Puce3"/>
        <w:tabs>
          <w:tab w:val="clear" w:pos="720"/>
        </w:tabs>
        <w:rPr/>
      </w:pPr>
      <w:r>
        <w:rPr/>
        <w:t>4.</w:t>
        <w:tab/>
        <w:t>Puolustamalla ja tukemalla tiedotusvälineiden vapautta, moniarvoisuutta ja riippumattomuutta ja kannustamalla tiedotusvälineitä, mukaan lukien julkiset lähetystoiminnan harjoittajat, julkiset uutistoimistot ja eurooppalaiset tiedotusvälineet, käsittelemään Eurooppa-asioita säännöllisemmin ja kunnioittaen samalla niiden vapautta ja riippumattomuutta, jotta tällainen kattavuus olisi säännöllistä ja kattavaa kaikissa unionin jäsenvaltioissa,</w:t>
      </w:r>
      <w:r>
        <w:rPr>
          <w:rStyle w:val="Ancredenotedefin"/>
          <w:rStyle w:val="Ancredenotedefin"/>
        </w:rPr>
        <w:endnoteReference w:id="119"/>
      </w:r>
      <w:r>
        <w:rPr/>
        <w:t>lisäämällä toimia disinformaation ja ulkomaisen sekaantumisen torjumiseksi ja toimittajien suojelemiseksi</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Tuomalla EU:n lähemmäs kansalaisia vahvistamalla paikallistason</w:t>
      </w:r>
      <w:r>
        <w:rPr>
          <w:rStyle w:val="Ancredenotedefin"/>
          <w:rStyle w:val="Ancredenotedefin"/>
        </w:rPr>
        <w:endnoteReference w:id="121"/>
      </w:r>
      <w:r>
        <w:rPr/>
        <w:t xml:space="preserve"> yhteyspisteitä ja erikoistuneita keskuksia (”Eurooppa-talot”), jotka tarjoaisivat resursseja, tietoa ja neuvontaa kansalaisille EU:n asioista, kuuntelisivat heidän huolenaiheitaan ja keskustelisivat järjestöjen kanssa kansalaisten näkemysten tuomiseksi Euroopan tasolle</w:t>
      </w:r>
      <w:r>
        <w:rPr>
          <w:rStyle w:val="Ancredenotedefin"/>
          <w:rStyle w:val="Ancredenotedefin"/>
        </w:rPr>
        <w:endnoteReference w:id="122"/>
      </w:r>
      <w:r>
        <w:rPr/>
        <w:t>.</w:t>
      </w:r>
    </w:p>
    <w:p>
      <w:pPr>
        <w:pStyle w:val="Puce3"/>
        <w:tabs>
          <w:tab w:val="clear" w:pos="720"/>
        </w:tabs>
        <w:rPr/>
      </w:pPr>
      <w:r>
        <w:rPr/>
        <w:t>6.</w:t>
        <w:tab/>
        <w:t>Toteuttamalla uusia toimenpiteitä eurooppalaisten yhteisen identiteetin vahvistamiseksi esimerkiksi sellaisen EU:n rahaston avulla, joka edistäisi EU:n kansalaisten välistä verkko- ja offline-vuorovaikutusta (kuten vaihto-ohjelmia, paneeleja tai kokouksia), järjestämällä eurooppalaisia urheilutapahtumia, perustamalla yhteisiä joukkueita tai tekemällä 9. toukokuuta (Eurooppa-päivä) lisälomaa</w:t>
      </w:r>
      <w:r>
        <w:rPr>
          <w:rStyle w:val="Ancredenotedefin"/>
          <w:rStyle w:val="Ancredenotedefin"/>
        </w:rPr>
        <w:endnoteReference w:id="123"/>
      </w:r>
      <w:r>
        <w:rPr/>
        <w:t xml:space="preserve"> kaikille Euroopan kansalaisille</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Ehdotus: Demokratia ja vaalit</w:t>
      </w:r>
    </w:p>
    <w:p>
      <w:pPr>
        <w:pStyle w:val="Normal"/>
        <w:rPr/>
      </w:pPr>
      <w:r>
        <w:rPr/>
        <w:t>Tavoite: Eurooppalaisen demokratian lujittaminen vahvistamalla sen perustaa, kannustamalla kansalaisia osallistumaan Euroopan parlamentin vaaleihin, edistämällä kansainvälisiä keskusteluja EU-asioista ja varmistamalla vahva yhteys kansalaisten ja heidän vaaleilla valittujen edustajiensa välillä, erityisesti: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Varmistetaan perussopimuksissa vahvistettujen eurooppalaisten arvojen turvaaminen, mukaan lukien oikeusvaltioperiaate ja vankka sosiaalinen malli</w:t>
      </w:r>
      <w:r>
        <w:rPr>
          <w:rStyle w:val="Ancredenotedefin"/>
          <w:rStyle w:val="Ancredenotedefin"/>
        </w:rPr>
        <w:endnoteReference w:id="125"/>
      </w:r>
      <w:r>
        <w:rPr/>
        <w:t>, jotka muodostavat eurooppalaisen demokratian ytimen. Suhteissaan muuhun maailmaan unionin olisi asetettava etusijalle yhteiset demokraattiset arvot rajavaltioissa. Vasta tämän tavoitteen saavuttamisen jälkeen hänestä voi tulla demokraattisen mallimme lähettiläs maissa, joilla on siihen valmiudet ja tahto, diplomatian ja vuoropuhelun kautta</w:t>
      </w:r>
      <w:r>
        <w:rPr>
          <w:rStyle w:val="Ancredenotedefin"/>
          <w:rStyle w:val="Ancredenotedefin"/>
        </w:rPr>
        <w:endnoteReference w:id="126"/>
      </w:r>
      <w:r>
        <w:rPr/>
        <w:t>.</w:t>
      </w:r>
    </w:p>
    <w:p>
      <w:pPr>
        <w:pStyle w:val="Puce3"/>
        <w:tabs>
          <w:tab w:val="clear" w:pos="720"/>
        </w:tabs>
        <w:rPr/>
      </w:pPr>
      <w:r>
        <w:rPr/>
        <w:t>2.</w:t>
        <w:tab/>
        <w:t>Ottamalla käyttöön mahdollisuus järjestää Euroopan parlamentin aloitteesta kansanäänestys kaikkialla unionissa poikkeuksellisesti, jos aihe osoittautuu erityisen tärkeäksi kaikille Euroopan kansalaisille</w:t>
      </w:r>
      <w:r>
        <w:rPr>
          <w:rStyle w:val="Ancredenotedefin"/>
          <w:rStyle w:val="Ancredenotedefin"/>
        </w:rPr>
        <w:endnoteReference w:id="127"/>
      </w:r>
      <w:r>
        <w:rPr/>
        <w:t>.</w:t>
      </w:r>
    </w:p>
    <w:p>
      <w:pPr>
        <w:pStyle w:val="Puce3"/>
        <w:tabs>
          <w:tab w:val="clear" w:pos="720"/>
        </w:tabs>
        <w:rPr/>
      </w:pPr>
      <w:r>
        <w:rPr/>
        <w:t>3.</w:t>
        <w:tab/>
        <w:t>Muuttamalla unionin vaalilainsäädäntöä Euroopan parlamentin vaaleja koskevien järjestelyjen yhdenmukaistamiseksi (esim. täysi-ikäisyys, vaalipäivä, vaalipiireihin, ehdokkaisiin, poliittisiin puolueisiin ja niiden rahoitukseen sovellettavat vaatimukset) sekä siirtymällä yleiseurooppalaisiin tai ylikansallisiin listoihin,</w:t>
      </w:r>
      <w:r>
        <w:rPr>
          <w:rStyle w:val="Ancredenotedebasdepage"/>
          <w:rStyle w:val="Ancredenotedebasdepage"/>
        </w:rPr>
        <w:footnoteReference w:id="11"/>
      </w:r>
      <w:r>
        <w:rPr/>
        <w:t xml:space="preserve"> mukaan lukien eri jäsenvaltioista tulevat ehdokkaat, otettuaan huomioon jäsenvaltioiden kansalaisten tästä asiasta esittämät</w:t>
      </w:r>
      <w:r>
        <w:rPr>
          <w:rStyle w:val="Ancredenotedefin"/>
          <w:rStyle w:val="Ancredenotedefin"/>
        </w:rPr>
        <w:endnoteReference w:id="128"/>
      </w:r>
      <w:r>
        <w:rPr/>
        <w:t xml:space="preserve"> näkemykset</w:t>
      </w:r>
      <w:r>
        <w:rPr>
          <w:rStyle w:val="Ancredenotedefin"/>
          <w:rStyle w:val="Ancredenotedefin"/>
        </w:rPr>
        <w:endnoteReference w:id="129"/>
      </w:r>
      <w:r>
        <w:rPr/>
        <w:t>.</w:t>
      </w:r>
    </w:p>
    <w:p>
      <w:pPr>
        <w:pStyle w:val="Alineanegatifpuce"/>
        <w:numPr>
          <w:ilvl w:val="0"/>
          <w:numId w:val="3"/>
        </w:numPr>
        <w:rPr/>
      </w:pPr>
      <w:r>
        <w:rPr/>
        <w:t xml:space="preserve"> </w:t>
      </w:r>
      <w:r>
        <w:rPr/>
        <w:t>Osa Euroopan parlamentin jäsenistä olisi valittava yleiseurooppalaisista luetteloista, kun taas toiset valitaan jäsenvaltioiden tasolla</w:t>
      </w:r>
      <w:r>
        <w:rPr>
          <w:rStyle w:val="Ancredenotedefin"/>
          <w:rStyle w:val="Ancredenotedefin"/>
        </w:rPr>
        <w:endnoteReference w:id="130"/>
      </w:r>
      <w:r>
        <w:rPr/>
        <w:t>.</w:t>
      </w:r>
    </w:p>
    <w:p>
      <w:pPr>
        <w:pStyle w:val="Alineanegatifpuce"/>
        <w:numPr>
          <w:ilvl w:val="0"/>
          <w:numId w:val="3"/>
        </w:numPr>
        <w:rPr/>
      </w:pPr>
      <w:r>
        <w:rPr/>
        <w:t xml:space="preserve"> </w:t>
      </w:r>
      <w:r>
        <w:rPr/>
        <w:t>Uudistuksen tavoitteena olisi oltava myös digitaalisten äänestysjärjestelyjen helpottaminen</w:t>
      </w:r>
      <w:r>
        <w:rPr>
          <w:rStyle w:val="Ancredenotedefin"/>
          <w:rStyle w:val="Ancredenotedefin"/>
        </w:rPr>
        <w:endnoteReference w:id="131"/>
      </w:r>
      <w:r>
        <w:rPr/>
        <w:t xml:space="preserve"> ja vammaisten todellisen äänioikeuden takaaminen</w:t>
      </w:r>
      <w:r>
        <w:rPr>
          <w:rStyle w:val="Ancredenotedefin"/>
          <w:rStyle w:val="Ancredenotedefin"/>
        </w:rPr>
        <w:endnoteReference w:id="132"/>
      </w:r>
      <w:r>
        <w:rPr/>
        <w:t>.</w:t>
      </w:r>
    </w:p>
    <w:p>
      <w:pPr>
        <w:pStyle w:val="Puce3"/>
        <w:tabs>
          <w:tab w:val="clear" w:pos="720"/>
        </w:tabs>
        <w:rPr/>
      </w:pPr>
      <w:r>
        <w:rPr/>
        <w:t>4.</w:t>
        <w:tab/>
        <w:t>Kansalaisten ja heidän vaaleilla valittujen edustajiensa välisten yhteyksien vahvistaminen ottaen huomioon kansalliset erityispiirteet: kansalaiset haluavat tuntea, että Euroopan parlamentin jäsenet ja kansallisten parlamenttien jäsenet ovat lähellä heitä ja vastaavat heidän huolenaiheisiinsa erityistoimenpitein</w:t>
      </w:r>
      <w:r>
        <w:rPr>
          <w:rStyle w:val="Ancredenotedefin"/>
          <w:rStyle w:val="Ancredenotedefin"/>
        </w:rPr>
        <w:endnoteReference w:id="133"/>
      </w:r>
      <w:r>
        <w:rPr/>
        <w:t>. Tämä on universaali ongelma ja kaikenikäisten ihmisten pitäisi olla mukana</w:t>
      </w:r>
      <w:r>
        <w:rPr>
          <w:rStyle w:val="Ancredenotedefin"/>
          <w:rStyle w:val="Ancredenotedefin"/>
        </w:rPr>
        <w:endnoteReference w:id="134"/>
      </w:r>
      <w:r>
        <w:rPr/>
        <w:t>.</w:t>
      </w:r>
    </w:p>
    <w:p>
      <w:pPr>
        <w:pStyle w:val="Alineanegatifpuce"/>
        <w:numPr>
          <w:ilvl w:val="0"/>
          <w:numId w:val="3"/>
        </w:numPr>
        <w:rPr/>
      </w:pPr>
      <w:r>
        <w:rPr/>
        <w:t xml:space="preserve"> </w:t>
      </w:r>
      <w:r>
        <w:rPr/>
        <w:t>Euroopan kansalaisilla olisi oltava enemmän painoarvoa komission puheenjohtajan valinnassa. Tämä tavoite voitaisiin saavuttaa komission puheenjohtajan suoralla valinnalla</w:t>
      </w:r>
      <w:r>
        <w:rPr>
          <w:rStyle w:val="Ancredenotedefin"/>
          <w:rStyle w:val="Ancredenotedefin"/>
        </w:rPr>
        <w:endnoteReference w:id="135"/>
      </w:r>
      <w:r>
        <w:rPr/>
        <w:t xml:space="preserve"> tai ylimmän tason ehdokkaiden järjestelmällä</w:t>
      </w:r>
      <w:r>
        <w:rPr>
          <w:rStyle w:val="Ancredenotedebasdepage"/>
          <w:rStyle w:val="Ancredenotedebasdepage"/>
        </w:rPr>
        <w:footnoteReference w:id="12"/>
      </w:r>
      <w:r>
        <w:rPr/>
        <w:t>.</w:t>
      </w:r>
    </w:p>
    <w:p>
      <w:pPr>
        <w:pStyle w:val="Alineanegatifpuce"/>
        <w:numPr>
          <w:ilvl w:val="0"/>
          <w:numId w:val="3"/>
        </w:numPr>
        <w:rPr/>
      </w:pPr>
      <w:r>
        <w:rPr/>
        <w:t xml:space="preserve"> </w:t>
      </w:r>
      <w:r>
        <w:rPr/>
        <w:t>Euroopan parlamentilla olisi oltava oikeus tehdä lainsäädäntöaloitteita, jotta se voi ehdottaa keskustelun</w:t>
      </w:r>
      <w:r>
        <w:rPr>
          <w:rStyle w:val="Ancredenotedefin"/>
          <w:rStyle w:val="Ancredenotedefin"/>
        </w:rPr>
        <w:endnoteReference w:id="136"/>
      </w:r>
      <w:r>
        <w:rPr/>
        <w:t xml:space="preserve"> aiheita ja sitten hyväksyä tarvittavat tekstit keskusteluissa annettujen suositusten noudattamiseksi</w:t>
      </w:r>
      <w:r>
        <w:rPr>
          <w:rStyle w:val="Ancredenotedefin"/>
          <w:rStyle w:val="Ancredenotedefin"/>
        </w:rPr>
        <w:endnoteReference w:id="137"/>
      </w:r>
      <w:r>
        <w:rPr/>
        <w:t>.</w:t>
      </w:r>
    </w:p>
    <w:p>
      <w:pPr>
        <w:pStyle w:val="Alineanegatifpuce"/>
        <w:numPr>
          <w:ilvl w:val="0"/>
          <w:numId w:val="3"/>
        </w:numPr>
        <w:rPr/>
      </w:pPr>
      <w:r>
        <w:rPr/>
        <w:t xml:space="preserve"> </w:t>
      </w:r>
      <w:r>
        <w:rPr/>
        <w:t>Euroopan parlamentin olisi päätettävä EU:n talousarviosta, kuten parlamentit tekevät kansallisella tasolla</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Poliittisten puolueiden, kansalaisyhteiskunnan järjestöjen ja ammattiliittojen olisi oltava dynaamisempia ja helpommin saavutettavissa, jotta kansalaiset voivat osallistua eurooppalaiseen demokratiaan ja investoida siihen enemmän</w:t>
      </w:r>
      <w:r>
        <w:rPr>
          <w:rStyle w:val="Ancredenotedefin"/>
          <w:rStyle w:val="Ancredenotedefin"/>
        </w:rPr>
        <w:endnoteReference w:id="139"/>
      </w:r>
      <w:r>
        <w:rPr/>
        <w:t>. Näin edistettäisiin myös EU-kysymysten sisällyttämistä poliittisten puolueiden, kansalaisyhteiskunnan organisaatioiden ja työmarkkinaosapuolten järjestämiin julkisiin keskusteluihin joko ennen Euroopan parlamentin vaaleja tai ennen kansallisia, alueellisia tai paikallisvaaleja</w:t>
      </w:r>
      <w:r>
        <w:rPr>
          <w:rStyle w:val="Ancredenotedefin"/>
          <w:rStyle w:val="Ancredenotedefin"/>
        </w:rPr>
        <w:endnoteReference w:id="140"/>
      </w:r>
      <w:r>
        <w:rPr/>
        <w:t>.</w:t>
      </w:r>
    </w:p>
    <w:p>
      <w:pPr>
        <w:pStyle w:val="Puce3"/>
        <w:tabs>
          <w:tab w:val="clear" w:pos="720"/>
        </w:tabs>
        <w:rPr/>
      </w:pPr>
      <w:r>
        <w:rPr/>
        <w:t>5.</w:t>
        <w:tab/>
        <w:t>Demokratia ilmenee instituutioissa ja yhteiskunnassa yleensä, myös työpaikoilla työmarkkinaosapuolten ansiosta</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Ehdotus: Unionin päätöksentekoprosessi</w:t>
      </w:r>
    </w:p>
    <w:p>
      <w:pPr>
        <w:pStyle w:val="P68B1DB1Normal15"/>
        <w:rPr>
          <w:b/>
          <w:b/>
        </w:rPr>
      </w:pPr>
      <w:r>
        <w:rPr/>
        <w:t>Tavoite: Parantaa unionin päätöksentekoprosessia sen toimintakyvyn varmistamiseksi ottaen samalla huomioon kunkin jäsenvaltion edut ja varmistamalla kansalaisille avoimen ja ymmärrettävän prosessin, erityisesti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EU:n toimielinten päätöksentekoa ja äänestystä koskevien sääntöjen tarkistaminen. Yksimieliseen äänestykseen on kiinnitettävä erityistä huomiota, sillä se tekee sopimuksesta erittäin vaikeaa. Äänten painotuksen tasapuolisuus olisi varmistettava pienten maiden etujen suojaamiseksi</w:t>
      </w:r>
      <w:r>
        <w:rPr>
          <w:rStyle w:val="Ancredenotedefin"/>
          <w:rStyle w:val="Ancredenotedefin"/>
        </w:rPr>
        <w:endnoteReference w:id="142"/>
      </w:r>
      <w:r>
        <w:rPr/>
        <w:t>.</w:t>
      </w:r>
    </w:p>
    <w:p>
      <w:pPr>
        <w:pStyle w:val="Alineanegatifpuce"/>
        <w:numPr>
          <w:ilvl w:val="0"/>
          <w:numId w:val="3"/>
        </w:numPr>
        <w:rPr/>
      </w:pPr>
      <w:r>
        <w:rPr/>
        <w:t xml:space="preserve"> </w:t>
      </w:r>
      <w:r>
        <w:rPr/>
        <w:t>Kaikki tällä hetkellä yksimielisesti tehdyt päätökset olisi tulevaisuudessa tehtävä määräenemmistöllä. Ainoana poikkeuksena olisi oltava uusien jäsenvaltioiden liittyminen Euroopan unioniin ja Euroopan unionista tehdyn sopimuksen 2 artiklassa ja Euroopan unionin perusoikeuskirjassa vahvistettujen unionin perusperiaatteiden muuttaminen</w:t>
      </w:r>
      <w:r>
        <w:rPr>
          <w:rStyle w:val="Ancredenotedefin"/>
          <w:rStyle w:val="Ancredenotedefin"/>
        </w:rPr>
        <w:endnoteReference w:id="143"/>
      </w:r>
      <w:r>
        <w:rPr/>
        <w:t>.</w:t>
      </w:r>
    </w:p>
    <w:p>
      <w:pPr>
        <w:pStyle w:val="Puce3"/>
        <w:tabs>
          <w:tab w:val="clear" w:pos="720"/>
        </w:tabs>
        <w:rPr/>
      </w:pPr>
      <w:r>
        <w:rPr/>
        <w:t>2.</w:t>
        <w:tab/>
        <w:t>Varmistetaan päätöksenteon avoimuus, annetaan riippumattomille kansalaistarkkailijoille mahdollisuus seurata prosessia tiiviisti, sovelletaan laajempaa oikeutta tutustua asiakirjoihin</w:t>
      </w:r>
      <w:r>
        <w:rPr>
          <w:rStyle w:val="Ancredenotedefin"/>
          <w:rStyle w:val="Ancredenotedefin"/>
        </w:rPr>
        <w:endnoteReference w:id="144"/>
      </w:r>
      <w:r>
        <w:rPr/>
        <w:t xml:space="preserve"> ja luodaan tiiviimmät yhteydet kansalaisten ja EU:n toimielinten välille</w:t>
      </w:r>
      <w:r>
        <w:rPr>
          <w:rStyle w:val="Ancredenotedefin"/>
          <w:rStyle w:val="Ancredenotedefin"/>
        </w:rPr>
        <w:endnoteReference w:id="145"/>
      </w:r>
      <w:r>
        <w:rPr/>
        <w:t>.</w:t>
      </w:r>
    </w:p>
    <w:p>
      <w:pPr>
        <w:pStyle w:val="Alineanegatifpuce"/>
        <w:numPr>
          <w:ilvl w:val="0"/>
          <w:numId w:val="3"/>
        </w:numPr>
        <w:rPr/>
      </w:pPr>
      <w:r>
        <w:rPr/>
        <w:t xml:space="preserve"> </w:t>
      </w:r>
      <w:r>
        <w:rPr/>
        <w:t>Unionin on parannettava päätöksentekoprosessinsa ja toimielintensä avoimuutta. Esimerkiksi neuvoston ja Euroopan parlamentin kokoukset, myös äänestykset, olisi levitettävä verkossa samalla tavalla. Tämä antaisi kiinnostuneille kansalaisille mahdollisuuden seurata EU:n päätöksentekoa ja velvoittaisi päätöksentekijät raportoimaan toimistaan</w:t>
      </w:r>
      <w:r>
        <w:rPr>
          <w:rStyle w:val="Ancredenotedefin"/>
          <w:rStyle w:val="Ancredenotedefin"/>
        </w:rPr>
        <w:endnoteReference w:id="146"/>
      </w:r>
      <w:r>
        <w:rPr/>
        <w:t>. Myös Euroopan parlamentin tutkintaoikeutta olisi vahvistettava.</w:t>
      </w:r>
      <w:r>
        <w:rPr>
          <w:rStyle w:val="Ancredenotedefin"/>
          <w:rStyle w:val="Ancredenotedefin"/>
        </w:rPr>
        <w:endnoteReference w:id="147"/>
      </w:r>
      <w:r>
        <w:rPr/>
        <w:t xml:space="preserve"> Työryhmän tarkistus 44A.</w:t>
      </w:r>
    </w:p>
    <w:p>
      <w:pPr>
        <w:pStyle w:val="Alineanegatifpuce"/>
        <w:numPr>
          <w:ilvl w:val="0"/>
          <w:numId w:val="3"/>
        </w:numPr>
        <w:rPr/>
      </w:pPr>
      <w:r>
        <w:rPr/>
        <w:t xml:space="preserve"> </w:t>
      </w:r>
      <w:r>
        <w:rPr/>
        <w:t>Unionin päätöksentekoprosessia olisi kehitettävä edelleen siten, että siihen osallistuu enemmän kansallisia, alueellisia ja paikallisia edustajia, työmarkkinaosapuolia ja kansalaisyhteiskunnan organisaatioita</w:t>
      </w:r>
      <w:r>
        <w:rPr>
          <w:rStyle w:val="Ancredenotedefin"/>
          <w:rStyle w:val="Ancredenotedefin"/>
        </w:rPr>
        <w:endnoteReference w:id="148"/>
      </w:r>
      <w:r>
        <w:rPr/>
        <w:t>. Parlamenttien välistä yhteistyötä ja vuoropuhelua olisi vahvistettava. Euroopan parlamentin olisi myös otettava kansalliset parlamentit tiiviimmin mukaan EU:n lainsäädäntömenettelyyn esimerkiksi kutsumalla ne kuulemisiin</w:t>
      </w:r>
      <w:r>
        <w:rPr>
          <w:rStyle w:val="Ancredenotedefin"/>
          <w:rStyle w:val="Ancredenotedefin"/>
        </w:rPr>
        <w:endnoteReference w:id="149"/>
      </w:r>
      <w:r>
        <w:rPr/>
        <w:t>. Lisäksi olisi hyödyllistä lisätä alue- ja paikallisviranomaisten ja AK:n osallistumista, jotta niiden kokemukset EU:n lainsäädännön täytäntöönpanosta voitaisiin ottaa paremmin huomioon</w:t>
      </w:r>
      <w:r>
        <w:rPr>
          <w:rStyle w:val="Ancredenotedefin"/>
          <w:rStyle w:val="Ancredenotedefin"/>
        </w:rPr>
        <w:endnoteReference w:id="150"/>
      </w:r>
      <w:r>
        <w:rPr/>
        <w:t>.</w:t>
      </w:r>
    </w:p>
    <w:p>
      <w:pPr>
        <w:pStyle w:val="Puce3"/>
        <w:tabs>
          <w:tab w:val="clear" w:pos="720"/>
        </w:tabs>
        <w:rPr/>
      </w:pPr>
      <w:r>
        <w:rPr/>
        <w:t>3.</w:t>
        <w:tab/>
        <w:t>Harkitsemalla EU:n toimielinten nimien muuttamista, jotta voidaan selventää kunkin roolia ja roolia unionin päätöksentekoprosessissa kansalaisten silmissä</w:t>
      </w:r>
      <w:r>
        <w:rPr>
          <w:rStyle w:val="Ancredenotedefin"/>
          <w:rStyle w:val="Ancredenotedefin"/>
        </w:rPr>
        <w:endnoteReference w:id="151"/>
      </w:r>
      <w:r>
        <w:rPr/>
        <w:t>.</w:t>
      </w:r>
    </w:p>
    <w:p>
      <w:pPr>
        <w:pStyle w:val="Alineanegatifpuce"/>
        <w:numPr>
          <w:ilvl w:val="0"/>
          <w:numId w:val="3"/>
        </w:numPr>
        <w:rPr/>
      </w:pPr>
      <w:r>
        <w:rPr/>
        <w:t xml:space="preserve"> </w:t>
      </w:r>
      <w:r>
        <w:rPr/>
        <w:t>EU:n päätöksentekoprosessin olisi perustuttava selkeämpään ja ymmärrettävämpään rakenteeseen, joka muistuttaa kansallisia järjestelmiä</w:t>
      </w:r>
      <w:r>
        <w:rPr>
          <w:rStyle w:val="Ancredenotedefin"/>
          <w:rStyle w:val="Ancredenotedefin"/>
        </w:rPr>
        <w:endnoteReference w:id="152"/>
      </w:r>
      <w:r>
        <w:rPr/>
        <w:t xml:space="preserve"> ja osoittaa nimenomaisesti toimivallan jaon EU:n toimielinten ja jäsenvaltioiden välillä</w:t>
      </w:r>
      <w:r>
        <w:rPr>
          <w:rStyle w:val="Ancredenotedefin"/>
          <w:rStyle w:val="Ancredenotedefin"/>
        </w:rPr>
        <w:endnoteReference w:id="153"/>
      </w:r>
      <w:r>
        <w:rPr/>
        <w:t>.</w:t>
      </w:r>
    </w:p>
    <w:p>
      <w:pPr>
        <w:pStyle w:val="Alineanegatifpuce"/>
        <w:numPr>
          <w:ilvl w:val="0"/>
          <w:numId w:val="3"/>
        </w:numPr>
        <w:rPr/>
      </w:pPr>
      <w:r>
        <w:rPr/>
        <w:t xml:space="preserve"> </w:t>
      </w:r>
      <w:r>
        <w:rPr/>
        <w:t>Esimerkiksi Euroopan unionin neuvosto voisi nimetä uudelleen ”unionin senaatti” ja Euroopan komissio ”unionin toimeenpaneva komissio”</w:t>
      </w:r>
      <w:r>
        <w:rPr>
          <w:rStyle w:val="Ancredenotedefin"/>
          <w:rStyle w:val="Ancredenotedefin"/>
        </w:rPr>
        <w:endnoteReference w:id="154"/>
      </w:r>
      <w:r>
        <w:rPr/>
        <w:t>.</w:t>
      </w:r>
    </w:p>
    <w:p>
      <w:pPr>
        <w:pStyle w:val="Puce3"/>
        <w:tabs>
          <w:tab w:val="clear" w:pos="720"/>
        </w:tabs>
        <w:rPr/>
      </w:pPr>
      <w:r>
        <w:rPr/>
        <w:t>4.</w:t>
        <w:tab/>
        <w:t>Vahvistetaan unionin valmiuksia saavuttaa tuloksia keskeisillä aloilla</w:t>
      </w:r>
      <w:r>
        <w:rPr>
          <w:rStyle w:val="Ancredenotedefin"/>
          <w:rStyle w:val="Ancredenotedefin"/>
        </w:rPr>
        <w:endnoteReference w:id="155"/>
      </w:r>
      <w:r>
        <w:rPr/>
        <w:t>.</w:t>
      </w:r>
    </w:p>
    <w:p>
      <w:pPr>
        <w:pStyle w:val="Puce3"/>
        <w:tabs>
          <w:tab w:val="clear" w:pos="720"/>
        </w:tabs>
        <w:rPr/>
      </w:pPr>
      <w:r>
        <w:rPr/>
        <w:t>5.</w:t>
        <w:tab/>
        <w:t>Varmistetaan työmarkkinaosapuolten vuoropuhelun ja kansalaisten kuulemisen mekanismit unionin päätöksentekoprosessin kaikissa vaiheissa vaikutustenarvioinnista toimenpiteiden suunnitteluun ja täytäntöönpanoon</w:t>
      </w:r>
      <w:r>
        <w:rPr>
          <w:rStyle w:val="Ancredenotedefin"/>
          <w:rStyle w:val="Ancredenotedefin"/>
        </w:rPr>
        <w:endnoteReference w:id="156"/>
      </w:r>
      <w:r>
        <w:rPr/>
        <w:t>.</w:t>
      </w:r>
    </w:p>
    <w:p>
      <w:pPr>
        <w:pStyle w:val="Puce3"/>
        <w:tabs>
          <w:tab w:val="clear" w:pos="720"/>
        </w:tabs>
        <w:rPr/>
      </w:pPr>
      <w:r>
        <w:rPr/>
        <w:t>6.</w:t>
        <w:tab/>
        <w:t>Uudistetaan Euroopan unionin toimintaa muun muassa ottamalla työmarkkinaosapuolet ja kansalaisyhteiskunnan organisaatiot tiiviimmin mukaan. Nykyisiä rakenteita on vahvistettava, jotta päätöksentekoprosessi vastaisi paremmin eurooppalaisen demokratian kannalta keskeisten Euroopan kansalaisten tarpeita ja odotuksia. Tässä yhteydessä ETSK:n on saatava käyttöönsä entistä tärkeämpi institutionaalinen rooli eli osallistavan demokratiatoiminnan takaaja ja edistäjä, kuten jäsennelty vuoropuhelu kansalaisyhteiskunnan organisaatioiden ja kansalaispaneelien kanssa. Dynaaminen kansalaisyhteiskunta on olennaisen tärkeä unionin demokratian kannalta</w:t>
      </w:r>
      <w:r>
        <w:rPr>
          <w:rStyle w:val="Ancredenotedefin"/>
          <w:rStyle w:val="Ancredenotedefin"/>
        </w:rPr>
        <w:endnoteReference w:id="157"/>
      </w:r>
      <w:r>
        <w:rPr/>
        <w:t>.</w:t>
      </w:r>
    </w:p>
    <w:p>
      <w:pPr>
        <w:pStyle w:val="Puce3"/>
        <w:tabs>
          <w:tab w:val="clear" w:pos="720"/>
        </w:tabs>
        <w:rPr/>
      </w:pPr>
      <w:r>
        <w:rPr/>
        <w:t>7.</w:t>
        <w:tab/>
        <w:t>Aloittamalla tarvittaessa uudelleen perustuslakia koskevan keskustelun, jotta arvomme voidaan määritellä selkeästi. Perustuslaki voisi selkeyttää, saada kansalaiset liikkeelle ja sopia päätöksentekoprosessin säännöistä</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Ehdotus: Toissijaisuusperiaate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Aktiivinen toissijaisuusperiaate ja monitasoinen hallinto ovat keskeisiä periaatteita, jotta Euroopan unioni voisi toimia demokraattisesti ja vastuullisesti</w:t>
      </w:r>
      <w:r>
        <w:rPr>
          <w:rStyle w:val="Ancredenotedefin"/>
          <w:rStyle w:val="Ancredenotedefin"/>
        </w:rPr>
        <w:endnoteReference w:id="159"/>
      </w:r>
      <w:r>
        <w:rPr/>
        <w:t>.</w:t>
      </w:r>
    </w:p>
    <w:p>
      <w:pPr>
        <w:pStyle w:val="Puce3"/>
        <w:tabs>
          <w:tab w:val="clear" w:pos="720"/>
        </w:tabs>
        <w:rPr/>
      </w:pPr>
      <w:r>
        <w:rPr/>
        <w:t>2.</w:t>
        <w:tab/>
        <w:t>EU:n on tarkistettava mekanismia, jolla kansalliset parlamentit tarkastelevat, loukkaavatko EU:n lainsäädäntöehdotukset kansallista toimivaltaa vai eivät. kansallisten parlamenttien olisi voitava ehdottaa lainsäädäntöaloitteita EU:n toimielimille. Nämä mekanismit olisi ulotettava koskemaan kaikkia lainsäädäntävaltaa käyttäviä alueellisia parlamentteja</w:t>
      </w:r>
      <w:r>
        <w:rPr>
          <w:rStyle w:val="Ancredenotedefin"/>
          <w:rStyle w:val="Ancredenotedefin"/>
        </w:rPr>
        <w:endnoteReference w:id="160"/>
      </w:r>
      <w:r>
        <w:rPr/>
        <w:t>.</w:t>
      </w:r>
    </w:p>
    <w:p>
      <w:pPr>
        <w:pStyle w:val="Puce3"/>
        <w:tabs>
          <w:tab w:val="clear" w:pos="720"/>
        </w:tabs>
        <w:rPr/>
      </w:pPr>
      <w:r>
        <w:rPr/>
        <w:t>3.</w:t>
        <w:tab/>
        <w:t>AK:ta olisi uudistettava, jotta alueiden, kuntien ja kuntien kanssa käytävälle vuoropuhelulle voidaan luoda asianmukaiset kanavat. Sillä pitäisi olla tärkeämpi</w:t>
      </w:r>
      <w:r>
        <w:rPr>
          <w:rStyle w:val="Ancredenotedefin"/>
          <w:rStyle w:val="Ancredenotedefin"/>
        </w:rPr>
        <w:endnoteReference w:id="161"/>
      </w:r>
      <w:r>
        <w:rPr/>
        <w:t xml:space="preserve"> rooli institutionaalisessa rakenteessa käsiteltäessä asioita, joilla on alueellisia seurauksia</w:t>
      </w:r>
      <w:r>
        <w:rPr>
          <w:rStyle w:val="Ancredenotedefin"/>
          <w:rStyle w:val="Ancredenotedefin"/>
        </w:rPr>
        <w:endnoteReference w:id="162"/>
      </w:r>
      <w:r>
        <w:rPr/>
        <w:t>.</w:t>
      </w:r>
    </w:p>
    <w:p>
      <w:pPr>
        <w:pStyle w:val="Normal"/>
        <w:rPr/>
      </w:pPr>
      <w:r>
        <w:rPr/>
      </w:r>
    </w:p>
    <w:p>
      <w:pPr>
        <w:pStyle w:val="Puce3"/>
        <w:tabs>
          <w:tab w:val="clear" w:pos="720"/>
        </w:tabs>
        <w:rPr/>
      </w:pPr>
      <w:r>
        <w:rPr/>
        <w:t>4.</w:t>
        <w:tab/>
        <w:t>Kaikkien EU:n toimielinten hyväksymän toissijaisuusperiaatteen yhteisen määritelmän järjestelmällinen käyttö voisi määritellä selkeämmin, millä tasolla (eurooppalaiset, kansalliset tai alueelliset) päätökset olisi tehtävä</w:t>
      </w:r>
      <w:r>
        <w:rPr>
          <w:rStyle w:val="Ancredenotedefin"/>
          <w:rStyle w:val="Ancredenotedefin"/>
        </w:rPr>
        <w:endnoteReference w:id="163"/>
      </w:r>
      <w:r>
        <w:rPr/>
        <w:t>.</w:t>
      </w:r>
    </w:p>
    <w:p>
      <w:pPr>
        <w:pStyle w:val="Puce3"/>
        <w:tabs>
          <w:tab w:val="clear" w:pos="720"/>
        </w:tabs>
        <w:rPr/>
      </w:pPr>
      <w:r>
        <w:rPr/>
        <w:t>5.</w:t>
        <w:tab/>
        <w:t>Työmarkkinaosapuolet ja kansalaisyhteiskunnan organisaatiot, jotka ovat keskeisessä asemassa eurooppalaisessa demokratiassa, on otettava paremmin mukaan päätöksentekoprosessiin. Dynaaminen yhteiskunta on välttämätön unionin demokratian kannalta.</w:t>
      </w:r>
      <w:r>
        <w:rPr>
          <w:rStyle w:val="Ancredenotedefin"/>
          <w:rStyle w:val="Ancredenotedefin"/>
        </w:rPr>
        <w:endnoteReference w:id="164"/>
      </w:r>
    </w:p>
    <w:p>
      <w:pPr>
        <w:pStyle w:val="Puce3"/>
        <w:tabs>
          <w:tab w:val="clear" w:pos="720"/>
        </w:tabs>
        <w:rPr/>
      </w:pPr>
      <w:r>
        <w:rPr/>
        <w:t>6.</w:t>
        <w:tab/>
        <w:t>Kehotamme EU:n toimielimiä panemaan täytäntöön työryhmän päätelmät ja tekemään niistä tehokkaita. Tämä voitaisiin toteuttaa Lissabonin sopimuksen nykyisillä määräyksillä ja tarvittaessa vaatimalla eurooppalaisen valmistelukunnan käynnistämistä</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Kuva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uva28"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w:t>
      </w:r>
      <w:r>
        <w:rPr/>
        <w:t>Migrations”</w:t>
      </w:r>
    </w:p>
    <w:p>
      <w:pPr>
        <w:pStyle w:val="Titre3"/>
        <w:numPr>
          <w:ilvl w:val="2"/>
          <w:numId w:val="2"/>
        </w:numPr>
        <w:rPr/>
      </w:pPr>
      <w:bookmarkStart w:id="93" w:name="__RefHeading___Toc298360_1346298689"/>
      <w:bookmarkEnd w:id="93"/>
      <w:r>
        <w:rPr/>
        <w:t>41. Ehdotus: Laillinen maahanmuutto</w:t>
      </w:r>
    </w:p>
    <w:p>
      <w:pPr>
        <w:pStyle w:val="P68B1DB1Normal15"/>
        <w:rPr>
          <w:b/>
          <w:b/>
        </w:rPr>
      </w:pPr>
      <w:r>
        <w:rPr/>
        <w:t>Tavoite: EU:n roolin vahvistaminen laillisessa muuttoliikkeessä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166"/>
      </w:r>
      <w:r>
        <w:rPr/>
        <w:t>:</w:t>
      </w:r>
    </w:p>
    <w:p>
      <w:pPr>
        <w:pStyle w:val="Puce3"/>
        <w:tabs>
          <w:tab w:val="clear" w:pos="720"/>
        </w:tabs>
        <w:rPr/>
      </w:pPr>
      <w:r>
        <w:rPr/>
        <w:t>1.</w:t>
        <w:tab/>
        <w:t>Käynnistetään Euroopan tason tiedotuskampanja sen varmistamiseksi, että EU:n kansalaiset tuntevat paremmin Eures-verkoston (Euroopan työnvälitysverkosto), EU:n maahanmuuttoportaalin ja kolmansien maiden kansalaisten eurooppalaisen osaamisprofilointivälineen ja että EU:n yritykset käyttävät niitä useammin rekrytoidessaan (suositus 6).</w:t>
      </w:r>
    </w:p>
    <w:p>
      <w:pPr>
        <w:pStyle w:val="Puce3"/>
        <w:tabs>
          <w:tab w:val="clear" w:pos="720"/>
        </w:tabs>
        <w:rPr/>
      </w:pPr>
      <w:r>
        <w:rPr/>
        <w:t>2.</w:t>
        <w:tab/>
        <w:t>Maahanmuuttajien pääsyä EU:n työmarkkinoille käsittelevän eurooppalaisen yksikön perustaminen tai, jos tämä ei ole mahdollista, laajentamalla Euroopan työnvälitysverkoston (Eures) toimivaltuuksia esimerkiksi parantamalla lahjakkuuksien houkuttelevuutta koskevia kumppanuushankkeita (suositus nro 7 ja keskustelu työryhmässä), jotta voidaan vastata osaamisen tarjontaan ja kysyntään verkossa lähtömaassa arviointiperusteiden perusteella (suositus nro 9 ja keskustelu työryhmässä). Unionin olisi kannustettava jäsenvaltioita yksinkertaistamaan laillisten maahanmuuttajien vastaanottoa ja kotouttamista sekä heidän pääsyään unionin työmarkkinoille parantamalla eri hallintojen välistä yhteentoimivuutta (työryhmässä käytävä keskustelu).</w:t>
      </w:r>
    </w:p>
    <w:p>
      <w:pPr>
        <w:pStyle w:val="Puce3"/>
        <w:tabs>
          <w:tab w:val="clear" w:pos="720"/>
        </w:tabs>
        <w:rPr/>
      </w:pPr>
      <w:r>
        <w:rPr/>
        <w:t>3.</w:t>
        <w:tab/>
        <w:t>Parannetaan sinistä korttia koskevan direktiivin toimintaa ja täytäntöönpanoa EU:n talouden tarvitsemien taitojen houkuttelemiseksi (suositus nro 7 ja keskustelu työryhmässä) ottaen asianmukaisesti huomioon aivovuodon riski (ehdotuksen 42 toimenpiteen 1 mukaan).</w:t>
      </w:r>
    </w:p>
    <w:p>
      <w:pPr>
        <w:pStyle w:val="Puce3"/>
        <w:tabs>
          <w:tab w:val="clear" w:pos="720"/>
        </w:tabs>
        <w:rPr/>
      </w:pPr>
      <w:r>
        <w:rPr/>
        <w:t>4.</w:t>
        <w:tab/>
        <w:t>Edistää työolojen yhdenmukaistamista ylöspäin koko unionissa, jotta voidaan puuttua työoloihin liittyvään eriarvoisuuteen, varmistaa tehokas työvoiman muuttoliikepolitiikka ja puolustaa työntekijöiden oikeuksia. Vahvistetaan tässä yhteydessä ammattiyhdistysten asemaa kansallisella ja kansainvälisellä tasolla (suositus nro 28 ja keskustelu työryhmässä) yhteistyössä työnantajajärjestöjen kanssa (keskustelu täysistunnossa).</w:t>
      </w:r>
    </w:p>
    <w:p>
      <w:pPr>
        <w:pStyle w:val="Puce3"/>
        <w:tabs>
          <w:tab w:val="clear" w:pos="720"/>
        </w:tabs>
        <w:rPr/>
      </w:pPr>
      <w:r>
        <w:rPr/>
        <w:t>5.</w:t>
        <w:tab/>
        <w:t>Tehostetaan toimia, joilla tiedotetaan ja valistetaan jäsenvaltioiden kansalaisia muuttoliikkeeseen ja kotouttamiseen liittyvistä kysymyksistä (suositus 30, LT-paneelin suositus 9 ja työryhmän keskustelu).</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Ehdotus: Laiton muuttoliike</w:t>
      </w:r>
    </w:p>
    <w:p>
      <w:pPr>
        <w:pStyle w:val="P68B1DB1Normal15"/>
        <w:rPr>
          <w:b/>
          <w:b/>
        </w:rPr>
      </w:pPr>
      <w:r>
        <w:rPr/>
        <w:t>Tavoite: Unionin roolin vahvistaminen laittoman muuttoliikkeen kaikkien muotojen torjunnassa ja Euroopan unionin ulkorajojen suojelun lujittaminen ihmisoikeuksia kunnioittaen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167"/>
      </w:r>
      <w:r>
        <w:rPr/>
        <w:t>:</w:t>
      </w:r>
    </w:p>
    <w:p>
      <w:pPr>
        <w:pStyle w:val="Puce3"/>
        <w:tabs>
          <w:tab w:val="clear" w:pos="720"/>
        </w:tabs>
        <w:rPr/>
      </w:pPr>
      <w:r>
        <w:rPr/>
        <w:t>1.</w:t>
        <w:tab/>
        <w:t>Osallistutaan aktiivisesti esimerkiksi kumppanuussopimusten kautta sellaisten Euroopan unionin ulkopuolisten maiden taloudelliseen ja sosiaaliseen kehitykseen, joista on paljon maahanmuuttajia, jotta voidaan puuttua muuttoliikkeen perimmäisiin syihin, myös ilmastonmuutokseen. Näiden toimien olisi oltava avoimia ja niistä olisi saatava konkreettisia tuloksia, joilla on mitattavissa olevia vaikutuksia, ja niistä olisi tiedotettava selkeästi EU:n kansalaisille (suositus 27, Alankomaiden suositus 3 ja keskustelu työryhmässä).</w:t>
      </w:r>
    </w:p>
    <w:p>
      <w:pPr>
        <w:pStyle w:val="Puce3"/>
        <w:tabs>
          <w:tab w:val="clear" w:pos="720"/>
        </w:tabs>
        <w:rPr/>
      </w:pPr>
      <w:r>
        <w:rPr/>
        <w:t>2.</w:t>
        <w:tab/>
        <w:t>Varmistetaan kaikkien ulkorajojen suojelu parantamalla Frontexin avoimuutta ja vastuuvelvollisuutta ja vahvistamalla sen roolia (suositus nro 8 ja keskustelu työryhmässä) ja mukauttamalla EU:n lainsäädäntöä vastaamaan paremmin laittoman muuttoliikkeen nykyisiin haasteisiin, kuten ihmiskauppaan, ihmiskauppaan, seksuaaliseen hyväksikäyttöön, muuttajia hyväksikäyttävien valtioiden tekemiin hybridihyökkäyksiin ja ihmisoikeusloukkauksiin (suositus LT 10 ja keskustelu työryhmässä).</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Ehdotus: Laiton muuttoliike (bis)</w:t>
      </w:r>
    </w:p>
    <w:p>
      <w:pPr>
        <w:pStyle w:val="P68B1DB1Normal15"/>
        <w:rPr>
          <w:b/>
          <w:b/>
        </w:rPr>
      </w:pPr>
      <w:r>
        <w:rPr/>
        <w:t>Tavoite: Sovelletaan yhteisiä sääntöjä yhdenmukaisesti kaikissa jäsenvaltioissa maahanmuuttajien ensimmäiseen vastaanottoon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168"/>
      </w:r>
      <w:r>
        <w:rPr/>
        <w:t>:</w:t>
      </w:r>
    </w:p>
    <w:p>
      <w:pPr>
        <w:pStyle w:val="Puce3"/>
        <w:tabs>
          <w:tab w:val="clear" w:pos="720"/>
        </w:tabs>
        <w:rPr/>
      </w:pPr>
      <w:r>
        <w:rPr/>
        <w:t>1.</w:t>
        <w:tab/>
        <w:t>Kehitetään EU:n laajuisia toimenpiteitä kaikkien maahanmuuttajien, erityisesti raskaana olevien naisten, lasten, ilman huoltajaa olevien alaikäisten ja kaikkien haavoittuvassa asemassa olevien henkilöiden turvallisuuden ja terveyden varmistamiseksi (suositukset 10 ja 38 sekä keskustelu työryhmässä).</w:t>
      </w:r>
    </w:p>
    <w:p>
      <w:pPr>
        <w:pStyle w:val="Normal"/>
        <w:rPr/>
      </w:pPr>
      <w:r>
        <w:rPr/>
      </w:r>
    </w:p>
    <w:p>
      <w:pPr>
        <w:pStyle w:val="Puce3"/>
        <w:tabs>
          <w:tab w:val="clear" w:pos="720"/>
        </w:tabs>
        <w:rPr/>
      </w:pPr>
      <w:r>
        <w:rPr/>
        <w:t>2.</w:t>
        <w:tab/>
        <w:t>Lisätään EU:n taloudellista, logistista ja operatiivista tukea, myös paikallisviranomaisille, alueellisille päättäjille ja kansalaisyhteiskunnan organisaatioille, jotta voidaan hallinnoida ensimmäistä vastaanottoa, joka mahdollisesti johtaa pakolaisten tai laillisten maahanmuuttajien kotoutumiseen ja laittomien maahanmuuttajien kotiuttamiseen (suositus 35 ja keskustelu työryhmässä).</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Ehdotus: Turvapaikka, kotouttaminen</w:t>
      </w:r>
    </w:p>
    <w:p>
      <w:pPr>
        <w:pStyle w:val="P68B1DB1Normal15"/>
        <w:rPr>
          <w:b/>
          <w:b/>
        </w:rPr>
      </w:pPr>
      <w:r>
        <w:rPr/>
        <w:t>Tavoite: Unionin aseman vahvistaminen ja Euroopan turvapaikkajärjestelmän uudistaminen yhteisvastuun ja oikeudenmukaisen vastuunjaon periaatteiden pohjalta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169"/>
      </w:r>
      <w:r>
        <w:rPr/>
        <w:t>:</w:t>
      </w:r>
    </w:p>
    <w:p>
      <w:pPr>
        <w:pStyle w:val="Puce3"/>
        <w:tabs>
          <w:tab w:val="clear" w:pos="720"/>
        </w:tabs>
        <w:rPr/>
      </w:pPr>
      <w:r>
        <w:rPr/>
        <w:t>1.</w:t>
        <w:tab/>
        <w:t>Hyväksyy kansainvälistä suojelua koskevien hakemusten käsittelymenettelyjä jäsenvaltioissa koskevat unionin yhteiset säännöt, joita sovelletaan yhdenmukaisesti kaikkiin turvapaikanhakijoihin. Näissä menettelyissä on kunnioitettava ihmisarvoa ja kansainvälistä oikeutta (suositus 29, IT-suositukset 3.8 ja 4.4, s. 15 ja keskustelu työryhmässä). Koska turvapaikanhakijoiden vastaanottoon osallistuu eri toimijoita kansallisella tasolla, unionin olisi kannustettava jäsenvaltioita yksinkertaistamaan ja nopeuttamaan tätä prosessia parantamalla eri hallintojen välistä yhteentoimivuutta ja perustamaan turvapaikanhakijoille keskitetty toimisto (ikkuna tai keskitetty vastaanottopiste), jotta voidaan virtaviivaistaa kansallisia hallinnollisia menettelyjä (suositus 37 ja keskustelu työryhmässä).</w:t>
      </w:r>
    </w:p>
    <w:p>
      <w:pPr>
        <w:pStyle w:val="Puce3"/>
        <w:tabs>
          <w:tab w:val="clear" w:pos="720"/>
        </w:tabs>
        <w:rPr/>
      </w:pPr>
      <w:r>
        <w:rPr/>
        <w:t>2.</w:t>
        <w:tab/>
        <w:t>Tarkistetaan Dublin-järjestelmää solidaarisuuden ja oikeudenmukaisen vastuunjaon varmistamiseksi, mukaan lukien maahanmuuttajien jakaminen jäsenvaltioiden kesken; myös muita tukimuotoja voitaisiin harkita (suositukset 33, 36, 37 ja 40; LT Suositus nro 2; suositukset IT 3.8 (s. 15) ja NL 2, keskustelu työryhmässä ja keskustelu täysistunnossa.</w:t>
      </w:r>
    </w:p>
    <w:p>
      <w:pPr>
        <w:pStyle w:val="Puce3"/>
        <w:tabs>
          <w:tab w:val="clear" w:pos="720"/>
        </w:tabs>
        <w:rPr/>
      </w:pPr>
      <w:r>
        <w:rPr/>
        <w:t>3.</w:t>
        <w:tab/>
        <w:t>Vahvistetaan direktiivissä 2013/33/EU vahvistettuja turvapaikanhakijoiden vastaanottoa koskevia vähimmäisvaatimuksia tiukemmilla lainsäädäntötoimenpiteillä vastaanottotilojen ja majoituksen parantamiseksi (CEP:n suositus 31, IT-suositus 5.6, s. 11 ja keskustelu työryhmässä).</w:t>
      </w:r>
    </w:p>
    <w:p>
      <w:pPr>
        <w:pStyle w:val="Puce3"/>
        <w:tabs>
          <w:tab w:val="clear" w:pos="720"/>
        </w:tabs>
        <w:rPr/>
      </w:pPr>
      <w:r>
        <w:rPr/>
        <w:t>4.</w:t>
        <w:tab/>
        <w:t>Erityistä huomiota olisi kiinnitettävä raskaana oleviin naisiin, lapsiin ja erityisesti ilman huoltajaa oleviin alaikäisiin (suositus nro 38 ja keskustelu työryhmässä).</w:t>
      </w:r>
    </w:p>
    <w:p>
      <w:pPr>
        <w:pStyle w:val="Puce3"/>
        <w:tabs>
          <w:tab w:val="clear" w:pos="720"/>
        </w:tabs>
        <w:rPr/>
      </w:pPr>
      <w:r>
        <w:rPr/>
        <w:t>5.</w:t>
        <w:tab/>
        <w:t>Vahvistetaan ja lisätään Euroopan unionin turvapaikkaviraston taloudellisia, henkilöresursseja ja hallintovalmiuksia, jotta voidaan koordinoida ja hallinnoida turvapaikanhakijoiden sisäisiä siirtoja EU:n jäsenvaltioissa oikeudenmukaisen jakautumisen aikaansaamiseksi (suositukset 36 ja 37, LT-suositus 3 ja keskustelu työryhmässä).</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Ehdotus: Turvapaikka, kotouttaminen(bis)</w:t>
      </w:r>
    </w:p>
    <w:p>
      <w:pPr>
        <w:pStyle w:val="P68B1DB1Normal15"/>
        <w:rPr>
          <w:b/>
          <w:b/>
        </w:rPr>
      </w:pPr>
      <w:r>
        <w:rPr/>
        <w:t>Tavoite: Kotouttamispolitiikkojen parantaminen kaikissa jäsenvaltioissa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rPr>
        <w:endnoteReference w:id="170"/>
      </w:r>
      <w:r>
        <w:rPr/>
        <w:t>:</w:t>
      </w:r>
    </w:p>
    <w:p>
      <w:pPr>
        <w:pStyle w:val="Puce3"/>
        <w:tabs>
          <w:tab w:val="clear" w:pos="720"/>
        </w:tabs>
        <w:rPr/>
      </w:pPr>
      <w:r>
        <w:rPr/>
        <w:t>1.</w:t>
        <w:tab/>
        <w:t>Unioni varmistaa myös paikallis- ja alueviranomaisten ja kansalaisyhteiskunnan organisaatioiden myötävaikutuksella, että kaikki turvapaikanhakijat ja pakolaiset osallistuvat kieli- ja kotouttamiskursseihin ja -toimintaan sekä ammatilliseen koulutukseen oleskelua koskevan hakemuksen käsittelyn aikana (suositus nro 32, suositus FR nro 13, keskustelu työryhmässä ja keskustelu täysistunnossa).</w:t>
      </w:r>
    </w:p>
    <w:p>
      <w:pPr>
        <w:pStyle w:val="Puce3"/>
        <w:tabs>
          <w:tab w:val="clear" w:pos="720"/>
        </w:tabs>
        <w:rPr/>
      </w:pPr>
      <w:r>
        <w:rPr/>
        <w:t>2.</w:t>
        <w:tab/>
        <w:t>Turvapaikanhakijoilla, joilla on asianmukainen pätevyys, olisi oltava pääsy työmarkkinoille, jos mahdollista, jotta heidän riippumattomuuttaan voitaisiin vahvistaa kaikkialla unionissa (suositus nro 7 ja keskustelu työryhmässä).</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Kuva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Kuva29"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Koulutus, kulttuuri, nuoriso ja urheilu</w:t>
      </w:r>
    </w:p>
    <w:p>
      <w:pPr>
        <w:pStyle w:val="Titre3"/>
        <w:numPr>
          <w:ilvl w:val="2"/>
          <w:numId w:val="2"/>
        </w:numPr>
        <w:rPr/>
      </w:pPr>
      <w:bookmarkStart w:id="99" w:name="__RefHeading___Toc298372_1346298689"/>
      <w:bookmarkEnd w:id="99"/>
      <w:r>
        <w:rPr/>
        <w:t>46. Ehdotus: Koulutus</w:t>
      </w:r>
    </w:p>
    <w:p>
      <w:pPr>
        <w:pStyle w:val="P68B1DB1Normal15"/>
        <w:rPr>
          <w:b/>
          <w:b/>
        </w:rPr>
      </w:pPr>
      <w:r>
        <w:rPr/>
        <w:t>Tavoite: EU:n ja sen jäsenvaltioiden olisi pyrittävä luomaan vuoteen 2025 mennessä osallistava eurooppalainen koulutusalue, jolla kaikilla kansalaisilla on yhtäläiset mahdollisuudet laadukkaaseen elinikäiseen oppimiseen ja koulutukseen, mukaan lukien maaseudulla ja syrjäisillä alueilla asuvat. Tätä varten Euroopan unionin ja sen jäsenvaltioiden olisi erityisesti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p>
    <w:p>
      <w:pPr>
        <w:pStyle w:val="Puce3"/>
        <w:tabs>
          <w:tab w:val="clear" w:pos="720"/>
        </w:tabs>
        <w:rPr/>
      </w:pPr>
      <w:r>
        <w:rPr/>
        <w:t>1.</w:t>
        <w:tab/>
        <w:t>Koordinoida kaikkien eri koulutusohjelmien tasoa Euroopan unionissa hyväksymällä kansallinen, alueellinen ja paikallinen sisältö ja luomalla tiiviimmät yhteydet koulutusjärjestelmien välille erityisesti tutkintojen vastaavuuden avulla</w:t>
      </w:r>
      <w:r>
        <w:rPr>
          <w:rStyle w:val="Ancredenotedefin"/>
          <w:rStyle w:val="Ancredenotedefin"/>
        </w:rPr>
        <w:endnoteReference w:id="171"/>
      </w:r>
      <w:r>
        <w:rPr/>
        <w:t>. Perusopetuksen vähimmäisvaatimukset olisi hyväksyttävä jo peruskoulussa</w:t>
      </w:r>
      <w:r>
        <w:rPr>
          <w:rStyle w:val="Ancredenotedefin"/>
          <w:rStyle w:val="Ancredenotedefin"/>
        </w:rPr>
        <w:endnoteReference w:id="172"/>
      </w:r>
      <w:r>
        <w:rPr/>
        <w:t>171. Olisi vahvistettava jaettu toimivalta koulutuksen alalla ainakin kansalaiskasvatuksessa, eikä unionin tämän toimivallan käyttäminen voi estää jäsenvaltioita käyttämästä omaa toimivaltaansa. Tutkintotodistukset ja ammatillinen koulutus olisi validoitava ja tunnustettava vastavuoroisesti kaikissa unionin jäsenvaltioissa</w:t>
      </w:r>
      <w:r>
        <w:rPr>
          <w:rStyle w:val="Ancredenotedefin"/>
          <w:rStyle w:val="Ancredenotedefin"/>
        </w:rPr>
        <w:endnoteReference w:id="173"/>
      </w:r>
      <w:r>
        <w:rPr/>
        <w:t>. Euroopan unionin olisi myös hyödynnettävä epävirallisen oppimisen</w:t>
      </w:r>
      <w:r>
        <w:rPr>
          <w:rStyle w:val="Ancredenotedefin"/>
          <w:rStyle w:val="Ancredenotedefin"/>
        </w:rPr>
        <w:endnoteReference w:id="174"/>
      </w:r>
      <w:r>
        <w:rPr/>
        <w:t xml:space="preserve"> ja arkioppimisen ja sitä tarjoavien nuorisojärjestöjen sekä ulkomailla suoritettujen oppimisjaksojen tunnustamista.</w:t>
      </w:r>
    </w:p>
    <w:p>
      <w:pPr>
        <w:pStyle w:val="Puce3"/>
        <w:tabs>
          <w:tab w:val="clear" w:pos="720"/>
        </w:tabs>
        <w:rPr/>
      </w:pPr>
      <w:r>
        <w:rPr/>
        <w:t>2.</w:t>
        <w:tab/>
        <w:t>Tulevaisuuden vaatimukset täyttävän elinikäisen oppimisen ja koulutuksen kehittäminen Euroopassa siten, että otetaan huomioon kaikkien oikeus koulutukseen työpaikalla ja jossa keskitytään seuraaviin näkökohtiin:</w:t>
        <w:br/>
        <w:t>Kansalaiskasvatus demokraattisista prosesseista ja EU:n arvoista ja Euroopan historiasta</w:t>
      </w:r>
      <w:r>
        <w:rPr>
          <w:rStyle w:val="Ancredenotedefin"/>
          <w:rStyle w:val="Ancredenotedefin"/>
        </w:rPr>
        <w:endnoteReference w:id="175"/>
      </w:r>
      <w:r>
        <w:rPr/>
        <w:t>. Siitä olisi tehtävä yhteinen moduuli, jota opetetaan kaikissa jäsenvaltioissa. Talouden tuntemusta olisi myös parannettava, jotta Euroopan yhdentymisprosessi ymmärrettäisiin paremmin</w:t>
      </w:r>
      <w:r>
        <w:rPr>
          <w:rStyle w:val="Ancredenotedefin"/>
          <w:rStyle w:val="Ancredenotedefin"/>
        </w:rPr>
        <w:endnoteReference w:id="176"/>
      </w:r>
      <w:r>
        <w:rPr/>
        <w:t>.</w:t>
        <w:br/>
        <w:t>− Digitaaliset taidot</w:t>
      </w:r>
      <w:r>
        <w:rPr>
          <w:rStyle w:val="Ancredenotedefin"/>
          <w:rStyle w:val="Ancredenotedefin"/>
        </w:rPr>
        <w:endnoteReference w:id="177"/>
      </w:r>
      <w:r>
        <w:rPr/>
        <w:t>.</w:t>
        <w:br/>
        <w:t>STIAM</w:t>
      </w:r>
      <w:r>
        <w:rPr>
          <w:rStyle w:val="Ancredenotedefin"/>
          <w:rStyle w:val="Ancredenotedefin"/>
        </w:rPr>
        <w:endnoteReference w:id="178"/>
      </w:r>
      <w:r>
        <w:rPr/>
        <w:br/>
        <w:t>− Yrittäjyys ja tutkimus.</w:t>
        <w:br/>
        <w:t>Kriittisen ajattelun kehittäminen. Medialukutaitoa olisi parannettava, jotta voidaan varmistaa verkkoturvallisuus ja jotta kaikkien jäsenvaltioiden kansalaiset voivat riippumattomasti arvioida, ovatko tiedot uskottavia vai eivät, ja tunnistaa vääriä tietoja ja hyödyntää samalla internetin tarjoamia mahdollisuuksia. Tähän koulutukseen olisi kuuluttava erityiskurssien järjestäminen perusopetuksen tasolla, ja sitä olisi tarjottava muissa julkisissa tiloissa kaikenikäisille kansalaisille unionin tason erityiselimen alaisuudessa hyödyntäen kaikissa jäsenvaltioissa käytössä olevia hyviä käytäntöjä. EU:n olisi varmistettava, että erityisesti näihin toimiin osoitetut varat käytetään aiottuun tarkoitukseen</w:t>
      </w:r>
      <w:r>
        <w:rPr>
          <w:rStyle w:val="Ancredenotedefin"/>
          <w:rStyle w:val="Ancredenotedefin"/>
        </w:rPr>
        <w:endnoteReference w:id="179"/>
      </w:r>
      <w:r>
        <w:rPr/>
        <w:t>.</w:t>
        <w:br/>
        <w:t>muiden kuin teknisten taitojen sisällyttäminen kaikkiin koulujen opetussuunnitelmiin kuuluviin kursseihin. Ei-teknisellä pätevyydellä tarkoitetaan: keskinäinen kuuntelu, vuoropuhelu, selviytymiskyky, muiden ymmärtäminen, kunnioittaminen ja arvostaminen, kriittinen ajattelu, itseoppiminen ja utelias ja tulossuuntautunut pysyminen</w:t>
      </w:r>
      <w:r>
        <w:rPr>
          <w:rStyle w:val="Ancredenotedefin"/>
          <w:rStyle w:val="Ancredenotedefin"/>
        </w:rPr>
        <w:endnoteReference w:id="180"/>
      </w:r>
      <w:r>
        <w:rPr/>
        <w:t>; — Annetaan kaikille mahdollisuus oppia lisää ympäristön kestävyydestä ja sen yhteyksistä terveyteen. Biologisen monimuotoisuuden tulisi olla pakollinen oppiaine koulussa. Sen olisi aloitettava koulussa erityisistä aiheista, joissa käsitellään kaikkia ekologisia kysymyksiä, ja siihen olisi sisällyttävä retkiä, joissa esitetään asiaankuuluvia todellisia esimerkkejä, kaikki rahoitusohjelman avulla</w:t>
      </w:r>
      <w:r>
        <w:rPr>
          <w:rStyle w:val="Ancredenotedefin"/>
          <w:rStyle w:val="Ancredenotedefin"/>
        </w:rPr>
        <w:endnoteReference w:id="181"/>
      </w:r>
      <w:r>
        <w:rPr/>
        <w:t xml:space="preserve">. </w:t>
        <w:br/>
        <w:t>Koulukiusaamista ja rasismia vastaan.</w:t>
      </w:r>
    </w:p>
    <w:p>
      <w:pPr>
        <w:pStyle w:val="Puce3"/>
        <w:tabs>
          <w:tab w:val="clear" w:pos="720"/>
        </w:tabs>
        <w:rPr/>
      </w:pPr>
      <w:r>
        <w:rPr/>
        <w:t>3.</w:t>
        <w:tab/>
        <w:t>Tuetaan opettajankoulutusta</w:t>
      </w:r>
      <w:r>
        <w:rPr>
          <w:rStyle w:val="Ancredenotedefin"/>
          <w:rStyle w:val="Ancredenotedefin"/>
        </w:rPr>
        <w:endnoteReference w:id="182"/>
      </w:r>
      <w:r>
        <w:rPr/>
        <w:t>, jotta voidaan oppia parhaista käytännöistä ja käyttää ajan tasalla olevia innovatiivisia ja luovia opetustekniikoita, joissa otetaan huomioon pedagogisten menetelmien kehitys, mukaan lukien käytännön toimet, myös covid-19-pandemiasta ja muista kriiseistä saatujen kokemusten pohjalta sekä liikkuvuusmahdollisuuksien edistämiseksi</w:t>
      </w:r>
      <w:r>
        <w:rPr>
          <w:rStyle w:val="Ancredenotedefin"/>
          <w:rStyle w:val="Ancredenotedefin"/>
        </w:rPr>
        <w:endnoteReference w:id="183"/>
      </w:r>
      <w:r>
        <w:rPr/>
        <w:t>.</w:t>
      </w:r>
    </w:p>
    <w:p>
      <w:pPr>
        <w:pStyle w:val="Puce3"/>
        <w:tabs>
          <w:tab w:val="clear" w:pos="720"/>
        </w:tabs>
        <w:rPr/>
      </w:pPr>
      <w:r>
        <w:rPr/>
        <w:t>4.</w:t>
        <w:tab/>
        <w:t>Kaikkien lasten ja perheiden koulutustarpeiden tyydyttämiseksi etusijalle asetetaan laitteiden saatavuus ja tehokkaat laajakaistayhteydet</w:t>
      </w:r>
      <w:r>
        <w:rPr>
          <w:rStyle w:val="Ancredenotedefin"/>
          <w:rStyle w:val="Ancredenotedefin"/>
        </w:rPr>
        <w:endnoteReference w:id="184"/>
      </w:r>
      <w:r>
        <w:rPr/>
        <w:t>.</w:t>
      </w:r>
    </w:p>
    <w:p>
      <w:pPr>
        <w:pStyle w:val="Puce3"/>
        <w:tabs>
          <w:tab w:val="clear" w:pos="720"/>
        </w:tabs>
        <w:rPr/>
      </w:pPr>
      <w:r>
        <w:rPr/>
        <w:t>5.</w:t>
        <w:tab/>
        <w:t>Perustaa unionin tason tietämyksen ja kokemusten vaihtoa varten tietofoorumin jakamalla tietoja unionissa toteutettavista valtioiden rajat ylittävistä koulutuskursseista, esittelemällä esimerkkejä parhaista käytännöistä ja tarjoamalla kansalaisille mahdollisuuden esittää uusia ideoita rajatylittävää vaihtoa varten. Sen olisi tarjottava opetusmateriaalia ilmastonmuutoksesta, ympäristökysymyksistä ja digitalisaatiosta sekä annettava tietoa nykyisistä erityisfoorumeista pääteemoista</w:t>
      </w:r>
      <w:r>
        <w:rPr>
          <w:rStyle w:val="Ancredenotedefin"/>
          <w:rStyle w:val="Ancredenotedefin"/>
        </w:rPr>
        <w:endnoteReference w:id="185"/>
      </w:r>
      <w:r>
        <w:rPr/>
        <w:t>. — Tähän voitaisiin liittää rahoitusohjelma, jolla tuetaan foorumin tietojen käyttöä ja hyödyntämistä.</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Ehdotus: Eurooppalaista nuorisoa koskevat kysymykset</w:t>
      </w:r>
    </w:p>
    <w:p>
      <w:pPr>
        <w:pStyle w:val="P68B1DB1Normal15"/>
        <w:rPr>
          <w:b/>
          <w:b/>
        </w:rPr>
      </w:pPr>
      <w:r>
        <w:rPr/>
        <w:t>Tavoite: EU:n ja sen jäsenvaltioiden olisi keskityttävä nuorten erityistarpeisiin kaikissa asiaankuuluvissa politiikoissa, myös EU:n aluepolitiikassa, jotta heille voidaan tarjota parhaat mahdolliset edellytykset opiskelulle ja työskentelylle sekä itsenäisen elämän aloittamiselle samalla kun he osallistuvat demokraattiseen elämään ja päätöksentekoprosesseihin, myös Euroopan tasolla. Nuorisojärjestöillä on keskeinen rooli. Tämän tavoitteen saavuttamiseksi ehdotamme seuraavaa: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p>
    <w:p>
      <w:pPr>
        <w:pStyle w:val="Puce3"/>
        <w:tabs>
          <w:tab w:val="clear" w:pos="720"/>
        </w:tabs>
        <w:rPr/>
      </w:pPr>
      <w:r>
        <w:rPr/>
        <w:t>1.</w:t>
        <w:tab/>
        <w:t>Tarjotaan nuorille enemmän mahdollisuuksia osallistua ja olla edustettuina demokraattisissa ja päätöksentekoprosesseissa kaikilla tasoilla ja tuetaan nykyisiä ohjelmia tällä alalla muun muassa järjestämällä kansalaispaneeleja, joissa on lapsia (esim. 10–16-vuotiaita) kouluissa. Eurooppalaiset edustajat voisivat tavata koululaisia kouluissaan vahvistaakseen kansalaisten läheisyyttä ja ymmärrystä Euroopasta jo varhaisesta iästä lähtien</w:t>
      </w:r>
      <w:r>
        <w:rPr>
          <w:rStyle w:val="Ancredenotedefin"/>
          <w:rStyle w:val="Ancredenotedefin"/>
        </w:rPr>
        <w:endnoteReference w:id="186"/>
      </w:r>
      <w:r>
        <w:rPr/>
        <w:t>. Jotta kaikki EU:n poliittiset päätökset voidaan analysoida nuorisolinssien avulla, olisi kehitettävä EU:n tasolla ”nuorisotesti” sen varmistamiseksi, että kaikista uusista politiikka- ja lainsäädäntöehdotuksista tehdään nuorisokeskeinen vaikutustenarviointi, johon sisältyy nuorisokuuleminen.</w:t>
      </w:r>
    </w:p>
    <w:p>
      <w:pPr>
        <w:pStyle w:val="Puce3"/>
        <w:tabs>
          <w:tab w:val="clear" w:pos="720"/>
        </w:tabs>
        <w:rPr/>
      </w:pPr>
      <w:r>
        <w:rPr/>
        <w:t>2.</w:t>
        <w:tab/>
        <w:t>Olisi keskusteltava ja harkittava äänioikeuden myöntämistä 16-vuotiaasta alkaen Euroopan parlamentin vaaleissa sekä kansalaiskasvatuksen ja EU:n vahvistamista. Kansallisten poliittisten puolueiden olisi myös varmistettava, että nuoremmat ehdokkaat otetaan niiden listalle Euroopan parlamentin vaaleja varten</w:t>
      </w:r>
      <w:r>
        <w:rPr>
          <w:rStyle w:val="Ancredenotedefin"/>
          <w:rStyle w:val="Ancredenotedefin"/>
        </w:rPr>
        <w:endnoteReference w:id="187"/>
      </w:r>
      <w:r>
        <w:rPr/>
        <w:t>.</w:t>
      </w:r>
    </w:p>
    <w:p>
      <w:pPr>
        <w:pStyle w:val="Puce3"/>
        <w:tabs>
          <w:tab w:val="clear" w:pos="720"/>
        </w:tabs>
        <w:rPr/>
      </w:pPr>
      <w:r>
        <w:rPr/>
        <w:t>3.</w:t>
        <w:tab/>
        <w:t>Koulujen, paikallisviranomaisten sekä asiaankuuluvien organisaatioiden ja yritysten tiiviissä yhteistyössä koulujen, paikallisviranomaisten ja asianomaisten järjestöjen ja yritysten välillä on mahdollisuus osallistua laadukkaisiin havainnointikäynteihin voittoa tavoitteleviin ja voittoa tavoittelemattomiin järjestöihin</w:t>
      </w:r>
      <w:r>
        <w:rPr>
          <w:rStyle w:val="Ancredenotedefin"/>
          <w:rStyle w:val="Ancredenotedefin"/>
        </w:rPr>
        <w:endnoteReference w:id="188"/>
      </w:r>
      <w:r>
        <w:rPr/>
        <w:t>. Näitä vierailuja olisi tarkasteltava osana laajempaa uraohjausprosessia virallisessa koulutuksessa, jotta nuoret voivat olla ensimmäistä kertaa yhteydessä työelämään, jotta he voivat ohjata ammatillisia valintojaan ja/tai harkita yrittäjäksi ryhtymistä.</w:t>
      </w:r>
    </w:p>
    <w:p>
      <w:pPr>
        <w:pStyle w:val="Puce3"/>
        <w:tabs>
          <w:tab w:val="clear" w:pos="720"/>
        </w:tabs>
        <w:rPr/>
      </w:pPr>
      <w:r>
        <w:rPr/>
        <w:t>4.</w:t>
        <w:tab/>
        <w:t>NextGenerationEU-välineestä myönnettävää EU:n rahoitusta olisi myös kohdennettava tehostetun eurooppalaisen nuorisotakuun täytäntöönpanoon, mukaan lukien osallistumisen lisääminen, tietoisuuden lisääminen, tarjonnan laadun parantaminen, rahoitus ja toimet kaikissa jäsenvaltioissa ja asiaankuuluvissa viranomaistasoissa. Koska nuorisojärjestöt pystyvät paremmin tunnistamaan nuorten tarpeet, kansallisten hallitusten olisi tehtävä yhteistyötä nuorisojärjestöjen kanssa tiiviissä vuoropuhelussa nuorisotakuun mahdollisimman tehokkaan täytäntöönpanon varmistamiseksi.</w:t>
      </w:r>
    </w:p>
    <w:p>
      <w:pPr>
        <w:pStyle w:val="Puce3"/>
        <w:tabs>
          <w:tab w:val="clear" w:pos="720"/>
        </w:tabs>
        <w:rPr/>
      </w:pPr>
      <w:r>
        <w:rPr/>
        <w:t>5.</w:t>
        <w:tab/>
        <w:t>Varmistettava, että nuorten harjoittelut ja työpaikat ovat laatuvaatimusten mukaisia, erityisesti palkkauksen osalta, poistamalla nuorten vähimmäispalkat ja muut nuorisokohtaisen työlainsäädännön syrjivät säännökset ja kieltämällä oikeudellisella välineellä palkaton harjoittelu työmarkkinoilla ja virallisen koulutuksen ulkopuolella</w:t>
      </w:r>
      <w:r>
        <w:rPr>
          <w:rStyle w:val="Ancredenotedefin"/>
          <w:rStyle w:val="Ancredenotedefin"/>
        </w:rPr>
        <w:endnoteReference w:id="189"/>
      </w:r>
      <w:r>
        <w:rPr/>
        <w:t>.</w:t>
      </w:r>
    </w:p>
    <w:p>
      <w:pPr>
        <w:pStyle w:val="Puce3"/>
        <w:tabs>
          <w:tab w:val="clear" w:pos="720"/>
        </w:tabs>
        <w:rPr/>
      </w:pPr>
      <w:r>
        <w:rPr/>
        <w:t>6.</w:t>
        <w:tab/>
        <w:t>Varmistetaan nuorten kohtuullinen elintaso, mukaan lukien sosiaalisen suojelun ja asuntojen saatavuus. Nuorten olisi voitava saada samantasoista sosiaaliturvaa kuin muilla ikäryhmillä. Myös nuorten kohtuuhintaisten asuntojen saatavuutta olisi helpotettava muun muassa EU:n rahoituksen avulla</w:t>
      </w:r>
      <w:r>
        <w:rPr>
          <w:rStyle w:val="Ancredenotedefin"/>
          <w:rStyle w:val="Ancredenotedefin"/>
        </w:rPr>
        <w:endnoteReference w:id="190"/>
      </w:r>
      <w:r>
        <w:rPr/>
        <w:t>.</w:t>
      </w:r>
    </w:p>
    <w:p>
      <w:pPr>
        <w:pStyle w:val="Puce3"/>
        <w:tabs>
          <w:tab w:val="clear" w:pos="720"/>
        </w:tabs>
        <w:rPr/>
      </w:pPr>
      <w:r>
        <w:rPr/>
        <w:t>7.</w:t>
        <w:tab/>
        <w:t>Tarvitaan erityistoimenpiteitä, joilla estetään aivovuoto tietyiltä unionin alueilta ja maista nuorten riittämättömyyden vuoksi ja tehdään Euroopasta houkuttelevampi estämään eurooppalaisten lahjakkuuksien ja työvoiman pakeneminen kolmansiin maihin, jotta vältetään alueellisen yhteenkuuluvuuden heikkeneminen erityisesti alueilla, jotka kärsivät huomattavasta nuorten lahjakkuuksien menetyksestä, myös EU:n rahoituksen kautta</w:t>
      </w:r>
      <w:r>
        <w:rPr>
          <w:rStyle w:val="Ancredenotedefin"/>
          <w:rStyle w:val="Ancredenotedefin"/>
        </w:rPr>
        <w:endnoteReference w:id="191"/>
      </w:r>
      <w:r>
        <w:rPr/>
        <w:t>.</w:t>
      </w:r>
    </w:p>
    <w:p>
      <w:pPr>
        <w:pStyle w:val="Puce3"/>
        <w:tabs>
          <w:tab w:val="clear" w:pos="720"/>
        </w:tabs>
        <w:rPr/>
      </w:pPr>
      <w:r>
        <w:rPr/>
        <w:t>8.</w:t>
        <w:tab/>
        <w:t>Vakavan kriisin (esim. terveyskriisi, sota) sattuessa hyvin suunniteltujen suunnitelmien, joissa on yksityiskohtaisia skenaarioita, olisi oltava valmiita ottamaan käyttöön joustavasti, jotta voidaan minimoida vaikutukset koulutukseen, ammatilliseen koulutukseen, työmarkkinoille siirtymiseen ja nuorten henkiseen hyvinvointiin</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Ehdotus: Kulttuuri ja vaihto</w:t>
      </w:r>
    </w:p>
    <w:p>
      <w:pPr>
        <w:pStyle w:val="P68B1DB1Normal15"/>
        <w:rPr>
          <w:b/>
          <w:b/>
        </w:rPr>
      </w:pPr>
      <w:r>
        <w:rPr/>
        <w:t>Tavoite: Vaihtokulttuurin edistämiseksi ja eurooppalaisen identiteetin ja monimuotoisuuden edistämiseksi eri aloilla jäsenvaltioiden olisi Euroopan unionin avustuksella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r>
        <w:rPr>
          <w:rStyle w:val="Ancredenotedefin"/>
          <w:rStyle w:val="Ancredenotedefin"/>
          <w:b/>
        </w:rPr>
        <w:endnoteReference w:id="193"/>
      </w:r>
      <w:r>
        <w:rPr/>
        <w:t>:</w:t>
      </w:r>
    </w:p>
    <w:p>
      <w:pPr>
        <w:pStyle w:val="Puce3"/>
        <w:tabs>
          <w:tab w:val="clear" w:pos="720"/>
        </w:tabs>
        <w:rPr/>
      </w:pPr>
      <w:r>
        <w:rPr/>
        <w:t>1.</w:t>
        <w:tab/>
        <w:t>Edistetään eurooppalaista vaihtoa eri aloilla sekä fyysisesti että digitaalisesti, mukaan lukien koulutusvaihto, ystävyystoiminta, matkustaminen ja ammatillinen liikkuvuus (erityisesti opettajille ja paikallisille vaaleilla valituille virkamiehille). Tällaisen vaihdon olisi oltava kaikkien saatavilla kaikissa jäsenvaltioissa iästä, koulutustasosta, alkuperästä ja taloudellisista varoista riippumatta</w:t>
      </w:r>
      <w:r>
        <w:rPr>
          <w:rStyle w:val="Ancredenotedefin"/>
          <w:rStyle w:val="Ancredenotedefin"/>
        </w:rPr>
        <w:endnoteReference w:id="194"/>
      </w:r>
      <w:r>
        <w:rPr/>
        <w:t>. Tätä varten unionin olisi erityisesti vahvistettava olemassa olevia unionin tason vaihto- ja liikkuvuusohjelmia, kuten Euroopan solidaarisuusjoukot, Erasmus+ ja DiscoverEU, varmistettava laajempi ja monipuolinen osallistuminen näihin ohjelmiin ja harkittava uusien tekijöiden lisäämistä, kuten vapaaehtoistoiminnan (Euroopan solidaarisuusjoukkojen) kannustaman kansalaispalvelun lisätavoite ja ”kulttuuriset käyttöoikeudet” (DiscoverEU). Alue- ja paikallisviranomaisilla on oltava alueiden komitean alaisuudessa johtava asema tällä alalla.</w:t>
      </w:r>
    </w:p>
    <w:p>
      <w:pPr>
        <w:pStyle w:val="Puce3"/>
        <w:tabs>
          <w:tab w:val="clear" w:pos="720"/>
        </w:tabs>
        <w:rPr/>
      </w:pPr>
      <w:r>
        <w:rPr/>
        <w:t>2.</w:t>
        <w:tab/>
        <w:t>Edistetään monikielisyyttä porttina muihin kulttuureihin jo varhaisesta iästä lähtien. Alueelliset ja vähemmistökielet tarvitsevat lisäsuojaa, kun otetaan huomioon vähemmistökieliä koskeva Euroopan neuvoston yleissopimus ja kansallisten vähemmistöjen suojelua koskeva puiteyleissopimus. EU:n olisi harkittava toimielimen perustamista kielellisen monimuotoisuuden edistämiseksi Euroopan tasolla. Lapsia olisi vaadittava peruskoulusta hankkimaan korkeammalla mahdollisella tasolla taitoja aktiivisella EU:n kielellä, joka ei ole heidän omansa. Jotta voidaan helpottaa Euroopan kansalaisten kykyä kommunikoida laajempien eurooppalaisten ryhmien kanssa ja edistää Euroopan yhteenkuuluvuutta, jäsenvaltioiden olisi kannustettava EU:n jäsenvaltioiden kielen oppimista suoraan raja-alueilla ja sertifioidun englannin kielen hankkimista</w:t>
      </w:r>
      <w:r>
        <w:rPr>
          <w:rStyle w:val="Ancredenotedefin"/>
          <w:rStyle w:val="Ancredenotedefin"/>
        </w:rPr>
        <w:endnoteReference w:id="195"/>
      </w:r>
      <w:r>
        <w:rPr/>
        <w:t>.</w:t>
      </w:r>
    </w:p>
    <w:p>
      <w:pPr>
        <w:pStyle w:val="Puce3"/>
        <w:tabs>
          <w:tab w:val="clear" w:pos="720"/>
        </w:tabs>
        <w:rPr/>
      </w:pPr>
      <w:r>
        <w:rPr/>
        <w:t>3.</w:t>
        <w:tab/>
        <w:t>Luodaan mahdollisuuksia jakaa eurooppalaisia kulttuureja, tuodaan ihmisiä lähemmäs toisiaan ja edistetään yhteistä eurooppalaista identiteettiä esimerkiksi tapahtumilla ja kokoontumisilla, joihin osallistuvat kaikki kohderyhmät ja joita järjestetään eri paikoissa. Esimerkkeinä voidaan mainita maailman taidepäivien</w:t>
      </w:r>
      <w:r>
        <w:rPr>
          <w:rStyle w:val="Ancredenotedefin"/>
          <w:rStyle w:val="Ancredenotedefin"/>
        </w:rPr>
        <w:endnoteReference w:id="196"/>
      </w:r>
      <w:r>
        <w:rPr/>
        <w:t>järjestäminen, eurooppalainen näyttely pedagogisine tapahtumineen tai Eurooppa-päivän muuttaminen kaikkien EU:n kansalaisten viralliseksi eurooppalaiseksi juhlapäiväksi</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Suojella Euroopan kulttuuriperintöä ja Euroopan kulttuuria</w:t>
      </w:r>
      <w:r>
        <w:rPr>
          <w:rStyle w:val="Ancredenotedefin"/>
          <w:rStyle w:val="Ancredenotedefin"/>
        </w:rPr>
        <w:endnoteReference w:id="198"/>
      </w:r>
      <w:r>
        <w:rPr/>
        <w:t>erityisesti tunnustamalla paikalliset ja alueelliset erityispiirteet kulttuuri- ja tuotantokysymyksissä,</w:t>
      </w:r>
      <w:r>
        <w:rPr>
          <w:rStyle w:val="Ancredenotedefin"/>
          <w:rStyle w:val="Ancredenotedefin"/>
        </w:rPr>
        <w:endnoteReference w:id="199"/>
      </w:r>
      <w:r>
        <w:rPr/>
        <w:t>toteuttamalla uusia aloitteita sen säilyttämiseksi ja juhlimiseksi, edistämällä liikkuvuutta kulttuuriperinnön vaihdon edistämiseksi ja edistämällä nykyisiä toimenpiteitä, kuten Luova Eurooppa, Uusi eurooppalainen Bauhaus, kaupunkien twinning-ohjelmat ja Euroopan kulttuuripääkaupungit kestävän kehityksen tavoitteiden mukaisesti.</w:t>
      </w:r>
    </w:p>
    <w:p>
      <w:pPr>
        <w:pStyle w:val="Puce3"/>
        <w:tabs>
          <w:tab w:val="clear" w:pos="720"/>
        </w:tabs>
        <w:rPr/>
      </w:pPr>
      <w:r>
        <w:rPr/>
        <w:t>5.</w:t>
        <w:tab/>
        <w:t>Toteutettava toimenpiteitä sen varmistamiseksi, että kulttuurialan ammattilaisia suojellaan riittävästi EU:n tasolla, erityisesti tulevissa kriiseissä, hyväksymällä Euroopan tason oikeudellinen perussääntö.</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Ehdotus: Urheilu</w:t>
      </w:r>
    </w:p>
    <w:p>
      <w:pPr>
        <w:pStyle w:val="P68B1DB1Normal15"/>
        <w:rPr>
          <w:b/>
          <w:b/>
        </w:rPr>
      </w:pPr>
      <w:r>
        <w:rPr/>
        <w:t>Tavoite: Urheilu on olennaisen tärkeää yhteiskunnillemme – jotta voidaan puolustaa arvojamme, johtaa terveellisiä elämäntapoja ja ikää hyvässä terveydessä, edistää vaihtokulttuuria ja juhlistaa Euroopan kulttuuriperinnön monimuotoisuutta. Tästä syystä jäsenvaltioiden olisi Euroopan unionin avustuksella pyrittävä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Toimenpiteet:</w:t>
      </w:r>
    </w:p>
    <w:p>
      <w:pPr>
        <w:pStyle w:val="Puce3"/>
        <w:tabs>
          <w:tab w:val="clear" w:pos="720"/>
        </w:tabs>
        <w:rPr/>
      </w:pPr>
      <w:r>
        <w:rPr/>
        <w:t>1.</w:t>
        <w:tab/>
        <w:t>Korostaa arvoja, erityisesti sukupuolten tasa-arvoa, tasapuolisuutta ja osallisuutta, jotka voivat näkyä konkreettisesti urheilun harjoittamisessa koko koulutusmatkan ajan.</w:t>
      </w:r>
    </w:p>
    <w:p>
      <w:pPr>
        <w:pStyle w:val="Puce3"/>
        <w:tabs>
          <w:tab w:val="clear" w:pos="720"/>
        </w:tabs>
        <w:rPr/>
      </w:pPr>
      <w:r>
        <w:rPr/>
        <w:t>2.</w:t>
        <w:tab/>
        <w:t>Lisätään tietoisuutta urheilun ja liikunnan terveyshyödyistä</w:t>
      </w:r>
      <w:r>
        <w:rPr>
          <w:rStyle w:val="Ancredenotedefin"/>
          <w:rStyle w:val="Ancredenotedefin"/>
        </w:rPr>
        <w:endnoteReference w:id="200"/>
      </w:r>
      <w:r>
        <w:rPr/>
        <w:t>.</w:t>
      </w:r>
    </w:p>
    <w:p>
      <w:pPr>
        <w:pStyle w:val="Puce3"/>
        <w:tabs>
          <w:tab w:val="clear" w:pos="720"/>
        </w:tabs>
        <w:rPr/>
      </w:pPr>
      <w:r>
        <w:rPr/>
        <w:t>3.</w:t>
        <w:tab/>
        <w:t>Sisällytetään urheilutoiminta vaihto- ja liikkuvuusohjelmiin EU:n tasolla</w:t>
      </w:r>
      <w:r>
        <w:rPr>
          <w:rStyle w:val="Ancredenotedefin"/>
          <w:rStyle w:val="Ancredenotedefin"/>
        </w:rPr>
        <w:endnoteReference w:id="201"/>
      </w:r>
      <w:r>
        <w:rPr/>
        <w:t>200.</w:t>
      </w:r>
    </w:p>
    <w:p>
      <w:pPr>
        <w:pStyle w:val="Puce3"/>
        <w:tabs>
          <w:tab w:val="clear" w:pos="720"/>
        </w:tabs>
        <w:rPr/>
      </w:pPr>
      <w:r>
        <w:rPr/>
        <w:t>4.</w:t>
        <w:tab/>
        <w:t>Kiinnitetään enemmän huomiota paitsi ammatti- ja kaupalliseen urheiluun myös paikalliseen ja perinteiseen urheiluun, joka on osoitus Euroopan kulttuurisesta monimuotoisuudesta, kulttuuriperinnön edistämiseksi ja urheilun mestarien tukemiseksi muissa kuin ammattimaisissa yhteyksissä.</w:t>
      </w:r>
    </w:p>
    <w:p>
      <w:pPr>
        <w:pStyle w:val="Normal"/>
        <w:rPr/>
      </w:pPr>
      <w:r>
        <w:rPr/>
      </w:r>
    </w:p>
    <w:p>
      <w:pPr>
        <w:pStyle w:val="Puce3"/>
        <w:tabs>
          <w:tab w:val="clear" w:pos="720"/>
        </w:tabs>
        <w:rPr/>
      </w:pPr>
      <w:r>
        <w:rPr/>
        <w:t>5.</w:t>
        <w:tab/>
        <w:t>Samalla edistetään eurooppalaisen identiteetin edistämistä järjestämällä enemmän Euroopan laajuisia urheilutapahtumia,</w:t>
      </w:r>
      <w:r>
        <w:rPr/>
        <w:commentReference w:id="0"/>
      </w:r>
      <w:r>
        <w:rPr/>
        <w:t>perustamalla EU:n urheilujoukkueita tai näyttämällä eurooppalaisia lippuja tai symboleja eurooppalaisissa urheilutapahtumissa.</w:t>
      </w:r>
    </w:p>
    <w:p>
      <w:pPr>
        <w:pStyle w:val="Puce3"/>
        <w:tabs>
          <w:tab w:val="clear" w:pos="720"/>
        </w:tabs>
        <w:rPr/>
      </w:pPr>
      <w:r>
        <w:rPr/>
        <w:t>6.</w:t>
        <w:tab/>
        <w:t>Investoidaan enemmän viestintään, kuten Euroopan urheiluviikkoon, jotta kansalaiset kaikkialla voivat hyötyä huippuluokan mahdollisuuksista yhdessä.</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Johtokunnan lopulliset huomiot</w:t>
      </w:r>
    </w:p>
    <w:p>
      <w:pPr>
        <w:pStyle w:val="Normal"/>
        <w:rPr/>
      </w:pPr>
      <w:r>
        <w:rPr/>
      </w:r>
    </w:p>
    <w:p>
      <w:pPr>
        <w:pStyle w:val="Corpsdetexte"/>
        <w:rPr/>
      </w:pPr>
      <w:r>
        <w:rPr/>
        <w:t>Euroopan tulevaisuutta käsittelevän konferenssin ensisijaisena</w:t>
      </w:r>
      <w:r>
        <w:br w:type="page"/>
      </w:r>
    </w:p>
    <w:p>
      <w:pPr>
        <w:pStyle w:val="Normal"/>
        <w:rPr/>
      </w:pPr>
      <w:r>
        <w:rPr/>
        <w:t>tavoitteena oli varmistaa, että Euroopan unioni on valmis vastaamaan nykyisiin ja tuleviin haasteisiin antamalla kansalaisille mahdollisuuden ilmaista huolensa ja toiveensa ja antaa yhteistyössä kolmen toimielimen, kansallisten parlamenttien ja muiden sidosryhmien edustajien kanssa ohjausta tulevaisuutta varten. Tämän tavoitteen saavuttamiseksi konferenssin oli oltava alhaalta ylöspäin suuntautuvaan lähestymistapaan perustuva kansalaiskeskeinen harjoitus, jonka avulla voidaan luoda uusi tila keskustella Euroopan painopisteistä ja laatia yleiskuva siitä, mitä kansalaiset odottavat Euroopan unionilta.</w:t>
      </w:r>
    </w:p>
    <w:p>
      <w:pPr>
        <w:pStyle w:val="Corpsdetexte"/>
        <w:rPr/>
      </w:pPr>
      <w:r>
        <w:rPr/>
        <w:t>Konferenssi pystyi todellakin toimimaan siinä roolissa. EU:n kansalaiset kaikilta elämänaloilta ja kaikilta unionin kolkilta osallistuivat konferenssiin ja antoivat kansalaispaneelien suosituksia ja ehdotuksia Euroopan tulevaisuudesta yhteistyössä myöhemmän täysistunnon kanssa, johon kuuluivat Euroopan parlamentin, neuvoston ja Euroopan komission jäseniä sekä kaikkien kansallisten parlamenttien, alueiden komitean, alueellisten ja paikallisten vaaleilla valittujen edustajien, Euroopan talous- ja sosiaalikomitean, työmarkkinaosapuolten ja kansalaisyhteiskunnan edustajia sekä muita keskeisiä toimijoita. Tätä prosessia varten kehitetyt välineet ja menetelmät muodostavat ainutlaatuisen joukon resursseja, jotka voisivat toimia perustana tuleville kansalaisten osallistumista ja pohdinnallista demokratiaa koskeville harjoituksille EU:n tasolla.</w:t>
      </w:r>
    </w:p>
    <w:p>
      <w:pPr>
        <w:pStyle w:val="Corpsdetexte"/>
        <w:rPr/>
      </w:pPr>
      <w:r>
        <w:rPr/>
        <w:t>Eri puolilla EU:ta järjestettyjen tapahtumien ja keskustelujen, interaktiivisen monikielisen digitaalisen foorumin, eurooppalaisten ja kansallisten kansalaispaneelien sekä konferenssin täysistunnon ansiosta konferenssi on nyt esittänyt loppuraportin, joka sisältää katsauksen tämän vuoden kestävällä tavalla tehtyyn työhön sekä täysistunnon Euroopan tulevaisuutta koskeviin ehdotuksiin. Näistä ehdotuksista käy selvästi ilmi, että EU:n on toimittava, jotta voidaan menestyä vihreässä ja digitaalisessa siirtymässä, vahvistaa Euroopan selviytymiskykyä ja sosiaalista sopimusta ja samalla puuttua eriarvoisuuteen ja varmistaa, että Euroopan unioni on oikeudenmukainen, kestävä, innovatiivinen ja kilpailukykyinen talous, jossa ketään ei jätetä jälkeen.</w:t>
      </w:r>
    </w:p>
    <w:p>
      <w:pPr>
        <w:pStyle w:val="Corpsdetexte"/>
        <w:rPr/>
      </w:pPr>
      <w:r>
        <w:rPr/>
        <w:t>Geopoliittisen tilanteen kehittyminen konferenssin aikana ja erityisesti Venäjän Ukrainaan kohdistama aggressiosota osoittivat myös, että EU:n on tultava määrätietoisemmaksi ja sillä on oltava johtava asema maailmannäyttämöllä arvojensa ja normiensa edistämisessä yhä järisyttävässä maailmassa.</w:t>
      </w:r>
    </w:p>
    <w:p>
      <w:pPr>
        <w:pStyle w:val="Corpsdetexte"/>
        <w:rPr/>
      </w:pPr>
      <w:r>
        <w:rPr/>
        <w:t>Konferenssissa annettiin selkeitä ohjeita näillä aloilla, ja EU:n kolmen toimielimen on nyt pohdittava, miten esitettyihin huolenaiheisiin, pyrkimyksiin ja ajatuksiin voidaan puuttua. Prosessin seuraava vaihe on konkreettisten EU:n toimien kehittäminen konferenssin tulosten pohjalta tässä loppuraportissa esitetyllä tavalla. Näin ollen EU:n toimielimet tarkastelevat nyt tätä kertomusta ja sen jatkotoimia kukin toimivaltansa puitteissa ja perussopimusten mukaisesti. Syksyllä 2022 järjestetään jatkotapahtuma, jossa kansalaisille tiedotetaan siitä, miten toimielimet noudattavat sitoumustaan varmistaa, että heitä kuunnellaan ja pidetään käsissään Euroopan tulevaisuudesta.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Kuva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Kuva30" descr=""/>
                    <pic:cNvPicPr>
                      <a:picLocks noChangeAspect="1" noChangeArrowheads="1"/>
                    </pic:cNvPicPr>
                  </pic:nvPicPr>
                  <pic:blipFill>
                    <a:blip r:embed="rId81"/>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Liite I – Neljän eurooppalaisen kansalaispaneelin suositukset</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Kuva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Kuva31" descr=""/>
                    <pic:cNvPicPr>
                      <a:picLocks noChangeAspect="1" noChangeArrowheads="1"/>
                    </pic:cNvPicPr>
                  </pic:nvPicPr>
                  <pic:blipFill>
                    <a:blip r:embed="rId82"/>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Viitekehys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t xml:space="preserve">Konferenssi aiheesta </w:t>
                            </w:r>
                          </w:p>
                          <w:p>
                            <w:pPr>
                              <w:pStyle w:val="P68B1DB1Normal16"/>
                              <w:rPr>
                                <w:color w:val="FFFFFF"/>
                                <w:sz w:val="72"/>
                              </w:rPr>
                            </w:pPr>
                            <w:r>
                              <w:rPr/>
                              <w:t xml:space="preserve">Euroopan tulevaisuus </w:t>
                            </w:r>
                          </w:p>
                          <w:p>
                            <w:pPr>
                              <w:pStyle w:val="P68B1DB1Normal17"/>
                              <w:rPr>
                                <w:color w:val="FFFFFF"/>
                              </w:rPr>
                            </w:pPr>
                            <w:r>
                              <w:rPr/>
                              <w:t xml:space="preserve"> </w:t>
                            </w:r>
                            <w:r>
                              <w:rPr/>
                              <w:t>Eurooppalainen</w:t>
                            </w:r>
                            <w:r>
                              <w:rPr>
                                <w:sz w:val="32"/>
                              </w:rPr>
                              <w:t xml:space="preserve">kansalaispaneeli 1: Vahvempi talous, sosiaalinen oikeudenmukaisuus ja työllisyys/koulutus, kulttuuri, nuoriso ja urheilu/digitaalinen muutos </w:t>
                            </w:r>
                          </w:p>
                          <w:p>
                            <w:pPr>
                              <w:pStyle w:val="P68B1DB1Normal17"/>
                              <w:rPr>
                                <w:color w:val="FFFFFF"/>
                              </w:rPr>
                            </w:pPr>
                            <w:r>
                              <w:rPr/>
                              <w:t xml:space="preserve"> </w:t>
                            </w:r>
                          </w:p>
                          <w:p>
                            <w:pPr>
                              <w:pStyle w:val="P68B1DB1Normal17"/>
                              <w:rPr>
                                <w:color w:val="FFFFFF"/>
                              </w:rPr>
                            </w:pPr>
                            <w:r>
                              <w:rPr/>
                              <w:t>Suositukset</w:t>
                            </w:r>
                          </w:p>
                          <w:p>
                            <w:pPr>
                              <w:pStyle w:val="P68B1DB1Normal17"/>
                              <w:rPr>
                                <w:color w:val="FFFFFF"/>
                              </w:rPr>
                            </w:pPr>
                            <w:r>
                              <w:rPr/>
                              <w:t xml:space="preserve"> </w:t>
                            </w:r>
                            <w:r>
                              <w:rPr/>
                              <w:t>Kuvat © Euroopan unioni,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Viitekehys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t xml:space="preserve">Konferenssi aiheesta </w:t>
                      </w:r>
                    </w:p>
                    <w:p>
                      <w:pPr>
                        <w:pStyle w:val="P68B1DB1Normal16"/>
                        <w:rPr>
                          <w:color w:val="FFFFFF"/>
                          <w:sz w:val="72"/>
                        </w:rPr>
                      </w:pPr>
                      <w:r>
                        <w:rPr/>
                        <w:t xml:space="preserve">Euroopan tulevaisuus </w:t>
                      </w:r>
                    </w:p>
                    <w:p>
                      <w:pPr>
                        <w:pStyle w:val="P68B1DB1Normal17"/>
                        <w:rPr>
                          <w:color w:val="FFFFFF"/>
                        </w:rPr>
                      </w:pPr>
                      <w:r>
                        <w:rPr/>
                        <w:t xml:space="preserve"> </w:t>
                      </w:r>
                      <w:r>
                        <w:rPr/>
                        <w:t>Eurooppalainen</w:t>
                      </w:r>
                      <w:r>
                        <w:rPr>
                          <w:sz w:val="32"/>
                        </w:rPr>
                        <w:t xml:space="preserve">kansalaispaneeli 1: Vahvempi talous, sosiaalinen oikeudenmukaisuus ja työllisyys/koulutus, kulttuuri, nuoriso ja urheilu/digitaalinen muutos </w:t>
                      </w:r>
                    </w:p>
                    <w:p>
                      <w:pPr>
                        <w:pStyle w:val="P68B1DB1Normal17"/>
                        <w:rPr>
                          <w:color w:val="FFFFFF"/>
                        </w:rPr>
                      </w:pPr>
                      <w:r>
                        <w:rPr/>
                        <w:t xml:space="preserve"> </w:t>
                      </w:r>
                    </w:p>
                    <w:p>
                      <w:pPr>
                        <w:pStyle w:val="P68B1DB1Normal17"/>
                        <w:rPr>
                          <w:color w:val="FFFFFF"/>
                        </w:rPr>
                      </w:pPr>
                      <w:r>
                        <w:rPr/>
                        <w:t>Suositukset</w:t>
                      </w:r>
                    </w:p>
                    <w:p>
                      <w:pPr>
                        <w:pStyle w:val="P68B1DB1Normal17"/>
                        <w:rPr>
                          <w:color w:val="FFFFFF"/>
                        </w:rPr>
                      </w:pPr>
                      <w:r>
                        <w:rPr/>
                        <w:t xml:space="preserve"> </w:t>
                      </w:r>
                      <w:r>
                        <w:rPr/>
                        <w:t>Kuvat © Euroopan unioni, 2021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Eurooppalainen kansalaispaneeli 1: Vahvempi talous, sosiaalinen oikeudenmukaisuus ja työllisyys/koulutus, kulttuuri, nuoriso ja urheilu/digitaalinen muutos </w:t>
      </w:r>
    </w:p>
    <w:p>
      <w:pPr>
        <w:pStyle w:val="P68B1DB1Normal18"/>
        <w:widowControl w:val="false"/>
        <w:spacing w:lineRule="exact" w:line="468"/>
        <w:ind w:left="425" w:right="0" w:hanging="0"/>
        <w:jc w:val="left"/>
        <w:rPr/>
      </w:pPr>
      <w:r>
        <w:rPr>
          <w:b/>
          <w:color w:val="1C4587"/>
        </w:rPr>
        <w:t>PANEELIN HYVÄKSYMÄT SUOSITUKSET (ESITETÄÄN TÄYSISTUNNOLLE)</w:t>
      </w:r>
      <w:r>
        <w:rPr>
          <w:color w:val="000000"/>
        </w:rPr>
        <w:t xml:space="preserve"> </w:t>
      </w:r>
    </w:p>
    <w:p>
      <w:pPr>
        <w:pStyle w:val="Titre3"/>
        <w:numPr>
          <w:ilvl w:val="2"/>
          <w:numId w:val="2"/>
        </w:numPr>
        <w:rPr/>
      </w:pPr>
      <w:bookmarkStart w:id="106" w:name="__RefHeading___Toc297145_1346298689"/>
      <w:bookmarkEnd w:id="106"/>
      <w:r>
        <w:rPr/>
        <w:t xml:space="preserve">Akseli 1: Työskentely Euroopassa </w:t>
      </w:r>
    </w:p>
    <w:p>
      <w:pPr>
        <w:pStyle w:val="Titre4"/>
        <w:numPr>
          <w:ilvl w:val="3"/>
          <w:numId w:val="2"/>
        </w:numPr>
        <w:rPr/>
      </w:pPr>
      <w:bookmarkStart w:id="107" w:name="__RefHeading___Toc297147_1346298689"/>
      <w:bookmarkEnd w:id="107"/>
      <w:r>
        <w:rPr/>
        <w:t xml:space="preserve">Osa-alue 1.1 Työmarkkinat </w:t>
      </w:r>
    </w:p>
    <w:p>
      <w:pPr>
        <w:pStyle w:val="P68B1DB1Normal15"/>
        <w:rPr>
          <w:b/>
          <w:b/>
        </w:rPr>
      </w:pPr>
      <w:r>
        <w:rPr/>
        <w:t xml:space="preserve">1. Suosittelemme, että otetaan käyttöön vähimmäispalkka, jotta voidaan varmistaa samanlainen elämänlaatu kaikissa jäsenvaltioissa. Olemme tietoisia EU:n direktiivin COM(2020) 682 mukaisista meneillään olevista toimista elämäntavan yhdenmukaistamiseksi. Vähimmäispalkalla on taattava vähimmäisnettotulo, jotta voidaan saavuttaa olennainen tavoite: kaikilla sitä tarvitsevilla pitäisi olla suuremmat tulot. Vähimmäispalkassa olisi otettava huomioon seuraavat näkökohdat: </w:t>
      </w:r>
    </w:p>
    <w:p>
      <w:pPr>
        <w:pStyle w:val="P68B1DB1Normal15"/>
        <w:rPr>
          <w:b/>
          <w:b/>
        </w:rPr>
      </w:pPr>
      <w:r>
        <w:rPr/>
        <w:t xml:space="preserve">● </w:t>
      </w:r>
      <w:r>
        <w:rPr/>
        <w:t xml:space="preserve">EU:n olisi varmistettava sen tehokas täytäntöönpano, koska kaikki jäsenvaltiot eivät tällä hetkellä sovella työntekijöiden suojelua asianmukaisesti; </w:t>
      </w:r>
    </w:p>
    <w:p>
      <w:pPr>
        <w:pStyle w:val="P68B1DB1Normal15"/>
        <w:rPr>
          <w:b/>
          <w:b/>
        </w:rPr>
      </w:pPr>
      <w:r>
        <w:rPr/>
        <w:t xml:space="preserve">● </w:t>
      </w:r>
      <w:r>
        <w:rPr/>
        <w:t xml:space="preserve">erityistä huomiota olisi kiinnitettävä elintason paranemisen seurantaan. </w:t>
      </w:r>
    </w:p>
    <w:p>
      <w:pPr>
        <w:pStyle w:val="Normal"/>
        <w:rPr/>
      </w:pPr>
      <w:r>
        <w:rPr>
          <w:b/>
        </w:rPr>
        <w:t xml:space="preserve">● </w:t>
      </w:r>
      <w:r>
        <w:rPr>
          <w:b/>
        </w:rPr>
        <w:t>vähimmäispalkassa on otettava huomioon ostovoima eri maissa. Säännöllinen uudelleentarkastelumenettely on tarpeen, jotta sitä voidaan mukauttaa elinkustannusten muutoksiin (esim. inflaation huomioon ottamiseksi).</w:t>
      </w:r>
      <w:r>
        <w:rPr/>
        <w:t xml:space="preserve"> </w:t>
      </w:r>
    </w:p>
    <w:p>
      <w:pPr>
        <w:pStyle w:val="Normal"/>
        <w:rPr/>
      </w:pPr>
      <w:r>
        <w:rPr/>
        <w:t xml:space="preserve"> </w:t>
      </w:r>
    </w:p>
    <w:p>
      <w:pPr>
        <w:pStyle w:val="Normal"/>
        <w:rPr/>
      </w:pPr>
      <w:r>
        <w:rPr/>
        <w:t xml:space="preserve">Esitämme tämän suosituksen, koska vähimmäispalkka vahvistaa sosiaalista oikeudenmukaisuutta työmarkkinoilla ja parantaa työntekijöiden konkreettisia elinoloja kaikissa jäsenvaltioissa, mikä on erityisen tärkeää nopeasti muuttuvassa työympäristössä esimerkiksi digitalisaation vuoksi. </w:t>
      </w:r>
    </w:p>
    <w:p>
      <w:pPr>
        <w:pStyle w:val="Normal"/>
        <w:rPr/>
      </w:pPr>
      <w:r>
        <w:rPr/>
        <w:t xml:space="preserve"> </w:t>
      </w:r>
    </w:p>
    <w:p>
      <w:pPr>
        <w:pStyle w:val="P68B1DB1Normal15"/>
        <w:rPr>
          <w:b/>
          <w:b/>
        </w:rPr>
      </w:pPr>
      <w:r>
        <w:rPr/>
        <w:t xml:space="preserve">2. EU:n säädöksellä (työajasta annettu EU:n direktiivi 2003/88/EY) on jo annettu säädös, mutta se ei riitä varmistamaan työ- ja yksityiselämän tervettä tasapainoa. Ensimmäisessä vaiheessa suosittelemme nykyisen kehyksen tarkistamista sen varmistamiseksi, että se mukautetaan nykyisiin olosuhteisiin. Toiseksi EU:n olisi otettava käyttöön tiukempi seurantamekanismi, jolla varmistetaan sen täytäntöönpano kaikissa jäsenvaltioissa. Erityistä huomiota olisi kiinnitettävä eri aloihin, joilla on eritasoista stressiä ja taakkaa sekä psykologisesti että fyysisesti. Samaan aikaan muut alat ovat kuitenkin riippuvaisia siitä, että niiden työntekijät voivat joustavammin sopeutua yritysten erityistarpeisiin. </w:t>
      </w:r>
    </w:p>
    <w:p>
      <w:pPr>
        <w:pStyle w:val="Normal"/>
        <w:rPr/>
      </w:pPr>
      <w:r>
        <w:rPr/>
        <w:t xml:space="preserve">Esitämme tämän suosituksen työ- ja yksityiselämän paremman tasapainon tärkeyden vuoksi. Parempi työ- ja yksityiselämän tasapaino vahvistaa sosiaalista yhteenkuuluvuutta ja edistää tasapuolisten toimintaedellytysten luomista työntekijöiden välille. Lisäksi sillä on myönteinen vaikutus työntekijöiden yksilön hyvinvointiin. </w:t>
      </w:r>
    </w:p>
    <w:p>
      <w:pPr>
        <w:pStyle w:val="Normal"/>
        <w:rPr/>
      </w:pPr>
      <w:r>
        <w:rPr/>
        <w:t xml:space="preserve"> </w:t>
      </w:r>
    </w:p>
    <w:p>
      <w:pPr>
        <w:pStyle w:val="Titre4"/>
        <w:numPr>
          <w:ilvl w:val="3"/>
          <w:numId w:val="2"/>
        </w:numPr>
        <w:rPr/>
      </w:pPr>
      <w:bookmarkStart w:id="108" w:name="__RefHeading___Toc297151_1346298689"/>
      <w:bookmarkEnd w:id="108"/>
      <w:r>
        <w:rPr/>
        <w:t xml:space="preserve">Osa-alue 1.2 Nuoriso ja työllisyys </w:t>
      </w:r>
    </w:p>
    <w:p>
      <w:pPr>
        <w:pStyle w:val="Normal"/>
        <w:rPr/>
      </w:pPr>
      <w:r>
        <w:rPr/>
        <w:t xml:space="preserve"> </w:t>
      </w:r>
    </w:p>
    <w:p>
      <w:pPr>
        <w:pStyle w:val="P68B1DB1Normal15"/>
        <w:rPr>
          <w:b/>
          <w:b/>
        </w:rPr>
      </w:pPr>
      <w:r>
        <w:rPr/>
        <w:t xml:space="preserve">3. Suosittelemme, että kaikkien EU:n eri koulutusohjelmien taso yhdenmukaistetaan ja hyväksytään kansallinen sisältö. Siksi tilintarkastustuomioistuin suosittaa, että kaikki ammatilliset tutkintotodistukset validoidaan ja tunnustetaan vastavuoroisesti kaikissa EU:n jäsenvaltioissa. </w:t>
      </w:r>
    </w:p>
    <w:p>
      <w:pPr>
        <w:pStyle w:val="Normal"/>
        <w:rPr/>
      </w:pPr>
      <w:r>
        <w:rPr/>
        <w:t xml:space="preserve"> </w:t>
      </w:r>
    </w:p>
    <w:p>
      <w:pPr>
        <w:pStyle w:val="Normal"/>
        <w:rPr/>
      </w:pPr>
      <w:r>
        <w:rPr/>
        <w:t xml:space="preserve">Esitämme tämän suosituksen, koska haluamme helpottaa Euroopan työvoiman liikkuvuutta ja vähentää hallinnollista taakkaa. </w:t>
      </w:r>
    </w:p>
    <w:p>
      <w:pPr>
        <w:pStyle w:val="Normal"/>
        <w:rPr/>
      </w:pPr>
      <w:r>
        <w:rPr/>
      </w:r>
    </w:p>
    <w:p>
      <w:pPr>
        <w:pStyle w:val="P68B1DB1Normal15"/>
        <w:rPr>
          <w:b/>
          <w:b/>
        </w:rPr>
      </w:pPr>
      <w:r>
        <w:rPr/>
        <w:t xml:space="preserve">4. Suosittelemme, että keskiasteen opiskelijat (12-vuotiaat) saavat yleiskuvan tulevista työmarkkinoistaan antamalla heille mahdollisuuden osallistua erilaisiin laadukkaisiin havainnointikäynteihin voittoa tavoitteleviin ja voittoa tavoittelemattomiin järjestöihin. Ehdotamme, että yritykset toivottavat opiskelijat tervetulleeksi tarkkailuharjoitteluun myöntämällä heille apurahoja. Syrjäisillä alueilla, joilla on muita vähemmän mahdollisuuksia, paikallisten koulujen, viranomaisten, organisaatioiden ja yritysten on tehtävä tiivistä yhteistyötä sen varmistamiseksi, että myös nämä tarkkailukäynnit ovat saatavilla. </w:t>
      </w:r>
    </w:p>
    <w:p>
      <w:pPr>
        <w:pStyle w:val="Normal"/>
        <w:rPr/>
      </w:pPr>
      <w:r>
        <w:rPr/>
        <w:t xml:space="preserve"> </w:t>
      </w:r>
    </w:p>
    <w:p>
      <w:pPr>
        <w:pStyle w:val="Normal"/>
        <w:rPr/>
      </w:pPr>
      <w:r>
        <w:rPr/>
        <w:t xml:space="preserve">Annamme tämän suosituksen, koska haluamme nuorten saavan käsityksen työmarkkinoiden tarjoamista erilaisista mahdollisuuksista, jotta he voivat paremmin valita opintonsa ja tulevan työnsä ja ymmärtää oikean koulutuksen valinnan tärkeyden. Se myös opettaisi heille vastuuntuntoa ja kunnioitusta työmarkkinoita kohtaan ja auttaisi heitä integroitumaan työmarkkinoille tarjoamalla etuja kaikille. </w:t>
      </w:r>
    </w:p>
    <w:p>
      <w:pPr>
        <w:pStyle w:val="Normal"/>
        <w:rPr/>
      </w:pPr>
      <w:r>
        <w:rPr/>
        <w:t xml:space="preserve"> </w:t>
      </w:r>
    </w:p>
    <w:p>
      <w:pPr>
        <w:pStyle w:val="P68B1DB1Normal15"/>
        <w:rPr>
          <w:b/>
          <w:b/>
        </w:rPr>
      </w:pPr>
      <w:r>
        <w:rPr/>
        <w:t xml:space="preserve">5. Suosittelemme integroimaan ei-teknisten taitojen käytännön kaikkiin koulujen opetussuunnitelmiin. Ei-teknisillä taidoilla tarkoitamme: keskinäinen kuuntelu, vuoropuhelu, selviytymiskyky, ymmärrys, muiden kunnioittaminen ja arvostus, kriittinen ajattelu, itseoppiminen ja utelias ja tulossuuntautunut pysyminen. Opettajia olisi koulutettava näiden taitojen välittämiseen tekemällä tiivistä yhteistyötä sosiaalityöntekijöiden ja/tai psykologien kanssa. Muita täytäntöönpanoehdotuksia: koulujen välisten opiskelijavaihto-ohjelmien järjestäminen, osallistuminen koulujen välisiin urheilu- ja kulttuuritapahtumiin jne. </w:t>
      </w:r>
    </w:p>
    <w:p>
      <w:pPr>
        <w:pStyle w:val="Normal"/>
        <w:rPr/>
      </w:pPr>
      <w:r>
        <w:rPr/>
        <w:t xml:space="preserve"> </w:t>
      </w:r>
    </w:p>
    <w:p>
      <w:pPr>
        <w:pStyle w:val="Normal"/>
        <w:rPr/>
      </w:pPr>
      <w:r>
        <w:rPr/>
        <w:t xml:space="preserve">Esitämme tämän suosituksen, koska ei-tekniset taidot ovat välttämättömiä perustaitoja, jotka menetetään digitaalisella aikakaudella ja joita nuoret tarvitsevat ehdottomasti tulevassa elämässään. Siksi vaadimme näiden taitojen sisällyttämistä koulujen opetussuunnitelmiin auttaaksemme nuoria selviytymään ja välttämään tai voittamaan henkisiä ongelmia, joita he saattavat kokea tulevassa elämässään. Sosiaaliset taidot vahvistavat ihmisten välisiä suhteita ja auttavat siten ihmisiä löytämään paikkansa yhteiskunnassa. </w:t>
      </w:r>
    </w:p>
    <w:p>
      <w:pPr>
        <w:pStyle w:val="Normal"/>
        <w:rPr/>
      </w:pPr>
      <w:r>
        <w:rPr/>
        <w:t xml:space="preserve"> </w:t>
      </w:r>
    </w:p>
    <w:p>
      <w:pPr>
        <w:pStyle w:val="P68B1DB1Normal15"/>
        <w:rPr>
          <w:b/>
          <w:b/>
        </w:rPr>
      </w:pPr>
      <w:r>
        <w:rPr/>
        <w:t xml:space="preserve">6. Suosittelemme, että vakavan kriisin (terveyskriisi, sota jne.) sattuessa hyvin suunnitellut suunnitelmat, joissa on yksityiskohtaisia skenaarioita, ovat valmiita käytettäväksi joustavasti, jotta voidaan minimoida nuorten koulutukseen, ammatilliseen koulutukseen ja henkiseen hyvinvointiin kohdistuvat vaikutukset jne. yleissivistävän tai ammatillisen koulutuksen kustannusten nousu, pakollinen opintojen jatkaminen, harjoittelun suorittamisen mahdottomuus, mielenterveysongelmien lisääntyminen. Nämä suunnitelmat on pantava täytäntöön siten, että nuoriin ja heidän työmarkkinoille siirtymiseensä kohdistuvat vaikutukset minimoidaan. </w:t>
      </w:r>
    </w:p>
    <w:p>
      <w:pPr>
        <w:pStyle w:val="Normal"/>
        <w:rPr/>
      </w:pPr>
      <w:r>
        <w:rPr/>
        <w:t xml:space="preserve"> </w:t>
      </w:r>
    </w:p>
    <w:p>
      <w:pPr>
        <w:pStyle w:val="Normal"/>
        <w:rPr/>
      </w:pPr>
      <w:r>
        <w:rPr/>
        <w:t xml:space="preserve">Annamme tämän suosituksen, koska nuoret ovat hyvin haavoittuvassa asemassa kriisiaikoina. </w:t>
      </w:r>
    </w:p>
    <w:p>
      <w:pPr>
        <w:pStyle w:val="Normal"/>
        <w:rPr/>
      </w:pPr>
      <w:r>
        <w:rPr/>
        <w:t xml:space="preserve"> </w:t>
      </w:r>
    </w:p>
    <w:p>
      <w:pPr>
        <w:pStyle w:val="Titre4"/>
        <w:numPr>
          <w:ilvl w:val="3"/>
          <w:numId w:val="2"/>
        </w:numPr>
        <w:rPr/>
      </w:pPr>
      <w:bookmarkStart w:id="109" w:name="__RefHeading___Toc297153_1346298689"/>
      <w:bookmarkEnd w:id="109"/>
      <w:r>
        <w:rPr/>
        <w:t xml:space="preserve">Osa-akseli 1.3 Digitaalinen muutos työssä </w:t>
      </w:r>
    </w:p>
    <w:p>
      <w:pPr>
        <w:pStyle w:val="Normal"/>
        <w:rPr/>
      </w:pPr>
      <w:r>
        <w:rPr/>
        <w:t xml:space="preserve"> </w:t>
      </w:r>
    </w:p>
    <w:p>
      <w:pPr>
        <w:pStyle w:val="P68B1DB1Normal15"/>
        <w:rPr>
          <w:b/>
          <w:b/>
        </w:rPr>
      </w:pPr>
      <w:r>
        <w:rPr/>
        <w:t xml:space="preserve">7. Tilintarkastustuomioistuin suosittaa, että EU ottaa käyttöön tai vahvistaa nykyistä älykkään työn sääntelyä eli verkko- ja etätyötä esimerkiksi kotona tai toisesta verkkoon liitetystä paikasta. Suosittelemme myös, että EU:n lainsäädännössä kannustetaan yrityksiä olemaan sosiaalisesti vastuullisia ja säilyttämään laadukkaita liikkuvia työpaikkoja. Kannustimet voivat olla luonteeltaan taloudellisia ja/tai ne voivat vaikuttaa yrityskuvaan, ja niissä olisi otettava huomioon kansainvälisesti tunnustetut ympäristö-, sosiaali- ja hallintokriteerit. Tätä varten EU:n olisi perustettava kaikkien asianomaisten osapuolten asiantuntijoista koostuva työryhmä tarkastelemaan ja vahvistamaan tätä lainsäädäntöä. </w:t>
      </w:r>
    </w:p>
    <w:p>
      <w:pPr>
        <w:pStyle w:val="Normal"/>
        <w:rPr/>
      </w:pPr>
      <w:r>
        <w:rPr/>
        <w:t xml:space="preserve"> </w:t>
      </w:r>
    </w:p>
    <w:p>
      <w:pPr>
        <w:pStyle w:val="Normal"/>
        <w:rPr/>
      </w:pPr>
      <w:r>
        <w:rPr/>
        <w:t xml:space="preserve">Annamme tämän suosituksen, koska meidän on edistettävä laadukkaita liikkuvia työpaikkoja ja vältettävä niiden siirtymistä kolmansiin maihin, joissa kustannukset ovat alhaisemmat. Covid-19-pandemia ja maailmanlaajuiset taloussuuntaukset korostavat tarvetta suojella työpaikkoja ja säännellä liikkuvaa työtä. </w:t>
      </w:r>
    </w:p>
    <w:p>
      <w:pPr>
        <w:pStyle w:val="Normal"/>
        <w:rPr/>
      </w:pPr>
      <w:r>
        <w:rPr/>
        <w:t xml:space="preserve"> </w:t>
      </w:r>
    </w:p>
    <w:p>
      <w:pPr>
        <w:pStyle w:val="P68B1DB1Normal15"/>
        <w:rPr>
          <w:b/>
          <w:b/>
        </w:rPr>
      </w:pPr>
      <w:r>
        <w:rPr/>
        <w:t xml:space="preserve">8. Suosittelemme, että EU takaa kaikille EU:n kansalaisille oikeuden digitaaliseen koulutukseen. Erityisesti nuorten digitaalisia taitoja voitaisiin parantaa ottamalla käyttöön kouluissa EU:n todistus, joka valmistaisi heitä tuleviin työmarkkinoihin. Suosittelemme myös EU:n tason erityiskoulutusta työntekijöiden uudelleenkouluttamiseksi ja täydennyskouluttamiseksi, jotta he voivat pysyä kilpailukykyisinä työmarkkinoilla. Lisäksi tilintarkastustuomioistuin suosittaa, että EU lisää tietoisuutta nykyisistä digitaalisista alustoista, jotka yhdistävät kansalaiset työnantajiin ja auttavat heitä löytämään työpaikkoja, esimerkiksi Eures-verkostosta. </w:t>
      </w:r>
    </w:p>
    <w:p>
      <w:pPr>
        <w:pStyle w:val="Normal"/>
        <w:rPr/>
      </w:pPr>
      <w:r>
        <w:rPr/>
        <w:t xml:space="preserve"> </w:t>
      </w:r>
    </w:p>
    <w:p>
      <w:pPr>
        <w:pStyle w:val="Normal"/>
        <w:rPr/>
      </w:pPr>
      <w:r>
        <w:rPr/>
        <w:t xml:space="preserve">Annamme tämän suosituksen, koska sertifioidut digitaaliset taidot ovat olennaisen tärkeitä työmarkkinoille pääsyn ja työntekijöiden uudelleenkoulutuksen ja kilpailukyvyn kannalta. </w:t>
      </w:r>
    </w:p>
    <w:p>
      <w:pPr>
        <w:pStyle w:val="Normal"/>
        <w:rPr/>
      </w:pPr>
      <w:r>
        <w:rPr/>
        <w:t xml:space="preserve"> </w:t>
      </w:r>
    </w:p>
    <w:p>
      <w:pPr>
        <w:pStyle w:val="Titre3"/>
        <w:numPr>
          <w:ilvl w:val="2"/>
          <w:numId w:val="2"/>
        </w:numPr>
        <w:rPr/>
      </w:pPr>
      <w:bookmarkStart w:id="110" w:name="__RefHeading___Toc297155_1346298689"/>
      <w:bookmarkEnd w:id="110"/>
      <w:r>
        <w:rPr/>
        <w:t xml:space="preserve">Toimintalinja 2 tulevaisuuteen suuntautuva talous </w:t>
      </w:r>
    </w:p>
    <w:p>
      <w:pPr>
        <w:pStyle w:val="Normal"/>
        <w:rPr/>
      </w:pPr>
      <w:r>
        <w:rPr/>
        <w:t xml:space="preserve"> </w:t>
      </w:r>
    </w:p>
    <w:p>
      <w:pPr>
        <w:pStyle w:val="Titre4"/>
        <w:numPr>
          <w:ilvl w:val="3"/>
          <w:numId w:val="2"/>
        </w:numPr>
        <w:rPr/>
      </w:pPr>
      <w:bookmarkStart w:id="111" w:name="__RefHeading___Toc297157_1346298689"/>
      <w:bookmarkEnd w:id="111"/>
      <w:r>
        <w:rPr/>
        <w:t xml:space="preserve">Osa-alue 2.1 Innovointi ja Euroopan kilpailukyky </w:t>
      </w:r>
    </w:p>
    <w:p>
      <w:pPr>
        <w:pStyle w:val="Normal"/>
        <w:rPr/>
      </w:pPr>
      <w:r>
        <w:rPr/>
        <w:t xml:space="preserve"> </w:t>
      </w:r>
    </w:p>
    <w:p>
      <w:pPr>
        <w:pStyle w:val="P68B1DB1Normal15"/>
        <w:rPr>
          <w:b/>
          <w:b/>
        </w:rPr>
      </w:pPr>
      <w:r>
        <w:rPr/>
        <w:t xml:space="preserve">9. Tilintarkastustuomioistuin suosittaa, että EU luo mahdollisuuksia investoida tutkimukseen ja innovointiin eri yksiköille (yliopistot, yritykset, tutkimuslaitokset jne.), jotta voidaan kehittää </w:t>
      </w:r>
    </w:p>
    <w:p>
      <w:pPr>
        <w:pStyle w:val="P68B1DB1Normal15"/>
        <w:rPr>
          <w:b/>
          <w:b/>
        </w:rPr>
      </w:pPr>
      <w:r>
        <w:rPr/>
        <w:t xml:space="preserve">● </w:t>
      </w:r>
      <w:r>
        <w:rPr/>
        <w:t xml:space="preserve">uudet, kestävämmät ja biologisesti monimuotoiset materiaalit, joilla korvataan nykyisin käytössä olevat materiaalit, </w:t>
      </w:r>
    </w:p>
    <w:p>
      <w:pPr>
        <w:pStyle w:val="P68B1DB1Normal15"/>
        <w:rPr>
          <w:b/>
          <w:b/>
        </w:rPr>
      </w:pPr>
      <w:r>
        <w:rPr/>
        <w:t xml:space="preserve">● </w:t>
      </w:r>
      <w:r>
        <w:rPr/>
        <w:t xml:space="preserve">olemassa olevien materiaalien innovatiiviset käyttötarkoitukset (jotka perustuvat muun muassa kierrätykseen ja huipputekniikoihin, joiden ympäristöjalanjälki on pienin). </w:t>
      </w:r>
    </w:p>
    <w:p>
      <w:pPr>
        <w:pStyle w:val="Normal"/>
        <w:rPr/>
      </w:pPr>
      <w:r>
        <w:rPr>
          <w:b/>
        </w:rPr>
        <w:t>Tilintarkastustuomioistuin suosittaa, että tämä olisi EU:n pysyvä ja pitkäaikainen sitoumus (ainakin vuoteen 2050 asti).</w:t>
      </w:r>
      <w:r>
        <w:rPr/>
        <w:t xml:space="preserve"> </w:t>
      </w:r>
    </w:p>
    <w:p>
      <w:pPr>
        <w:pStyle w:val="Normal"/>
        <w:rPr/>
      </w:pPr>
      <w:r>
        <w:rPr/>
        <w:t xml:space="preserve"> </w:t>
      </w:r>
    </w:p>
    <w:p>
      <w:pPr>
        <w:pStyle w:val="Normal"/>
        <w:rPr/>
      </w:pPr>
      <w:r>
        <w:rPr/>
        <w:t xml:space="preserve">Teemme tämän suosituksen, koska elämme planeetalla, jolla on rajalliset resurssit. Jos haluamme tulevaisuuden, meidän on suojeltava ilmastoa ja etsittävä vaihtoehtoja, jotka kunnioittavat planeettaa. Haluamme myös, että tulee alan johtava toimija, jolla on vahva kilpailuetu kansainvälisellä näyttämöllä. Suosituksen tavoitteena on tuottaa innovatiivisia tuloksia, joita voidaan soveltaa laajamittaisesti ja joita voidaan toteuttaa eri aloilla ja maissa. Sillä olisi myös myönteinen vaikutus talouteen ja työmarkkinoihin luomalla uusia työllistymismahdollisuuksia kestävän innovoinnin alalla. Se voisi edistää yhteiskunnallisten epäoikeudenmukaisuuksien torjuntaa siinä määrin, että nykyiset hyväksikäyttöön perustuvat tuotantovälineet korvattaisiin muilla eettisemmin. </w:t>
      </w:r>
    </w:p>
    <w:p>
      <w:pPr>
        <w:pStyle w:val="Normal"/>
        <w:rPr/>
      </w:pPr>
      <w:r>
        <w:rPr/>
        <w:t xml:space="preserve"> </w:t>
      </w:r>
    </w:p>
    <w:p>
      <w:pPr>
        <w:pStyle w:val="P68B1DB1Normal15"/>
        <w:rPr>
          <w:b/>
          <w:b/>
        </w:rPr>
      </w:pPr>
      <w:r>
        <w:rPr/>
        <w:t xml:space="preserve">10. Tilintarkastustuomioistuin suosittaa, että EU sitoutuu pitkällä aikavälillä jatkuvasti lisäämään merkittävästi kestävästi tuotetun energian osuuttaan käyttämällä laajaa valikoimaa uusiutuvia energialähteitä, joiden ympäristöjalanjälki on pieni (kattavan elinkaarianalyysin perusteella). Lisäksi EU:n olisi investoitava sähköinfrastruktuurin ja -verkon laadun parantamiseen ja ylläpitämiseen. Suosittelemme myös, että energian saatavuus ja kohtuuhintaisuus tunnustetaan kansalaisten perusoikeudeksi. </w:t>
      </w:r>
    </w:p>
    <w:p>
      <w:pPr>
        <w:pStyle w:val="P68B1DB1Normal15"/>
        <w:rPr>
          <w:b/>
          <w:b/>
        </w:rPr>
      </w:pPr>
      <w:r>
        <w:rPr/>
        <w:t xml:space="preserve"> </w:t>
      </w:r>
    </w:p>
    <w:p>
      <w:pPr>
        <w:pStyle w:val="Normal"/>
        <w:rPr/>
      </w:pPr>
      <w:r>
        <w:rPr/>
        <w:t xml:space="preserve">Tilintarkastustuomioistuin esittää tämän suosituksen seuraavista syistä: </w:t>
      </w:r>
    </w:p>
    <w:p>
      <w:pPr>
        <w:pStyle w:val="Normal"/>
        <w:rPr/>
      </w:pPr>
      <w:r>
        <w:rPr/>
        <w:t xml:space="preserve">● </w:t>
      </w:r>
      <w:r>
        <w:rPr/>
        <w:t xml:space="preserve">energialähteiden (mukaan lukien aurinkoenergia, tuuli, vety, merivesi tai mikä tahansa muu tuleva kestävä menetelmä) monipuolistaminen tekisi energiariippuvaisemman. </w:t>
      </w:r>
    </w:p>
    <w:p>
      <w:pPr>
        <w:pStyle w:val="Normal"/>
        <w:rPr/>
      </w:pPr>
      <w:r>
        <w:rPr/>
        <w:t xml:space="preserve">● </w:t>
      </w:r>
      <w:r>
        <w:rPr/>
        <w:t xml:space="preserve">se vähentäisi EU:n kansalaisten sähkökustannuksia. </w:t>
      </w:r>
    </w:p>
    <w:p>
      <w:pPr>
        <w:pStyle w:val="Normal"/>
        <w:rPr/>
      </w:pPr>
      <w:r>
        <w:rPr/>
        <w:t xml:space="preserve">● </w:t>
      </w:r>
      <w:r>
        <w:rPr/>
        <w:t xml:space="preserve">se loisi työpaikkoja ja uudistaisi energiamarkkinoiden rakennetta (erityisesti alueilla, jotka ovat tähän mennessä luottaneet fossiilisiin polttoaineisiin). </w:t>
      </w:r>
    </w:p>
    <w:p>
      <w:pPr>
        <w:pStyle w:val="Normal"/>
        <w:rPr/>
      </w:pPr>
      <w:r>
        <w:rPr/>
        <w:t xml:space="preserve">● </w:t>
      </w:r>
      <w:r>
        <w:rPr/>
        <w:t xml:space="preserve">se voisi edistää innovatiivisten energiantoimitustekniikoiden tieteellistä kehittämistä; </w:t>
      </w:r>
    </w:p>
    <w:p>
      <w:pPr>
        <w:pStyle w:val="Normal"/>
        <w:rPr/>
      </w:pPr>
      <w:r>
        <w:rPr/>
        <w:t xml:space="preserve">● </w:t>
      </w:r>
      <w:r>
        <w:rPr/>
        <w:t xml:space="preserve">sähköinfrastruktuurin ja -verkon laatu on yhtä tärkeää kuin energialähteet, koska se mahdollistaa sujuvan, tehokkaan ja kohtuuhintaisen energian jakelun ja siirron. </w:t>
      </w:r>
    </w:p>
    <w:p>
      <w:pPr>
        <w:pStyle w:val="Normal"/>
        <w:rPr/>
      </w:pPr>
      <w:r>
        <w:rPr/>
        <w:t xml:space="preserve"> </w:t>
      </w:r>
    </w:p>
    <w:p>
      <w:pPr>
        <w:pStyle w:val="P68B1DB1Normal15"/>
        <w:rPr>
          <w:b/>
          <w:b/>
        </w:rPr>
      </w:pPr>
      <w:r>
        <w:rPr/>
        <w:t xml:space="preserve">11. Suosittelemme, että EU edistää aktiivisesti ympäristöystävällisempiä tuotantoprosesseja tukemalla tai muulla tavoin palkitsemalla yrityksiä, jotka investoivat tuotantonsa ympäristökustannusten vähentämiseen. Vaadimme myös toimia jälkiteollisten alueiden kasvattamiseksi ja suojeltujen viheralueiden luomiseksi olemassa olevien alueiden ympärille. Yritykset olisi velvoitettava rahoittamaan nämä toimet ainakin osittain omilla varoillaan. </w:t>
      </w:r>
    </w:p>
    <w:p>
      <w:pPr>
        <w:pStyle w:val="Normal"/>
        <w:rPr/>
      </w:pPr>
      <w:r>
        <w:rPr/>
        <w:t xml:space="preserve"> </w:t>
      </w:r>
    </w:p>
    <w:p>
      <w:pPr>
        <w:pStyle w:val="Normal"/>
        <w:rPr/>
      </w:pPr>
      <w:r>
        <w:rPr/>
        <w:t xml:space="preserve">Teemme tämän suosituksen, koska tuotantoprosessit ovat tärkeä osa toimitusketjua. Ympäristöystävällisyyden lisääminen voisi vähentää merkittävästi ilmastovaikutuksiamme. Olemme sitä mieltä, että yritykset ja teollisuudenalat olisi saatettava vastuuseen tuotteidensa valmistustavasta (mukaan lukien toimenpiteet, joilla viljellään ja suojellaan ympäristöä). Tuotantoprosessien viherryttäminen valmistaa myös yrityksiä tulevaisuuteen ja vahvistaa niiden selviytymiskykyä (mikä suojelee työpaikkoja). </w:t>
      </w:r>
    </w:p>
    <w:p>
      <w:pPr>
        <w:pStyle w:val="Normal"/>
        <w:rPr/>
      </w:pPr>
      <w:r>
        <w:rPr/>
      </w:r>
    </w:p>
    <w:p>
      <w:pPr>
        <w:pStyle w:val="Titre4"/>
        <w:numPr>
          <w:ilvl w:val="3"/>
          <w:numId w:val="2"/>
        </w:numPr>
        <w:rPr/>
      </w:pPr>
      <w:bookmarkStart w:id="112" w:name="__RefHeading___Toc297159_1346298689"/>
      <w:bookmarkEnd w:id="112"/>
      <w:r>
        <w:rPr/>
        <w:t xml:space="preserve">Osa-akseli 2.2 Kestävä talous/alaakseli 2.3 Verotus </w:t>
      </w:r>
    </w:p>
    <w:p>
      <w:pPr>
        <w:pStyle w:val="Normal"/>
        <w:rPr/>
      </w:pPr>
      <w:r>
        <w:rPr/>
        <w:t xml:space="preserve"> </w:t>
      </w:r>
    </w:p>
    <w:p>
      <w:pPr>
        <w:pStyle w:val="P68B1DB1Normal15"/>
        <w:rPr>
          <w:b/>
          <w:b/>
        </w:rPr>
      </w:pPr>
      <w:r>
        <w:rPr/>
        <w:t xml:space="preserve">12. Suosittelemme muovipakkausten hylkäämistä ja uudelleenkäytettävien pakkausten yleistämistä. Kuluttajille ja yrityksille olisi tarjottava kannustimia, jotta kuluttajan ei ole kalliimpaa ostaa irtotavarana olevia tuotteita (”tavaratavarana” englanniksi tai ”sfuso” italiaksi) kuin pakattuja tuotteita. Tätä siirtymää edistävien yritysten olisi voitava hyötyä veroetuuksista, ja toisten olisi maksettava enemmän veroja. Tuotteiden, joita ei voida käyttää uudelleen, olisi oltava kierrätettäviä ja/tai biohajoavia. On tarpeen perustaa julkinen tai valvontaelin, joka vastaa seurannasta, sääntöjen vahvistamisesta ja niiden levittämisestä kaikille. On suositeltavaa kouluttaa ja viestiä – myös sosiaalisen median kautta – näistä toimista ja tavoittaa sekä yritykset että kuluttajat muuttamaan pitkän aikavälin käyttäytymistään. Yrityksiä (esim. rakennusyrityksiä) olisi kannustettava ja heitä olisi autettava löytämään parhaat ratkaisut jätteisiinsä. </w:t>
      </w:r>
    </w:p>
    <w:p>
      <w:pPr>
        <w:pStyle w:val="Normal"/>
        <w:rPr/>
      </w:pPr>
      <w:r>
        <w:rPr/>
        <w:t xml:space="preserve"> </w:t>
      </w:r>
    </w:p>
    <w:p>
      <w:pPr>
        <w:pStyle w:val="Normal"/>
        <w:rPr/>
      </w:pPr>
      <w:r>
        <w:rPr/>
        <w:t xml:space="preserve">Teemme tämän suosituksen, koska meidän kaikkien on oltava vastuussa toimistamme. Meidän on siis pohdittava uudelleen kaikkia tuotantoprosesseja. Kierrätys vaatii paljon resursseja (vesi, energia) ja siksi se ei voi olla ainoa ratkaisu, minkä vuoksi tarjoamme tuotteiden myyntiä irtotavarana. Kierrätystä tulisi käyttää vain helposti kierrätettäviin materiaaleihin, ja suomalaisesta esimerkistä on opittu, että se on mahdollista kierrättää suuressa mittakaavassa. </w:t>
      </w:r>
    </w:p>
    <w:p>
      <w:pPr>
        <w:pStyle w:val="Normal"/>
        <w:rPr/>
      </w:pPr>
      <w:r>
        <w:rPr/>
      </w:r>
    </w:p>
    <w:p>
      <w:pPr>
        <w:pStyle w:val="P68B1DB1Normal15"/>
        <w:rPr>
          <w:b/>
          <w:b/>
        </w:rPr>
      </w:pPr>
      <w:r>
        <w:rPr/>
        <w:t xml:space="preserve">13. Suosittelemme samojen verosääntöjen käyttöönottoa kaikkialla Euroopassa ja veropolitiikan yhdenmukaistamista kaikkialla. Tämän alan yhdenmukaistamisen pitäisi jättää yksittäisille jäsenvaltioille mahdollisuus vahvistaa omat sääntönsä välttäen samalla veronkiertoa. Se lopettaa haitalliset verokäytännöt ja verokilpailun. Verot olisi kannettava liiketoimista, joissa ne tapahtuvat: kun yritys myy jossakin maassa, sen on maksettava veroja kyseisessä maassa. Näillä uusilla säännöillä pyritään ehkäisemään sisäisiä siirtoja ja varmistamaan, että tuotanto ja liiketoimet tapahtuvat Euroopan maiden välillä. </w:t>
      </w:r>
    </w:p>
    <w:p>
      <w:pPr>
        <w:pStyle w:val="Normal"/>
        <w:rPr/>
      </w:pPr>
      <w:r>
        <w:rPr/>
        <w:t xml:space="preserve"> </w:t>
      </w:r>
    </w:p>
    <w:p>
      <w:pPr>
        <w:pStyle w:val="Normal"/>
        <w:rPr/>
      </w:pPr>
      <w:r>
        <w:rPr/>
        <w:t xml:space="preserve">Annamme tämän suosituksen työllisyyden ja taloudellisen toiminnan suojelemiseksi ja kehittämiseksi Euroopassa tavalla, joka on oikeudenmukainen kaikille jäsenvaltioille. Tällä tavoin Euroopalla on yhteinen käsitys verojärjestelmästä, ja hyvin suurten yritysten, jotka eivät maksa riittävästi veroja pienempiin yrityksiin verrattuna, absurdi monopolitilanne loppuu. Lisäksi varoja ohjataan sinne, missä kaupallista toimintaa harjoitetaan. </w:t>
      </w:r>
    </w:p>
    <w:p>
      <w:pPr>
        <w:pStyle w:val="Normal"/>
        <w:rPr/>
      </w:pPr>
      <w:r>
        <w:rPr/>
        <w:t xml:space="preserve"> </w:t>
      </w:r>
    </w:p>
    <w:p>
      <w:pPr>
        <w:pStyle w:val="P68B1DB1Normal15"/>
        <w:rPr>
          <w:b/>
          <w:b/>
        </w:rPr>
      </w:pPr>
      <w:r>
        <w:rPr/>
        <w:t xml:space="preserve">14. Suosittelemme poistamaan ohjelmoidun vanhenemisjärjestelmän kaikista elektronisista laitteista. Muutoksen olisi tapahduttava sekä yksilöllisesti että kaupallisesti, jotta voidaan varmistaa, että laitteita voidaan korjata ja päivittää pitkällä aikavälillä ja että niitä voidaan säilyttää pitkään. Suosittelemme kunnostettujen laitteiden edistämistä. Säännöksissä olisi edellytettävä, että yritykset takaavat oikeuden korjata, ohjelmistopäivitykset ja päivitykset mukaan luettuina, sekä kierrättää kaikki laitteet pitkällä aikavälillä. On myös suositeltavaa, että jokainen yritys käyttää vakioliittimiä. </w:t>
      </w:r>
    </w:p>
    <w:p>
      <w:pPr>
        <w:pStyle w:val="P68B1DB1Normal15"/>
        <w:rPr>
          <w:b/>
          <w:b/>
        </w:rPr>
      </w:pPr>
      <w:r>
        <w:rPr/>
        <w:t xml:space="preserve"> </w:t>
      </w:r>
    </w:p>
    <w:p>
      <w:pPr>
        <w:pStyle w:val="Normal"/>
        <w:rPr/>
      </w:pPr>
      <w:r>
        <w:rPr/>
        <w:t xml:space="preserve">Teemme tämän suosituksen, koska nykymaailmassa tuotteet kestävät yleensä kaksi vuotta ja toivomme, että niiden käyttöikä on paljon pidempi, noin 10 vuotta. Tällä ehdotuksella on myönteinen vaikutus ilmastonmuutokseen ja ekologiaan. Se myös vähentää kuluttajille aiheutuvia kustannuksia ja kuluttamista. </w:t>
      </w:r>
    </w:p>
    <w:p>
      <w:pPr>
        <w:pStyle w:val="Normal"/>
        <w:rPr/>
      </w:pPr>
      <w:r>
        <w:rPr/>
      </w:r>
    </w:p>
    <w:p>
      <w:pPr>
        <w:pStyle w:val="P68B1DB1Normal15"/>
        <w:rPr>
          <w:b/>
          <w:b/>
        </w:rPr>
      </w:pPr>
      <w:r>
        <w:rPr/>
        <w:t xml:space="preserve">15. Suosittelemme, että jokainen oppii lisää ympäristöstämme ja sen yhteyksistä yksilön terveyteen koulutuksen avulla. Koulutusväylät auttavat kaikkia määrittelemään omat henkilökohtaiset strategiansa näiden teemojen integroimiseksi jokapäiväiseen elämäänsä. Tämän koulutuksen pitäisi alkaa koulussa erityisillä aiheilla, jotka käsittelevät kaikkia ekologisia kysymyksiä, ja meidän pitäisi jatkaa itsemme kouluttamista koko elämämme ajan (esimerkiksi työssä). Se auttaa vähentämään jätettä ja suojelemaan ympäristöä ja ihmisten terveyttä sekä edistämään paikallisten tuottajien terveiden ja jalostamattomien tuotteiden paikallista kulutusta. Niiden, jotka eivät tee mitään vähentääkseen jätettään, on saatava ilmaista koulutusta tällä alalla. Elämäntavan mukauttamiseksi hintojen on oltava sekä tuottajan että kuluttajan kannalta oikeudenmukaisia. Siksi ehdotamme, että pienet ja ympäristöystävälliset paikalliset tuottajat hyötyvät verovapautuksista. </w:t>
      </w:r>
    </w:p>
    <w:p>
      <w:pPr>
        <w:pStyle w:val="Normal"/>
        <w:rPr/>
      </w:pPr>
      <w:r>
        <w:rPr/>
        <w:t xml:space="preserve"> </w:t>
      </w:r>
    </w:p>
    <w:p>
      <w:pPr>
        <w:pStyle w:val="Normal"/>
        <w:rPr/>
      </w:pPr>
      <w:r>
        <w:rPr/>
        <w:t xml:space="preserve">Annamme tämän suosituksen, koska uskomme, että monet ihmiset eivät vielä ole huolissaan näistä asioista. Siksi kaikille on annettava koulutusta. Lisäksi paikalliset ja terveelliset tuotteet ovat usein kohtuuhintaisia monille ihmisille. Meidän on varmistettava, että paikalliset tuotteet ovat laajemmin kaikkien saatavilla. </w:t>
      </w:r>
    </w:p>
    <w:p>
      <w:pPr>
        <w:pStyle w:val="Normal"/>
        <w:rPr/>
      </w:pPr>
      <w:r>
        <w:rPr/>
      </w:r>
    </w:p>
    <w:p>
      <w:pPr>
        <w:pStyle w:val="Titre4"/>
        <w:numPr>
          <w:ilvl w:val="3"/>
          <w:numId w:val="2"/>
        </w:numPr>
        <w:rPr/>
      </w:pPr>
      <w:bookmarkStart w:id="113" w:name="__RefHeading___Toc297161_1346298689"/>
      <w:bookmarkEnd w:id="113"/>
      <w:r>
        <w:rPr/>
        <w:t xml:space="preserve">Osa-akseli 2.4 Maatalous/Sub-akseli 2.5 Digitaalinen infrastruktuuri </w:t>
      </w:r>
    </w:p>
    <w:p>
      <w:pPr>
        <w:pStyle w:val="Normal"/>
        <w:rPr/>
      </w:pPr>
      <w:r>
        <w:rPr/>
        <w:t xml:space="preserve"> </w:t>
      </w:r>
    </w:p>
    <w:p>
      <w:pPr>
        <w:pStyle w:val="P68B1DB1Normal15"/>
        <w:rPr>
          <w:b/>
          <w:b/>
        </w:rPr>
      </w:pPr>
      <w:r>
        <w:rPr/>
        <w:t xml:space="preserve">16. Komitea suosittaa, että otetaan käyttöön yhteinen eurooppalainen kuluttaja- ja ravintoarvomerkintäjärjestelmä, joka on helppo ymmärtää (esim. allergeenit, alkuperämaa jne.). suosittelemme käynnissä olevien lupamenettelyjen läpinäkyvyyttä ja tuotetietojen digitointia standardoidun eurooppalaisen sovelluksen avulla, joka tarjoaisi käyttäjäystävällisemmän pääsyn tietoihin ja tarjoaisi lisää tuote- ja tuotantoketjutietoja. Olemme myös sitä mieltä, että tarvitaan aidosti riippumaton elin, joka säätelee elintarvikestandardeja kaikkialla ja jolla on lainsäädäntövaltaa pakotteiden täytäntöönpanoon. </w:t>
      </w:r>
    </w:p>
    <w:p>
      <w:pPr>
        <w:pStyle w:val="Normal"/>
        <w:rPr/>
      </w:pPr>
      <w:r>
        <w:rPr/>
        <w:t xml:space="preserve"> </w:t>
      </w:r>
    </w:p>
    <w:p>
      <w:pPr>
        <w:pStyle w:val="Normal"/>
        <w:rPr/>
      </w:pPr>
      <w:r>
        <w:rPr/>
        <w:t xml:space="preserve">Annamme nämä suositukset, koska kaikkien EU:n kansalaisten olisi voitava luottaa samaan elintarvikkeiden laatuun. Elintarvikkeiden eheys on tarpeen kansalaisten turvallisuuden varmistamiseksi. Näillä suosituksilla pyrittiin parantamaan yhdenmukaisella tavalla lupamenettelyjen seurantaa ja elintarviketuotannon läpinäkyvyyttä. </w:t>
      </w:r>
    </w:p>
    <w:p>
      <w:pPr>
        <w:pStyle w:val="Normal"/>
        <w:rPr/>
      </w:pPr>
      <w:r>
        <w:rPr/>
      </w:r>
    </w:p>
    <w:p>
      <w:pPr>
        <w:pStyle w:val="P68B1DB1Normal15"/>
        <w:rPr>
          <w:b/>
          <w:b/>
        </w:rPr>
      </w:pPr>
      <w:r>
        <w:rPr/>
        <w:t xml:space="preserve">17. Suosittelemme, että valtio omistaa infrastruktuurin, jotta voidaan estää monopolien syntyminen televiestinnän ja internetpalvelujen alalla. Internet-yhteyden olisi oltava oikeus; internetyhteyden tuominen ”valkoisille alueille/kuolleille alueille” (alueille, joilla ei ole internetyhteyttä) olisi asetettava etusijalle. Internetiin ja tietokoneisiin pääsyssä lapset ja perheet ovat etusijalla erityisesti koulutuksen ja erityisesti pandemian aikana. Tarvitaan aloite etätyön tukemiseksi esimerkiksi luomalla toimistotiloja, joissa on nopea ja luotettava internetyhteys, tai järjestämällä digitaalista koulutusta. </w:t>
      </w:r>
    </w:p>
    <w:p>
      <w:pPr>
        <w:pStyle w:val="Normal"/>
        <w:rPr/>
      </w:pPr>
      <w:r>
        <w:rPr/>
        <w:t xml:space="preserve"> </w:t>
      </w:r>
    </w:p>
    <w:p>
      <w:pPr>
        <w:pStyle w:val="Normal"/>
        <w:rPr/>
      </w:pPr>
      <w:r>
        <w:rPr/>
        <w:t xml:space="preserve">Annamme tämän suosituksen, koska meidän on varmistettava, että digitaalinen muutos tapahtuu oikeudenmukaisesti. Internet-yhteys on demokratian perusta ja kaikkien Euroopan kansalaisten oikeus. </w:t>
      </w:r>
    </w:p>
    <w:p>
      <w:pPr>
        <w:pStyle w:val="Normal"/>
        <w:rPr/>
      </w:pPr>
      <w:r>
        <w:rPr/>
      </w:r>
    </w:p>
    <w:p>
      <w:pPr>
        <w:pStyle w:val="Normal"/>
        <w:rPr/>
      </w:pPr>
      <w:r>
        <w:rPr>
          <w:b/>
        </w:rPr>
        <w:t>18. Suosittelemme kunnioittamaan paikallisia hyönteisiä ja suojelemaan niitä haitallisilta lajeilta. Ehdotamme myös, että edistetään ja puolustetaan velvoitetta tarjota viheralueita uusissa kaupungistumishankkeissa. Vaadimme, että luonnon monimuotoisuudesta tulee pakollinen oppiaine kouluissa ja että se on koulutoiminnan, esimerkiksi käytännön toiminnan, aihe. On tärkeää lisätä yleistä tietoisuutta biologisesta monimuotoisuudesta mediakampanjoilla ja kilpailuilla, joita edistetään kaikkialla (kilpailut paikallisyhteisöjen tasolla). Komitea suosittaa, että kaikissa EU:n jäsenvaltioissa asetetaan sitovia kansallisia tavoitteita, jotka koskevat kotoperäisten puiden uudelleenmetsittämistä ja paikallisen kasviston palauttamista</w:t>
      </w:r>
      <w:r>
        <w:rPr/>
        <w:t xml:space="preserve">. </w:t>
      </w:r>
    </w:p>
    <w:p>
      <w:pPr>
        <w:pStyle w:val="Normal"/>
        <w:rPr/>
      </w:pPr>
      <w:r>
        <w:rPr/>
        <w:t xml:space="preserve"> </w:t>
      </w:r>
    </w:p>
    <w:p>
      <w:pPr>
        <w:pStyle w:val="Normal"/>
        <w:rPr/>
      </w:pPr>
      <w:r>
        <w:rPr/>
        <w:t xml:space="preserve">Esitämme tämän suosituksen, koska biologinen monimuotoisuus on olennaisen tärkeää ympäristön, elämänlaadun ja ilmastonmuutoksen torjunnan kannalta.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Toimintalinja 3 oikeudenmukainen yhteiskunta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Osa-alue 3.1 Sosiaaliturva </w:t>
      </w:r>
    </w:p>
    <w:p>
      <w:pPr>
        <w:pStyle w:val="Normal"/>
        <w:rPr/>
      </w:pPr>
      <w:r>
        <w:rPr/>
        <w:t xml:space="preserve"> </w:t>
      </w:r>
    </w:p>
    <w:p>
      <w:pPr>
        <w:pStyle w:val="P68B1DB1Normal15"/>
        <w:rPr>
          <w:b/>
          <w:b/>
        </w:rPr>
      </w:pPr>
      <w:r>
        <w:rPr/>
        <w:t xml:space="preserve">19. Suosittelemme edistämään yhtäläisiä oikeuksia ja sosiaalipolitiikkaa, terveyspolitiikka mukaan lukien, yhdenmukaistettua EU:n alueella ottaen huomioon hyväksytyt säädökset ja vähimmäisvaatimukset koko maassa. </w:t>
      </w:r>
    </w:p>
    <w:p>
      <w:pPr>
        <w:pStyle w:val="Normal"/>
        <w:rPr/>
      </w:pPr>
      <w:r>
        <w:rPr/>
        <w:t xml:space="preserve"> </w:t>
      </w:r>
    </w:p>
    <w:p>
      <w:pPr>
        <w:pStyle w:val="Normal"/>
        <w:rPr/>
      </w:pPr>
      <w:r>
        <w:rPr/>
        <w:t xml:space="preserve">Esitämme tämän suosituksen, koska jäsenvaltioiden välillä on suuria sosiaalipoliittisia eroja, joita on vähennettävä, jotta voidaan varmistaa ihmisarvoinen elämä kaikille kansalaisille ja tarjota tarvittavaa hoitoa ja tukea haavoittuvassa asemassa oleville eri syistä (terveys, ikä, seksuaalinen suuntautuminen jne.). </w:t>
      </w:r>
    </w:p>
    <w:p>
      <w:pPr>
        <w:pStyle w:val="Normal"/>
        <w:rPr/>
      </w:pPr>
      <w:r>
        <w:rPr/>
      </w:r>
    </w:p>
    <w:p>
      <w:pPr>
        <w:pStyle w:val="P68B1DB1Normal15"/>
        <w:rPr>
          <w:b/>
          <w:b/>
        </w:rPr>
      </w:pPr>
      <w:r>
        <w:rPr/>
        <w:t xml:space="preserve">20. Tilintarkastustuomioistuin suosittelee edistämään sosiaali- ja terveysalan tutkimusta noudattaen ensisijaisia tavoitteita, joita pidetään yleisen edun mukaisina ja jäsenvaltioiden hyväksyminä ja joissa tarjotaan asianmukaista rahoitusta. Meidän on vahvistettava yhteistyötä asiantuntija-alojen, maiden, opintokeskusten (yliopistot jne.) välillä. </w:t>
      </w:r>
    </w:p>
    <w:p>
      <w:pPr>
        <w:pStyle w:val="Normal"/>
        <w:rPr/>
      </w:pPr>
      <w:r>
        <w:rPr/>
        <w:t xml:space="preserve"> </w:t>
      </w:r>
    </w:p>
    <w:p>
      <w:pPr>
        <w:pStyle w:val="Normal"/>
        <w:rPr/>
      </w:pPr>
      <w:r>
        <w:rPr/>
        <w:t xml:space="preserve">Teemme tämän suosituksen, koska on monia aloja, joilla meidän on edistettävä ja syvennettävä tietämystämme. Pandemiasta saadut kokemukset ovat esimerkki siitä, miten tutkimus on välttämätöntä elämän parantamiseksi, että julkisen ja yksityisen sektorin ja hallitusten välinen yhteistyö on olennaisen tärkeää ja että taloudellista tukea tarvitaan. </w:t>
      </w:r>
    </w:p>
    <w:p>
      <w:pPr>
        <w:pStyle w:val="Normal"/>
        <w:rPr/>
      </w:pPr>
      <w:r>
        <w:rPr/>
      </w:r>
    </w:p>
    <w:p>
      <w:pPr>
        <w:pStyle w:val="P68B1DB1Normal15"/>
        <w:rPr>
          <w:b/>
          <w:b/>
        </w:rPr>
      </w:pPr>
      <w:r>
        <w:rPr/>
        <w:t xml:space="preserve">21. Tilintarkastustuomioistuin suosittaa, että on enemmän toimivaltaa sosiaalipolitiikan alalla vähimmäissääntöjen ja eläke-etuuksien yhdenmukaistamiseksi kaikkialla ja uusien sääntöjen perustamiseksi perusteellisen diagnoosin pohjalta. Vähimmäiseläkkeen on oltava maan köyhyysrajan yläpuolella. Eläkeiän tulisi vaihdella ammattiryhmittäin ja olla alempi henkisesti ja fyysisesti vaativissa ammateissa. Samalla olisi taattava oikeus työhön iäkkäille henkilöille, jotka haluavat jatkaa työtään vapaaehtoisuuden pohjalta. </w:t>
      </w:r>
    </w:p>
    <w:p>
      <w:pPr>
        <w:pStyle w:val="Normal"/>
        <w:rPr/>
      </w:pPr>
      <w:r>
        <w:rPr/>
        <w:t xml:space="preserve"> </w:t>
      </w:r>
    </w:p>
    <w:p>
      <w:pPr>
        <w:pStyle w:val="Normal"/>
        <w:rPr/>
      </w:pPr>
      <w:r>
        <w:rPr/>
        <w:t xml:space="preserve">Teemme tämän suosituksen, koska elinajanodote kasvaa ja syntyvyys laskee. Euroopan väestö ikääntyy, minkä vuoksi meidän on toteutettava lisätoimia, jotta vältetään ikääntyneiden syrjäytymisriski ja taataan heille ihmisarvoinen elämä. </w:t>
      </w:r>
    </w:p>
    <w:p>
      <w:pPr>
        <w:pStyle w:val="Normal"/>
        <w:rPr/>
      </w:pPr>
      <w:r>
        <w:rPr/>
        <w:t xml:space="preserve"> </w:t>
      </w:r>
    </w:p>
    <w:p>
      <w:pPr>
        <w:pStyle w:val="Normal"/>
        <w:rPr/>
      </w:pPr>
      <w:r>
        <w:rPr>
          <w:b/>
        </w:rPr>
        <w:t>22. Suosittelemme ottamaan käyttöön joukon toimenpiteitä, joilla kannustetaan lisäämään syntyvyyttä ja varmistamaan asianmukaiset lastenhoitoratkaisut. Näiden toimenpiteiden olisi katettava muun muassa kohtuuhintaiset ja helposti saatavilla olevat lastenhoitopalvelut (työllä, yöaikaan, lasten tilojen arvonlisäveron alentaminen), asuminen, työn vakaus, äitiystuki, nuorten ja vanhempien erityinen tuki ja työsuojelu sekä tuki äideille ja isille tiedonsaannin muodossa työhön palatessaan.</w:t>
      </w:r>
      <w:r>
        <w:rPr/>
        <w:t xml:space="preserve"> </w:t>
      </w:r>
    </w:p>
    <w:p>
      <w:pPr>
        <w:pStyle w:val="Normal"/>
        <w:rPr/>
      </w:pPr>
      <w:r>
        <w:rPr/>
        <w:t xml:space="preserve"> </w:t>
      </w:r>
    </w:p>
    <w:p>
      <w:pPr>
        <w:pStyle w:val="Normal"/>
        <w:rPr/>
      </w:pPr>
      <w:r>
        <w:rPr/>
        <w:t xml:space="preserve">Esitämme tämän suosituksen, koska EU:ta erottaa alhaiset syntyvyysluvut, jotka vaikuttavat myös Euroopan väestön ikääntymiseen ja jotka edellyttävät välittömiä toimia. Ehdotetun paketin tavoitteena on varmistaa, että nuorilla perheillä on lastenhoitoon tarvittava vakaus. </w:t>
      </w:r>
    </w:p>
    <w:p>
      <w:pPr>
        <w:pStyle w:val="Normal"/>
        <w:rPr/>
      </w:pPr>
      <w:r>
        <w:rPr/>
      </w:r>
    </w:p>
    <w:p>
      <w:pPr>
        <w:pStyle w:val="P68B1DB1Normal15"/>
        <w:rPr>
          <w:b/>
          <w:b/>
        </w:rPr>
      </w:pPr>
      <w:r>
        <w:rPr/>
        <w:t xml:space="preserve">23. Suosittelemme vanhusten toimeentulon ja terveydenhuollon varmistamista kotona ja hoitokodeissa. On myös parannettava tukea niille, jotka hoitavat vanhuksia (lähellä). </w:t>
      </w:r>
    </w:p>
    <w:p>
      <w:pPr>
        <w:pStyle w:val="Normal"/>
        <w:rPr/>
      </w:pPr>
      <w:r>
        <w:rPr/>
        <w:t xml:space="preserve"> </w:t>
      </w:r>
    </w:p>
    <w:p>
      <w:pPr>
        <w:pStyle w:val="Normal"/>
        <w:rPr/>
      </w:pPr>
      <w:r>
        <w:rPr/>
        <w:t xml:space="preserve">Teemme tämän suosituksen, koska elinajanodote kasvaa ja syntyvyys laskee; Euroopan väestö ikääntyy, minkä vuoksi meidän on toteutettava lisätoimia, jotta vältetään ikääntyneiden syrjäytymisriski ja taataan heille ihmisarvoinen elämä. </w:t>
      </w:r>
    </w:p>
    <w:p>
      <w:pPr>
        <w:pStyle w:val="Normal"/>
        <w:rPr/>
      </w:pPr>
      <w:r>
        <w:rPr/>
        <w:t xml:space="preserve"> </w:t>
      </w:r>
    </w:p>
    <w:p>
      <w:pPr>
        <w:pStyle w:val="P68B1DB1Normal15"/>
        <w:rPr>
          <w:b/>
          <w:b/>
        </w:rPr>
      </w:pPr>
      <w:r>
        <w:rPr/>
        <w:t xml:space="preserve">24. Suosittelemme, että EU tukee palliatiivista hoitoa ja avustettua kuolemaa [eutanasiaa] konkreettisten sääntöjen ja määräysten mukaisesti. </w:t>
      </w:r>
    </w:p>
    <w:p>
      <w:pPr>
        <w:pStyle w:val="Normal"/>
        <w:rPr/>
      </w:pPr>
      <w:r>
        <w:rPr/>
        <w:t xml:space="preserve"> </w:t>
      </w:r>
    </w:p>
    <w:p>
      <w:pPr>
        <w:pStyle w:val="Normal"/>
        <w:rPr/>
      </w:pPr>
      <w:r>
        <w:rPr/>
        <w:t xml:space="preserve">Teemme tämän suosituksen, koska se vähentäisi potilaiden ja perheiden kipua ja varmistaisi ihmisarvoisen elämän lopun. </w:t>
      </w:r>
    </w:p>
    <w:p>
      <w:pPr>
        <w:pStyle w:val="Normal"/>
        <w:rPr/>
      </w:pPr>
      <w:r>
        <w:rPr/>
        <w:t xml:space="preserve"> </w:t>
      </w:r>
    </w:p>
    <w:p>
      <w:pPr>
        <w:pStyle w:val="Titre4"/>
        <w:numPr>
          <w:ilvl w:val="3"/>
          <w:numId w:val="2"/>
        </w:numPr>
        <w:rPr/>
      </w:pPr>
      <w:bookmarkStart w:id="117" w:name="__RefHeading___Toc297169_1346298689"/>
      <w:bookmarkEnd w:id="117"/>
      <w:r>
        <w:rPr/>
        <w:t xml:space="preserve">Osa-alue 3.2 Oikeuksien tasa-arvo </w:t>
      </w:r>
    </w:p>
    <w:p>
      <w:pPr>
        <w:pStyle w:val="Normal"/>
        <w:rPr/>
      </w:pPr>
      <w:r>
        <w:rPr/>
        <w:t xml:space="preserve"> </w:t>
      </w:r>
    </w:p>
    <w:p>
      <w:pPr>
        <w:pStyle w:val="P68B1DB1Normal15"/>
        <w:rPr>
          <w:b/>
          <w:b/>
        </w:rPr>
      </w:pPr>
      <w:r>
        <w:rPr/>
        <w:t xml:space="preserve">25. Tilintarkastustuomioistuin suosittaa, että EU tukee kansalaisten kohdennettua pääsyä ihmisarvoiseen sosiaaliseen asuntotarjontaan heidän erityistarpeidensa mukaisesti. Rahoitus olisi jaettava yksityisten avunantajien, asunnonomistajien, asuntojen edunsaajien, jäsenvaltioiden keskus- ja paikallistason hallitusten ja Euroopan unionin kesken. Tavoitteena olisi oltava olemassa olevan sosiaalisen asuntokannan rakentamisen/korjauksen helpottaminen, myös osuuskuntayhdistysten, vuokrauksen ja ostojen kautta. Tuki olisi myönnettävä selkeiden kriteerien perusteella (esim. tuen enimmäispinta-ala/henkilö, tuensaajien tulot jne.). </w:t>
      </w:r>
    </w:p>
    <w:p>
      <w:pPr>
        <w:pStyle w:val="Normal"/>
        <w:rPr/>
      </w:pPr>
      <w:r>
        <w:rPr/>
        <w:t xml:space="preserve"> </w:t>
      </w:r>
    </w:p>
    <w:p>
      <w:pPr>
        <w:pStyle w:val="Normal"/>
        <w:rPr/>
      </w:pPr>
      <w:r>
        <w:rPr/>
        <w:t xml:space="preserve">Annamme tämän suosituksen, koska asuntojen saatavuuden parantaminen varmistaisi, että EU:n kansalaisilla on konkreettiset yhtäläiset oikeudet, ja auttaisi lievittämään sosiaalisia jännitteitä. EU:ta kehotetaan pääasiassa valvomaan tukimekanismia. kansallisten ja paikallisten viranomaisten olisi tehostettava toimiaan asunto-ongelmien ratkaisemiseksi. </w:t>
      </w:r>
    </w:p>
    <w:p>
      <w:pPr>
        <w:pStyle w:val="Normal"/>
        <w:rPr/>
      </w:pPr>
      <w:r>
        <w:rPr/>
      </w:r>
    </w:p>
    <w:p>
      <w:pPr>
        <w:pStyle w:val="P68B1DB1Normal15"/>
        <w:rPr>
          <w:b/>
          <w:b/>
        </w:rPr>
      </w:pPr>
      <w:r>
        <w:rPr/>
        <w:t xml:space="preserve">26. Tilintarkastustuomioistuin suosittaa, että EU parantaa lapsiperheitä koskevien tukitoimenpiteiden sääntelyä ja yhdenmukaista täytäntöönpanoa kaikissa jäsenvaltioissa. Näihin toimenpiteisiin kuuluvat erityisesti: vanhempainvapaan keston, synnytysrahan ja hoitotuen määrän pidentäminen. </w:t>
      </w:r>
    </w:p>
    <w:p>
      <w:pPr>
        <w:pStyle w:val="Normal"/>
        <w:rPr/>
      </w:pPr>
      <w:r>
        <w:rPr/>
        <w:t xml:space="preserve"> </w:t>
      </w:r>
    </w:p>
    <w:p>
      <w:pPr>
        <w:pStyle w:val="Normal"/>
        <w:rPr/>
      </w:pPr>
      <w:r>
        <w:rPr/>
        <w:t xml:space="preserve">Annamme tämän suosituksen, koska uskomme, että nämä toimenpiteet lieventäisivät EU:n väestöongelmaa. Ne parantaisivat myös vanhempien välistä sukupuolten tasa-arvoa. </w:t>
      </w:r>
    </w:p>
    <w:p>
      <w:pPr>
        <w:pStyle w:val="Normal"/>
        <w:rPr/>
      </w:pPr>
      <w:r>
        <w:rPr/>
      </w:r>
    </w:p>
    <w:p>
      <w:pPr>
        <w:pStyle w:val="P68B1DB1Normal15"/>
        <w:rPr>
          <w:b/>
          <w:b/>
        </w:rPr>
      </w:pPr>
      <w:r>
        <w:rPr/>
        <w:t xml:space="preserve">27. Suosittelemme, että EU ryhtyy toimiin sen varmistamiseksi, että kaikilla perheillä on samat perheoikeudet kaikissa jäsenvaltioissa. Näihin oikeuksiin kuuluu oikeus avioliittoon ja adoptioon. </w:t>
      </w:r>
    </w:p>
    <w:p>
      <w:pPr>
        <w:pStyle w:val="Normal"/>
        <w:rPr/>
      </w:pPr>
      <w:r>
        <w:rPr/>
        <w:t xml:space="preserve"> </w:t>
      </w:r>
    </w:p>
    <w:p>
      <w:pPr>
        <w:pStyle w:val="Normal"/>
        <w:rPr/>
      </w:pPr>
      <w:r>
        <w:rPr/>
        <w:t xml:space="preserve">Annamme tämän suosituksen, koska katsomme, että kaikilla EU:n kansalaisilla olisi oltava yhtäläiset oikeudet, myös perheen oikeudet. Perhe on sosiaalisen organisaation perusmuoto. Onnellinen perhe edistää tervettä yhteiskuntaa. Suosituksen tavoitteena on varmistaa, että kaikilla kansalaisilla on perheen oikeudet sukupuolesta, aikuisuudesta, etnisestä alkuperästä tai fyysisestä terveydestä riippumatta.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Osa-akseli 3.3 Osake/alaakseli 3.4 Liikuntaan pääsy </w:t>
      </w:r>
      <w:commentRangeEnd w:id="1"/>
      <w:r>
        <w:commentReference w:id="1"/>
      </w:r>
      <w:r>
        <w:rPr/>
      </w:r>
    </w:p>
    <w:p>
      <w:pPr>
        <w:pStyle w:val="Normal"/>
        <w:rPr/>
      </w:pPr>
      <w:r>
        <w:rPr/>
        <w:t xml:space="preserve"> </w:t>
      </w:r>
    </w:p>
    <w:p>
      <w:pPr>
        <w:pStyle w:val="P68B1DB1Normal15"/>
        <w:rPr>
          <w:b/>
          <w:b/>
        </w:rPr>
      </w:pPr>
      <w:r>
        <w:rPr/>
        <w:t xml:space="preserve">28. Tilintarkastustuomioistuin suosittaa, että sukupuolten tasa-arvoa koskevaa EU:n strategiaa 2020–2025 edistetään voimakkaasti ja että se asetetaan etusijalle kiireellisenä asiana, jota jäsenvaltiot tehokkaasti käsittelevät. EU:n olisi a) määriteltävä indikaattorit (asetelmat, palkkaerot, työllisyys, johtajuus jne.), seurattava strategiaa vuosittain ja oltava avoin saavutetuista tuloksista; ja b) perustaa oikeusasiamies, joka saa kansalaisilta suoraa palautetta. </w:t>
      </w:r>
    </w:p>
    <w:p>
      <w:pPr>
        <w:pStyle w:val="Normal"/>
        <w:rPr/>
      </w:pPr>
      <w:r>
        <w:rPr/>
        <w:t xml:space="preserve"> </w:t>
      </w:r>
    </w:p>
    <w:p>
      <w:pPr>
        <w:pStyle w:val="Normal"/>
        <w:rPr/>
      </w:pPr>
      <w:r>
        <w:rPr/>
        <w:t xml:space="preserve">Esitämme tämän suosituksen, koska katsomme, että sukupuolten tasa-arvotilanne on kaukana tyydyttävästä. Sukupuolten tasa-arvon ja kansalaisoikeuksien olisi oltava sopusoinnussa Euroopan tasolla, jotta voidaan saavuttaa sukupuolten tasa-arvoa ja kansalaisoikeuksia koskevat tavoitteet kaikissa maissa, ei vain niissä maissa, joissa kompromissi on vahvempi. Olemme sitoutuneet naisten läsnäoloon ja panokseen vallassa ja kaikenlaisissa ammateissa, jotta Euroopan unioni olisi monipuolinen ja täyttävä. Naiset ovat epäedullisessa asemassa monissa tilanteissa (vaikka heillä olisi hyvä koulutustaso/sertifioitu korkea-asteen koulutus tai muut etuoikeudet), joten tällainen strategia on ehdottoman välttämätön. </w:t>
      </w:r>
    </w:p>
    <w:p>
      <w:pPr>
        <w:pStyle w:val="Normal"/>
        <w:rPr/>
      </w:pPr>
      <w:r>
        <w:rPr/>
      </w:r>
    </w:p>
    <w:p>
      <w:pPr>
        <w:pStyle w:val="P68B1DB1Normal15"/>
        <w:rPr>
          <w:b/>
          <w:b/>
        </w:rPr>
      </w:pPr>
      <w:r>
        <w:rPr/>
        <w:t xml:space="preserve">29. Tilintarkastustuomioistuin suosittaa, että EU edistää ja lisää yleistä tietoisuutta urheilusta ja liikunnasta kaikissa jäsenvaltioissa niiden terveyshyötyjen vuoksi. Urheilu ja liikunta olisi sisällytettävä sosiaalipolitiikkaan, psyykkistä ja fyysistä terveyttä koskevaan politiikkaan, koulutus- ja työvoimapolitiikkaan (toisin sanoen lääkäreiden urheilun ja/tai liikunnan määräämisen edistämiseen ja tarvittaessa urheilupaikkojen saatavuuden varmistamiseen; 1 tunti/viikko liikuntaa varten jne.). </w:t>
      </w:r>
    </w:p>
    <w:p>
      <w:pPr>
        <w:pStyle w:val="Normal"/>
        <w:rPr/>
      </w:pPr>
      <w:r>
        <w:rPr/>
        <w:t xml:space="preserve"> </w:t>
      </w:r>
    </w:p>
    <w:p>
      <w:pPr>
        <w:pStyle w:val="Normal"/>
        <w:rPr/>
      </w:pPr>
      <w:r>
        <w:rPr/>
        <w:t xml:space="preserve">Teemme tämän suosituksen, koska kyseessä on pitkäaikainen investointi. Urheiluun ja liikuntaan investoiminen vähentää terveyspalvelujen kustannuksia ja rasitusta. Esimerkiksi urheilu ja liikunta terveystoimenpiteenä lyhentäisivät hoitojen kestoa ja tehostaisivat niitä. Tätä strategiaa on jo pantu menestyksekkäästi täytäntöön joissakin maissa, kuten Saksassa. Urheilu on tapa rakentaa arvoja, kuten sitoutumista, ponnistelua, itsetuntoa, kunnioitusta tai toveruutta. Istuma-asetelmat ovat yleisempiä kuin edellisillä sukupolvilla, mikä johtuu muun muassa toimistotyöpaikoista ja/tai vapaa-ajanviettotapojen muutoksista. </w:t>
      </w:r>
    </w:p>
    <w:p>
      <w:pPr>
        <w:pStyle w:val="Normal"/>
        <w:rPr/>
      </w:pPr>
      <w:r>
        <w:rPr/>
      </w:r>
    </w:p>
    <w:p>
      <w:pPr>
        <w:pStyle w:val="P68B1DB1Normal15"/>
        <w:rPr>
          <w:b/>
          <w:b/>
        </w:rPr>
      </w:pPr>
      <w:r>
        <w:rPr/>
        <w:t xml:space="preserve">30. Komitea suosittaa, että EU velvoittaa jokaisen jäsenvaltion maksamaan vähimmäispalkan, joka määräytyy elinkustannusten mukaan sen alueella ja jota pidetään kohtuullisena palkkana, joka mahdollistaa vähimmäiselinolot köyhyysrajan yläpuolella. Jokaisen jäsenvaltion on valvottava sitä. </w:t>
      </w:r>
    </w:p>
    <w:p>
      <w:pPr>
        <w:pStyle w:val="Normal"/>
        <w:rPr/>
      </w:pPr>
      <w:r>
        <w:rPr/>
        <w:t xml:space="preserve"> </w:t>
      </w:r>
    </w:p>
    <w:p>
      <w:pPr>
        <w:pStyle w:val="Normal"/>
        <w:rPr/>
      </w:pPr>
      <w:r>
        <w:rPr/>
        <w:t xml:space="preserve">Annamme tämän suosituksen, koska on epäreilua, että emme pääse kuukauden loppuun, kun työskentelemme. Oikeudenmukaisten palkkojen olisi edistettävä elämänlaatua sosiaalisella tasolla. Epäoikeudenmukaisista palkoista aiheutuu suuria kustannuksia valtioille (turvallisuus, veronkierto, korkeammat sosiaaliset kustannukset jne.). </w:t>
      </w:r>
    </w:p>
    <w:p>
      <w:pPr>
        <w:pStyle w:val="Normal"/>
        <w:rPr/>
      </w:pPr>
      <w:r>
        <w:rPr/>
      </w:r>
    </w:p>
    <w:p>
      <w:pPr>
        <w:pStyle w:val="P68B1DB1Normal15"/>
        <w:rPr>
          <w:b/>
          <w:b/>
        </w:rPr>
      </w:pPr>
      <w:r>
        <w:rPr/>
        <w:t xml:space="preserve">31. Tilintarkastustuomioistuin suosittaa verotuksen yhdenmukaistamista jäsenvaltioissa EU:n tasolla (veroparatiisien välttämiseksi ja EU:n sisäisten siirtojen torjumiseksi) sekä verokannustinta, jolla ehkäistään työpaikkojen siirtymistä Euroopan ulkopuolelle. </w:t>
      </w:r>
    </w:p>
    <w:p>
      <w:pPr>
        <w:pStyle w:val="Normal"/>
        <w:rPr/>
      </w:pPr>
      <w:r>
        <w:rPr/>
        <w:t xml:space="preserve"> </w:t>
      </w:r>
    </w:p>
    <w:p>
      <w:pPr>
        <w:pStyle w:val="Normal"/>
        <w:rPr/>
      </w:pPr>
      <w:r>
        <w:rPr/>
        <w:t xml:space="preserve">Esitämme tämän suosituksen, koska olemme huolissamme työpaikkojen siirtämisen vaikutuksista Euroopan ulkopuolelle ja uskomme, että se estäisi verokilpailun EU:n jäsenvaltioiden välillä. </w:t>
      </w:r>
    </w:p>
    <w:p>
      <w:pPr>
        <w:pStyle w:val="Normal"/>
        <w:rPr/>
      </w:pPr>
      <w:r>
        <w:rPr/>
      </w:r>
    </w:p>
    <w:p>
      <w:pPr>
        <w:pStyle w:val="Titre3"/>
        <w:numPr>
          <w:ilvl w:val="2"/>
          <w:numId w:val="2"/>
        </w:numPr>
        <w:rPr/>
      </w:pPr>
      <w:bookmarkStart w:id="119" w:name="__RefHeading___Toc297173_1346298689"/>
      <w:bookmarkEnd w:id="119"/>
      <w:r>
        <w:rPr/>
        <w:t xml:space="preserve">Toimintalinja 4 Oppiminen Euroopassa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Osa-alue 4.1 Eurooppalainen identiteetti/alaakseli 4.2 Digitaalinen koulutus </w:t>
      </w:r>
      <w:commentRangeEnd w:id="2"/>
      <w:r>
        <w:commentReference w:id="2"/>
      </w:r>
      <w:r>
        <w:rPr/>
      </w:r>
    </w:p>
    <w:p>
      <w:pPr>
        <w:pStyle w:val="Normal"/>
        <w:rPr/>
      </w:pPr>
      <w:r>
        <w:rPr/>
        <w:t xml:space="preserve"> </w:t>
      </w:r>
    </w:p>
    <w:p>
      <w:pPr>
        <w:pStyle w:val="P68B1DB1Normal15"/>
        <w:rPr>
          <w:b/>
          <w:b/>
        </w:rPr>
      </w:pPr>
      <w:r>
        <w:rPr/>
        <w:t xml:space="preserve">32. Suosittelemme monikielisyyden edistämistä jo varhaisesta iästä alkaen, esimerkiksi päiväkodissa. Peruskoulusta alkaen lasten olisi oltava pakollista saavuttaa C1-taso EU:n aktiivisella kielellä, joka ei ole heidän omansa. </w:t>
      </w:r>
    </w:p>
    <w:p>
      <w:pPr>
        <w:pStyle w:val="Normal"/>
        <w:rPr/>
      </w:pPr>
      <w:r>
        <w:rPr/>
        <w:t xml:space="preserve"> </w:t>
      </w:r>
    </w:p>
    <w:p>
      <w:pPr>
        <w:pStyle w:val="Normal"/>
        <w:rPr/>
      </w:pPr>
      <w:r>
        <w:rPr/>
        <w:t xml:space="preserve">Teemme tämän suosituksen, koska monikielisyys on väline, joka yhdistää kansalaiset ja sillan muihin kulttuureihin ja tekee muista maista ja niiden kulttuureista helpommin lähestyttäviä. Se vahvistaa eurooppalaista identiteettiä ja kulttuurien välistä vaihtoa. On tärkeää tutustua muihin kulttuureihin Euroopan unionin yhteydessä. Näin ollen hyvä keskustelu kahdella kielellä edistäisi yhteisen eurooppalaisen identiteetin luomista ja muiden eurooppalaisten kulttuurien ymmärtämistä. EU:n on tehtävä tiivistä yhteistyötä oppilaitosten kanssa hyvien tulosten saavuttamiseksi koulutuksessa. Lisäksi on tarpeen perustaa erityinen ohjelma (esim. digitaaliset alustat, laajennetut Erasmus±ohjelmat jne.), jotta voidaan edistää yksinomaan monikielisyyttä. Nykyiset Eurooppa-koulut voivat toimia mallina tässä suhteessa. EU:n olisi perustettava ja aktiivisesti edistettävä tällaisia kouluja. </w:t>
      </w:r>
    </w:p>
    <w:p>
      <w:pPr>
        <w:pStyle w:val="Normal"/>
        <w:rPr/>
      </w:pPr>
      <w:r>
        <w:rPr/>
      </w:r>
    </w:p>
    <w:p>
      <w:pPr>
        <w:pStyle w:val="P68B1DB1Normal15"/>
        <w:rPr>
          <w:b/>
          <w:b/>
        </w:rPr>
      </w:pPr>
      <w:r>
        <w:rPr/>
        <w:t xml:space="preserve">33. Tilintarkastustuomioistuin suosittaa, että EU lisää nuorten tietoisuutta internetin ja digitalisaation vaaroista luomalla pakollisen oppiaineen alemman perusasteen koulutuksessa. EU:n olisi kehitettävä välineitä ja luotava yhteisiä koulutustiloja nuorille, jotta he voivat oppia yhdessä. </w:t>
      </w:r>
    </w:p>
    <w:p>
      <w:pPr>
        <w:pStyle w:val="Normal"/>
        <w:rPr/>
      </w:pPr>
      <w:r>
        <w:rPr/>
        <w:t xml:space="preserve"> </w:t>
      </w:r>
    </w:p>
    <w:p>
      <w:pPr>
        <w:pStyle w:val="Normal"/>
        <w:rPr/>
      </w:pPr>
      <w:r>
        <w:rPr/>
        <w:t xml:space="preserve">Annamme tämän suosituksen, koska nykyiset aloitteet tai ohjelmat tällä alalla eivät ole riittäviä. Monet EU:n kansalaiset eivät myöskään ole tietoisia olemassa olevista EU:n aloitteista näillä aloilla. Lapset eivät ole riittävän tietoisia internetin vaaroista, minkä vuoksi meidän pitäisi tehdä paljon enemmän tietoisuuden lisäämiseksi nuoremman sukupolven keskuudessa. </w:t>
      </w:r>
    </w:p>
    <w:p>
      <w:pPr>
        <w:pStyle w:val="Normal"/>
        <w:rPr/>
      </w:pPr>
      <w:r>
        <w:rPr/>
        <w:t xml:space="preserve"> </w:t>
      </w:r>
    </w:p>
    <w:p>
      <w:pPr>
        <w:pStyle w:val="P68B1DB1Normal15"/>
        <w:rPr>
          <w:b/>
          <w:b/>
        </w:rPr>
      </w:pPr>
      <w:r>
        <w:rPr/>
        <w:t xml:space="preserve">34. Tilintarkastustuomioistuin suosittaa, että EU pyrkii parantamaan teknologian saatavuutta ikääntyneiden keskuudessa kannustamalla ohjelmia ja aloitteita esimerkiksi heidän tarpeisiinsa räätälöityjen kurssien muodossa. EU:n olisi taattava oikeus käyttää digitaaliteknologiaa niille, jotka sitä haluavat, ja ehdotettava vaihtoehtoja niille, jotka eivät halua sitä. </w:t>
      </w:r>
    </w:p>
    <w:p>
      <w:pPr>
        <w:pStyle w:val="Normal"/>
        <w:rPr/>
      </w:pPr>
      <w:r>
        <w:rPr/>
        <w:t xml:space="preserve"> </w:t>
      </w:r>
    </w:p>
    <w:p>
      <w:pPr>
        <w:pStyle w:val="Normal"/>
        <w:rPr/>
      </w:pPr>
      <w:r>
        <w:rPr/>
        <w:t xml:space="preserve">Annamme tämän suosituksen, koska EU:n olisi varmistettava, että iäkkäät ihmiset voivat osallistua digitaaliseen maailmaan ja että ketään ei syrjitä. Olisi otettava käyttöön yksinkertaistettuja välineitä sukupolville, joilla on vähemmän kokemusta tiettyjen teknologioiden käytöstä, jotta ne voidaan integroida nykymaailmaan. Komitea suosittaa, että olemassa olevia aloitteita edistetään paremmin, jotta kansalaiset olisivat niistä tietoisia. Iäkkäitä ihmisiä ei pitäisi syrjiä tietoteknisten välineiden käytössä. (Tämä tarkoittaa sitä, että kansalaisten olisi voitava elää elämäänsä tarvitsematta käyttää internet-verkkoa.) EU:n olisi järjestettävä ja asetettava ikääntyneiden saataville pysyvä maksuton apu digitaalisten välineiden saatavuuden helpottamiseksi. </w:t>
      </w:r>
    </w:p>
    <w:p>
      <w:pPr>
        <w:pStyle w:val="Normal"/>
        <w:rPr/>
      </w:pPr>
      <w:r>
        <w:rPr/>
      </w:r>
    </w:p>
    <w:p>
      <w:pPr>
        <w:pStyle w:val="Titre4"/>
        <w:numPr>
          <w:ilvl w:val="3"/>
          <w:numId w:val="2"/>
        </w:numPr>
        <w:rPr/>
      </w:pPr>
      <w:bookmarkStart w:id="121" w:name="__RefHeading___Toc297177_1346298689"/>
      <w:bookmarkEnd w:id="121"/>
      <w:r>
        <w:rPr/>
        <w:t xml:space="preserve">Osa-akseli 4.3 Kulttuurivaihto/alaakseli 4.4 Ympäristökasvatus </w:t>
      </w:r>
    </w:p>
    <w:p>
      <w:pPr>
        <w:pStyle w:val="Normal"/>
        <w:rPr/>
      </w:pPr>
      <w:r>
        <w:rPr/>
        <w:t xml:space="preserve"> </w:t>
      </w:r>
    </w:p>
    <w:p>
      <w:pPr>
        <w:pStyle w:val="P68B1DB1Normal15"/>
        <w:rPr>
          <w:b/>
          <w:b/>
        </w:rPr>
      </w:pPr>
      <w:r>
        <w:rPr/>
        <w:t xml:space="preserve">35. Suosittelemme, että EU luo foorumin, jossa opetusmateriaalit ilmastonmuutoksesta, kestävyydestä ja ympäristökysymyksistä asetetaan saataville opetustarkoituksiin. Näiden tietojen olisi perustuttava tosiseikkoihin, jotka asiantuntijat ovat tarkastaneet ja jotka on mukautettu kuhunkin jäsenvaltioon. Foorumi: </w:t>
      </w:r>
    </w:p>
    <w:p>
      <w:pPr>
        <w:pStyle w:val="P68B1DB1Normal15"/>
        <w:rPr>
          <w:b/>
          <w:b/>
        </w:rPr>
      </w:pPr>
      <w:r>
        <w:rPr/>
        <w:t xml:space="preserve">● </w:t>
      </w:r>
      <w:r>
        <w:rPr/>
        <w:t xml:space="preserve">eri kohderyhmille, kuten kaupunki- tai maaseutualueilla asuville, kaikille ikäryhmille ja aiemman tietämyksen tasoille, olisi annettava opetuksia. </w:t>
      </w:r>
    </w:p>
    <w:p>
      <w:pPr>
        <w:pStyle w:val="P68B1DB1Normal15"/>
        <w:rPr>
          <w:b/>
          <w:b/>
        </w:rPr>
      </w:pPr>
      <w:r>
        <w:rPr/>
        <w:t xml:space="preserve">● </w:t>
      </w:r>
      <w:r>
        <w:rPr/>
        <w:t xml:space="preserve">on asetettava kaikkien jäsenvaltioiden saataville ja oltava helposti saatavilla; </w:t>
      </w:r>
    </w:p>
    <w:p>
      <w:pPr>
        <w:pStyle w:val="P68B1DB1Normal15"/>
        <w:rPr>
          <w:b/>
          <w:b/>
        </w:rPr>
      </w:pPr>
      <w:r>
        <w:rPr/>
        <w:t xml:space="preserve">● </w:t>
      </w:r>
      <w:r>
        <w:rPr/>
        <w:t xml:space="preserve">sen täytäntöönpanoon olisi sisällytettävä menekinedistämissuunnitelma, johon olisi osallistuttava asianomaiset yritykset; </w:t>
      </w:r>
    </w:p>
    <w:p>
      <w:pPr>
        <w:pStyle w:val="P68B1DB1Normal15"/>
        <w:rPr>
          <w:b/>
          <w:b/>
        </w:rPr>
      </w:pPr>
      <w:r>
        <w:rPr/>
        <w:t xml:space="preserve">● </w:t>
      </w:r>
      <w:r>
        <w:rPr/>
        <w:t xml:space="preserve">voitaisiin asettaa saataville samanaikaisesti rahoitusohjelman kanssa, jolla tuetaan foorumilla saatavilla olevien tietojen käyttöä ja täytäntöönpanoa. Tällä rahoituksella olisi tuettava myös kenttäkäyntejä konkreettisten esimerkkien esittämiseksi. </w:t>
      </w:r>
    </w:p>
    <w:p>
      <w:pPr>
        <w:pStyle w:val="Normal"/>
        <w:rPr/>
      </w:pPr>
      <w:r>
        <w:rPr/>
        <w:t xml:space="preserve"> </w:t>
      </w:r>
    </w:p>
    <w:p>
      <w:pPr>
        <w:pStyle w:val="Normal"/>
        <w:rPr/>
      </w:pPr>
      <w:r>
        <w:rPr/>
        <w:t xml:space="preserve">Annamme tämän suosituksen, koska kaikenikäiset ihmiset tarvitsevat tietoa siitä, miten ilmastonmuutokseen, kestävyyteen ja ympäristökysymyksiin voidaan puuttua. Tärkeät käsitteet, kuten ekologinen jalanjälki, on ymmärrettävä kaikille, erityisesti nuorille, koska se, mitä opimme lapsia, on mukana koko elämämme ajan. Nämä aiheet ovat monimutkaisia ja disinformaatio on laajaa. Tarvitsemme luotettavan lähteen, ja on uskottavuus ja resurssit tähän tehtävään. Tämä on tärkeää myös siksi, että tietämyksen taso ja uskottavien tietojen saatavuus vaihtelevat jäsenvaltiosta toiseen. </w:t>
      </w:r>
    </w:p>
    <w:p>
      <w:pPr>
        <w:pStyle w:val="Normal"/>
        <w:rPr/>
      </w:pPr>
      <w:r>
        <w:rPr/>
      </w:r>
    </w:p>
    <w:p>
      <w:pPr>
        <w:pStyle w:val="P68B1DB1Normal15"/>
        <w:rPr>
          <w:b/>
          <w:b/>
        </w:rPr>
      </w:pPr>
      <w:r>
        <w:rPr/>
        <w:t xml:space="preserve">36. Tilintarkastustuomioistuin suosittaa, että EU asettaa etusijalle sen varmistamisen, että vaihto-ohjelmat ovat kaikkien saatavilla (ikäryhmät, jäsenvaltiot, koulutustasot ja taloudelliset valmiudet) ja että ne mahdollistavat harjoittelun tai vaihdon alojen, maiden, oppilaitosten, kaupunkien ja yritysten välillä. EU:n olisi vastattava kulttuurisen ja sosiaalisen vaihdon käynnistämisestä, välittämisestä ja rahoittamisesta kaikkialla. EU:n on aktiivisesti edistettävä näitä aloitteita ja kohdistettava ne ihmisiin, jotka eivät vielä ole tietoisia kulttuurialan ja sosiaalisen vaihdon ohjelmista. Euroopan tulevaisuutta käsittelevä konferenssi, johon kansalaiset valittiin satunnaisesti, on täydellinen esimerkki eurooppalaisesta vaihdosta. Haluamme lisää tällaisia aloitteita, mutta haluamme myös pienempiä aloitteita sekä urheilun, musiikin, (sosiaalisten) harjoittelupaikkojen jne. vaihtoa. </w:t>
      </w:r>
    </w:p>
    <w:p>
      <w:pPr>
        <w:pStyle w:val="P68B1DB1Normal15"/>
        <w:rPr>
          <w:b/>
          <w:b/>
        </w:rPr>
      </w:pPr>
      <w:r>
        <w:rPr/>
        <w:t xml:space="preserve"> </w:t>
      </w:r>
    </w:p>
    <w:p>
      <w:pPr>
        <w:pStyle w:val="Normal"/>
        <w:rPr/>
      </w:pPr>
      <w:r>
        <w:rPr/>
        <w:t xml:space="preserve">Teemme tämän suosituksen, koska on tärkeää luoda yhteenkuuluvuuden ja yhteenkuuluvuuden tunne ja edistää suvaitsevaisuutta suurenmoista moninaisuuttamme ja näkökulmiamme kohtaan sekä yksilöllisten taitojen kehittämistä. Tämä prosessi kehittää ystävyyssuhteita, keskinäistä ymmärrystä ja kriittistä ajattelua. Haluamme edistää kaikkien yhteisöjemme jäsenten osallistumista, myös niiden, jotka eivät ole tähän mennessä osallistuneet tällaisiin aloitteisiin. </w:t>
      </w:r>
    </w:p>
    <w:p>
      <w:pPr>
        <w:pStyle w:val="Normal"/>
        <w:rPr/>
      </w:pPr>
      <w:r>
        <w:rPr/>
      </w:r>
    </w:p>
    <w:p>
      <w:pPr>
        <w:pStyle w:val="Titre4"/>
        <w:numPr>
          <w:ilvl w:val="3"/>
          <w:numId w:val="2"/>
        </w:numPr>
        <w:rPr/>
      </w:pPr>
      <w:bookmarkStart w:id="122" w:name="__RefHeading___Toc297179_1346298689"/>
      <w:bookmarkEnd w:id="122"/>
      <w:r>
        <w:rPr/>
        <w:t xml:space="preserve">Osa-alue 4.5 Laatu, rahoitus ja koulutuksen saatavuus/Ala-akseli 4.6 Koulutuksen yhdenmukaistaminen </w:t>
      </w:r>
    </w:p>
    <w:p>
      <w:pPr>
        <w:pStyle w:val="Normal"/>
        <w:rPr/>
      </w:pPr>
      <w:r>
        <w:rPr/>
        <w:t xml:space="preserve"> </w:t>
      </w:r>
    </w:p>
    <w:p>
      <w:pPr>
        <w:pStyle w:val="P68B1DB1Normal15"/>
        <w:rPr>
          <w:b/>
          <w:b/>
        </w:rPr>
      </w:pPr>
      <w:r>
        <w:rPr/>
        <w:t xml:space="preserve">37. Tilintarkastustuomioistuin suosittaa, että kaikki jäsenvaltiot määrittelevät ja ottavat käyttöön sertifioidun koulutuksen vähimmäisvaatimukset peruskoulusta lähtien. Tavoitteena on varmistaa, että kaikilla kansalaisilla on yhtäläiset mahdollisuudet laadukkaaseen koulutukseen, joka takaa tasa-arvon ja tasa-arvon. </w:t>
      </w:r>
    </w:p>
    <w:p>
      <w:pPr>
        <w:pStyle w:val="Normal"/>
        <w:rPr/>
      </w:pPr>
      <w:r>
        <w:rPr/>
      </w:r>
    </w:p>
    <w:p>
      <w:pPr>
        <w:pStyle w:val="Normal"/>
        <w:rPr/>
      </w:pPr>
      <w:r>
        <w:rPr/>
        <w:t xml:space="preserve">Tilintarkastustuomioistuin esittää tämän suosituksen seuraavista syistä: </w:t>
      </w:r>
    </w:p>
    <w:p>
      <w:pPr>
        <w:pStyle w:val="Normal"/>
        <w:rPr/>
      </w:pPr>
      <w:r>
        <w:rPr/>
        <w:t xml:space="preserve">● </w:t>
      </w:r>
      <w:r>
        <w:rPr/>
        <w:t xml:space="preserve">vähimmäistason olemassaolo lisäisi vanhempien, opettajien ja opiskelijoiden luottamusta koulutusjärjestelmiinsä jättäen samalla tilaa aloitteellisuudelle ja monimuotoisuudelle. </w:t>
      </w:r>
    </w:p>
    <w:p>
      <w:pPr>
        <w:pStyle w:val="Normal"/>
        <w:rPr/>
      </w:pPr>
      <w:r>
        <w:rPr/>
        <w:t xml:space="preserve">Jos suositus pannaan täytäntöön, se vahvistaa ja vahvistaa yhteistä eurooppalaista identiteettiä ja edistää yhteenkuuluvuutta, yhtenäisyyttä ja yhteenkuuluvuuden tunnetta. </w:t>
      </w:r>
    </w:p>
    <w:p>
      <w:pPr>
        <w:pStyle w:val="Normal"/>
        <w:rPr/>
      </w:pPr>
      <w:r>
        <w:rPr/>
        <w:t xml:space="preserve">● </w:t>
      </w:r>
      <w:r>
        <w:rPr/>
        <w:t xml:space="preserve">Tämän suosituksen täytäntöönpano vahvistaisi koulujen välistä yhteistyötä ja vaihtoa eri puolilla EU:ta, mikä parantaisi opetushenkilöstön ja oppilaiden välisiä suhteita ja helpottaisi huomattavasti vaihto-ohjelmia. </w:t>
      </w:r>
    </w:p>
    <w:p>
      <w:pPr>
        <w:pStyle w:val="Normal"/>
        <w:rPr/>
      </w:pPr>
      <w:r>
        <w:rPr/>
      </w:r>
    </w:p>
    <w:p>
      <w:pPr>
        <w:pStyle w:val="P68B1DB1Normal15"/>
        <w:rPr>
          <w:b/>
          <w:b/>
        </w:rPr>
      </w:pPr>
      <w:r>
        <w:rPr/>
        <w:t xml:space="preserve">38. Suosittelemme, että englantia opetetaan sertifioitavan standardin mukaisesti pääaineeksi peruskouluissa kaikissa EU:n jäsenvaltioissa, jotta voidaan helpottaa ja vahvistaa EU:n kansalaisten kykyä kommunikoida tehokkaasti. </w:t>
      </w:r>
    </w:p>
    <w:p>
      <w:pPr>
        <w:pStyle w:val="Normal"/>
        <w:rPr/>
      </w:pPr>
      <w:r>
        <w:rPr/>
        <w:t xml:space="preserve"> </w:t>
      </w:r>
    </w:p>
    <w:p>
      <w:pPr>
        <w:pStyle w:val="Normal"/>
        <w:rPr/>
      </w:pPr>
      <w:r>
        <w:rPr/>
        <w:t xml:space="preserve">Tilintarkastustuomioistuin esittää tämän suosituksen seuraavista syistä: </w:t>
      </w:r>
    </w:p>
    <w:p>
      <w:pPr>
        <w:pStyle w:val="Normal"/>
        <w:rPr/>
      </w:pPr>
      <w:r>
        <w:rPr/>
        <w:t xml:space="preserve">● </w:t>
      </w:r>
      <w:r>
        <w:rPr/>
        <w:t xml:space="preserve">näin voitaisiin lisätä yhtenäisyyttä ja tasa-arvoa vahvistamalla kansalaisten kykyä kommunikoida keskenään ja tukea vahvempaa yhteistä eurooppalaista identiteettiä. </w:t>
      </w:r>
    </w:p>
    <w:p>
      <w:pPr>
        <w:pStyle w:val="Normal"/>
        <w:rPr/>
      </w:pPr>
      <w:r>
        <w:rPr/>
        <w:t xml:space="preserve">● </w:t>
      </w:r>
      <w:r>
        <w:rPr/>
        <w:t xml:space="preserve">tämä laajentaisi työmarkkinoita ja parantaisi niiden joustavuutta ja saavutettavuutta ja antaisi kansalaisille luottamusta työskennellä ja viestiä kaikissa muissa jäsenvaltioissa, jotka tarjoavat henkilökohtaisempia ja ammatillisempia näkökulmia. </w:t>
      </w:r>
    </w:p>
    <w:p>
      <w:pPr>
        <w:pStyle w:val="Normal"/>
        <w:rPr/>
      </w:pPr>
      <w:r>
        <w:rPr/>
        <w:t xml:space="preserve">● </w:t>
      </w:r>
      <w:r>
        <w:rPr/>
        <w:t xml:space="preserve">tällainen lähestymistapa mahdollistaisi yhteisen eurooppalaisen kielen levittämisen hyvin lyhyessä ajassa. </w:t>
      </w:r>
    </w:p>
    <w:p>
      <w:pPr>
        <w:pStyle w:val="Normal"/>
        <w:rPr/>
      </w:pPr>
      <w:r>
        <w:rPr/>
        <w:t xml:space="preserve">● </w:t>
      </w:r>
      <w:r>
        <w:rPr/>
        <w:t xml:space="preserve">yhteisen kielen käyttö nopeuttaa tiedon jakamista, mikä hyödyttäisi yhteistyötä, yhteisiä kriisitoimia, humanitaarista apua ja lähentymistä Euroopan ja eurooppalaisten välillä. </w:t>
      </w:r>
    </w:p>
    <w:p>
      <w:pPr>
        <w:pStyle w:val="Normal"/>
        <w:rPr/>
      </w:pPr>
      <w:r>
        <w:rPr/>
      </w:r>
    </w:p>
    <w:p>
      <w:pPr>
        <w:pStyle w:val="Titre3"/>
        <w:numPr>
          <w:ilvl w:val="2"/>
          <w:numId w:val="2"/>
        </w:numPr>
        <w:rPr/>
      </w:pPr>
      <w:bookmarkStart w:id="123" w:name="__RefHeading___Toc297181_1346298689"/>
      <w:bookmarkEnd w:id="123"/>
      <w:r>
        <w:rPr/>
        <w:t xml:space="preserve">Toimintalinja 5 Etiikka ja turvallinen digitaalinen muutos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Osa-alue 5.1 Digitaalisen muutoksen demokratisoituminen/alaakseli 5.2 Kyberturvallisuus </w:t>
      </w:r>
      <w:commentRangeEnd w:id="3"/>
      <w:r>
        <w:commentReference w:id="3"/>
      </w:r>
      <w:r>
        <w:rPr/>
      </w:r>
    </w:p>
    <w:p>
      <w:pPr>
        <w:pStyle w:val="Normal"/>
        <w:rPr/>
      </w:pPr>
      <w:r>
        <w:rPr/>
        <w:t xml:space="preserve"> </w:t>
      </w:r>
    </w:p>
    <w:p>
      <w:pPr>
        <w:pStyle w:val="P68B1DB1Normal15"/>
        <w:rPr>
          <w:b/>
          <w:b/>
        </w:rPr>
      </w:pPr>
      <w:r>
        <w:rPr/>
        <w:t xml:space="preserve">39. Suosittelemme, että on enemmän valtuuksia torjua laitonta sisältöä ja verkkorikollisuutta. Tilintarkastustuomioistuin suosittaa Europolin/Euroopan verkkorikostorjuntakeskuksen valmiuksien vahvistamista, mukaan lukien </w:t>
      </w:r>
    </w:p>
    <w:p>
      <w:pPr>
        <w:pStyle w:val="P68B1DB1Normal15"/>
        <w:rPr>
          <w:b/>
          <w:b/>
        </w:rPr>
      </w:pPr>
      <w:r>
        <w:rPr/>
        <w:t xml:space="preserve">● </w:t>
      </w:r>
      <w:r>
        <w:rPr/>
        <w:t xml:space="preserve">taloudellisten resurssien ja henkilöstön lisääminen </w:t>
      </w:r>
    </w:p>
    <w:p>
      <w:pPr>
        <w:pStyle w:val="P68B1DB1Normal15"/>
        <w:rPr>
          <w:b/>
          <w:b/>
        </w:rPr>
      </w:pPr>
      <w:r>
        <w:rPr/>
        <w:t xml:space="preserve">● </w:t>
      </w:r>
      <w:r>
        <w:rPr/>
        <w:t xml:space="preserve">vastaavien seuraamusten takaaminen kussakin maassa ● laillisuuden ripeän ja tehokkaan valvonnan varmistaminen </w:t>
      </w:r>
    </w:p>
    <w:p>
      <w:pPr>
        <w:pStyle w:val="Normal"/>
        <w:rPr/>
      </w:pPr>
      <w:r>
        <w:rPr/>
        <w:t xml:space="preserve"> </w:t>
      </w:r>
    </w:p>
    <w:p>
      <w:pPr>
        <w:pStyle w:val="Normal"/>
        <w:rPr/>
      </w:pPr>
      <w:r>
        <w:rPr/>
        <w:t xml:space="preserve">Esitämme tämän suosituksen, jonka tarkoituksena on varmistaa vapaus internetissä ja samalla varmistaa, että syrjinnästä, väärinkäytöstä ja häirinnästä rangaistaan. Kannatamme ajatusta eurooppalaisesta julkisesta elimestä, koska emme halua jättää verkkoalustojen sääntelyä yksin yksityisille yrityksille. Verkkoalustojen on otettava vastuu hajautetusta sisällöstä, mutta haluamme varmistaa, että niiden edut eivät ole etusijalla. Sisällön sääntelyn ja rikoksentekijöiden syytteeseenpanon on oltava oikea-aikaista ja tehokasta, jotta niillä on myös pelotevaikutus vihamielisiin henkilöihin. </w:t>
      </w:r>
    </w:p>
    <w:p>
      <w:pPr>
        <w:pStyle w:val="Normal"/>
        <w:rPr/>
      </w:pPr>
      <w:r>
        <w:rPr/>
      </w:r>
    </w:p>
    <w:p>
      <w:pPr>
        <w:pStyle w:val="P68B1DB1Normal15"/>
        <w:rPr>
          <w:b/>
          <w:b/>
        </w:rPr>
      </w:pPr>
      <w:r>
        <w:rPr/>
        <w:t xml:space="preserve">40. Tilintarkastustuomioistuin suosittaa, että EU investoi innovatiiviseen ja laadukkaaseen digitaaliseen infrastruktuuriin (kuten Euroopassa kehitteillä olevaan 5G-infrastruktuuriin), jotta varmistetaan Euroopan autonomia ja ehkäistään riippuvuutta kolmansista maista tai yksityisistä yrityksistä. EU:n olisi myös kiinnitettävä erityistä huomiota vähemmän kehittyneillä alueilla tehtäviin investointeihin. </w:t>
      </w:r>
    </w:p>
    <w:p>
      <w:pPr>
        <w:pStyle w:val="Normal"/>
        <w:rPr/>
      </w:pPr>
      <w:r>
        <w:rPr/>
        <w:t xml:space="preserve"> </w:t>
      </w:r>
    </w:p>
    <w:p>
      <w:pPr>
        <w:pStyle w:val="Normal"/>
        <w:rPr/>
      </w:pPr>
      <w:r>
        <w:rPr/>
        <w:t xml:space="preserve">Esitämme tämän suosituksen, koska digitaalisella infrastruktuurilla on keskeinen rooli Euroopan taloudessa sekä eurooppalaisten jokapäiväisessä elämässä, jota ne helpottavat. Siksi Eurooppa tarvitsee laadukasta digitaalista infrastruktuuria. Jos se on riippuvainen kolmansista osapuolista, Eurooppa voi olla alttiina yksityisten yritysten tai ulkomaisten maiden kielteisille vaikutuksille. Euroopan olisi siksi investoitava digitaaliseen infrastruktuuriin riippumattomuutensa parantamiseksi. On myös tärkeää varmistaa digitaalinen osallisuus varmistamalla, että vähemmän digitaalisesti kehittyneet alueet hyötyvät investoinneista. </w:t>
      </w:r>
    </w:p>
    <w:p>
      <w:pPr>
        <w:pStyle w:val="Normal"/>
        <w:rPr/>
      </w:pPr>
      <w:r>
        <w:rPr/>
      </w:r>
    </w:p>
    <w:p>
      <w:pPr>
        <w:pStyle w:val="P68B1DB1Normal15"/>
        <w:rPr>
          <w:b/>
          <w:b/>
        </w:rPr>
      </w:pPr>
      <w:r>
        <w:rPr/>
        <w:t xml:space="preserve">41. Tilintarkastustuomioistuin suosittaa, että EU edistää valeuutisia, disinformaatiota ja verkkoturvallisuutta koskevaa koulutusta eurooppalaisissa kouluissa. Siinä olisi hyödynnettävä esimerkkejä hyvistä käytännöistä eri puolilta EU:ta. EU:n olisi perustettava järjestö, jonka tehtävänä on erityisesti edistää tätä työtä ja antaa suosituksia koulutusjärjestelmille. Sillä olisi myös edistettävä epävirallista koulutusta sekä innovatiivisia ja luovia opetustekniikoita (esim. osallistavat pelit). </w:t>
      </w:r>
    </w:p>
    <w:p>
      <w:pPr>
        <w:pStyle w:val="Normal"/>
        <w:rPr/>
      </w:pPr>
      <w:r>
        <w:rPr/>
      </w:r>
    </w:p>
    <w:p>
      <w:pPr>
        <w:pStyle w:val="Normal"/>
        <w:rPr/>
      </w:pPr>
      <w:r>
        <w:rPr/>
        <w:t xml:space="preserve">Teemme tämän suosituksen, koska verkkoturvallisuutta ja digitaalisen turvallisuuden kulttuuria käsittelevien kurssien (verkkohuijausten torjunta, valeuutiset jne.) käyttöönotto koulussa on tärkeää, jotta kaikki voivat suojautua verkkouhkilta. On tärkeää kohdistaa huomio nuoriin, jotka ovat erittäin alttiita tällaisille uhille. Koulut voivat myös kommunikoida vanhempien kanssa hyvien käytäntöjen edistämiseksi. Kurssit voivat perustua esimerkkeihin hyvistä käytännöistä Euroopassa (esim. Suomessa) ja mukautua kunkin maan tarpeisiin. </w:t>
      </w:r>
    </w:p>
    <w:p>
      <w:pPr>
        <w:pStyle w:val="Normal"/>
        <w:rPr/>
      </w:pPr>
      <w:r>
        <w:rPr/>
        <w:t xml:space="preserve"> </w:t>
      </w:r>
    </w:p>
    <w:p>
      <w:pPr>
        <w:pStyle w:val="Titre4"/>
        <w:numPr>
          <w:ilvl w:val="3"/>
          <w:numId w:val="2"/>
        </w:numPr>
        <w:rPr/>
      </w:pPr>
      <w:bookmarkStart w:id="125" w:name="__RefHeading___Toc297185_1346298689"/>
      <w:bookmarkEnd w:id="125"/>
      <w:r>
        <w:rPr/>
        <w:t xml:space="preserve">Osa-akseli 5.3 Tietosuoja </w:t>
      </w:r>
    </w:p>
    <w:p>
      <w:pPr>
        <w:pStyle w:val="Normal"/>
        <w:rPr/>
      </w:pPr>
      <w:r>
        <w:rPr/>
        <w:t xml:space="preserve"> </w:t>
      </w:r>
    </w:p>
    <w:p>
      <w:pPr>
        <w:pStyle w:val="P68B1DB1Normal15"/>
        <w:rPr>
          <w:b/>
          <w:b/>
        </w:rPr>
      </w:pPr>
      <w:r>
        <w:rPr/>
        <w:t xml:space="preserve">42. Suosittelemme rajoittamaan edelleen datajättien tietojen väärinkäyttöä lisäämällä yleisen tietosuoja-asetuksen (yleinen tietosuoja-asetus) noudattamista, luomalla koko standardoituja mekanismeja ja varmistamalla, että jopa toimivat Euroopan ulkopuoliset yritykset noudattavat tätä asetusta. Tällä parannuksella olisi annettava selkeä ja ytimekäs selvitys tietojen käyttöedellytyksistä, jotta vältetään epäselvyydet ja lisätietojen antaminen siitä, miten tietoja käytetään ja kuka käyttää, ja jotta vältetään suostumus tietojen uudelleenkäyttöön ja jälleenmyyntiin oletusvaihtoehtona. Sen olisi varmistettava, että tiedot poistetaan pysyvästi, kun kansalainen sitä pyytää. Sen olisi myös parannettava yksilöiden profilointia verkkotoiminnan perusteella koskevien sääntöjen noudattamisen valvonnan johdonmukaisuutta. Ehdotamme kahdenlaisia seuraamuksia: sakko, joka on suhteutettu yhtiön liikevaihtoon ja yhtiön toimintaa koskeviin rajoituksiin. </w:t>
      </w:r>
    </w:p>
    <w:p>
      <w:pPr>
        <w:pStyle w:val="Normal"/>
        <w:rPr/>
      </w:pPr>
      <w:r>
        <w:rPr/>
        <w:t xml:space="preserve"> </w:t>
      </w:r>
    </w:p>
    <w:p>
      <w:pPr>
        <w:pStyle w:val="Normal"/>
        <w:rPr/>
      </w:pPr>
      <w:r>
        <w:rPr/>
        <w:t xml:space="preserve">Annamme tämän suosituksen, koska avoimuus on tällä hetkellä hyvin rajallista kerättyjen tietojen tyypin, tietojen käsittelyn ja myyjien henkilöllisyyden suhteen. Meidän on edelleen rajoitettava datajättien vallan väärinkäyttöä ja varmistettava, että kansalaiset suostuvat tietojensa käsittelyyn tietoisesti. </w:t>
      </w:r>
    </w:p>
    <w:p>
      <w:pPr>
        <w:pStyle w:val="Normal"/>
        <w:rPr/>
      </w:pPr>
      <w:r>
        <w:rPr/>
        <w:t xml:space="preserve"> </w:t>
      </w:r>
    </w:p>
    <w:p>
      <w:pPr>
        <w:pStyle w:val="P68B1DB1Normal15"/>
        <w:rPr>
          <w:b/>
          <w:b/>
        </w:rPr>
      </w:pPr>
      <w:r>
        <w:rPr/>
        <w:t xml:space="preserve">43. Suosittelemme, että perustetaan riippumaton yleiseurooppalainen virasto, jonka olisi selkeästi määriteltävä tunkeileva käyttäytyminen (esim. roskaposti) ja laadittava suuntaviivat siitä, miten kansalaiset voivat vastustaa tietojensa käsittelyä ja saada ne poistetuksi erityisesti kolmansilta osapuolilta. Virastolla on oltava valtuudet tunnistaa ja määrätä seuraamuksia petoksentekijöille ja organisaatioille, jotka eivät noudata sääntöjä. Siinä olisi keskityttävä varmistamaan, että EU:n ulkopuolelle sijoittautuneet mutta siellä toimivat yhteisöt noudattavat EU:n sääntöjä. Sitä rahoittaisivat EU:n toimielimet, ja se koostuisi riippumattomien elinten yhteisestä lautakunnasta (eli tiedeyhteisön asiantuntijoista ja ammattilaisia edustavista yksiköistä). Siinä pitäisi olla pyörivä praesidium. Ehdotamme kahdenlaisia seuraamuksia: sakko, joka on suhteutettu yritysten liikevaihtoon ja yritysten toiminnan rajoituksiin. </w:t>
      </w:r>
    </w:p>
    <w:p>
      <w:pPr>
        <w:pStyle w:val="Normal"/>
        <w:rPr/>
      </w:pPr>
      <w:r>
        <w:rPr/>
      </w:r>
    </w:p>
    <w:p>
      <w:pPr>
        <w:pStyle w:val="Normal"/>
        <w:rPr/>
      </w:pPr>
      <w:r>
        <w:rPr/>
        <w:t xml:space="preserve">Annamme tämän suosituksen, koska meillä ei ole keskusvirastoa, jolla olisi vahva mandaatti, joka voisi auttaa kansalaisia erityisesti silloin, kun heillä on ongelma ja he tarvitsevat apua, neuvoja tai tukea. Ei ole olemassa selkeitä ja sitovia sääntöjä, joita yritysten on noudatettava. Seuraamuksia ei sovelleta tai niillä on vähäinen vaikutus yrityksiin. </w:t>
      </w:r>
    </w:p>
    <w:p>
      <w:pPr>
        <w:pStyle w:val="Normal"/>
        <w:rPr/>
      </w:pPr>
      <w:r>
        <w:rPr/>
        <w:t xml:space="preserve"> </w:t>
      </w:r>
    </w:p>
    <w:p>
      <w:pPr>
        <w:pStyle w:val="P68B1DB1Normal15"/>
        <w:rPr>
          <w:b/>
          <w:b/>
        </w:rPr>
      </w:pPr>
      <w:r>
        <w:rPr/>
        <w:t xml:space="preserve">44. Suosittelemme, että luodaan EU:n sertifiointijärjestelmä, joka osoittaisi yleisen tietosuoja-asetuksen (yleisen tietosuoja-asetuksen) noudattamisen avoimella tavalla ja varmistaisi, että tietosuojatiedot esitetään helposti, selkeästi ja helposti. Tämä todistus olisi pakollinen ja näkyvä verkkosivustoilla ja alustoilla. Sen myöntäjänä olisi oltava riippumaton Euroopan tason sertifioija, joka on olemassa tai perustettu tätä tarkoitusta varten ja joka ei olisi sidoksissa kansallisiin hallituksiin tai yksityiseen sektoriin. </w:t>
      </w:r>
    </w:p>
    <w:p>
      <w:pPr>
        <w:pStyle w:val="Normal"/>
        <w:rPr/>
      </w:pPr>
      <w:r>
        <w:rPr/>
        <w:t xml:space="preserve"> </w:t>
      </w:r>
    </w:p>
    <w:p>
      <w:pPr>
        <w:pStyle w:val="Normal"/>
        <w:rPr/>
      </w:pPr>
      <w:r>
        <w:rPr/>
        <w:t xml:space="preserve">Teemme tämän suosituksen, koska tällä hetkellä on vain vähän tai ei lainkaan läpinäkyvyyttä siitä, miten tietoja suojataan kunkin yrityksen toimesta, ja käyttäjät/asiakkaat eivät voi tehdä tietoon perustuvia valintoja. </w:t>
      </w:r>
    </w:p>
    <w:p>
      <w:pPr>
        <w:pStyle w:val="Normal"/>
        <w:rPr/>
      </w:pPr>
      <w:r>
        <w:rPr/>
      </w:r>
    </w:p>
    <w:p>
      <w:pPr>
        <w:pStyle w:val="P68B1DB1Normal15"/>
        <w:rPr>
          <w:b/>
          <w:b/>
        </w:rPr>
      </w:pPr>
      <w:r>
        <w:rPr/>
        <w:t xml:space="preserve">45. Suosittelemme yleisen tietosuoja-asetuksen (yleisen tietosuoja-asetuksen) selittämistä paremmin ja siitä tiedottamisen parantamista luomalla vaatimustenmukaisuutta koskevan vakiotekstin, jossa käytetään yksinkertaista ja selkeää kieltä, joka on kaikkien ymmärrettävissä. Tekstissä olisi esitettävä keskeinen viesti ja/tai perusperiaatteet. Hyväksyntämenettelyn olisi oltava visuaalisempi (esim. hakemus, joka koskee nimenomaista lupaa käyttää puhelinta). Siihen olisi liitettävä tiedotuskampanja (mukaan lukien televisio) ja järjestelmällisesti pakolliset kurssit (ainakin tietojen parissa työskenteleville) ja neuvontaa avun tarpeessa olevien aikomuksista. </w:t>
      </w:r>
    </w:p>
    <w:p>
      <w:pPr>
        <w:pStyle w:val="Normal"/>
        <w:rPr/>
      </w:pPr>
      <w:r>
        <w:rPr/>
        <w:t xml:space="preserve"> </w:t>
      </w:r>
    </w:p>
    <w:p>
      <w:pPr>
        <w:pStyle w:val="Normal"/>
        <w:rPr/>
      </w:pPr>
      <w:r>
        <w:rPr/>
        <w:t xml:space="preserve">Esitämme tämän suosituksen, koska yleisen tietosuoja-asetuksen sanamuoto on tällä hetkellä liian epämääräinen ja liian tekninen, ja tietojen määrä on ylivoimainen eikä kaikkien saatavilla. Viestintä ei myöskään ole samanlaista eri maissa, ja se sulkee usein ulkopuolelle eri ryhmät, pääasiassa iäkkäät ihmiset ja ennen digitaalista syntyneitä. </w:t>
      </w:r>
    </w:p>
    <w:p>
      <w:pPr>
        <w:pStyle w:val="Normal"/>
        <w:rPr/>
      </w:pPr>
      <w:r>
        <w:rPr/>
      </w:r>
    </w:p>
    <w:p>
      <w:pPr>
        <w:pStyle w:val="Titre4"/>
        <w:numPr>
          <w:ilvl w:val="3"/>
          <w:numId w:val="2"/>
        </w:numPr>
        <w:rPr/>
      </w:pPr>
      <w:bookmarkStart w:id="126" w:name="__RefHeading___Toc297187_1346298689"/>
      <w:bookmarkEnd w:id="126"/>
      <w:r>
        <w:rPr/>
        <w:t xml:space="preserve">Osa-akseli 5.4 Digitaalinen muutos ja terveys </w:t>
      </w:r>
    </w:p>
    <w:p>
      <w:pPr>
        <w:pStyle w:val="Normal"/>
        <w:rPr/>
      </w:pPr>
      <w:r>
        <w:rPr/>
        <w:t xml:space="preserve"> </w:t>
      </w:r>
    </w:p>
    <w:p>
      <w:pPr>
        <w:pStyle w:val="P68B1DB1Normal15"/>
        <w:rPr>
          <w:b/>
          <w:b/>
        </w:rPr>
      </w:pPr>
      <w:r>
        <w:rPr/>
        <w:t xml:space="preserve">46. Tilintarkastustuomioistuin suosittaa, että EU puuttuu ”väärän tiedon” ongelmaan kahdella tavalla: </w:t>
      </w:r>
    </w:p>
    <w:p>
      <w:pPr>
        <w:pStyle w:val="P68B1DB1Normal15"/>
        <w:rPr>
          <w:b/>
          <w:b/>
        </w:rPr>
      </w:pPr>
      <w:r>
        <w:rPr/>
        <w:t xml:space="preserve">● </w:t>
      </w:r>
      <w:r>
        <w:rPr/>
        <w:t xml:space="preserve">lainsäädäntö, jonka avulla sosiaalisen median yritykset voivat ottaa käyttöön koneoppimisalgoritmeja, jotka voivat korostaa sosiaalisen median ja uuden median tietojen luotettavuutta ja tarjota käyttäjälle todennettuja tietolähteitä. Suosittelemme, että asiantuntijat valvovat algoritmeja niiden moitteettoman toiminnan varmistamiseksi. </w:t>
      </w:r>
    </w:p>
    <w:p>
      <w:pPr>
        <w:pStyle w:val="P68B1DB1Normal15"/>
        <w:rPr>
          <w:b/>
          <w:b/>
        </w:rPr>
      </w:pPr>
      <w:r>
        <w:rPr/>
        <w:t xml:space="preserve">● </w:t>
      </w:r>
      <w:r>
        <w:rPr/>
        <w:t xml:space="preserve">sellaisen digitaalisen alustan perustaminen, jolla annetaan pisteet perinteisistä tiedotusvälineistä (esim. televisiosta, painetusta, radiosta) peräisin oleville tiedoille poliittisista ja taloudellisista eduista riippumatta ja joka tiedottaa kansalaisille tiedon laadusta soveltamatta minkäänlaista sensuuria. Foorumin olisi oltava julkisen valvonnan alainen ja sen olisi noudatettava korkeimpia avoimuusvaatimuksia, ja EU:n olisi varmistettava, että sille osoitetut varat käytetään aiottuun tarkoitukseen. </w:t>
      </w:r>
    </w:p>
    <w:p>
      <w:pPr>
        <w:pStyle w:val="Normal"/>
        <w:rPr/>
      </w:pPr>
      <w:r>
        <w:rPr/>
        <w:t xml:space="preserve"> </w:t>
      </w:r>
    </w:p>
    <w:p>
      <w:pPr>
        <w:pStyle w:val="Normal"/>
        <w:rPr/>
      </w:pPr>
      <w:r>
        <w:rPr/>
        <w:t xml:space="preserve">Esitämme tämän suosituksen, koska kyse on erilaisista tiedotusvälineistä ja uskomme, että seuraamukset tai sisällön poistaminen voivat johtaa sensuuriin ja heikentää sananvapautta ja lehdistönvapautta. Suosittelemme, että asiantuntijat tarkistavat ja valvovat algoritmin asianmukaista toimintaa sen varmistamiseksi, että se toimii oikein. Lopuksi suosittelemme, että foorumi on epäpoliittinen ja riippumaton avoimuuden ja ilmaisunvapauden varmistamiseksi. Koska väärien tietojen täydellinen poistaminen on mahdotonta, näiden välineiden asettaminen kansalaisten saataville auttaa vähentämään niiden vaikutuksia Euroopassa. </w:t>
      </w:r>
    </w:p>
    <w:p>
      <w:pPr>
        <w:pStyle w:val="Normal"/>
        <w:rPr/>
      </w:pPr>
      <w:r>
        <w:rPr/>
        <w:t xml:space="preserve"> </w:t>
      </w:r>
    </w:p>
    <w:p>
      <w:pPr>
        <w:pStyle w:val="P68B1DB1Normal15"/>
        <w:rPr>
          <w:b/>
          <w:b/>
        </w:rPr>
      </w:pPr>
      <w:r>
        <w:rPr/>
        <w:t xml:space="preserve">47. Tilintarkastustuomioistuin suosittaa, että EU toteuttaa erilaisia toimia internetin terveen käytön varmistamiseksi: </w:t>
      </w:r>
    </w:p>
    <w:p>
      <w:pPr>
        <w:pStyle w:val="P68B1DB1Normal15"/>
        <w:rPr>
          <w:b/>
          <w:b/>
        </w:rPr>
      </w:pPr>
      <w:r>
        <w:rPr/>
        <w:t xml:space="preserve">● </w:t>
      </w:r>
      <w:r>
        <w:rPr/>
        <w:t xml:space="preserve">EU:n on ensinnäkin puututtava infrastruktuurin ja laitteiden puutteeseen, joka estää kansalaisia käyttämästä internetiä. </w:t>
      </w:r>
    </w:p>
    <w:p>
      <w:pPr>
        <w:pStyle w:val="P68B1DB1Normal15"/>
        <w:rPr>
          <w:b/>
          <w:b/>
        </w:rPr>
      </w:pPr>
      <w:r>
        <w:rPr/>
        <w:t xml:space="preserve">● </w:t>
      </w:r>
      <w:r>
        <w:rPr/>
        <w:t xml:space="preserve">Tilintarkastustuomioistuin suosittaa, että EU kannustaa jäsenvaltioita tarjoamaan koulutusta Internetissä ja sen vaaroista kaikille ikäryhmille. Tämä voitaisiin toteuttaa järjestämällä kouluissa lapsille ja nuorille suunnattuja kursseja ja luomalla erilaisia opetussuunnitelmia ja opetussuunnitelmia aikuisten ja ikääntyneiden kansalaisten tavoittamiseksi. Riippumattomien asiantuntijoiden ryhmän olisi määritettävä näiden kurssien sisältö Euroopan tasolla. </w:t>
      </w:r>
    </w:p>
    <w:p>
      <w:pPr>
        <w:pStyle w:val="P68B1DB1Normal15"/>
        <w:rPr>
          <w:b/>
          <w:b/>
        </w:rPr>
      </w:pPr>
      <w:r>
        <w:rPr/>
        <w:t xml:space="preserve">● </w:t>
      </w:r>
      <w:r>
        <w:rPr/>
        <w:t xml:space="preserve">Kehotamme EU:ta toteuttamaan kaikki tarvittavat toimenpiteet sen varmistamiseksi, että yhteiskunnan digitalisointi ei sulje pois ikääntyneitä ihmisiä, ja varmistamaan, että keskeiset palvelut ovat saatavilla myös henkilökohtaisesti. </w:t>
      </w:r>
    </w:p>
    <w:p>
      <w:pPr>
        <w:pStyle w:val="Normal"/>
        <w:rPr/>
      </w:pPr>
      <w:r>
        <w:rPr/>
      </w:r>
    </w:p>
    <w:p>
      <w:pPr>
        <w:pStyle w:val="P68B1DB1Normal15"/>
        <w:rPr>
          <w:b/>
          <w:b/>
        </w:rPr>
      </w:pPr>
      <w:r>
        <w:rPr/>
        <w:t xml:space="preserve">● </w:t>
      </w:r>
      <w:r>
        <w:rPr/>
        <w:t xml:space="preserve">EU:n olisi varmistettava, että erityisesti näihin toimiin osoitetut varat käytetään aiottuun tarkoitukseen. </w:t>
      </w:r>
    </w:p>
    <w:p>
      <w:pPr>
        <w:pStyle w:val="Normal"/>
        <w:rPr/>
      </w:pPr>
      <w:r>
        <w:rPr/>
        <w:t xml:space="preserve"> </w:t>
      </w:r>
    </w:p>
    <w:p>
      <w:pPr>
        <w:pStyle w:val="Normal"/>
        <w:rPr/>
      </w:pPr>
      <w:r>
        <w:rPr/>
        <w:t xml:space="preserve">Tämä suositus johtuu infrastruktuurin ja laitteiden (esim. laitteiden) puutteesta joissakin paikoissa Euroopassa ja tarpeesta varmistaa yhteys ennen kansalaisten kouluttamista, koska tiedämme, että Internet-yhteys on rajallinen joillakin alueilla ja tietyissä profiileissa. Suosittelemme, että järjestetään kursseja, joilla autetaan lapsia hankkimaan digitaalisia taitoja, tarjotaan lisäohjelmia ikääntyneiden digitalisoimiseksi ja toteutetaan tarvittavat toimet sen varmistamiseksi, että digitaalinen muutos ei heikennä ikääntyneiden oikeuksia. </w:t>
      </w:r>
    </w:p>
    <w:p>
      <w:pPr>
        <w:pStyle w:val="Normal"/>
        <w:rPr/>
      </w:pPr>
      <w:r>
        <w:rPr/>
      </w:r>
    </w:p>
    <w:p>
      <w:pPr>
        <w:pStyle w:val="P68B1DB1Normal15"/>
        <w:rPr>
          <w:b/>
          <w:b/>
        </w:rPr>
      </w:pPr>
      <w:r>
        <w:rPr/>
        <w:t xml:space="preserve">48. Tilintarkastustuomioistuin suosittaa, että EU edistää kansalaisten koulutusta kussakin jäsenvaltiossa, jotta voidaan vahvistaa kriittistä ajattelua, skeptisyyttä ja faktantarkistusta ja opettaa heitä arvioimaan itsenäisesti, ovatko tiedot luotettavia vai eivät. Tähän koulutukseen olisi kuuluttava erityiskurssien järjestäminen perusopetuksen tasolla, ja sitä olisi tarjottava muissa julkisissa tiloissa kaikenikäisille kansalaisille, jotka haluavat hyötyä siitä. EU:n olisi varmistettava, että erityisesti näihin toimiin osoitetut varat käytetään aiottuun tarkoitukseen. </w:t>
      </w:r>
    </w:p>
    <w:p>
      <w:pPr>
        <w:pStyle w:val="Normal"/>
        <w:rPr/>
      </w:pPr>
      <w:r>
        <w:rPr/>
        <w:t xml:space="preserve"> </w:t>
      </w:r>
    </w:p>
    <w:p>
      <w:pPr>
        <w:pStyle w:val="Normal"/>
        <w:rPr/>
      </w:pPr>
      <w:r>
        <w:rPr/>
        <w:t xml:space="preserve">Teemme tämän suosituksen, koska mielestämme on mahdotonta päästä kokonaan eroon vääristä tiedoista. Tämä koulutus auttaa kansalaisia tunnistamaan ne itse. Tämän seurauksena väärien tietojen vaikutukset yhteiskuntaan ja itse kansalaisiin vähenevät. Se tarjoaisi kansalaisille myös enemmän toimintamahdollisuuksia sen sijaan, että luotaisiin instituutioihin luotettavan tiedon saamiseksi. </w:t>
      </w:r>
    </w:p>
    <w:p>
      <w:pPr>
        <w:pStyle w:val="Normal"/>
        <w:rPr/>
      </w:pPr>
      <w:r>
        <w:rPr/>
        <w:t xml:space="preserve"> </w:t>
      </w:r>
    </w:p>
    <w:p>
      <w:pPr>
        <w:pStyle w:val="Titre3"/>
        <w:numPr>
          <w:ilvl w:val="2"/>
          <w:numId w:val="2"/>
        </w:numPr>
        <w:rPr/>
      </w:pPr>
      <w:bookmarkStart w:id="127" w:name="__RefHeading___Toc297189_1346298689"/>
      <w:bookmarkEnd w:id="127"/>
      <w:r>
        <w:rPr/>
        <w:t xml:space="preserve">Liite: MUUT PANEELIN KÄSITTELEMÄT SUOSITUKSET, JOITA EI HYVÄKSYTTY </w:t>
      </w:r>
    </w:p>
    <w:p>
      <w:pPr>
        <w:pStyle w:val="Normal"/>
        <w:rPr/>
      </w:pPr>
      <w:r>
        <w:rPr/>
        <w:t xml:space="preserve"> </w:t>
      </w:r>
    </w:p>
    <w:p>
      <w:pPr>
        <w:pStyle w:val="Titre4"/>
        <w:numPr>
          <w:ilvl w:val="3"/>
          <w:numId w:val="2"/>
        </w:numPr>
        <w:rPr/>
      </w:pPr>
      <w:bookmarkStart w:id="128" w:name="__RefHeading___Toc297191_1346298689"/>
      <w:bookmarkEnd w:id="128"/>
      <w:r>
        <w:rPr/>
        <w:t xml:space="preserve">Toimintalinja 3 oikeudenmukainen yhteiskunta </w:t>
      </w:r>
    </w:p>
    <w:p>
      <w:pPr>
        <w:pStyle w:val="Normal"/>
        <w:rPr/>
      </w:pPr>
      <w:r>
        <w:rPr/>
        <w:t xml:space="preserve"> </w:t>
      </w:r>
    </w:p>
    <w:p>
      <w:pPr>
        <w:pStyle w:val="Normal"/>
        <w:rPr/>
      </w:pPr>
      <w:r>
        <w:rPr/>
        <w:t xml:space="preserve">Osa-alue 3.2 Oikeuksien tasa-arvo </w:t>
      </w:r>
    </w:p>
    <w:p>
      <w:pPr>
        <w:pStyle w:val="Normal"/>
        <w:rPr/>
      </w:pPr>
      <w:r>
        <w:rPr/>
        <w:t xml:space="preserve"> </w:t>
      </w:r>
    </w:p>
    <w:p>
      <w:pPr>
        <w:pStyle w:val="P68B1DB1Normal15"/>
        <w:rPr>
          <w:b/>
          <w:b/>
        </w:rPr>
      </w:pPr>
      <w:r>
        <w:rPr/>
        <w:t xml:space="preserve">Tilintarkastustuomioistuin suosittaa, että EU perustaa mekanismin, jolla seurataan ja kunnioitetaan vähemmistöjen oikeuksia (esim. portaali tai toimisto, jossa ihmiset voivat tehdä valituksia). </w:t>
      </w:r>
    </w:p>
    <w:p>
      <w:pPr>
        <w:pStyle w:val="Normal"/>
        <w:rPr/>
      </w:pPr>
      <w:r>
        <w:rPr/>
        <w:t xml:space="preserve"> </w:t>
      </w:r>
    </w:p>
    <w:p>
      <w:pPr>
        <w:pStyle w:val="Normal"/>
        <w:rPr/>
      </w:pPr>
      <w:r>
        <w:rPr/>
        <w:t xml:space="preserve">Teemme tämän suosituksen, koska uskomme, että jokainen voi ilmaista mielipiteensä ja että hänellä on oikeus hakea ja saada apua. Tällainen toimisto on välttämätön vähemmistöjen ja enemmistön välisten jännitteiden vähentämiseksi. </w:t>
      </w:r>
    </w:p>
    <w:p>
      <w:pPr>
        <w:pStyle w:val="Normal"/>
        <w:rPr/>
      </w:pPr>
      <w:r>
        <w:rPr/>
      </w:r>
    </w:p>
    <w:p>
      <w:pPr>
        <w:pStyle w:val="Normal"/>
        <w:rPr/>
      </w:pPr>
      <w:r>
        <w:rPr/>
        <w:t xml:space="preserve">Osa-akseli 3.3 Osake/alaakseli 3.4 Liikuntaan pääsy </w:t>
      </w:r>
    </w:p>
    <w:p>
      <w:pPr>
        <w:pStyle w:val="Normal"/>
        <w:rPr/>
      </w:pPr>
      <w:r>
        <w:rPr/>
        <w:t xml:space="preserve"> </w:t>
      </w:r>
    </w:p>
    <w:p>
      <w:pPr>
        <w:pStyle w:val="P68B1DB1Normal15"/>
        <w:rPr>
          <w:b/>
          <w:b/>
        </w:rPr>
      </w:pPr>
      <w:r>
        <w:rPr/>
        <w:t xml:space="preserve">Tilintarkastustuomioistuin suosittaa, että EU lisää tietoisuutta liikunnasta ”roolimallinnuksen” avulla, johon osallistuu julkisuuden henkilöitä (joten parlamentin järjestämiin tapahtumiin olisi sisällyttävä jonkinlaista liikuntaa tai liikkumista muutaman sekunnin ajan, kuten venyttely, kävely tai hyppääminen). </w:t>
      </w:r>
    </w:p>
    <w:p>
      <w:pPr>
        <w:pStyle w:val="Normal"/>
        <w:rPr/>
      </w:pPr>
      <w:r>
        <w:rPr/>
        <w:t xml:space="preserve"> </w:t>
      </w:r>
    </w:p>
    <w:p>
      <w:pPr>
        <w:pStyle w:val="Normal"/>
        <w:rPr/>
      </w:pPr>
      <w:r>
        <w:rPr/>
        <w:t xml:space="preserve">Esitämme tämän suosituksen, koska julkisten henkilöiden mobilisointi liikuntaa varten lisää yleistä tietoisuutta. </w:t>
      </w:r>
    </w:p>
    <w:p>
      <w:pPr>
        <w:pStyle w:val="Normal"/>
        <w:rPr/>
      </w:pPr>
      <w:r>
        <w:rPr/>
      </w:r>
    </w:p>
    <w:p>
      <w:pPr>
        <w:pStyle w:val="Titre4"/>
        <w:numPr>
          <w:ilvl w:val="3"/>
          <w:numId w:val="2"/>
        </w:numPr>
        <w:rPr/>
      </w:pPr>
      <w:bookmarkStart w:id="129" w:name="__RefHeading___Toc297193_1346298689"/>
      <w:bookmarkEnd w:id="129"/>
      <w:r>
        <w:rPr/>
        <w:t xml:space="preserve">Toimintalinja 5 Etiikka ja turvallinen digitaalinen muutos </w:t>
      </w:r>
    </w:p>
    <w:p>
      <w:pPr>
        <w:pStyle w:val="Normal"/>
        <w:rPr/>
      </w:pPr>
      <w:r>
        <w:rPr/>
        <w:t xml:space="preserve"> </w:t>
      </w:r>
    </w:p>
    <w:p>
      <w:pPr>
        <w:pStyle w:val="Normal"/>
        <w:rPr/>
      </w:pPr>
      <w:r>
        <w:rPr/>
        <w:t xml:space="preserve">Osa-akseli 5.3 Tietosuoja </w:t>
      </w:r>
    </w:p>
    <w:p>
      <w:pPr>
        <w:pStyle w:val="Normal"/>
        <w:rPr/>
      </w:pPr>
      <w:r>
        <w:rPr/>
        <w:t xml:space="preserve"> </w:t>
      </w:r>
    </w:p>
    <w:p>
      <w:pPr>
        <w:pStyle w:val="P68B1DB1Normal15"/>
        <w:rPr>
          <w:b/>
          <w:b/>
        </w:rPr>
      </w:pPr>
      <w:r>
        <w:rPr/>
        <w:t xml:space="preserve">Suosittelemme luomaan verkkotunnuksen, joka tallentaa henkilötietoja ja arkaluonteisia tietoja, mutta antaa ne vain viranomaisten ja poliisin käyttöön. Verkkoalustat ja myyjät käyttävät kyseiseen verkkotunnisteeseen liittyvää verkkokoodia ja tiettyyn toimintoon tarvittavia tietoja. Tätä tunnistetta käyttävän datan jakamisen oletusasetuksen ei pitäisi olla suostumusta. Tiedot olisi toimitettava ainoastaan niille osapuolille, joita asia koskee suoraan, eikä kolmannelle osapuolelle. Jos tiedot välitetään kolmannelle osapuolelle, kansalaisen olisi voitava helposti vastustaa niitä. Tietojen olisi oltava saatavilla vain rajoitetun ajan tai tiettyä liiketoimea varten. Tietojen käyttöä koskevan luvan olisi oltava ajallisesti rajoitettu, tai siinä olisi määriteltävä selkeästi, mitä yritykset voivat tehdä näillä tiedoilla. </w:t>
      </w:r>
    </w:p>
    <w:p>
      <w:pPr>
        <w:pStyle w:val="Normal"/>
        <w:rPr/>
      </w:pPr>
      <w:r>
        <w:rPr/>
        <w:t xml:space="preserve"> </w:t>
      </w:r>
    </w:p>
    <w:p>
      <w:pPr>
        <w:pStyle w:val="Normal"/>
        <w:rPr/>
      </w:pPr>
      <w:r>
        <w:rPr/>
        <w:t xml:space="preserve">Teemme tämän suosituksen, koska tällä hetkellä yritykset voivat kerätä kaikki tiedot, mukaan lukien henkilötiedot ja arkaluonteiset tiedot, ja käyttää niitä moniin tarkoituksiin paljastamatta tarkalleen, miten ja miksi. Joten operaattorit saavat enemmän tietoa kuin ne todella tarvitsevat tarjota meille palveluja ja voivat sitten jälleenmyydä tai käyttää muita tietoja ilman suostumustamme. Samalla varmistetaan internetin käyttäjien vastuuvelvollisuus ja säilytetään heidän suhteellinen anonymiteettinsä. </w:t>
      </w:r>
      <w:r>
        <w:br w:type="page"/>
      </w:r>
    </w:p>
    <w:p>
      <w:pPr>
        <w:pStyle w:val="Titre2"/>
        <w:numPr>
          <w:ilvl w:val="1"/>
          <w:numId w:val="2"/>
        </w:numPr>
        <w:rPr/>
      </w:pPr>
      <w:bookmarkStart w:id="130" w:name="__RefHeading___Toc297195_1346298689"/>
      <w:bookmarkEnd w:id="130"/>
      <w:r>
        <w:rPr/>
        <w:t xml:space="preserve">Eurooppalainen kansalaispaneeli 2: ”Eurooppalainen demokratia; arvot ja oikeudet, oikeusvaltio, turvallisuus </w:t>
      </w:r>
    </w:p>
    <w:p>
      <w:pPr>
        <w:pStyle w:val="Normal"/>
        <w:rPr/>
      </w:pPr>
      <w:r>
        <w:rPr/>
      </w:r>
    </w:p>
    <w:p>
      <w:pPr>
        <w:pStyle w:val="Normal"/>
        <w:rPr/>
      </w:pPr>
      <w:r>
        <w:rPr/>
        <w:t xml:space="preserve">PANEELIN HYVÄKSYMÄT SUOSITUKSET (TOIMITETAAN TÄYSISTUNNOLLE) </w:t>
      </w:r>
    </w:p>
    <w:p>
      <w:pPr>
        <w:pStyle w:val="Normal"/>
        <w:rPr/>
      </w:pPr>
      <w:r>
        <w:rPr/>
        <w:t xml:space="preserve"> </w:t>
      </w:r>
    </w:p>
    <w:p>
      <w:pPr>
        <w:pStyle w:val="Titre3"/>
        <w:numPr>
          <w:ilvl w:val="2"/>
          <w:numId w:val="2"/>
        </w:numPr>
        <w:rPr/>
      </w:pPr>
      <w:bookmarkStart w:id="131" w:name="__RefHeading___Toc297197_1346298689"/>
      <w:bookmarkEnd w:id="131"/>
      <w:r>
        <w:rPr/>
        <w:t xml:space="preserve">Akseli 1: Oikeuksien ja syrjimättömyyden takaaminen </w:t>
      </w:r>
    </w:p>
    <w:p>
      <w:pPr>
        <w:pStyle w:val="Normal"/>
        <w:rPr/>
      </w:pPr>
      <w:r>
        <w:rPr/>
        <w:t xml:space="preserve"> </w:t>
      </w:r>
    </w:p>
    <w:p>
      <w:pPr>
        <w:pStyle w:val="Titre4"/>
        <w:numPr>
          <w:ilvl w:val="3"/>
          <w:numId w:val="2"/>
        </w:numPr>
        <w:rPr/>
      </w:pPr>
      <w:bookmarkStart w:id="132" w:name="__RefHeading___Toc297199_1346298689"/>
      <w:bookmarkEnd w:id="132"/>
      <w:r>
        <w:rPr/>
        <w:t xml:space="preserve">Osa-alue 1.1 Syrjintäkielto/alaakseli 1.2 Sukupuolten tasa-arvo </w:t>
      </w:r>
    </w:p>
    <w:p>
      <w:pPr>
        <w:pStyle w:val="Normal"/>
        <w:rPr/>
      </w:pPr>
      <w:r>
        <w:rPr/>
        <w:t xml:space="preserve"> </w:t>
      </w:r>
    </w:p>
    <w:p>
      <w:pPr>
        <w:pStyle w:val="P68B1DB1Normal15"/>
        <w:rPr>
          <w:b/>
          <w:b/>
        </w:rPr>
      </w:pPr>
      <w:r>
        <w:rPr/>
        <w:t xml:space="preserve">1. ”Suosittelemme, että sisällytetään kriteerit syrjinnän torjumiseksi työmarkkinoilla (nuorten, ikääntyneiden, naisten ja vähemmistöjen kiintiöt). Jos yritykset täyttävät nämä kriteerit, ne saavat tukia tai verohelpotuksia.” </w:t>
      </w:r>
    </w:p>
    <w:p>
      <w:pPr>
        <w:pStyle w:val="P68B1DB1Normal15"/>
        <w:rPr>
          <w:b/>
          <w:b/>
        </w:rPr>
      </w:pPr>
      <w:r>
        <w:rPr/>
        <w:t xml:space="preserve">Suosittelemme lisäämään työntekijöiden tietoisuutta seuraavista asioista: </w:t>
      </w:r>
    </w:p>
    <w:p>
      <w:pPr>
        <w:pStyle w:val="P68B1DB1Normal15"/>
        <w:rPr>
          <w:b/>
          <w:b/>
        </w:rPr>
      </w:pPr>
      <w:r>
        <w:rPr/>
        <w:t xml:space="preserve">● </w:t>
      </w:r>
      <w:r>
        <w:rPr/>
        <w:t xml:space="preserve">ylikansalliset ja kansalliset instituutiot (esim. ammattiliitot); </w:t>
      </w:r>
    </w:p>
    <w:p>
      <w:pPr>
        <w:pStyle w:val="P68B1DB1Normal15"/>
        <w:rPr>
          <w:b/>
          <w:b/>
        </w:rPr>
      </w:pPr>
      <w:r>
        <w:rPr/>
        <w:t xml:space="preserve">● </w:t>
      </w:r>
      <w:r>
        <w:rPr/>
        <w:t xml:space="preserve">mekanismit, joilla varmistetaan, että yritykset noudattavat työpaikoilla voimassa olevia syrjimättömyyttä koskevia sääntöjä; </w:t>
      </w:r>
    </w:p>
    <w:p>
      <w:pPr>
        <w:pStyle w:val="P68B1DB1Normal15"/>
        <w:rPr>
          <w:b/>
          <w:b/>
        </w:rPr>
      </w:pPr>
      <w:r>
        <w:rPr/>
        <w:t xml:space="preserve">● </w:t>
      </w:r>
      <w:r>
        <w:rPr/>
        <w:t xml:space="preserve">työmarkkinoilla syrjivien sosiaaliryhmien (nuoret, vanhukset, naiset, vähemmistöt) tutkinto-ohjelmat. </w:t>
      </w:r>
    </w:p>
    <w:p>
      <w:pPr>
        <w:pStyle w:val="Normal"/>
        <w:rPr/>
      </w:pPr>
      <w:r>
        <w:rPr/>
        <w:t xml:space="preserve"> </w:t>
      </w:r>
    </w:p>
    <w:p>
      <w:pPr>
        <w:pStyle w:val="P68B1DB1Normal15"/>
        <w:rPr>
          <w:b/>
          <w:b/>
        </w:rPr>
      </w:pPr>
      <w:r>
        <w:rPr/>
        <w:t xml:space="preserve">Suosittelemme, että EU:n lainsäädäntö hyväksytään kahdessa vaiheessa. Ensinnäkin olisi myönnettävä tukia työntekijöiden palkkaamiseen tietyistä ryhmistä, joita todennäköisesti syrjitään. Toiseksi säädöksessä olisi vaadittava työnantajia palkkaamaan nämä ryhmät vähimmäisajaksi. </w:t>
      </w:r>
    </w:p>
    <w:p>
      <w:pPr>
        <w:pStyle w:val="Normal"/>
        <w:rPr/>
      </w:pPr>
      <w:r>
        <w:rPr/>
        <w:t xml:space="preserve"> </w:t>
      </w:r>
    </w:p>
    <w:p>
      <w:pPr>
        <w:pStyle w:val="Normal"/>
        <w:rPr/>
      </w:pPr>
      <w:r>
        <w:rPr/>
        <w:t xml:space="preserve">EU:n tehtävänä on säilyttää tasapaino vapaiden markkinoiden etujen ja sellaisten haavoittuvassa asemassa olevien ryhmien suojelun välillä, joita on suojeltava oikeudellisesti. Heterogeeniset ryhmät ovat toivottavia yrityksille, koska ne tarjoavat erilaisia ​​pätevyyksiä. Tuki on lisäkannustin yrityksille. </w:t>
      </w:r>
    </w:p>
    <w:p>
      <w:pPr>
        <w:pStyle w:val="Normal"/>
        <w:rPr/>
      </w:pPr>
      <w:r>
        <w:rPr/>
        <w:t xml:space="preserve"> </w:t>
      </w:r>
    </w:p>
    <w:p>
      <w:pPr>
        <w:pStyle w:val="P68B1DB1Normal15"/>
        <w:rPr>
          <w:b/>
          <w:b/>
        </w:rPr>
      </w:pPr>
      <w:r>
        <w:rPr/>
        <w:t xml:space="preserve">2. ”Suosittelemme, että EU luo kannustinohjelman, joka helpottaa kohtuuhintaisten päiväkotien ja leikkipuistojen luomista suurille ja pienille yrityksille. Yhteiset tilat ovat myös toteuttamiskelpoinen ratkaisu pienyrityksille, jotta ne voivat hyötyä tuesta. </w:t>
      </w:r>
    </w:p>
    <w:p>
      <w:pPr>
        <w:pStyle w:val="P68B1DB1Normal15"/>
        <w:rPr>
          <w:b/>
          <w:b/>
        </w:rPr>
      </w:pPr>
      <w:r>
        <w:rPr/>
        <w:t xml:space="preserve">Suosittelemme, että EU velvoittaa yritykset perustamaan päiväkoteja työntekijöiden määrään suhteutettuna. </w:t>
      </w:r>
    </w:p>
    <w:p>
      <w:pPr>
        <w:pStyle w:val="Normal"/>
        <w:rPr/>
      </w:pPr>
      <w:r>
        <w:rPr/>
        <w:t xml:space="preserve"> </w:t>
      </w:r>
    </w:p>
    <w:p>
      <w:pPr>
        <w:pStyle w:val="Normal"/>
        <w:rPr/>
      </w:pPr>
      <w:r>
        <w:rPr/>
        <w:t xml:space="preserve">Suosittelemme tätä, koska perhe- ja työelämän yhteensovittaminen parantaa työsuoritusta, vähentää työttömyyttä ja asettaa vanhemmat, erityisesti naiset, asemaan, jossa he voivat jatkaa uraansa. Sosiaaliseen ulottuvuuteen keskittyen ehdotetulla ratkaisulla varmistetaan lasten turvallisuus ja vähennetään vanhempien ahdistusta. </w:t>
      </w:r>
    </w:p>
    <w:p>
      <w:pPr>
        <w:pStyle w:val="Normal"/>
        <w:rPr/>
      </w:pPr>
      <w:r>
        <w:rPr/>
      </w:r>
    </w:p>
    <w:p>
      <w:pPr>
        <w:pStyle w:val="Titre4"/>
        <w:numPr>
          <w:ilvl w:val="3"/>
          <w:numId w:val="2"/>
        </w:numPr>
        <w:rPr/>
      </w:pPr>
      <w:bookmarkStart w:id="133" w:name="__RefHeading___Toc297201_1346298689"/>
      <w:bookmarkEnd w:id="133"/>
      <w:r>
        <w:rPr/>
        <w:t xml:space="preserve">Osa-akseli 1.3: Ihmisoikeuksien sekä luonnon ja eläinten oikeuksien suojeleminen </w:t>
      </w:r>
    </w:p>
    <w:p>
      <w:pPr>
        <w:pStyle w:val="Normal"/>
        <w:rPr/>
      </w:pPr>
      <w:r>
        <w:rPr/>
        <w:t xml:space="preserve"> </w:t>
      </w:r>
    </w:p>
    <w:p>
      <w:pPr>
        <w:pStyle w:val="P68B1DB1Normal15"/>
        <w:rPr>
          <w:b/>
          <w:b/>
        </w:rPr>
      </w:pPr>
      <w:r>
        <w:rPr/>
        <w:t xml:space="preserve">3. ”Suosittelemme eläinten hyvinvoinnin ja kestävyyden säilyttämistä muuttamalla eläinten suojelusta tiloilla annettua direktiiviä 98/58/EY. On määriteltävä yksityiskohtaisemmat vähimmäisvaatimukset. Niiden on oltava tarkkoja, mitattavissa ja ajallisesti rajattuja. Vähimmäisvaatimukset on vahvistettava siten, että ne johtavat korkeampiin eläinten hyvinvointia koskeviin normeihin ja mahdollistavat samalla siirtymisen kestävään ilmastoon ja ympäristöön sekä ekologiseen maatalouteen. </w:t>
      </w:r>
    </w:p>
    <w:p>
      <w:pPr>
        <w:pStyle w:val="Normal"/>
        <w:rPr/>
      </w:pPr>
      <w:r>
        <w:rPr/>
        <w:t xml:space="preserve"> </w:t>
      </w:r>
    </w:p>
    <w:p>
      <w:pPr>
        <w:pStyle w:val="Normal"/>
        <w:rPr/>
      </w:pPr>
      <w:r>
        <w:rPr/>
        <w:t xml:space="preserve">Kansalaisina olemme sitä mieltä, että on tärkeää yhdenmukaistaa tiukemmat vähimmäisvaatimukset karjankasvatukselle. Olemme tietoisia siitä, että siirtymä voi aiheuttaa ongelmia joillakin tukia saavilla maatalousaloilla ja ekologiseen ja kestävään maatalouteen siirtymisessä. Olemme kuitenkin sitä mieltä, että on erittäin tärkeää varmistaa, että tämä siirtymä tapahtuu. </w:t>
      </w:r>
    </w:p>
    <w:p>
      <w:pPr>
        <w:pStyle w:val="Normal"/>
        <w:rPr/>
      </w:pPr>
      <w:r>
        <w:rPr/>
        <w:t xml:space="preserve"> </w:t>
      </w:r>
    </w:p>
    <w:p>
      <w:pPr>
        <w:pStyle w:val="P68B1DB1Normal15"/>
        <w:rPr>
          <w:b/>
          <w:b/>
        </w:rPr>
      </w:pPr>
      <w:r>
        <w:rPr/>
        <w:t xml:space="preserve">4. Suosittelemme edistämään ympäristö- ja ilmastoystävällisempää maataloutta Euroopassa ja muualla maailmassa esimerkiksi verottamalla kaikkia negatiivisia päästöjä, torjunta-aineita ja äärimmäistä vedenkäyttöä niiden ympäristövaikutusten mukaan. Kaikkiin unioniin tuotaviin maataloustuotteisiin sovellettavien tullien on poistettava sellaisten kolmansien maiden kilpailuedut, jotka eivät täytä samoja vaatimuksia kuin unioni. Eläinystävällisen maatalouden edistämiseksi suosittelemme eläinten pitkien kuljetusten aiheuttamien päästöjen verottamista. </w:t>
      </w:r>
    </w:p>
    <w:p>
      <w:pPr>
        <w:pStyle w:val="Normal"/>
        <w:rPr/>
      </w:pPr>
      <w:r>
        <w:rPr/>
        <w:t xml:space="preserve"> </w:t>
      </w:r>
    </w:p>
    <w:p>
      <w:pPr>
        <w:pStyle w:val="Normal"/>
        <w:rPr/>
      </w:pPr>
      <w:r>
        <w:rPr/>
        <w:t xml:space="preserve">Tällaisen järjestelmän avulla uskomme, että on mahdollista tukea siirtymistä ilmastoystävälliseen ja ympäristöystävälliseen maatalouteen. </w:t>
      </w:r>
    </w:p>
    <w:p>
      <w:pPr>
        <w:pStyle w:val="Normal"/>
        <w:rPr/>
      </w:pPr>
      <w:r>
        <w:rPr/>
        <w:t xml:space="preserve"> </w:t>
      </w:r>
    </w:p>
    <w:p>
      <w:pPr>
        <w:pStyle w:val="P68B1DB1Normal15"/>
        <w:rPr>
          <w:b/>
          <w:b/>
        </w:rPr>
      </w:pPr>
      <w:r>
        <w:rPr/>
        <w:t xml:space="preserve">5. Vaikka monet valeuutiset ovat levinneet viime aikoina, suosittelemme edistämään riippumatonta, objektiivista ja tasapainoista uutisointia toteuttamalla seuraavat toimet: 1. laatia EU:n direktiivi tiedotusvälineiden riippumattomuutta koskevista vähimmäisvaatimuksista; 2) edistää unionin tasolla mediataitojen kehittämistä kaikille kansalaisille.” </w:t>
      </w:r>
    </w:p>
    <w:p>
      <w:pPr>
        <w:pStyle w:val="Normal"/>
        <w:rPr/>
      </w:pPr>
      <w:r>
        <w:rPr/>
        <w:t xml:space="preserve"> </w:t>
      </w:r>
    </w:p>
    <w:p>
      <w:pPr>
        <w:pStyle w:val="Normal"/>
        <w:rPr/>
      </w:pPr>
      <w:r>
        <w:rPr/>
        <w:t xml:space="preserve">EU:n on laadittava direktiivi tiedotusvälineiden riippumattomuuden ja sananvapauden takaamiseksi. </w:t>
      </w:r>
    </w:p>
    <w:p>
      <w:pPr>
        <w:pStyle w:val="Normal"/>
        <w:rPr/>
      </w:pPr>
      <w:r>
        <w:rPr/>
        <w:t xml:space="preserve"> </w:t>
      </w:r>
    </w:p>
    <w:p>
      <w:pPr>
        <w:pStyle w:val="Normal"/>
        <w:rPr/>
      </w:pPr>
      <w:r>
        <w:rPr>
          <w:b/>
        </w:rPr>
        <w:t>6. Suosittelemme, että lopetamme maatalouden massatuotannon tukemisen, jos se ei johda siirtymiseen ilmastoon, ekologiseen ja kestävään maatalouteen. Sen sijaan suosittelemme, että tuet ohjataan kestävän siirtymän tukemiseen.</w:t>
      </w:r>
      <w:r>
        <w:rPr/>
        <w:t xml:space="preserve"> </w:t>
      </w:r>
    </w:p>
    <w:p>
      <w:pPr>
        <w:pStyle w:val="Normal"/>
        <w:rPr/>
      </w:pPr>
      <w:r>
        <w:rPr/>
        <w:t xml:space="preserve"> </w:t>
      </w:r>
    </w:p>
    <w:p>
      <w:pPr>
        <w:pStyle w:val="Normal"/>
        <w:rPr/>
      </w:pPr>
      <w:r>
        <w:rPr/>
        <w:t xml:space="preserve">Sen sijaan, että tuet tukisivat laajaperäistä viljelyalaa, tuet olisi suunnattava tiloille, jotka ovat siirtymävaiheessa eläinten hyvinvointia koskevien uusien vähimmäisvaatimusten täyttämiseksi. </w:t>
      </w:r>
    </w:p>
    <w:p>
      <w:pPr>
        <w:pStyle w:val="Normal"/>
        <w:rPr/>
      </w:pPr>
      <w:r>
        <w:rPr/>
        <w:t xml:space="preserve"> </w:t>
      </w:r>
    </w:p>
    <w:p>
      <w:pPr>
        <w:pStyle w:val="Titre4"/>
        <w:numPr>
          <w:ilvl w:val="3"/>
          <w:numId w:val="2"/>
        </w:numPr>
        <w:rPr/>
      </w:pPr>
      <w:bookmarkStart w:id="134" w:name="__RefHeading___Toc297203_1346298689"/>
      <w:bookmarkEnd w:id="134"/>
      <w:r>
        <w:rPr/>
        <w:t xml:space="preserve">1.4 Oikeus yksityisyyteen </w:t>
      </w:r>
    </w:p>
    <w:p>
      <w:pPr>
        <w:pStyle w:val="Normal"/>
        <w:rPr/>
      </w:pPr>
      <w:r>
        <w:rPr/>
        <w:t xml:space="preserve"> </w:t>
      </w:r>
    </w:p>
    <w:p>
      <w:pPr>
        <w:pStyle w:val="P68B1DB1Normal15"/>
        <w:rPr>
          <w:b/>
          <w:b/>
        </w:rPr>
      </w:pPr>
      <w:r>
        <w:rPr/>
        <w:t xml:space="preserve">7. ”Suosittelemme, että henkilötietoja käsitteleville tahoille annetaan lupa EU:n tasolla. Näille yhteisöille on myös tehtävä riippumaton ja ulkoinen vuosittainen tietosuojatarkastus. Näitä tahoja rangaistaan tietosuojarikkomuksista niiden vuotuiseen liikevaihtoon suhteutettuna tiukemmin kuin nykyisessä asetuksessa. Hyväksyntä olisi peruutettava kahden peräkkäisen rikkomuksen jälkeen ja välittömästi vakavan rikkomuksen jälkeen. </w:t>
      </w:r>
    </w:p>
    <w:p>
      <w:pPr>
        <w:pStyle w:val="Normal"/>
        <w:rPr/>
      </w:pPr>
      <w:r>
        <w:rPr/>
        <w:t xml:space="preserve"> </w:t>
      </w:r>
    </w:p>
    <w:p>
      <w:pPr>
        <w:pStyle w:val="Normal"/>
        <w:rPr/>
      </w:pPr>
      <w:r>
        <w:rPr/>
        <w:t xml:space="preserve">Suosittelemme tällaisia toimenpiteitä, koska nykyinen sääntely (GDPR) ei riitä ja yhteisöjä on valvottava paremmin ja niistä on määrättävä seuraamuksia sen varmistamiseksi, että ne eivät loukkaa tietosuojaa ja oikeutta yksityisyyteen. </w:t>
      </w:r>
    </w:p>
    <w:p>
      <w:pPr>
        <w:pStyle w:val="Normal"/>
        <w:rPr/>
      </w:pPr>
      <w:r>
        <w:rPr/>
        <w:t xml:space="preserve"> </w:t>
      </w:r>
    </w:p>
    <w:p>
      <w:pPr>
        <w:pStyle w:val="P68B1DB1Normal15"/>
        <w:rPr>
          <w:b/>
          <w:b/>
        </w:rPr>
      </w:pPr>
      <w:r>
        <w:rPr/>
        <w:t xml:space="preserve">8. ”Suosittelemme unionin toimivallan vahvistamista seuraavilla aloilla: 1) tietosuojakasvatus, 2) tietosuojatietoisuus ja 3) alaikäisten henkilötietojen suojelu. Suosittelemme alaikäisten tietojen käsittelyä koskevien sääntöjen selkeyttämistä ja vahvistamista yleisessä tietosuoja-asetuksessa, mukaan lukien säännöt, jotka koskevat suostumusta, iän todentamista ja laillisten huoltajien suorittamaa valvontaa. Suosittelemme myös, että yleiseen tietosuoja-asetukseen sisällytetään alaikäisten arkaluonteisia tietoja koskeva erityisluokka (esim. rikosrekisteri, terveystiedot, alastomuus), jotta alaikäisiä suojellaan kaikenlaiselta hyväksikäytöltä ja syrjinnältä. </w:t>
      </w:r>
    </w:p>
    <w:p>
      <w:pPr>
        <w:pStyle w:val="Normal"/>
        <w:rPr/>
      </w:pPr>
      <w:r>
        <w:rPr/>
        <w:t xml:space="preserve"> </w:t>
      </w:r>
    </w:p>
    <w:p>
      <w:pPr>
        <w:pStyle w:val="Normal"/>
        <w:rPr/>
      </w:pPr>
      <w:r>
        <w:rPr/>
        <w:t xml:space="preserve">Suositus on tarpeen, koska alaikäiset ovat erityisen alttiita tietosuojan ja yksityisyyden suojan loukkauksille ja koska tällä hetkellä koko väestö (erityisesti alaikäiset, opettajat ja lailliset huoltajat) ei ole riittävän tietoinen tietosuojasta. Heidän kaikkien on opittava käyttämään online- ja offline-datapalveluja ja suojelemaan lasten yksityisyyttä. Lisäksi lailliset huoltajat voivat usein antaa suostumuksensa lasten tietojen käsittelyyn ilman, että he ovat täysin tietoisia tai tietoisia niistä, ja lapset voivat väärentää vanhempien suostumuksen. Tämä suositus on tarpeen, koska EU:n laajuista tietosuojaa koskevaa tiedotuskampanjaa ei toteuteta erityisesti alaikäisille, laillisille huoltajille ja opettajille, kun taas tällainen kampanja on välttämätön. </w:t>
      </w:r>
    </w:p>
    <w:p>
      <w:pPr>
        <w:pStyle w:val="Normal"/>
        <w:rPr/>
      </w:pPr>
      <w:r>
        <w:rPr/>
      </w:r>
    </w:p>
    <w:p>
      <w:pPr>
        <w:pStyle w:val="P68B1DB1Normal15"/>
        <w:rPr>
          <w:b/>
          <w:b/>
        </w:rPr>
      </w:pPr>
      <w:r>
        <w:rPr/>
        <w:t xml:space="preserve">9. Suosittelemme, että otetaan käyttöön standardoidut tietosuojakäytännöt ja helposti ymmärrettävät, ytimekkäät ja intuitiiviset suostumuslomakkeet, joista käy selvästi ilmi, mikä tietojenkäsittely on ehdottoman välttämätöntä ja mikä on vapaaehtoista. Suosittelemme, että suostumuksen peruuttaminen on helppoa, nopeaa ja pysyvää. Suosittelemme, että yksiköitä kielletään rajoittamasta palvelujaan enemmän kuin on tarpeen, jos vapaaehtoiseen tietojenkäsittelyyn ei ole annettu suostumusta. </w:t>
      </w:r>
    </w:p>
    <w:p>
      <w:pPr>
        <w:pStyle w:val="Normal"/>
        <w:rPr/>
      </w:pPr>
      <w:r>
        <w:rPr/>
        <w:t xml:space="preserve"> </w:t>
      </w:r>
    </w:p>
    <w:p>
      <w:pPr>
        <w:pStyle w:val="Normal"/>
        <w:rPr/>
      </w:pPr>
      <w:r>
        <w:rPr/>
        <w:t xml:space="preserve">Suosittelemme tätä, koska nykyiset EU:n säännöt eivät ole riittävän tarkkoja, suostumuksen peruuttaminen on pitkää, väliaikaista ja monimutkaista, eikä yhteisöillä ole intressiä tarjota palvelujaan kansalaisille, jotka vetoavat oikeuteensa tietosuojaan. </w:t>
      </w:r>
    </w:p>
    <w:p>
      <w:pPr>
        <w:pStyle w:val="Normal"/>
        <w:rPr/>
      </w:pPr>
      <w:r>
        <w:rPr/>
        <w:t xml:space="preserve"> </w:t>
      </w:r>
    </w:p>
    <w:p>
      <w:pPr>
        <w:pStyle w:val="Titre3"/>
        <w:numPr>
          <w:ilvl w:val="2"/>
          <w:numId w:val="2"/>
        </w:numPr>
        <w:rPr/>
      </w:pPr>
      <w:bookmarkStart w:id="135" w:name="__RefHeading___Toc297205_1346298689"/>
      <w:bookmarkEnd w:id="135"/>
      <w:r>
        <w:rPr/>
        <w:t xml:space="preserve">Akseli 2: Demokratian ja oikeusvaltion turvaaminen </w:t>
      </w:r>
    </w:p>
    <w:p>
      <w:pPr>
        <w:pStyle w:val="Normal"/>
        <w:rPr/>
      </w:pPr>
      <w:r>
        <w:rPr/>
        <w:t xml:space="preserve"> </w:t>
      </w:r>
    </w:p>
    <w:p>
      <w:pPr>
        <w:pStyle w:val="Titre4"/>
        <w:numPr>
          <w:ilvl w:val="3"/>
          <w:numId w:val="2"/>
        </w:numPr>
        <w:rPr/>
      </w:pPr>
      <w:bookmarkStart w:id="136" w:name="__RefHeading___Toc297207_1346298689"/>
      <w:bookmarkEnd w:id="136"/>
      <w:r>
        <w:rPr/>
        <w:t xml:space="preserve">Osa-alue 2.1 Oikeusvaltioperiaatteen suojeleminen </w:t>
      </w:r>
    </w:p>
    <w:p>
      <w:pPr>
        <w:pStyle w:val="Normal"/>
        <w:rPr/>
      </w:pPr>
      <w:r>
        <w:rPr/>
        <w:t xml:space="preserve"> </w:t>
      </w:r>
    </w:p>
    <w:p>
      <w:pPr>
        <w:pStyle w:val="P68B1DB1Normal15"/>
        <w:rPr>
          <w:b/>
          <w:b/>
        </w:rPr>
      </w:pPr>
      <w:r>
        <w:rPr/>
        <w:t xml:space="preserve">10. ”Suosittelemme, että täydentäviä ehtoja koskevaa asetusta (2020/2092, annettu 16. joulukuuta 2020) muutetaan siten, että sitä sovelletaan kaikkiin oikeusvaltioperiaatteen loukkauksiin eikä rikkomuksiin, jotka vaikuttavat EU:n talousarvioon.” </w:t>
      </w:r>
    </w:p>
    <w:p>
      <w:pPr>
        <w:pStyle w:val="Normal"/>
        <w:rPr/>
      </w:pPr>
      <w:r>
        <w:rPr/>
        <w:t xml:space="preserve"> </w:t>
      </w:r>
    </w:p>
    <w:p>
      <w:pPr>
        <w:pStyle w:val="Normal"/>
        <w:rPr/>
      </w:pPr>
      <w:r>
        <w:rPr/>
        <w:t xml:space="preserve">Täydentäviä ehtoja koskeva asetus mahdollistaa EU:n varojen maksamisen keskeyttämisen oikeusvaltioperiaatetta rikkoville jäsenvaltioille. Nykyisessä sanamuodossaan sitä sovelletaan kuitenkin vain rikkomuksiin, joilla on tai todennäköisesti on vaikutusta EU:n talousarvioon. Lisäksi täydentäviä ehtoja koskevan asetuksen nykyinen sanamuoto suojaa EU:n talousarviota ja EU:n toimielimiä eikä asianomaisten jäsenvaltioiden kansalaisia. Sen vuoksi suosittelemme, että asetuksen nykyistä tekstiä muutetaan siten, että se kattaa kaikki oikeusvaltioperiaatteen loukkaukset. </w:t>
      </w:r>
    </w:p>
    <w:p>
      <w:pPr>
        <w:pStyle w:val="Normal"/>
        <w:rPr/>
      </w:pPr>
      <w:r>
        <w:rPr/>
        <w:t xml:space="preserve"> </w:t>
      </w:r>
    </w:p>
    <w:p>
      <w:pPr>
        <w:pStyle w:val="P68B1DB1Normal15"/>
        <w:rPr>
          <w:b/>
          <w:b/>
        </w:rPr>
      </w:pPr>
      <w:r>
        <w:rPr/>
        <w:t xml:space="preserve">11. ”Suosittelemme, että EU järjestää vuotuiset oikeusvaltiokonferenssit oikeusvaltiota koskevan vuosikertomuksen julkaisemisen jälkeen (komission mekanismi oikeusvaltioperiaatteen noudattamisen seuraamiseksi jäsenvaltioissa). Jäsenvaltiot olisi velvoitettava lähettämään konferenssiin useita kansallisia sosiaalivaltuuskuntia, mukaan lukien sekä kansalaiset että virkamiehet.” </w:t>
      </w:r>
    </w:p>
    <w:p>
      <w:pPr>
        <w:pStyle w:val="Normal"/>
        <w:rPr/>
      </w:pPr>
      <w:r>
        <w:rPr/>
        <w:t xml:space="preserve"> </w:t>
      </w:r>
    </w:p>
    <w:p>
      <w:pPr>
        <w:pStyle w:val="Normal"/>
        <w:rPr/>
      </w:pPr>
      <w:r>
        <w:rPr/>
        <w:t xml:space="preserve">Konferenssi edistäisi EU:n kansalaisten välistä vuoropuhelua oikeusvaltiokysymyksistä sekä vuoropuhelua vuosittaisia oikeusvaltiokertomuksia laativien kansalaisten ja asiantuntijoiden välillä. Uskomme, että keskinäisen arvostuksen ja jakamisen ilmapiirissä osallistujat voivat tuoda parhaat käytännöt ja ideat takaisin kotimaihinsa. Lisäksi konferenssi lisäisi tietoisuutta ja ymmärrystä oikeusvaltioperiaatteesta sekä vuotuisen oikeusvaltioraportin taustalla olevista päätelmistä ja prosessista. Se herättäisi myös tiedotusvälineiden huomiota ja antaisi kansalaisille mahdollisuuden jakaa kokemuksiaan ja vertailla niitä raportin tuloksiin. </w:t>
      </w:r>
    </w:p>
    <w:p>
      <w:pPr>
        <w:pStyle w:val="Normal"/>
        <w:rPr/>
      </w:pPr>
      <w:r>
        <w:rPr/>
      </w:r>
    </w:p>
    <w:p>
      <w:pPr>
        <w:pStyle w:val="Titre4"/>
        <w:numPr>
          <w:ilvl w:val="3"/>
          <w:numId w:val="2"/>
        </w:numPr>
        <w:rPr/>
      </w:pPr>
      <w:bookmarkStart w:id="137" w:name="__RefHeading___Toc297209_1346298689"/>
      <w:bookmarkEnd w:id="137"/>
      <w:r>
        <w:rPr/>
        <w:t xml:space="preserve">Osa-alue 2.2 Demokratian suojeleminen ja vahvistaminen/alaakseli 2.4 Media ja disinformaatio </w:t>
      </w:r>
    </w:p>
    <w:p>
      <w:pPr>
        <w:pStyle w:val="Normal"/>
        <w:rPr/>
      </w:pPr>
      <w:r>
        <w:rPr/>
        <w:t xml:space="preserve"> </w:t>
      </w:r>
    </w:p>
    <w:p>
      <w:pPr>
        <w:pStyle w:val="P68B1DB1Normal15"/>
        <w:rPr>
          <w:b/>
          <w:b/>
        </w:rPr>
      </w:pPr>
      <w:r>
        <w:rPr/>
        <w:t xml:space="preserve">12. ”Suosittelemme, että EU soveltaa kilpailusääntöjään tiukemmin media-alalla, jotta varmistetaan tiedotusvälineiden moniarvoisuuden suojelu kaikissa jäsenvaltioissa. EU:n olisi estettävä suuret mediamonopolit ja poliittiset nimitykset medialautakunnissa. Komitea suosittaa myös, että tulevaan tiedotusvälineiden vapautta koskevaan EU:n lainsäädäntöön sisältyy sääntöjä, joilla estetään poliitikkoja omistamasta tai vaikuttamasta voimakkaasti sisältöönsä. </w:t>
      </w:r>
    </w:p>
    <w:p>
      <w:pPr>
        <w:pStyle w:val="Normal"/>
        <w:rPr/>
      </w:pPr>
      <w:r>
        <w:rPr/>
        <w:t xml:space="preserve"> </w:t>
      </w:r>
    </w:p>
    <w:p>
      <w:pPr>
        <w:pStyle w:val="Normal"/>
        <w:rPr/>
      </w:pPr>
      <w:r>
        <w:rPr/>
        <w:t xml:space="preserve">Suosittelemme tätä, koska EU:n kilpailusääntöjen soveltaminen edistää moniarvoista mediaympäristöä, jossa kansalaisilla on valinnanvaraa. Koska komissio valmistelee parhaillaan (tiedotusvälineiden vapautta koskevaa) säädöstä EU:n mediamarkkinoiden eheyden varmistamiseksi, olisi myös säädettävä, että poliitikot eivät saisi pitää tiedotusvälineitä hallussaan tai vaikuttaa niihin. </w:t>
      </w:r>
    </w:p>
    <w:p>
      <w:pPr>
        <w:pStyle w:val="Normal"/>
        <w:rPr/>
      </w:pPr>
      <w:r>
        <w:rPr/>
        <w:t xml:space="preserve"> </w:t>
      </w:r>
    </w:p>
    <w:p>
      <w:pPr>
        <w:pStyle w:val="Titre4"/>
        <w:numPr>
          <w:ilvl w:val="3"/>
          <w:numId w:val="2"/>
        </w:numPr>
        <w:rPr/>
      </w:pPr>
      <w:bookmarkStart w:id="138" w:name="__RefHeading___Toc297211_1346298689"/>
      <w:bookmarkEnd w:id="138"/>
      <w:r>
        <w:rPr/>
        <w:t xml:space="preserve">Osa-akseli 2.3 Turvallisuus </w:t>
      </w:r>
    </w:p>
    <w:p>
      <w:pPr>
        <w:pStyle w:val="Normal"/>
        <w:rPr/>
      </w:pPr>
      <w:r>
        <w:rPr/>
        <w:t xml:space="preserve"> </w:t>
      </w:r>
    </w:p>
    <w:p>
      <w:pPr>
        <w:pStyle w:val="P68B1DB1Normal15"/>
        <w:rPr>
          <w:b/>
          <w:b/>
        </w:rPr>
      </w:pPr>
      <w:r>
        <w:rPr/>
        <w:t xml:space="preserve">13. ”Suosittelemme, että EU:n toimielimillä on tärkeämpi rooli kaikilla käytettävissään olevilla välineillä, kuten kansallisilla kyberturvallisuuskeskuksilla ja Euroopan unionin kyberturvallisuusvirastolla (ENISA), jotta kansalaisia, organisaatioita ja instituutioita voidaan suojella uusilta uhilta, jotka johtuvat kyberturvallisuuden rikkomisista ja tekoälyn käytöstä rikollisiin tarkoituksiin. Tilintarkastustuomioistuin suosittaa myös, että Euroopan ja sen virastojen direktiivejä pannaan asianmukaisesti täytäntöön ja että niitä levitetään kaikissa jäsenvaltioissa.” </w:t>
      </w:r>
    </w:p>
    <w:p>
      <w:pPr>
        <w:pStyle w:val="Normal"/>
        <w:rPr/>
      </w:pPr>
      <w:r>
        <w:rPr/>
        <w:t xml:space="preserve"> </w:t>
      </w:r>
    </w:p>
    <w:p>
      <w:pPr>
        <w:pStyle w:val="Normal"/>
        <w:rPr/>
      </w:pPr>
      <w:r>
        <w:rPr/>
        <w:t xml:space="preserve">Suosittelemme tätä, koska kansalaiset tuntevat itsensä voimattomiksi eivätkä ole tietoisia siitä, mitä Euroopan unioni tekee näiden uhkien torjumiseksi. Suosittelemme tätä, koska nämä uhat muodostavat vakavan kansallisen ja Euroopan turvallisuusongelman. Suosittelemme tätä, koska Euroopan pitäisi olla todellinen innovoinnin veturi tällä alalla. </w:t>
      </w:r>
    </w:p>
    <w:p>
      <w:pPr>
        <w:pStyle w:val="Normal"/>
        <w:rPr/>
      </w:pPr>
      <w:r>
        <w:rPr/>
        <w:t xml:space="preserve"> </w:t>
      </w:r>
    </w:p>
    <w:p>
      <w:pPr>
        <w:pStyle w:val="P68B1DB1Normal15"/>
        <w:rPr>
          <w:b/>
          <w:b/>
        </w:rPr>
      </w:pPr>
      <w:r>
        <w:rPr/>
        <w:t xml:space="preserve">14. ”Suosittelemme, että unioni vahvistaa suhteissaan ulkomaihin ensin yhteisiä demokraattisia arvoja rajoillaan. Vasta tämän tavoitteen saavuttamisen jälkeen suosittelemme, että unionista tulee demokraattisen mallimme lähettiläs maissa, jotka ovat valmiita soveltamaan tätä mallia ja ovat valmiita tekemään niin diplomatian ja vuoropuhelun avulla. </w:t>
      </w:r>
    </w:p>
    <w:p>
      <w:pPr>
        <w:pStyle w:val="Normal"/>
        <w:rPr/>
      </w:pPr>
      <w:r>
        <w:rPr/>
        <w:t xml:space="preserve"> </w:t>
      </w:r>
    </w:p>
    <w:p>
      <w:pPr>
        <w:pStyle w:val="Normal"/>
        <w:rPr/>
      </w:pPr>
      <w:r>
        <w:rPr/>
        <w:t xml:space="preserve">Suosittelemme tätä toimenpidettä, koska meidän on katsottava sisäänpäin ennen kuin katsomme ulospäin. Koska EU voi ja sen täytyy auttaa jäsenvaltioita vahvistamaan demokratioitaan. Koska me suojelemme itseämme myös näyttämällä esimerkkiä ja tukemalla ulkopuolisten maiden pyrkimyksiä demokratian edistämiseksi. </w:t>
      </w:r>
    </w:p>
    <w:p>
      <w:pPr>
        <w:pStyle w:val="Normal"/>
        <w:rPr/>
      </w:pPr>
      <w:r>
        <w:rPr/>
        <w:t xml:space="preserve"> </w:t>
      </w:r>
    </w:p>
    <w:p>
      <w:pPr>
        <w:pStyle w:val="Titre3"/>
        <w:numPr>
          <w:ilvl w:val="2"/>
          <w:numId w:val="2"/>
        </w:numPr>
        <w:rPr/>
      </w:pPr>
      <w:bookmarkStart w:id="139" w:name="__RefHeading___Toc297213_1346298689"/>
      <w:bookmarkEnd w:id="139"/>
      <w:r>
        <w:rPr/>
        <w:t xml:space="preserve">Akseli 3: Euroopan unionin uudistaminen </w:t>
      </w:r>
    </w:p>
    <w:p>
      <w:pPr>
        <w:pStyle w:val="Normal"/>
        <w:rPr/>
      </w:pPr>
      <w:r>
        <w:rPr/>
        <w:t xml:space="preserve"> </w:t>
      </w:r>
    </w:p>
    <w:p>
      <w:pPr>
        <w:pStyle w:val="Titre4"/>
        <w:numPr>
          <w:ilvl w:val="3"/>
          <w:numId w:val="2"/>
        </w:numPr>
        <w:rPr/>
      </w:pPr>
      <w:bookmarkStart w:id="140" w:name="__RefHeading___Toc297215_1346298689"/>
      <w:bookmarkEnd w:id="140"/>
      <w:r>
        <w:rPr/>
        <w:t>Osa-alue 3.1 institutionaalinen uudistus</w:t>
      </w:r>
    </w:p>
    <w:p>
      <w:pPr>
        <w:pStyle w:val="Normal"/>
        <w:rPr/>
      </w:pPr>
      <w:r>
        <w:rPr/>
        <w:t xml:space="preserve"> </w:t>
      </w:r>
    </w:p>
    <w:p>
      <w:pPr>
        <w:pStyle w:val="Normal"/>
        <w:rPr/>
      </w:pPr>
      <w:r>
        <w:rPr>
          <w:b/>
        </w:rPr>
        <w:t>15. ”Suosittelemme EU:n toimielinten nimien muuttamista niiden tehtävien selkeyttämiseksi. Esimerkiksi Euroopan unionin neuvostoa voitaisiin kutsua Euroopan unionin senaatiksi. Euroopan komissiota voitaisiin kutsua Euroopan unionin toimeenpanevaksi komissioksi</w:t>
      </w:r>
      <w:r>
        <w:rPr/>
        <w:t xml:space="preserve">. </w:t>
      </w:r>
    </w:p>
    <w:p>
      <w:pPr>
        <w:pStyle w:val="Normal"/>
        <w:rPr/>
      </w:pPr>
      <w:r>
        <w:rPr/>
        <w:t xml:space="preserve"> </w:t>
      </w:r>
    </w:p>
    <w:p>
      <w:pPr>
        <w:pStyle w:val="Normal"/>
        <w:rPr/>
      </w:pPr>
      <w:r>
        <w:rPr/>
        <w:t xml:space="preserve">Tilintarkastustuomioistuin suosittelee tätä, koska kansalaisten on tällä hetkellä vaikea ymmärtää kunkin EU:n toimielimen tehtäviä ja tehtäviä. Heidän nimensä eivät heijasta heidän tehtäviään. Kansalaisten ei voida odottaa tekevän eroa Euroopan unionin neuvoston, Eurooppa-neuvoston ja Euroopan neuvoston välillä. On tärkeää välttää päällekkäisyyksiä. </w:t>
      </w:r>
    </w:p>
    <w:p>
      <w:pPr>
        <w:pStyle w:val="Normal"/>
        <w:rPr/>
      </w:pPr>
      <w:r>
        <w:rPr/>
        <w:t xml:space="preserve"> </w:t>
      </w:r>
    </w:p>
    <w:p>
      <w:pPr>
        <w:pStyle w:val="P68B1DB1Normal15"/>
        <w:rPr>
          <w:b/>
          <w:b/>
        </w:rPr>
      </w:pPr>
      <w:r>
        <w:rPr/>
        <w:t xml:space="preserve">16. Suosittelemme, että Euroopan parlamentti hyväksyy vaalilain, jolla yhdenmukaistetaan vaaliehdot (äänioikeusaika, vaalipäivät, vaalipiirejä, ehdokkaita, poliittisia puolueita ja niiden rahoitusta koskevat vaatimukset). EU:n kansalaisilla olisi oltava äänioikeus EU:n tason eri puolueissa, joista kukin koostuu useista jäsenvaltioista tulevista ehdokkaista. Riittävän siirtymäkauden aikana kansalaiset voisivat edelleen äänestää kansallisia ja kansainvälisiä puolueita. </w:t>
      </w:r>
    </w:p>
    <w:p>
      <w:pPr>
        <w:pStyle w:val="Normal"/>
        <w:rPr/>
      </w:pPr>
      <w:r>
        <w:rPr/>
        <w:t xml:space="preserve"> </w:t>
      </w:r>
    </w:p>
    <w:p>
      <w:pPr>
        <w:pStyle w:val="Normal"/>
        <w:rPr/>
      </w:pPr>
      <w:r>
        <w:rPr/>
        <w:t xml:space="preserve">Suosittelemme tätä, koska unionin on kehitettävä yhtenäisyyden tunne, joka voi ilmetä todella yhtenäisillä Euroopan parlamentin vaaleilla. Nämä yhteiset vaalit mahdollistavat Euroopan parlamentin jäsenten vaikutusvallan ja vaalikampanjan keskittämisen yhteisiin eurooppalaisiin teemoihin. </w:t>
      </w:r>
    </w:p>
    <w:p>
      <w:pPr>
        <w:pStyle w:val="Normal"/>
        <w:rPr/>
      </w:pPr>
      <w:r>
        <w:rPr/>
        <w:t xml:space="preserve"> </w:t>
      </w:r>
    </w:p>
    <w:p>
      <w:pPr>
        <w:pStyle w:val="Titre4"/>
        <w:numPr>
          <w:ilvl w:val="3"/>
          <w:numId w:val="2"/>
        </w:numPr>
        <w:rPr/>
      </w:pPr>
      <w:bookmarkStart w:id="141" w:name="__RefHeading___Toc297217_1346298689"/>
      <w:bookmarkEnd w:id="141"/>
      <w:r>
        <w:rPr/>
        <w:t xml:space="preserve">Osa-akseli 3.2 Päätöksenteko </w:t>
      </w:r>
    </w:p>
    <w:p>
      <w:pPr>
        <w:pStyle w:val="Normal"/>
        <w:rPr/>
      </w:pPr>
      <w:r>
        <w:rPr/>
        <w:t xml:space="preserve"> </w:t>
      </w:r>
    </w:p>
    <w:p>
      <w:pPr>
        <w:pStyle w:val="P68B1DB1Normal15"/>
        <w:rPr>
          <w:b/>
          <w:b/>
        </w:rPr>
      </w:pPr>
      <w:r>
        <w:rPr/>
        <w:t xml:space="preserve">17. Suosittelemme luomaan verkkoalustan, josta kansalaiset voivat löytää ja pyytää tosiasiallisesti varmennettuja tietoja. Foorumin olisi oltava selkeästi yhteydessä EU:n toimielimiin, sen olisi oltava temaattisesti jäsennelty ja helposti saatavilla (esimerkiksi tarjoamalla vihjepuhelin). Kansalaisilla olisi oltava mahdollisuus esittää kriittisiä kysymyksiä asiantuntijoille (esim. tutkijoille ja toimittajille) ja saada tosiasioihin perustuvia vastauksia lähteistä. </w:t>
      </w:r>
    </w:p>
    <w:p>
      <w:pPr>
        <w:pStyle w:val="Normal"/>
        <w:rPr/>
      </w:pPr>
      <w:r>
        <w:rPr/>
        <w:t xml:space="preserve"> </w:t>
      </w:r>
    </w:p>
    <w:p>
      <w:pPr>
        <w:pStyle w:val="Normal"/>
        <w:rPr/>
      </w:pPr>
      <w:r>
        <w:rPr/>
        <w:t xml:space="preserve">Vapaa pääsy tosiasioihin on äärimmäisen tärkeää yhteiskunnallemme, jotta kansalaiset olisivat hyvin perillä ja suojassa valeuutisilta ja disinformaatiolta. Tarvitsemme uskottavan ja riippumattoman tietolähteen, johon poliittiset, taloudelliset ja kansalliset edut eivät vaikuta. Lisäksi foorumi voi luoda sillan (eli suoran suhteen) kansalaisten ja EU:n välille. </w:t>
      </w:r>
    </w:p>
    <w:p>
      <w:pPr>
        <w:pStyle w:val="Normal"/>
        <w:rPr/>
      </w:pPr>
      <w:r>
        <w:rPr/>
      </w:r>
    </w:p>
    <w:p>
      <w:pPr>
        <w:pStyle w:val="P68B1DB1Normal15"/>
        <w:rPr>
          <w:b/>
          <w:b/>
        </w:rPr>
      </w:pPr>
      <w:r>
        <w:rPr/>
        <w:t xml:space="preserve">18. Suosittelemme, että poikkeustapauksissa järjestetään EU:n laajuinen kansanäänestys kaikille Euroopan kansalaisille erittäin tärkeistä asioista. Euroopan parlamentin olisi käynnistettävä kansanäänestys, ja sen olisi oltava oikeudellisesti sitova. </w:t>
      </w:r>
    </w:p>
    <w:p>
      <w:pPr>
        <w:pStyle w:val="Normal"/>
        <w:rPr/>
      </w:pPr>
      <w:r>
        <w:rPr/>
        <w:t xml:space="preserve"> </w:t>
      </w:r>
    </w:p>
    <w:p>
      <w:pPr>
        <w:pStyle w:val="Normal"/>
        <w:rPr/>
      </w:pPr>
      <w:r>
        <w:rPr/>
        <w:t xml:space="preserve">EU:n kansalaisilla olisi oltava suorempi vaikutus tärkeisiin EU-asioita koskeviin päätöksiin. Kansanäänestykset olisi kuitenkin järjestettävä vain poikkeuksellisissa olosuhteissa, koska niitä ei olisi mahdollista järjestää säännöllisesti niiden korkeiden kustannusten vuoksi. Olemme tietoisia siitä, että tämä suositus saattaa edellyttää perustamissopimuksen muuttamista ja kansallisten perustuslakien mukauttamista. </w:t>
      </w:r>
    </w:p>
    <w:p>
      <w:pPr>
        <w:pStyle w:val="Normal"/>
        <w:rPr/>
      </w:pPr>
      <w:r>
        <w:rPr/>
        <w:t xml:space="preserve"> </w:t>
      </w:r>
    </w:p>
    <w:p>
      <w:pPr>
        <w:pStyle w:val="P68B1DB1Normal15"/>
        <w:rPr>
          <w:b/>
          <w:b/>
        </w:rPr>
      </w:pPr>
      <w:r>
        <w:rPr/>
        <w:t xml:space="preserve">19. Suosittelemme, että luodaan monitoiminen digitaalinen alusta, jonka kautta kansalaiset voivat äänestää verkkovaaleissa ja -kyselyissä. Kansalaisille olisi annettava mahdollisuus motivoida äänestystään tärkeistä kysymyksistä ja EU:n toimielinten lainsäädäntöehdotuksista. Foorumin olisi oltava turvallinen, laajalti kaikkien kansalaisten saatavilla ja hyvin näkyvä. </w:t>
      </w:r>
    </w:p>
    <w:p>
      <w:pPr>
        <w:pStyle w:val="Normal"/>
        <w:rPr/>
      </w:pPr>
      <w:r>
        <w:rPr/>
        <w:t xml:space="preserve"> </w:t>
      </w:r>
    </w:p>
    <w:p>
      <w:pPr>
        <w:pStyle w:val="Normal"/>
        <w:rPr/>
      </w:pPr>
      <w:r>
        <w:rPr/>
        <w:t xml:space="preserve">Foorumin tavoitteena on lisätä osallistumista EU:n politiikkaan ja helpottaa kansalaisten mahdollisuuksia osallistua kuulemiseen ja äänestää. Olemassa olevat työkalut ja prosessit eivät ole riittävän näkyviä, ja siksi tarvitsemme uuden integroidun työkalun näihin eri toimintoihin. Osallistumisen lisääminen johtaa parempiin päätöksiin, Euroopan kansalaisten suurempaan luottamukseen ja unionin toiminnan paranemiseen yleensä. </w:t>
      </w:r>
    </w:p>
    <w:p>
      <w:pPr>
        <w:pStyle w:val="Normal"/>
        <w:rPr/>
      </w:pPr>
      <w:r>
        <w:rPr/>
        <w:t xml:space="preserve"> </w:t>
      </w:r>
    </w:p>
    <w:p>
      <w:pPr>
        <w:pStyle w:val="P68B1DB1Normal15"/>
        <w:rPr>
          <w:b/>
          <w:b/>
        </w:rPr>
      </w:pPr>
      <w:r>
        <w:rPr/>
        <w:t xml:space="preserve">20. ”Suosittelemme, että EU:n toimielinten äänestysjärjestelmiä arvioidaan uudelleen keskittymällä yksimieliseen äänestykseen. Äänten painotus olisi laskettava oikeudenmukaisesti pienten maiden etujen suojaamiseksi. </w:t>
      </w:r>
    </w:p>
    <w:p>
      <w:pPr>
        <w:pStyle w:val="Normal"/>
        <w:rPr/>
      </w:pPr>
      <w:r>
        <w:rPr/>
        <w:t xml:space="preserve"> </w:t>
      </w:r>
    </w:p>
    <w:p>
      <w:pPr>
        <w:pStyle w:val="Normal"/>
        <w:rPr/>
      </w:pPr>
      <w:r>
        <w:rPr/>
        <w:t xml:space="preserve">Yksimielisyys on tärkeä haaste EU:n päätöksenteolle. Kun otetaan huomioon jäsenvaltioiden suuri määrä, sopimukseen pääseminen on hyvin vaikeaa. Euroopan perussopimuksia olisi tarvittaessa muutettava yksimielisyyskysymyksen ratkaisemiseksi. </w:t>
      </w:r>
    </w:p>
    <w:p>
      <w:pPr>
        <w:pStyle w:val="Normal"/>
        <w:rPr/>
      </w:pPr>
      <w:r>
        <w:rPr/>
        <w:t xml:space="preserve"> </w:t>
      </w:r>
    </w:p>
    <w:p>
      <w:pPr>
        <w:pStyle w:val="Titre4"/>
        <w:numPr>
          <w:ilvl w:val="3"/>
          <w:numId w:val="2"/>
        </w:numPr>
        <w:rPr/>
      </w:pPr>
      <w:bookmarkStart w:id="142" w:name="__RefHeading___Toc297219_1346298689"/>
      <w:bookmarkEnd w:id="142"/>
      <w:r>
        <w:rPr/>
        <w:t xml:space="preserve">Osa-akseli 3.3 Suljettu integrointi </w:t>
      </w:r>
    </w:p>
    <w:p>
      <w:pPr>
        <w:pStyle w:val="Normal"/>
        <w:rPr/>
      </w:pPr>
      <w:r>
        <w:rPr/>
        <w:t xml:space="preserve"> </w:t>
      </w:r>
    </w:p>
    <w:p>
      <w:pPr>
        <w:pStyle w:val="P68B1DB1Normal15"/>
        <w:rPr>
          <w:b/>
          <w:b/>
        </w:rPr>
      </w:pPr>
      <w:r>
        <w:rPr/>
        <w:t xml:space="preserve">21. ”Suosittelemme, että unioni tekee julkisia investointeja, jotka johtavat asianmukaisten työpaikkojen luomiseen ja elämänlaadun parantamiseen ja yhdenmukaistamiseen koko unionissa, jäsenvaltioiden välillä ja jäsenvaltioiden sisällä (eli alueellisella tasolla). Julkisten investointien täytäntöönpanossa on varmistettava tehokas valvonta, avoimuus ja viestintä kansalaisille ja annettava kansalaisille mahdollisuus seurata koko investointiprosessia. Elämänlaadun parantamiseksi olisi investoitava muun muassa koulutukseen, terveydenhuoltoon, asumiseen, fyysiseen infrastruktuuriin sekä vanhusten ja vammaisten hoitoon ottaen huomioon kunkin jäsenvaltion tarpeet. Lisäinvestoinneilla olisi pyrittävä luomaan hyvä tasapaino asianmukaisen työ- ja yksityiselämän välille terveellisten elämäntapojen mahdollistamiseksi. </w:t>
      </w:r>
    </w:p>
    <w:p>
      <w:pPr>
        <w:pStyle w:val="Normal"/>
        <w:rPr/>
      </w:pPr>
      <w:r>
        <w:rPr/>
        <w:t xml:space="preserve"> </w:t>
      </w:r>
    </w:p>
    <w:p>
      <w:pPr>
        <w:pStyle w:val="Normal"/>
        <w:rPr/>
      </w:pPr>
      <w:r>
        <w:rPr/>
        <w:t xml:space="preserve">Suosittelemme tätä toimenpidettä, koska elintason yhdenmukaistaminen unionissa parantaa taloudellista kehitystä kaikkialla unionissa ja johtaa yhtenäiseen Euroopan unioniin. Tämä on keskeinen indikaattori unionin yhdentymisen syventämisessä. Vaikka osa näistä mekanismeista on jo käytössä, uskomme, että niitä voidaan edelleen parantaa. </w:t>
      </w:r>
    </w:p>
    <w:p>
      <w:pPr>
        <w:pStyle w:val="Normal"/>
        <w:rPr/>
      </w:pPr>
      <w:r>
        <w:rPr/>
        <w:t xml:space="preserve"> </w:t>
      </w:r>
    </w:p>
    <w:p>
      <w:pPr>
        <w:pStyle w:val="P68B1DB1Normal15"/>
        <w:rPr>
          <w:b/>
          <w:b/>
        </w:rPr>
      </w:pPr>
      <w:r>
        <w:rPr/>
        <w:t xml:space="preserve">22. ”Suosittelemme, että kaikille jäsenvaltioille luodaan yhteinen perusta, joka perustuu talouden ja elämänlaadun indikaattoreihin, jotta voidaan tarjota yhtäläiset mahdollisuudet ja asettaa kaikki tasavertaiseen asemaan yhteisen talousrakenteen saavuttamiseksi. On tärkeää, että tämä yhteinen perusta vahvistetaan selkeän ja realistisen aikataulun mukaisesti, jonka toimielimet ovat asettaneet asiantuntijoiden suosituksesta. Asiantuntijoita olisi myös kuultava tällaisen yhteisen talousrakenteen muodosta. On myös tärkeää, että tämän yhteisen perustan perustana olevat indikaattorit määritellään tarkemmin asiantuntijoiden avulla. </w:t>
      </w:r>
    </w:p>
    <w:p>
      <w:pPr>
        <w:pStyle w:val="Normal"/>
        <w:rPr/>
      </w:pPr>
      <w:r>
        <w:rPr/>
        <w:t xml:space="preserve"> </w:t>
      </w:r>
    </w:p>
    <w:p>
      <w:pPr>
        <w:pStyle w:val="Normal"/>
        <w:rPr/>
      </w:pPr>
      <w:r>
        <w:rPr/>
        <w:t xml:space="preserve">Suosittelemme tätä, koska jos meillä on oikeudenmukainen unioni, meillä on yhtenäisempi Eurooppa. Ollaksemme oikeudenmukaisia meidän on tarjottava yhtäläiset mahdollisuudet ja yhteinen perusta koko unionille. Yhteinen talousrakenne on mahdollista saavuttaa vasta, kun yhteinen perusta on luotu. </w:t>
      </w:r>
    </w:p>
    <w:p>
      <w:pPr>
        <w:pStyle w:val="Normal"/>
        <w:rPr/>
      </w:pPr>
      <w:r>
        <w:rPr/>
        <w:t xml:space="preserve"> </w:t>
      </w:r>
    </w:p>
    <w:p>
      <w:pPr>
        <w:pStyle w:val="P68B1DB1Normal15"/>
        <w:rPr>
          <w:b/>
          <w:b/>
        </w:rPr>
      </w:pPr>
      <w:r>
        <w:rPr/>
        <w:t xml:space="preserve">23. Suosittelemme verottamaan suuria yrityksiä ja yritysten tuloja julkisten investointien edistämiseksi ja käyttämään verotusta investoidakseen koulutukseen ja kehitykseen kussakin maassa (T &amp; K, stipendit – Erasmus jne.). On myös tärkeää varmistaa, että veroparatiisit poistetaan. </w:t>
      </w:r>
    </w:p>
    <w:p>
      <w:pPr>
        <w:pStyle w:val="Normal"/>
        <w:rPr/>
      </w:pPr>
      <w:r>
        <w:rPr/>
        <w:t xml:space="preserve"> </w:t>
      </w:r>
    </w:p>
    <w:p>
      <w:pPr>
        <w:pStyle w:val="Normal"/>
        <w:rPr/>
      </w:pPr>
      <w:r>
        <w:rPr/>
        <w:t xml:space="preserve">Suosittelemme tätä toimenpidettä, koska se auttaa ehkäisemään veronkiertoa ja veroparatiisien luomista ja edistämään sääntöjen noudattamista. </w:t>
      </w:r>
    </w:p>
    <w:p>
      <w:pPr>
        <w:pStyle w:val="Normal"/>
        <w:rPr/>
      </w:pPr>
      <w:r>
        <w:rPr/>
      </w:r>
    </w:p>
    <w:p>
      <w:pPr>
        <w:pStyle w:val="Titre3"/>
        <w:numPr>
          <w:ilvl w:val="2"/>
          <w:numId w:val="2"/>
        </w:numPr>
        <w:rPr/>
      </w:pPr>
      <w:bookmarkStart w:id="143" w:name="__RefHeading___Toc297221_1346298689"/>
      <w:bookmarkEnd w:id="143"/>
      <w:r>
        <w:rPr/>
        <w:t xml:space="preserve">Akseli 4: Eurooppalaisen identiteetin rakentaminen </w:t>
      </w:r>
    </w:p>
    <w:p>
      <w:pPr>
        <w:pStyle w:val="Normal"/>
        <w:rPr/>
      </w:pPr>
      <w:r>
        <w:rPr/>
        <w:t xml:space="preserve"> </w:t>
      </w:r>
    </w:p>
    <w:p>
      <w:pPr>
        <w:pStyle w:val="Titre4"/>
        <w:numPr>
          <w:ilvl w:val="3"/>
          <w:numId w:val="2"/>
        </w:numPr>
        <w:rPr/>
      </w:pPr>
      <w:bookmarkStart w:id="144" w:name="__RefHeading___Toc297223_1346298689"/>
      <w:bookmarkEnd w:id="144"/>
      <w:r>
        <w:rPr/>
        <w:t xml:space="preserve">Osa-alue 4.1 Demokratian koulutus </w:t>
      </w:r>
    </w:p>
    <w:p>
      <w:pPr>
        <w:pStyle w:val="Normal"/>
        <w:rPr/>
      </w:pPr>
      <w:r>
        <w:rPr/>
        <w:t xml:space="preserve"> </w:t>
      </w:r>
    </w:p>
    <w:p>
      <w:pPr>
        <w:pStyle w:val="P68B1DB1Normal15"/>
        <w:rPr>
          <w:b/>
          <w:b/>
        </w:rPr>
      </w:pPr>
      <w:r>
        <w:rPr/>
        <w:t xml:space="preserve">24. Tilintarkastustuomioistuin suosittaa, että demokratiakasvatus parantaa ja saavuttaa vähimmäistietotason kaikissa jäsenvaltioissa. Koulutuksen olisi katettava muun muassa demokraattiset prosessit ja unionia koskeva yleinen tiedotus, jota olisi opetettava kaikissa EU:n jäsenvaltioissa. Sitä olisi rikastettava joukolla erilaisia käsitteitä, joilla pyritään opettamaan demokraattista prosessia, jonka pitäisi olla houkutteleva ja ikään sopiva. </w:t>
      </w:r>
    </w:p>
    <w:p>
      <w:pPr>
        <w:pStyle w:val="Normal"/>
        <w:rPr/>
      </w:pPr>
      <w:r>
        <w:rPr/>
        <w:t xml:space="preserve"> </w:t>
      </w:r>
    </w:p>
    <w:p>
      <w:pPr>
        <w:pStyle w:val="Normal"/>
        <w:rPr/>
      </w:pPr>
      <w:r>
        <w:rPr/>
        <w:t xml:space="preserve">Tämä suositus ja sen syyt ovat tärkeitä, koska jos se pannaan täytäntöön, se johtaa harmonisempaan ja demokraattisempaan elämään unionissa. Perustelut ovat seuraavat: nuoret saisivat koulutusta demokraattisissa prosesseissa. tämä koulutus voisi rajoittaa populismia ja disinformaatiota julkisessa keskustelussa. se voisi vähentää syrjintää; ja lopuksi se mahdollistaisi kansalaisten kouluttamisen ja mobilisoinnin demokratiaan pelkän äänestysvelvollisuuden lisäksi. </w:t>
      </w:r>
    </w:p>
    <w:p>
      <w:pPr>
        <w:pStyle w:val="Normal"/>
        <w:rPr/>
      </w:pPr>
      <w:r>
        <w:rPr/>
        <w:t xml:space="preserve"> </w:t>
      </w:r>
    </w:p>
    <w:p>
      <w:pPr>
        <w:pStyle w:val="P68B1DB1Normal15"/>
        <w:rPr>
          <w:b/>
          <w:b/>
        </w:rPr>
      </w:pPr>
      <w:r>
        <w:rPr/>
        <w:t xml:space="preserve">25. ”Suosittelemme, että nykyisiä ja kehitteillä olevia käännösteknologioita, kuten tekoälyä, kehitetään edelleen, parannetaan ja tehdään helpommin saatavilla olevien kieliesteiden vähentämiseksi ja yhteisen identiteetin ja demokratian vahvistamiseksi. </w:t>
      </w:r>
    </w:p>
    <w:p>
      <w:pPr>
        <w:pStyle w:val="Normal"/>
        <w:rPr/>
      </w:pPr>
      <w:r>
        <w:rPr/>
        <w:t xml:space="preserve"> </w:t>
      </w:r>
    </w:p>
    <w:p>
      <w:pPr>
        <w:pStyle w:val="Normal"/>
        <w:rPr/>
      </w:pPr>
      <w:r>
        <w:rPr/>
        <w:t xml:space="preserve">Tämä suositus ja sen syyt ovat tärkeitä, koska jos se pannaan täytäntöön, se edistää yhteisen eurooppalaisen identiteetin rakentamista parantamalla kaikkien jäsenvaltioiden kansalaisten välistä viestintää. </w:t>
      </w:r>
    </w:p>
    <w:p>
      <w:pPr>
        <w:pStyle w:val="Normal"/>
        <w:rPr/>
      </w:pPr>
      <w:r>
        <w:rPr/>
        <w:t xml:space="preserve"> </w:t>
      </w:r>
    </w:p>
    <w:p>
      <w:pPr>
        <w:pStyle w:val="P68B1DB1Normal15"/>
        <w:rPr>
          <w:b/>
          <w:b/>
        </w:rPr>
      </w:pPr>
      <w:r>
        <w:rPr/>
        <w:t xml:space="preserve">26. Suosittelemme, että todennettavissa olevat tiedot asetetaan helposti ja ymmärrettävästi kansalaisten saataville mobiilisovelluksen kautta avoimuuden, julkisen keskustelun ja demokratian parantamiseksi. Tätä sovellusta voitaisiin käyttää tiedon levittämiseen esimerkiksi lainsäädännöstä, käytävistä keskusteluista, perussopimusten muutoksista jne. </w:t>
      </w:r>
    </w:p>
    <w:p>
      <w:pPr>
        <w:pStyle w:val="Normal"/>
        <w:rPr/>
      </w:pPr>
      <w:r>
        <w:rPr/>
        <w:t xml:space="preserve"> </w:t>
      </w:r>
    </w:p>
    <w:p>
      <w:pPr>
        <w:pStyle w:val="Normal"/>
        <w:rPr/>
      </w:pPr>
      <w:r>
        <w:rPr/>
        <w:t xml:space="preserve">Tämä suositus ja sen syyt ovat tärkeitä, koska jos se pannaan täytäntöön, se helpottaa viestintää siinä määrin, että se mahdollistaa entistä tietoisemman keskustelun eri jäsenvaltioiden kansalaisten keskuudessa sellaisen sovelluksen avulla, jolla voi olla monia eri tehtäviä. Tämä sovellus olisi suunniteltava siten, että se todennäköisesti kiinnostaa kaikkia ja pystyy houkuttelemaan uteliaisuutta ja tekemään teknisistä tiedoista helpommin saatavilla olevia ja houkuttelevampia. Hakemus olisi nähtävä täydentävänä tietolähteenä, joka levittää tietoja, jotka unioni on virallisesti varmentanut suoraan, jotta voidaan lisätä luottamusta ja avoimuutta julkisessa keskustelussa ja edistää yhteisen eurooppalaisen identiteetin luomista. </w:t>
      </w:r>
    </w:p>
    <w:p>
      <w:pPr>
        <w:pStyle w:val="Normal"/>
        <w:rPr/>
      </w:pPr>
      <w:r>
        <w:rPr/>
      </w:r>
    </w:p>
    <w:p>
      <w:pPr>
        <w:pStyle w:val="Titre4"/>
        <w:numPr>
          <w:ilvl w:val="3"/>
          <w:numId w:val="2"/>
        </w:numPr>
        <w:rPr/>
      </w:pPr>
      <w:bookmarkStart w:id="145" w:name="__RefHeading___Toc297225_1346298689"/>
      <w:bookmarkEnd w:id="145"/>
      <w:r>
        <w:rPr/>
        <w:t xml:space="preserve">Osa-alue 4.2 Eurooppalaiset arvot ja identiteetti </w:t>
      </w:r>
    </w:p>
    <w:p>
      <w:pPr>
        <w:pStyle w:val="Normal"/>
        <w:rPr/>
      </w:pPr>
      <w:r>
        <w:rPr/>
        <w:t xml:space="preserve"> </w:t>
      </w:r>
    </w:p>
    <w:p>
      <w:pPr>
        <w:pStyle w:val="P68B1DB1Normal15"/>
        <w:rPr>
          <w:b/>
          <w:b/>
        </w:rPr>
      </w:pPr>
      <w:r>
        <w:rPr/>
        <w:t xml:space="preserve">27. ”Suosittelemme, että EU perustaa erityisen rahaston verkossa ja sen ulkopuolella tapahtuvaan vuorovaikutukseen (eli vaihto-ohjelmiin, paneeleihin ja kokouksiin), joiden kesto on lyhyt ja pitkä EU:n kansalaisten välillä eurooppalaisen identiteetin vahvistamiseksi. Osallistujien olisi edustettava unionin yhteiskuntaa, mukaan lukien ryhmät, jotka valitaan kohdennetusti erilaisten kriteerien, kuten demografisten, sosioekonomisten ja ammatillisten kriteerien, perusteella. Rahaston tavoitteet on ilmaistava selkeästi eurooppalaisen identiteetin edistämiseksi, ja tätä rahastoa olisi arvioitava säännöllisin väliajoin. </w:t>
      </w:r>
    </w:p>
    <w:p>
      <w:pPr>
        <w:pStyle w:val="Normal"/>
        <w:rPr/>
      </w:pPr>
      <w:r>
        <w:rPr/>
        <w:t xml:space="preserve"> </w:t>
      </w:r>
    </w:p>
    <w:p>
      <w:pPr>
        <w:pStyle w:val="Normal"/>
        <w:rPr/>
      </w:pPr>
      <w:r>
        <w:rPr/>
        <w:t xml:space="preserve">Suosittelemme tätä, koska tämäntyyppinen vuorovaikutus antaa kansalaisille mahdollisuuden jakaa ideoita, ja pidempi vaihto antaa heille mahdollisuuden ymmärtää erilaisia kulttuureja ja jakaa kokemuksia, myös ammatillisia käytäntöjä. Tarvitaan EU:n rahasto, koska on tärkeää, että kaikki voivat osallistua, myös ne, jotka eivät yleensä osallistu. </w:t>
      </w:r>
    </w:p>
    <w:p>
      <w:pPr>
        <w:pStyle w:val="Normal"/>
        <w:rPr/>
      </w:pPr>
      <w:r>
        <w:rPr/>
        <w:t xml:space="preserve"> </w:t>
      </w:r>
    </w:p>
    <w:p>
      <w:pPr>
        <w:pStyle w:val="P68B1DB1Normal15"/>
        <w:rPr>
          <w:b/>
          <w:b/>
        </w:rPr>
      </w:pPr>
      <w:r>
        <w:rPr/>
        <w:t xml:space="preserve">28. ”Suosittelemme, että EU investoi ripeästi disinformaation torjuntaan tukemalla olemassa olevia organisaatioita ja aloitteita, kuten disinformaatiota koskevia käytännesääntöjä ja Euroopan digitaalisen median seurantakeskusta, sekä vastaavia aloitteita jäsenvaltioissa. Erilaisia vastatoimia voitaisiin ottaa käyttöön: faktojen todentaminen, disinformaation tuntemus, helposti saatavilla olevien tilastojen tuottaminen, asianmukaisten seuraamusten määrääminen disinformaatiota levittäville henkilöille ja disinformaation lähteiden torjunta. </w:t>
      </w:r>
    </w:p>
    <w:p>
      <w:pPr>
        <w:pStyle w:val="Normal"/>
        <w:rPr/>
      </w:pPr>
      <w:r>
        <w:rPr/>
        <w:t xml:space="preserve"> </w:t>
      </w:r>
    </w:p>
    <w:p>
      <w:pPr>
        <w:pStyle w:val="Normal"/>
        <w:rPr/>
      </w:pPr>
      <w:r>
        <w:rPr/>
        <w:t xml:space="preserve">Tämä suositus on tärkeä, koska EU:n sisällä ja sen ulkopuolella tapahtuva väärä informaatio ja disinformaatio aiheuttavat konflikteja EU:n kansalaisten välille, polarisoivat yhteiskuntaa, vaarantavat demokratian ja vahingoittavat taloutta. Aiheen monimutkaisuuden vuoksi tarvitaan huomattavia henkilöresursseja ja taloudellisia resursseja. </w:t>
      </w:r>
    </w:p>
    <w:p>
      <w:pPr>
        <w:pStyle w:val="Normal"/>
        <w:rPr/>
      </w:pPr>
      <w:r>
        <w:rPr/>
        <w:t xml:space="preserve"> </w:t>
      </w:r>
    </w:p>
    <w:p>
      <w:pPr>
        <w:pStyle w:val="P68B1DB1Normal15"/>
        <w:rPr>
          <w:b/>
          <w:b/>
        </w:rPr>
      </w:pPr>
      <w:r>
        <w:rPr/>
        <w:t xml:space="preserve">29. ”Suosittelemme 1) unionin ja sen kansalaisten välisen verkko- ja offline-vuorovaikutuksen lisäämistä (eli haastattelemalla kansalaisia suoraan EU:n asioista ja luomalla helppokäyttöisen foorumin, jolla varmistetaan, että jokainen kansalainen voi olla vuorovaikutuksessa EU:n toimielinten ja virkamiesten kanssa) ja 2) varmistetaan, että kansalaiset voivat osallistua EU:n päätöksentekoprosessiin, ilmaista mielipiteensä ja saada palautetta, ja suosittelemme laatimaan EU:n virkamiehille peruskirjan tai käytännesäännöt tai suuntaviivat. Eri vuorovaikutuskeinoja pitäisi olla, jotta jokainen kansalainen voi osallistua. </w:t>
      </w:r>
    </w:p>
    <w:p>
      <w:pPr>
        <w:pStyle w:val="Normal"/>
        <w:rPr/>
      </w:pPr>
      <w:r>
        <w:rPr/>
        <w:t xml:space="preserve"> </w:t>
      </w:r>
    </w:p>
    <w:p>
      <w:pPr>
        <w:pStyle w:val="Normal"/>
        <w:rPr/>
      </w:pPr>
      <w:r>
        <w:rPr/>
        <w:t xml:space="preserve">Suosittelemme tätä toimenpidettä, koska on olemassa useita tapoja ottaa yhteyttä EU:n toimielimiin (verkkoalustat, edustuselimet), mutta ne eivät ole tiedossa, ne eivät ole tehokkaita eivätkä avoimia. Saavutettavuus vaihtelee huomattavasti maittain. Tiheämpi ja parempi vuorovaikutus synnyttää tunnetta Euroopan kansalaisuuden omistamisesta. </w:t>
      </w:r>
    </w:p>
    <w:p>
      <w:pPr>
        <w:pStyle w:val="Normal"/>
        <w:rPr/>
      </w:pPr>
      <w:r>
        <w:rPr/>
        <w:t xml:space="preserve"> </w:t>
      </w:r>
    </w:p>
    <w:p>
      <w:pPr>
        <w:pStyle w:val="P68B1DB1Normal15"/>
        <w:rPr>
          <w:b/>
          <w:b/>
        </w:rPr>
      </w:pPr>
      <w:r>
        <w:rPr/>
        <w:t xml:space="preserve">30. Komitea suosittaa, että eurooppalaisella identiteetillä ja arvoilla (eli oikeusvaltioperiaatteella, demokratialla ja yhteisvastuulla) on erityinen rooli muuttajien kotouttamisprosessissa. Voidaan harkita erilaisia toimenpiteitä, kuten ohjelmien luomista tai jo olemassa olevien (paikallisten) ohjelmien tukemista maahanmuuttajien ja EU:n kansalaisten välisen sosiaalisen vuorovaikutuksen edistämiseksi tai yritysten osallistumista maahanmuuttajien kotouttamista tukeviin ohjelmiin. Samalla olisi käynnistettävä vastaavia ohjelmia, joilla lisätään EU:n kansalaisten tietoisuutta muuttoliikkeeseen liittyvistä kysymyksistä. </w:t>
      </w:r>
    </w:p>
    <w:p>
      <w:pPr>
        <w:pStyle w:val="Normal"/>
        <w:rPr/>
      </w:pPr>
      <w:r>
        <w:rPr/>
        <w:t xml:space="preserve"> </w:t>
      </w:r>
    </w:p>
    <w:p>
      <w:pPr>
        <w:pStyle w:val="Normal"/>
        <w:rPr/>
      </w:pPr>
      <w:r>
        <w:rPr/>
        <w:t xml:space="preserve">Tämä suositus on tärkeä, sillä sosiaalisen vuorovaikutuksen ohjelmat voivat auttaa maahanmuuttajia uudessa elämässään ja auttaa muita kuin maahanmuuttajia ymmärtämään paremmin maahanmuuttajien jokapäiväistä elämää. Jos maahanmuuttajat elävät ghetoissa, heitä ei ole mahdollista kotouttaa yhteiskuntaan kansallisella tai EU:n tasolla. Yhteinen politiikka on tarpeen, sillä kun muuttajat tulevat unionin alueelle, he voivat mennä kaikkiin EU-maihin. Paikallisia aloitteita olisi tuettava, sillä paikallishallinnot käyttävät varoja tehokkaammin kuin kansallisella tasolla. </w:t>
      </w:r>
    </w:p>
    <w:p>
      <w:pPr>
        <w:pStyle w:val="Normal"/>
        <w:rPr/>
      </w:pPr>
      <w:r>
        <w:rPr/>
        <w:t xml:space="preserve"> </w:t>
      </w:r>
    </w:p>
    <w:p>
      <w:pPr>
        <w:pStyle w:val="Titre4"/>
        <w:numPr>
          <w:ilvl w:val="3"/>
          <w:numId w:val="2"/>
        </w:numPr>
        <w:rPr/>
      </w:pPr>
      <w:bookmarkStart w:id="146" w:name="__RefHeading___Toc297227_1346298689"/>
      <w:bookmarkEnd w:id="146"/>
      <w:r>
        <w:rPr/>
        <w:t xml:space="preserve">Osa-alue 4.3 EU-tiedot </w:t>
      </w:r>
    </w:p>
    <w:p>
      <w:pPr>
        <w:pStyle w:val="Normal"/>
        <w:rPr/>
      </w:pPr>
      <w:r>
        <w:rPr/>
        <w:t xml:space="preserve"> </w:t>
      </w:r>
    </w:p>
    <w:p>
      <w:pPr>
        <w:pStyle w:val="P68B1DB1Normal15"/>
        <w:rPr>
          <w:b/>
          <w:b/>
        </w:rPr>
      </w:pPr>
      <w:r>
        <w:rPr/>
        <w:t xml:space="preserve">31. ”Suosittelemme, että EU tiedottaa paremmin EU:n kansalaisille. Tätä varten unionin olisi käytettävä kaikkia tarvittavia keinoja kunnioittaen samalla tiedotusvälineiden vapautta ja riippumattomuutta. Sen olisi tarjottava tiedotusvälineille yleisiä ja luotettavia resursseja ja tietoa unionin toiminnasta ja politiikoista. Unionin olisi varmistettava, että tietoja levitetään tasapuolisesti kaikissa jäsenvaltioissa kansallisten ja eurooppalaisten tiedotusvälineiden kautta, ja varmistettava, että jäsenvaltiot kannustavat julkisia lähetystoiminnan harjoittajia ja julkisia uutistoimistoja käsittelemään eurooppalaisia kysymyksiä.” </w:t>
      </w:r>
    </w:p>
    <w:p>
      <w:pPr>
        <w:pStyle w:val="Normal"/>
        <w:rPr/>
      </w:pPr>
      <w:r>
        <w:rPr/>
      </w:r>
    </w:p>
    <w:p>
      <w:pPr>
        <w:pStyle w:val="Normal"/>
        <w:rPr/>
      </w:pPr>
      <w:r>
        <w:rPr/>
        <w:t xml:space="preserve">Suosittelemme tätä siksi, että henkilökohtaisessa kokemuksessamme ja Eurobarometri-tutkimuksen tietojen mukaan valtamediat (lehdistö, radio ja televisio) saavat tietoa suurimmasta osasta Euroopan kansalaisia, ja nämä kanavat tarjoavat tällä hetkellä hyvin vähän tietoa. Tiedotusvälineillä, myös julkisilla tiedotusvälineillä, on julkisen palvelun tehtävä. Siksi on olennaisen tärkeää käsitellä Euroopan väestöön vaikuttavia eurooppalaisia kysymyksiä, jotta tämä tehtävä voidaan hoitaa. Tilintarkastustuomioistuin suosittaa, että eri jäsenvaltioissa levitettävät EU:n tiedot ovat samat kotouttamisen edistämiseksi, ja suosittelemme, että vältetään eri maiden erilaiset tiedot eri asioista. On helpompaa ja halvempaa käyttää olemassa olevia mediakanavia kuin luoda uusi kanava samaan lopputulokseen. Olemassa olevien kanavien etuna on myös se, että ne ovat jo kansalaisten tiedossa. Kenenkään kansalaisen ei pitäisi joutua valitsemaan eri kanavien välillä eri sisältöjä (kansallista tai eurooppalaista). </w:t>
      </w:r>
    </w:p>
    <w:p>
      <w:pPr>
        <w:pStyle w:val="Normal"/>
        <w:rPr/>
      </w:pPr>
      <w:r>
        <w:rPr/>
        <w:t xml:space="preserve"> </w:t>
      </w:r>
    </w:p>
    <w:p>
      <w:pPr>
        <w:pStyle w:val="P68B1DB1Normal15"/>
        <w:rPr>
          <w:b/>
          <w:b/>
        </w:rPr>
      </w:pPr>
      <w:r>
        <w:rPr/>
        <w:t xml:space="preserve">32. ”Suosittelemme, että EU perustaa ja edistää monikielisiä verkkofoorumeita ja offline-kokouksia, joiden avulla kansalaiset voivat käydä keskustelua EU:n edustajien kanssa esiin tuodun asian aihepiiristä ja maantieteellisestä soveltamisalasta riippumatta. Näillä verkkofoorumeilla ja verkon ulkopuolella pidetyissä kokouksissa esitettyihin kysymyksiin olisi vastattava tarkasti määritellyssä lyhyessä ajassa. Kaikki näihin tiloihin liittyvät tiedot olisi keskitettävä integroidulle viralliselle verkkosivustolle, jolla on erilaisia ominaisuuksia, kuten tila usein kysytyille kysymyksille, mahdollisuus jakaa ajatuksia, ehdotuksia tai huolenaiheita muiden kansalaisten kanssa sekä mekanismi, jolla ilmoitetaan, mitkä niistä saavat eniten tukea. Sivustolle pääsyn tulisi joka tapauksessa olla helppoa ja käyttää ei-byrokraattista kieltä. </w:t>
      </w:r>
    </w:p>
    <w:p>
      <w:pPr>
        <w:pStyle w:val="Normal"/>
        <w:rPr/>
      </w:pPr>
      <w:r>
        <w:rPr/>
        <w:t xml:space="preserve"> </w:t>
      </w:r>
    </w:p>
    <w:p>
      <w:pPr>
        <w:pStyle w:val="Normal"/>
        <w:rPr/>
      </w:pPr>
      <w:r>
        <w:rPr/>
        <w:t xml:space="preserve">Suosittelemme tätä, koska se on tapa luoda suora silta Euroopan kansalaisten ja EU:n edustajien välille, jotta he voivat puhua ja olla yhteydessä toisiinsa, jotta kansalaiset saisivat helposti tietoa unionista ja jotta he saisivat paremmin tietoa jo saatavilla olevista tiedoista. Näin luodaan avoimempi ja avoimempi unioni ja autetaan kansalaisia jakamaan ongelmiaan ja pohdintojaan ja saamaan poliittisia vastauksia ja ratkaisuja sekä mahdollistetaan se, että kansalaiset voivat sitoutua ja jakaa näkemyksiä ja kokemuksia muiden kansalaisten kanssa. </w:t>
      </w:r>
    </w:p>
    <w:p>
      <w:pPr>
        <w:pStyle w:val="Normal"/>
        <w:rPr/>
      </w:pPr>
      <w:r>
        <w:rPr/>
        <w:t xml:space="preserve"> </w:t>
      </w:r>
    </w:p>
    <w:p>
      <w:pPr>
        <w:pStyle w:val="Normal"/>
        <w:rPr>
          <w:b/>
          <w:b/>
        </w:rPr>
      </w:pPr>
      <w:r>
        <w:rPr>
          <w:b/>
        </w:rPr>
        <w:t xml:space="preserve">33. </w:t>
      </w:r>
      <w:commentRangeStart w:id="4"/>
      <w:r>
        <w:rPr>
          <w:b/>
        </w:rPr>
        <w:t>”</w:t>
      </w:r>
      <w:r>
        <w:rPr>
          <w:b/>
          <w:i/>
        </w:rPr>
        <w:t>Suosittelemme, että EU:n toimielimet ja edustajat käyttävät helpommin saatavilla olevaa kieltä ja välttävät byrokraattisten termien käyttöä viestinnässään säilyttäen samalla annettujen tietojen laadun ja teknisen tason.</w:t>
      </w:r>
      <w:r>
        <w:rPr>
          <w:b/>
        </w:rPr>
        <w:t xml:space="preserve"> </w:t>
      </w:r>
      <w:r>
        <w:rPr>
          <w:b/>
        </w:rPr>
      </w:r>
      <w:commentRangeEnd w:id="4"/>
      <w:r>
        <w:commentReference w:id="4"/>
      </w:r>
      <w:r>
        <w:rPr>
          <w:b/>
        </w:rPr>
        <w:t xml:space="preserve">Unionin olisi myös mukautettava kansalaisille eri viestintäkanavia ja eri yleisöjä (esim. sanomalehtiä, televisiota, sosiaalista mediaa) antamiaan tietoja. EU:n olisi pyrittävä erityisesti mukauttamaan viestintää digitaaliseen mediaan, jotta se voi paremmin tavoittaa nuoret.” </w:t>
      </w:r>
    </w:p>
    <w:p>
      <w:pPr>
        <w:pStyle w:val="Normal"/>
        <w:rPr/>
      </w:pPr>
      <w:r>
        <w:rPr/>
        <w:t xml:space="preserve"> </w:t>
      </w:r>
    </w:p>
    <w:p>
      <w:pPr>
        <w:pStyle w:val="Normal"/>
        <w:rPr/>
      </w:pPr>
      <w:r>
        <w:rPr/>
        <w:t xml:space="preserve">Suosittelemme tätä toimenpidettä, sillä ymmärrettävän tiedon saaminen antaa unionille mahdollisuuden tavoittaa enemmän Euroopan kansalaisia eikä vain niitä, jotka ovat mukana. Kansalaisten on helpompi ymmärtää EU:n toimia ja politiikkoja, erityisesti nuoria, jotka eivät tunne olevansa lähellä EU:ta tai jotka eivät tunne olevansa läheisiä EU:ta, kun otetaan käyttöön uusia nykyaikaisia välineitä, joiden avulla kohderyhmät voidaan kohdentaa tiettyihin kohdeyleisöihin. </w:t>
      </w:r>
    </w:p>
    <w:p>
      <w:pPr>
        <w:pStyle w:val="Normal"/>
        <w:rPr/>
      </w:pPr>
      <w:r>
        <w:rPr/>
      </w:r>
    </w:p>
    <w:p>
      <w:pPr>
        <w:pStyle w:val="Titre3"/>
        <w:numPr>
          <w:ilvl w:val="2"/>
          <w:numId w:val="2"/>
        </w:numPr>
        <w:rPr/>
      </w:pPr>
      <w:bookmarkStart w:id="147" w:name="__RefHeading___Toc297229_1346298689"/>
      <w:bookmarkEnd w:id="147"/>
      <w:r>
        <w:rPr/>
        <w:t xml:space="preserve">Akseli 5: Kansalaisten osallistumisen vahvistaminen </w:t>
      </w:r>
    </w:p>
    <w:p>
      <w:pPr>
        <w:pStyle w:val="Normal"/>
        <w:rPr/>
      </w:pPr>
      <w:r>
        <w:rPr/>
        <w:t xml:space="preserve"> </w:t>
      </w:r>
    </w:p>
    <w:p>
      <w:pPr>
        <w:pStyle w:val="Titre4"/>
        <w:numPr>
          <w:ilvl w:val="3"/>
          <w:numId w:val="2"/>
        </w:numPr>
        <w:rPr/>
      </w:pPr>
      <w:bookmarkStart w:id="148" w:name="__RefHeading___Toc297231_1346298689"/>
      <w:bookmarkEnd w:id="148"/>
      <w:r>
        <w:rPr/>
        <w:t xml:space="preserve">Osa-alue 5.1 Kansalaisten osallistuminen </w:t>
      </w:r>
    </w:p>
    <w:p>
      <w:pPr>
        <w:pStyle w:val="Normal"/>
        <w:rPr/>
      </w:pPr>
      <w:r>
        <w:rPr/>
        <w:t xml:space="preserve"> </w:t>
      </w:r>
    </w:p>
    <w:p>
      <w:pPr>
        <w:pStyle w:val="P68B1DB1Normal15"/>
        <w:rPr>
          <w:b/>
          <w:b/>
        </w:rPr>
      </w:pPr>
      <w:r>
        <w:rPr/>
        <w:t xml:space="preserve">34. ”Suosittelemme, että riippumattomat kansalaistarkkailijat ovat läsnä kaikissa EU:n päätöksentekoprosesseissa. Kansalaisten edustajista olisi oltava pysyvä foorumi tai elin, joka vastaisi merkityksellisten ja tärkeiden tietojen levittämisestä kaikille tällaisiksi määritellyille unionin kansalaisille. Nämä kansalaiset toimisivat kaikkien muiden Euroopan kansalaisten kanssa ylhäältä alaspäin/alhaalta ylöspäin suuntautuvassa lähestymistavassa, joka lisäisi kansalaisten ja EU:n toimielinten välistä vuoropuhelua.” </w:t>
      </w:r>
    </w:p>
    <w:p>
      <w:pPr>
        <w:pStyle w:val="Normal"/>
        <w:rPr/>
      </w:pPr>
      <w:r>
        <w:rPr/>
        <w:t xml:space="preserve"> </w:t>
      </w:r>
    </w:p>
    <w:p>
      <w:pPr>
        <w:pStyle w:val="Normal"/>
        <w:rPr/>
      </w:pPr>
      <w:r>
        <w:rPr/>
        <w:t xml:space="preserve">Kansalaiset ansaitsevat tietenkin, että heille tiedotetaan kaikista asioista, ja on tärkeää varmistaa, että poliitikot eivät voi jättää huomiotta joitakin asioita, joita he haluaisivat jättää huomiotta. Tällaisella toimenpiteellä kavennettaisiin kansalaisten ja vaaleilla valittujen edustajien välistä kuilua luomalla uusia luottamuksen väyliä. </w:t>
      </w:r>
    </w:p>
    <w:p>
      <w:pPr>
        <w:pStyle w:val="Normal"/>
        <w:rPr/>
      </w:pPr>
      <w:r>
        <w:rPr/>
        <w:t xml:space="preserve"> </w:t>
      </w:r>
    </w:p>
    <w:p>
      <w:pPr>
        <w:pStyle w:val="P68B1DB1Normal15"/>
        <w:rPr>
          <w:b/>
          <w:b/>
        </w:rPr>
      </w:pPr>
      <w:r>
        <w:rPr/>
        <w:t xml:space="preserve"> </w:t>
      </w:r>
      <w:r>
        <w:rPr/>
        <w:t xml:space="preserve">35. ”Suosittelemme, että unioni aloittaa uudelleen keskustelun Euroopan perustuslaista laatiakseen unionin kansalaisten innoittaman perustuslain. Kansalaisten pitäisi voida äänestää tällaisen perustuslain puolesta. Jotta vältettäisiin ristiriidat jäsenvaltioiden kanssa, ihmisoikeuksien ja demokratian arvot olisi sisällytettävä tähän perustuslakiin ensisijaisena asiana. Tällaista perustuslakia laadittaessa on otettava huomioon aiemmat ponnistelut, jotka eivät ole koskaan johtaneet perustuslakiin. </w:t>
      </w:r>
    </w:p>
    <w:p>
      <w:pPr>
        <w:pStyle w:val="Normal"/>
        <w:rPr/>
      </w:pPr>
      <w:r>
        <w:rPr/>
        <w:t xml:space="preserve"> </w:t>
      </w:r>
    </w:p>
    <w:p>
      <w:pPr>
        <w:pStyle w:val="Normal"/>
        <w:rPr/>
      </w:pPr>
      <w:r>
        <w:rPr/>
        <w:t xml:space="preserve">Koska tällä perustuslailla saataisiin nuoret mukaan EU:n tason politiikkaan ja torjuttaisiin kansallismielisiä voimia, jotka ovat voimissaan. Se tarjoaisi yhteisen määritelmän siitä, mitä demokratia Euroopassa on ja mitä se toteutettaisiin tasapuolisesti kaikissa jäsenvaltioissa. Koska on yhteiset arvot demokratialle ja ihmisoikeuksille. Koska kansalaisilla olisi mahdollisuus osallistua päätöksentekoprosessiin ja samaistua paremmin unioniin osallistumalla tähän prosessiin. </w:t>
      </w:r>
    </w:p>
    <w:p>
      <w:pPr>
        <w:pStyle w:val="Normal"/>
        <w:rPr/>
      </w:pPr>
      <w:r>
        <w:rPr/>
        <w:t xml:space="preserve"> </w:t>
      </w:r>
    </w:p>
    <w:p>
      <w:pPr>
        <w:pStyle w:val="P68B1DB1Normal15"/>
        <w:rPr>
          <w:b/>
          <w:b/>
        </w:rPr>
      </w:pPr>
      <w:r>
        <w:rPr/>
        <w:t xml:space="preserve">36. Suosittelemme, että poliitikot olisivat vastuullisempia siinä, miten he edustavat heitä, jotka valitsivat heidät. Erityisesti nuoret ovat erityisen erillään politiikasta, eikä heitä oteta vakavasti osallistuessaan. Mutta epämiellyttävyys on universaali ongelma, ja kaikenikäisten ihmisten pitäisi olla sitoutuneempia kuin nyt. </w:t>
      </w:r>
    </w:p>
    <w:p>
      <w:pPr>
        <w:pStyle w:val="Normal"/>
        <w:rPr/>
      </w:pPr>
      <w:r>
        <w:rPr/>
        <w:t xml:space="preserve"> </w:t>
      </w:r>
    </w:p>
    <w:p>
      <w:pPr>
        <w:pStyle w:val="Normal"/>
        <w:rPr/>
      </w:pPr>
      <w:r>
        <w:rPr/>
        <w:t xml:space="preserve">Demokratian määritelmä on saatettava ajan tasalle. Meidän on muistettava, mitä demokratia todella on. Koska nuoret ovat saaneet tarpeekseen ja ovat pettyneitä poliitikkoihin, joita he pitävät eliiteinä, jotka eivät jaa mielipiteitään. Tämän vuoksi kansalaisten on oltava aktiivisempia ja omaperäisempiä ja houkuttelevampia. Koulutusjärjestelmä, sosiaalinen media ja kaikki muut median muodot voisivat täyttää tämän tehtävän koko elinkaaren ajan ja kaikilla kielillä. </w:t>
      </w:r>
    </w:p>
    <w:p>
      <w:pPr>
        <w:pStyle w:val="Normal"/>
        <w:rPr/>
      </w:pPr>
      <w:r>
        <w:rPr/>
        <w:t xml:space="preserve"> </w:t>
      </w:r>
    </w:p>
    <w:p>
      <w:pPr>
        <w:pStyle w:val="Titre4"/>
        <w:numPr>
          <w:ilvl w:val="3"/>
          <w:numId w:val="2"/>
        </w:numPr>
        <w:rPr/>
      </w:pPr>
      <w:bookmarkStart w:id="149" w:name="__RefHeading___Toc297233_1346298689"/>
      <w:bookmarkEnd w:id="149"/>
      <w:r>
        <w:rPr/>
        <w:t xml:space="preserve">Osa-alue 5.2 Kansalaisten osallistuminen </w:t>
      </w:r>
    </w:p>
    <w:p>
      <w:pPr>
        <w:pStyle w:val="Normal"/>
        <w:rPr/>
      </w:pPr>
      <w:r>
        <w:rPr/>
        <w:t xml:space="preserve"> </w:t>
      </w:r>
    </w:p>
    <w:p>
      <w:pPr>
        <w:pStyle w:val="P68B1DB1Normal15"/>
        <w:rPr>
          <w:b/>
          <w:b/>
        </w:rPr>
      </w:pPr>
      <w:r>
        <w:rPr/>
        <w:t xml:space="preserve">37. ”Suosittelemme, että EU lähestyy kansalaisia määrätietoisemmin. Tämän saavuttamiseksi jäsenvaltioiden olisi osallistuttava kansalaisten osallistumisen edistämiseen unionissa. Unionin olisi edistettävä kansalaisten osallistumismekanismien käyttöä käynnistämällä kaupallisia ja mainoskampanjoita. Kansalliset ja paikalliset hallitukset olisi velvoitettava osallistumaan tähän prosessiin. Unionin olisi varmistettava osallistavan demokratian foorumien tehokkuus.” </w:t>
      </w:r>
    </w:p>
    <w:p>
      <w:pPr>
        <w:pStyle w:val="Normal"/>
        <w:rPr/>
      </w:pPr>
      <w:r>
        <w:rPr/>
        <w:t xml:space="preserve"> </w:t>
      </w:r>
    </w:p>
    <w:p>
      <w:pPr>
        <w:pStyle w:val="Normal"/>
        <w:rPr/>
      </w:pPr>
      <w:r>
        <w:rPr/>
        <w:t xml:space="preserve">Suosittelemme tätä, koska jo olemassa olevaa alustaa on vahvistettava ja tehostettava: kansalaisilta on saatava enemmän palautetta ja päinvastoin. EU:n sisällä ei ole riittävästi keskustelua niin kansalaisten kuin hallitustenkin välillä. Koska kansalaiset eivät esitä vetoomuksia joko siksi, että he eivät tiedä, että mekanismi on olemassa, tai koska he eivät usko, että tällaiset vetoomukset voivat onnistua. </w:t>
      </w:r>
    </w:p>
    <w:p>
      <w:pPr>
        <w:pStyle w:val="Normal"/>
        <w:rPr/>
      </w:pPr>
      <w:r>
        <w:rPr/>
        <w:t xml:space="preserve"> </w:t>
      </w:r>
    </w:p>
    <w:p>
      <w:pPr>
        <w:pStyle w:val="P68B1DB1Normal15"/>
        <w:rPr>
          <w:b/>
          <w:b/>
        </w:rPr>
      </w:pPr>
      <w:r>
        <w:rPr/>
        <w:t xml:space="preserve">38. ”Suosittelemme, että unioni laatii ja panee täytäntöön koulujen opetussuunnitelmia siitä, mitä tehdään osallistumismekanismien osalta. Tällaiset ohjelmat olisi sisällytettävä Euroopan kansalaisuutta ja etiikkaa koskeviin koulujen opetussuunnitelmiin ja niiden sisältö olisi mukautettava oppilaiden ikään. Ohjelmia pitäisi olla myös aikuisille. Kansalaisten saatavilla olisi oltava elinikäisen oppimisen ohjelmia, jotta voidaan syventää heidän tietämystään kansalaisten osallistumismahdollisuuksista unionissa.” </w:t>
      </w:r>
    </w:p>
    <w:p>
      <w:pPr>
        <w:pStyle w:val="Normal"/>
        <w:rPr/>
      </w:pPr>
      <w:r>
        <w:rPr/>
        <w:t xml:space="preserve"> </w:t>
      </w:r>
    </w:p>
    <w:p>
      <w:pPr>
        <w:pStyle w:val="Normal"/>
        <w:rPr/>
      </w:pPr>
      <w:r>
        <w:rPr/>
        <w:t xml:space="preserve">Suosittelemme tätä toimenpidettä, koska se on tärkeää lastemme tulevaisuuden kannalta. Kansalaiset haluavat tietää, miten ilmaista äänensä. On tärkeää, että he tietävät täsmälliset mekanismit ja niiden käytön, jotta unioni kuulee heidän äänensä. Tämä on tärkeää, jotta kaikki Euroopan kansalaiset asetetaan tasavertaiseen asemaan. Euroopan kansalaisina meidän on tiedettävä, miten voimme käyttää oikeuksiamme. Euroopan kansalaisina meillä on oikeus tietää nämä tiedot. </w:t>
      </w:r>
    </w:p>
    <w:p>
      <w:pPr>
        <w:pStyle w:val="Normal"/>
        <w:rPr/>
      </w:pPr>
      <w:r>
        <w:rPr/>
        <w:t xml:space="preserve"> </w:t>
      </w:r>
    </w:p>
    <w:p>
      <w:pPr>
        <w:pStyle w:val="Titre4"/>
        <w:numPr>
          <w:ilvl w:val="3"/>
          <w:numId w:val="2"/>
        </w:numPr>
        <w:rPr/>
      </w:pPr>
      <w:bookmarkStart w:id="150" w:name="__RefHeading___Toc297235_1346298689"/>
      <w:bookmarkEnd w:id="150"/>
      <w:r>
        <w:rPr/>
        <w:t xml:space="preserve">Osa-alue 5.3 Kansalaisten osallistuminen </w:t>
      </w:r>
    </w:p>
    <w:p>
      <w:pPr>
        <w:pStyle w:val="Normal"/>
        <w:rPr/>
      </w:pPr>
      <w:r>
        <w:rPr/>
        <w:t xml:space="preserve"> </w:t>
      </w:r>
    </w:p>
    <w:p>
      <w:pPr>
        <w:pStyle w:val="P68B1DB1Normal15"/>
        <w:rPr>
          <w:b/>
          <w:b/>
        </w:rPr>
      </w:pPr>
      <w:r>
        <w:rPr/>
        <w:t xml:space="preserve">39. Suosittelemme, että unioni järjestää kansalaiskokouksia. Suosittelemme vahvasti, että ne otetaan käyttöön oikeudellisesti sitovan ja velvoittavan lain tai asetuksen nojalla. Nämä kansalaiskokoukset olisi pidettävä 12–18 kuukauden välein. Kansalaisten osallistumisen ei pitäisi olla pakollista, vaan sitä olisi kannustettava, mutta se olisi järjestettävä rajoitetun valtuutuksen perusteella. Osallistujat on valittava satunnaisesti edustavuuskriteerien mukaisesti. Ne eivät saa edustaa minkäänlaisia järjestöjä, eikä heitä saa kutsua osallistumaan, koska ne ovat ammatillisia tehtäviään, kun ne ovat yhdistyksen jäseniä. Tarvittaessa asiantuntijat antavat tukea sen varmistamiseksi, että täysistunnon jäsenillä on riittävästi tietoa asian käsittelyyn. Päätöksenteko on kansalaisten käsissä. Unionin on taattava poliitikkojen sitoutuminen kansalaisten yleiskokouksissa tekemiin päätöksiin. Jos kansalaisten ehdotukset jätetään huomiotta tai ne hylätään nimenomaisesti, EU:n toimielinten on raportoitava niistä ja perusteltava päätöksensä. </w:t>
      </w:r>
    </w:p>
    <w:p>
      <w:pPr>
        <w:pStyle w:val="Normal"/>
        <w:rPr/>
      </w:pPr>
      <w:r>
        <w:rPr/>
        <w:t xml:space="preserve"> </w:t>
      </w:r>
    </w:p>
    <w:p>
      <w:pPr>
        <w:pStyle w:val="Normal"/>
        <w:rPr/>
      </w:pPr>
      <w:r>
        <w:rPr/>
        <w:t xml:space="preserve">Suosittelemme kansalaiskokousten perustamista, koska haluamme kansalaisten olevan lähempänä EU:n toimielimiä ja osallistuvan suoraan päätöksentekoon yhdessä poliitikkojen kanssa yhteenkuuluvuuden tunteen ja välittömän tehokkuuden vahvistamiseksi. Lisäksi haluamme, että poliittiset puolueet saatetaan vastuuseen kansalaisille, mukaan lukien heidän vaaliohjelmansa. </w:t>
      </w:r>
    </w:p>
    <w:p>
      <w:pPr>
        <w:pStyle w:val="Normal"/>
        <w:rPr/>
      </w:pPr>
      <w:r>
        <w:rPr/>
        <w:t xml:space="preserve"> </w:t>
      </w:r>
    </w:p>
    <w:p>
      <w:pPr>
        <w:pStyle w:val="Titre3"/>
        <w:numPr>
          <w:ilvl w:val="2"/>
          <w:numId w:val="2"/>
        </w:numPr>
        <w:rPr/>
      </w:pPr>
      <w:bookmarkStart w:id="151" w:name="__RefHeading___Toc297237_1346298689"/>
      <w:bookmarkEnd w:id="151"/>
      <w:r>
        <w:rPr/>
        <w:t xml:space="preserve">Liite: MUUT PANEELIN KÄSITTELEMÄT SUOSITUKSET, JOITA EI OLE HYVÄKSYTTY </w:t>
      </w:r>
    </w:p>
    <w:p>
      <w:pPr>
        <w:pStyle w:val="Normal"/>
        <w:rPr/>
      </w:pPr>
      <w:r>
        <w:rPr/>
        <w:t xml:space="preserve"> </w:t>
      </w:r>
    </w:p>
    <w:p>
      <w:pPr>
        <w:pStyle w:val="Titre4"/>
        <w:numPr>
          <w:ilvl w:val="3"/>
          <w:numId w:val="2"/>
        </w:numPr>
        <w:rPr/>
      </w:pPr>
      <w:bookmarkStart w:id="152" w:name="__RefHeading___Toc297239_1346298689"/>
      <w:bookmarkEnd w:id="152"/>
      <w:r>
        <w:rPr/>
        <w:t xml:space="preserve">Akseli 1: Oikeuksien ja syrjimättömyyden takaaminen </w:t>
      </w:r>
    </w:p>
    <w:p>
      <w:pPr>
        <w:pStyle w:val="Normal"/>
        <w:rPr/>
      </w:pPr>
      <w:r>
        <w:rPr/>
        <w:t xml:space="preserve"> </w:t>
      </w:r>
    </w:p>
    <w:p>
      <w:pPr>
        <w:pStyle w:val="Normal"/>
        <w:rPr/>
      </w:pPr>
      <w:r>
        <w:rPr/>
        <w:t xml:space="preserve">Osa-alue 1.1 Syrjintäkielto/alaakseli 1.2 Sukupuolten tasa-arvo </w:t>
      </w:r>
    </w:p>
    <w:p>
      <w:pPr>
        <w:pStyle w:val="Normal"/>
        <w:rPr/>
      </w:pPr>
      <w:r>
        <w:rPr/>
        <w:t xml:space="preserve"> </w:t>
      </w:r>
    </w:p>
    <w:p>
      <w:pPr>
        <w:pStyle w:val="P68B1DB1Normal15"/>
        <w:rPr>
          <w:b/>
          <w:b/>
        </w:rPr>
      </w:pPr>
      <w:r>
        <w:rPr/>
        <w:t>”</w:t>
      </w:r>
      <w:r>
        <w:rPr/>
        <w:t xml:space="preserve">Suosittelemme, että EU ottaa vähemmistöt aktiivisesti mukaan valtion instituutioiden keskeisten näkökohtien (esim. poliisi ja kansalaisjärjestöt) päätöksentekoon. Suosittelemme, että unioni perustaa vähemmistöjen suoraan valitseman neuvoa-antavan toimikunnan. Sen olisi koostuttava pääasiassa vähemmistöjen edustajista, mutta siihen olisi kuuluttava myös kansalaisjärjestöjen edustajia. Sillä olisi oltava koulutustehtävä, jolla lisätään virkamiesten tietoisuutta vähemmistöjen tarpeista. Tällä elimellä pitäisi olla veto-oikeus vähemmistökysymyksiin. </w:t>
      </w:r>
    </w:p>
    <w:p>
      <w:pPr>
        <w:pStyle w:val="Normal"/>
        <w:rPr/>
      </w:pPr>
      <w:r>
        <w:rPr/>
        <w:t xml:space="preserve">Suosittelemme tätä, koska vähemmistöjen ääniä ei kuulla riittävästi. Heidän olisi ilmaistava itseään omasta puolestaan, oma-aloitteisesti ja ammatillisella tasolla; siksi yhdistimme edustuksen äänestämisen ja asiantuntemuksen avulla. </w:t>
      </w:r>
    </w:p>
    <w:p>
      <w:pPr>
        <w:pStyle w:val="Normal"/>
        <w:rPr/>
      </w:pPr>
      <w:r>
        <w:rPr/>
        <w:t xml:space="preserve"> </w:t>
      </w:r>
    </w:p>
    <w:p>
      <w:pPr>
        <w:pStyle w:val="Titre4"/>
        <w:numPr>
          <w:ilvl w:val="3"/>
          <w:numId w:val="2"/>
        </w:numPr>
        <w:rPr/>
      </w:pPr>
      <w:bookmarkStart w:id="153" w:name="__RefHeading___Toc297241_1346298689"/>
      <w:bookmarkEnd w:id="153"/>
      <w:r>
        <w:rPr/>
        <w:t xml:space="preserve">Akseli 2: Demokratian ja oikeusvaltion turvaaminen </w:t>
      </w:r>
    </w:p>
    <w:p>
      <w:pPr>
        <w:pStyle w:val="Normal"/>
        <w:rPr/>
      </w:pPr>
      <w:r>
        <w:rPr/>
        <w:t xml:space="preserve"> </w:t>
      </w:r>
    </w:p>
    <w:p>
      <w:pPr>
        <w:pStyle w:val="Normal"/>
        <w:rPr/>
      </w:pPr>
      <w:r>
        <w:rPr/>
        <w:t xml:space="preserve">Osa-alue 2.2 Demokratian suojeleminen ja vahvistaminen/alaakseli 2.4 Media ja disinformaatio </w:t>
      </w:r>
    </w:p>
    <w:p>
      <w:pPr>
        <w:pStyle w:val="Normal"/>
        <w:rPr/>
      </w:pPr>
      <w:r>
        <w:rPr/>
        <w:t xml:space="preserve"> </w:t>
      </w:r>
    </w:p>
    <w:p>
      <w:pPr>
        <w:pStyle w:val="P68B1DB1Normal15"/>
        <w:rPr>
          <w:b/>
          <w:b/>
        </w:rPr>
      </w:pPr>
      <w:r>
        <w:rPr/>
        <w:t>”</w:t>
      </w:r>
      <w:r>
        <w:rPr/>
        <w:t xml:space="preserve">Suosittelemme audiovisuaalista, painettua ja digitaalista mediaa valvovan viraston perustamista Euroopan tasolla. Viraston olisi varmistettava, että kansalliset tiedotusvälineet noudattavat sisällön tuottamisessa puolueetonta ja objektiivista prosessia. Disinformaation estämiseksi viraston olisi säädettävä kansallisten tiedotusvälineiden luotettavuuden luokitusjärjestelmästä. Tämän luokitusjärjestelmän pitäisi olla kansalaisten helppo ymmärtää. </w:t>
      </w:r>
    </w:p>
    <w:p>
      <w:pPr>
        <w:pStyle w:val="Normal"/>
        <w:rPr/>
      </w:pPr>
      <w:r>
        <w:rPr/>
        <w:t xml:space="preserve"> </w:t>
      </w:r>
    </w:p>
    <w:p>
      <w:pPr>
        <w:pStyle w:val="Normal"/>
        <w:rPr/>
      </w:pPr>
      <w:r>
        <w:rPr/>
        <w:t xml:space="preserve">Suosittelemme tätä, koska meidän on arvioitava tiedotusvälineitä ja niiden luotettavuutta, mutta myös tiedotusvälineiden moninaisuutta EU-maissa. EU:n virasto olisi objektiivisin elin, joka varmistaisi tällaisen tehtävän. Lisäksi tällainen luokitusjärjestelmä antaa kansalaisille mahdollisuuden tehdä tietoon perustuvia valintoja ja kannustaa tiedotusvälineitä antamaan luotettavaa tietoa. Jos luokitusjärjestelmä osoittautuu riittämättömäksi tiedotusvälineiden luotettavuuden varmistamiseksi, virastolla olisi myös oltava valtuudet määrätä seuraamuksia. </w:t>
      </w:r>
    </w:p>
    <w:p>
      <w:pPr>
        <w:pStyle w:val="Normal"/>
        <w:rPr/>
      </w:pPr>
      <w:r>
        <w:rPr/>
        <w:t xml:space="preserve"> </w:t>
      </w:r>
    </w:p>
    <w:p>
      <w:pPr>
        <w:pStyle w:val="Titre3"/>
        <w:numPr>
          <w:ilvl w:val="2"/>
          <w:numId w:val="2"/>
        </w:numPr>
        <w:rPr/>
      </w:pPr>
      <w:bookmarkStart w:id="154" w:name="__RefHeading___Toc297243_1346298689"/>
      <w:bookmarkEnd w:id="154"/>
      <w:r>
        <w:rPr/>
        <w:t xml:space="preserve">Akseli 5: Kansalaisten osallistumisen vahvistaminen </w:t>
      </w:r>
    </w:p>
    <w:p>
      <w:pPr>
        <w:pStyle w:val="Normal"/>
        <w:rPr/>
      </w:pPr>
      <w:r>
        <w:rPr/>
        <w:t xml:space="preserve"> </w:t>
      </w:r>
    </w:p>
    <w:p>
      <w:pPr>
        <w:pStyle w:val="Titre4"/>
        <w:numPr>
          <w:ilvl w:val="3"/>
          <w:numId w:val="2"/>
        </w:numPr>
        <w:rPr/>
      </w:pPr>
      <w:r>
        <w:rPr/>
        <w:t xml:space="preserve">Osa-alue 5.1 Kansalaisten osallistuminen </w:t>
      </w:r>
    </w:p>
    <w:p>
      <w:pPr>
        <w:pStyle w:val="Normal"/>
        <w:rPr/>
      </w:pPr>
      <w:r>
        <w:rPr/>
        <w:t xml:space="preserve"> </w:t>
      </w:r>
    </w:p>
    <w:p>
      <w:pPr>
        <w:pStyle w:val="P68B1DB1Normal15"/>
        <w:rPr>
          <w:b/>
          <w:b/>
        </w:rPr>
      </w:pPr>
      <w:r>
        <w:rPr/>
        <w:t>”</w:t>
      </w:r>
      <w:r>
        <w:rPr/>
        <w:t xml:space="preserve">Suosittelemme, että perustetaan kansalaisia edustava elin, joka keskustelee päätöksentekoprosessista ja osallistuu siihen merkittävästi – aina, kun EU:n tasolla päätetään EU:n kansalaisten kannalta keskeisistä kysymyksistä (kansalaisten päätöksen mukaan – mahdollisesti tutkinnan kautta). Tämän pitäisi olla heterogeeninen ryhmä, jossa on noin 100 kansalaista kaikista EU-maista, joissa kukin maa on tasapuolisesti edustettuna. Sen tulisi olla kiertävä ryhmä, jonka jäsenet vaihtuvat säännöllisesti. </w:t>
      </w:r>
    </w:p>
    <w:p>
      <w:pPr>
        <w:pStyle w:val="Normal"/>
        <w:rPr/>
      </w:pPr>
      <w:r>
        <w:rPr/>
        <w:t xml:space="preserve"> </w:t>
      </w:r>
    </w:p>
    <w:p>
      <w:pPr>
        <w:pStyle w:val="Normal"/>
        <w:rPr/>
      </w:pPr>
      <w:r>
        <w:rPr/>
        <w:t xml:space="preserve">Koska on tärkeää välttää korruption kaltaisia ongelmia, joita voi syntyä pysyvästä edustuselimestä, ja on tärkeää, että tällaisella elimellä on yhtäläinen edustus kaikissa maissa, jotta vältetään epäoikeudenmukainen päätöksentekovalta. Koska tämä toimintatapa estäisi etäteknologian asentamiseen tai jatkuvaan käyttöön liittyvät ongelmat. </w:t>
      </w:r>
    </w:p>
    <w:p>
      <w:pPr>
        <w:pStyle w:val="Normal"/>
        <w:rPr/>
      </w:pPr>
      <w:r>
        <w:rPr/>
        <w:t xml:space="preserve">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55" w:name="__RefHeading___Toc297245_1346298689"/>
      <w:bookmarkEnd w:id="155"/>
      <w:r>
        <w:rPr/>
        <w:t xml:space="preserve">Eurooppalainen kansalaispaneeli 3: Ilmastonmuutos ja ympäristö/terveys </w:t>
      </w:r>
    </w:p>
    <w:p>
      <w:pPr>
        <w:pStyle w:val="Normal"/>
        <w:rPr/>
      </w:pPr>
      <w:r>
        <w:rPr/>
        <w:t xml:space="preserve"> </w:t>
      </w:r>
    </w:p>
    <w:p>
      <w:pPr>
        <w:pStyle w:val="Normal"/>
        <w:rPr/>
      </w:pPr>
      <w:r>
        <w:rPr/>
        <w:t xml:space="preserve">PANEELIN HYVÄKSYMÄT SUOSITUKSET (ESITETÄÄN TÄYSISTUNNOLLE) </w:t>
      </w:r>
    </w:p>
    <w:p>
      <w:pPr>
        <w:pStyle w:val="Normal"/>
        <w:rPr/>
      </w:pPr>
      <w:r>
        <w:rPr/>
        <w:t xml:space="preserve"> </w:t>
      </w:r>
    </w:p>
    <w:p>
      <w:pPr>
        <w:pStyle w:val="Titre3"/>
        <w:numPr>
          <w:ilvl w:val="2"/>
          <w:numId w:val="2"/>
        </w:numPr>
        <w:rPr/>
      </w:pPr>
      <w:bookmarkStart w:id="156" w:name="__RefHeading___Toc297247_1346298689"/>
      <w:bookmarkEnd w:id="156"/>
      <w:r>
        <w:rPr/>
        <w:t xml:space="preserve">Akseli 1: Parempia elämäntapoja </w:t>
      </w:r>
    </w:p>
    <w:p>
      <w:pPr>
        <w:pStyle w:val="Normal"/>
        <w:rPr/>
      </w:pPr>
      <w:r>
        <w:rPr/>
        <w:t xml:space="preserve"> </w:t>
      </w:r>
    </w:p>
    <w:p>
      <w:pPr>
        <w:pStyle w:val="Titre4"/>
        <w:numPr>
          <w:ilvl w:val="3"/>
          <w:numId w:val="2"/>
        </w:numPr>
        <w:rPr/>
      </w:pPr>
      <w:bookmarkStart w:id="157" w:name="__RefHeading___Toc297249_1346298689"/>
      <w:bookmarkEnd w:id="157"/>
      <w:r>
        <w:rPr/>
        <w:t xml:space="preserve">Osa-akseli 1.1 Terveellinen elämäntapa </w:t>
      </w:r>
    </w:p>
    <w:p>
      <w:pPr>
        <w:pStyle w:val="P68B1DB1Normal15"/>
        <w:rPr>
          <w:b/>
          <w:b/>
        </w:rPr>
      </w:pPr>
      <w:r>
        <w:rPr/>
        <w:t xml:space="preserve">1. Tilintarkastustuomioistuin suosittaa, että EU myöntää luonnonmukaista maataloutta koskevia tukia, mukaan lukien luonnonmukaisten torjunta-aineiden kannustimia, jotta luonnonmukaisista tuotteista saataisiin edullisempia. Lisäksi EU:n on tuettava viljelijöiden luonnonmukaista ja kestävää maataloutta koskevaa koulutusta, ja monokulttuuria olisi vältettävä. Pienillä luonnonmukaisilla tiloilla, ei-intensiivisillä tiloilla ja maatiloilla, joilla on lyhyet toimitusketjut, olisi oltava tukea, jonka avulla ne voivat olla kilpailukykyisempiä. </w:t>
      </w:r>
    </w:p>
    <w:p>
      <w:pPr>
        <w:pStyle w:val="Normal"/>
        <w:rPr/>
      </w:pPr>
      <w:r>
        <w:rPr/>
        <w:t xml:space="preserve"> </w:t>
      </w:r>
    </w:p>
    <w:p>
      <w:pPr>
        <w:pStyle w:val="Normal"/>
        <w:rPr/>
      </w:pPr>
      <w:r>
        <w:rPr/>
        <w:t xml:space="preserve">Luonnonmukaisten tuotteiden tukeminen tekisi niistä edullisempia. Meidän olisi autettava supermarketteja, jotka käyttävät lyhyempiä toimitusketjuja, ja pienviljelijöitä tarjoamalla heille mahdollisuuksia myydä tuotteitaan. Tämä mahdollistaa tuoreiden tuotteiden saatavuuden laajentamisen. Lisäksi muiden kuin luonnonmukaisten tuotteiden alhaiset hinnat eivät kuvasta niiden aiheuttamaa haittaa. </w:t>
      </w:r>
    </w:p>
    <w:p>
      <w:pPr>
        <w:pStyle w:val="Normal"/>
        <w:rPr/>
      </w:pPr>
      <w:r>
        <w:rPr/>
        <w:t xml:space="preserve"> </w:t>
      </w:r>
    </w:p>
    <w:p>
      <w:pPr>
        <w:pStyle w:val="P68B1DB1Normal15"/>
        <w:rPr>
          <w:b/>
          <w:b/>
        </w:rPr>
      </w:pPr>
      <w:r>
        <w:rPr/>
        <w:t xml:space="preserve">2. Tilintarkastustuomioistuin suosittaa, että vertikaalisen maatalouden innovointi rahoitetaan EU:n investoinneilla. </w:t>
      </w:r>
    </w:p>
    <w:p>
      <w:pPr>
        <w:pStyle w:val="Normal"/>
        <w:rPr/>
      </w:pPr>
      <w:r>
        <w:rPr/>
        <w:t xml:space="preserve">Vertikaalisen maatalouden avulla voimme säästää maa-alueita, joita voitaisiin käyttää metsätalouteen. Se ei myöskään vaadi torjunta-aineita, joiden avulla voimme tuottaa enemmän luonnonmukaisia elintarvikkeita. Lisäksi siihen eivät vaikuta huonot sääolosuhteet, jotka ovat yhä yleisempiä ilmastonmuutoksen vuoksi, ja ne voivat lyhentää toimitusketjuja. </w:t>
      </w:r>
    </w:p>
    <w:p>
      <w:pPr>
        <w:pStyle w:val="Normal"/>
        <w:rPr/>
      </w:pPr>
      <w:r>
        <w:rPr/>
        <w:t xml:space="preserve"> </w:t>
      </w:r>
    </w:p>
    <w:p>
      <w:pPr>
        <w:pStyle w:val="P68B1DB1Normal15"/>
        <w:rPr>
          <w:b/>
          <w:b/>
        </w:rPr>
      </w:pPr>
      <w:r>
        <w:rPr/>
        <w:t xml:space="preserve">3. EU:n olisi asetettava elintarvikkeiden laatua, elintarvikkeiden jäljitettävyyttä ja kausituotteiden kulutusta koskevat vähimmäisvaatimukset kouluruokaloissa. Kouluruokaloiden terveellisiä ainesosia olisi sen vuoksi tuettava, jotta opiskelijoille voidaan tarjota laadukasta kohtuuhintaista ruokaa. </w:t>
      </w:r>
    </w:p>
    <w:p>
      <w:pPr>
        <w:pStyle w:val="Normal"/>
        <w:rPr/>
      </w:pPr>
      <w:r>
        <w:rPr/>
        <w:t xml:space="preserve"> </w:t>
      </w:r>
    </w:p>
    <w:p>
      <w:pPr>
        <w:pStyle w:val="Normal"/>
        <w:rPr/>
      </w:pPr>
      <w:r>
        <w:rPr/>
        <w:t xml:space="preserve">Omaksumme varhaisista tavoista, jotka muokkaavat suhtautumistamme terveyteen; hyviä tapoja olisi kannustettava koulussa, ja oppilaat voisivat toistaa niitä kotona. Kyse on myös sosiaalisesta oikeudenmukaisuudesta: jokaisella EU:n opiskelijalla olisi oltava oikeus laadukkaaseen ruokaan koulussa. </w:t>
      </w:r>
    </w:p>
    <w:p>
      <w:pPr>
        <w:pStyle w:val="Normal"/>
        <w:rPr/>
      </w:pPr>
      <w:r>
        <w:rPr/>
        <w:t xml:space="preserve"> </w:t>
      </w:r>
    </w:p>
    <w:p>
      <w:pPr>
        <w:pStyle w:val="P68B1DB1Normal15"/>
        <w:rPr>
          <w:b/>
          <w:b/>
        </w:rPr>
      </w:pPr>
      <w:r>
        <w:rPr/>
        <w:t xml:space="preserve">4. Suosittelemme investoimaan uusiin pyöräpolkuihin ja olemassa olevien reittien parantamiseen, jotta pyöräily olisi turvallista ja houkuttelevaa ja jotta voidaan varmistaa, että kaikki ikäryhmät voivat hyötyä tieliikennesääntöjen koulutuksesta Euroopassa, erityisesti sähköpyörien käyttäjille ja ilman ajokorttia oleville. Sähköpolkupyörien valmistajia olisi vaadittava antamaan tietoja sähköpyörän käytöstä ja siihen liittyvistä riskeistä. Pyöräilijöille olisi tarjottava oikeussuojaa ajoneuvo-onnettomuudessa (ks. Alankomaiden säännöt). Kannatamme autottomia alueita kaupungeissa (kaupallisia alueita vahingoittamatta). Yleisemmin suosittelemme, että pyöräilijöille ja jalankulkijoille annetaan etusija ja lisäoikeudet moottoriajoneuvoihin nähden varmistaen samalla liikenneturvallisuuden ja liikennesääntöjen noudattamisen. </w:t>
      </w:r>
    </w:p>
    <w:p>
      <w:pPr>
        <w:pStyle w:val="Normal"/>
        <w:rPr/>
      </w:pPr>
      <w:r>
        <w:rPr/>
        <w:t xml:space="preserve"> </w:t>
      </w:r>
    </w:p>
    <w:p>
      <w:pPr>
        <w:pStyle w:val="Normal"/>
        <w:rPr/>
      </w:pPr>
      <w:r>
        <w:rPr/>
        <w:t xml:space="preserve">Nämä suositukset ovat tärkeitä, koska pyöräilystä on hyötyä yksilön ja kansanterveyden, ilmanlaadun, melutason, ilmaston ja liikenteen kannalta kaupunkien keskustoissa. Pyöräilijöiden ja jalankulkijoiden on tunnettava olonsa turvalliseksi, kun otetaan huomioon sähköpyörän käytön lisääntymiseen liittyvät riskit. Joskus pyöräilykaistat puuttuvat tai ne ovat huonossa kunnossa. </w:t>
      </w:r>
    </w:p>
    <w:p>
      <w:pPr>
        <w:pStyle w:val="Normal"/>
        <w:rPr/>
      </w:pPr>
      <w:r>
        <w:rPr/>
        <w:t xml:space="preserve"> </w:t>
      </w:r>
    </w:p>
    <w:p>
      <w:pPr>
        <w:pStyle w:val="P68B1DB1Normal15"/>
        <w:rPr>
          <w:b/>
          <w:b/>
        </w:rPr>
      </w:pPr>
      <w:r>
        <w:rPr/>
        <w:t xml:space="preserve">5. Suosittelemme elintarviketuotannon sisällyttämistä julkiseen koulutukseen. Suosittelemme tukemaan ja tukemaan puutarhojen luomista kouluissa, mikäli mahdollista, sekä kaupunkien puutarhahankkeita julkisissa ja yksityisissä tiloissa. Kaupunkisuunnittelun puitteissa on otettava huomioon tila-, vesi- ja tukiinfrastruktuurin tarve. Esimerkiksi entisiä pysäköintialueita voitaisiin käyttää viherryttämishankkeisiin, vertikaalisia puutarhanhoitohankkeita voitaisiin toteuttaa rakennuksissa tai rakennuslupien saaminen voitaisiin hoitaa viheralueiden integroinnilla. Tilintarkastustuomioistuin suosittelee innovatiivisten ja hyvien käytäntöjen jakamista kaikissa jäsenvaltioissa. </w:t>
      </w:r>
    </w:p>
    <w:p>
      <w:pPr>
        <w:pStyle w:val="Normal"/>
        <w:rPr/>
      </w:pPr>
      <w:r>
        <w:rPr/>
        <w:t xml:space="preserve"> </w:t>
      </w:r>
    </w:p>
    <w:p>
      <w:pPr>
        <w:pStyle w:val="Normal"/>
        <w:rPr/>
      </w:pPr>
      <w:r>
        <w:rPr/>
        <w:t xml:space="preserve">Puutarhanhoitohankkeet edistävät kaupunkien ja niiden asukkaiden selviytymiskykyä ja tuovat yhteen eri-ikäisiä ihmisiä ja yhteiskuntaryhmiä. Viheralueiden moninkertaistuminen parantaa elämänlaatua, ilmanlaatua, henkistä ja fyysistä terveyttä sekä ympäristöä. </w:t>
      </w:r>
    </w:p>
    <w:p>
      <w:pPr>
        <w:pStyle w:val="Normal"/>
        <w:rPr/>
      </w:pPr>
      <w:r>
        <w:rPr/>
        <w:t xml:space="preserve"> </w:t>
      </w:r>
    </w:p>
    <w:p>
      <w:pPr>
        <w:pStyle w:val="Titre4"/>
        <w:numPr>
          <w:ilvl w:val="3"/>
          <w:numId w:val="2"/>
        </w:numPr>
        <w:rPr/>
      </w:pPr>
      <w:bookmarkStart w:id="158" w:name="__RefHeading___Toc297251_1346298689"/>
      <w:bookmarkEnd w:id="158"/>
      <w:r>
        <w:rPr/>
        <w:t xml:space="preserve">Osa-akseli 1.2 Ympäristökasvatus </w:t>
      </w:r>
    </w:p>
    <w:p>
      <w:pPr>
        <w:pStyle w:val="P68B1DB1Normal15"/>
        <w:rPr>
          <w:b/>
          <w:b/>
        </w:rPr>
      </w:pPr>
      <w:r>
        <w:rPr/>
        <w:t>6. Suosittelemme, että EU hyväksyy direktiivin, jossa edellytetään, että kaupunkisuunnitteluohjelmat ovat erityisten ympäristövaatimusten mukaisia, jotta kaupungeista tulisi vihreämpiä. Tätä direktiiviä olisi sovellettava yksityisiin ja julkisiin tavaroihin ja tiloihin, erityisesti rakenteilla oleviin uusiin rakennuksiin. Siinä on asetettava vähimmäisvaatimukset sen varmistamiseksi, että rakennukset ja tilat ovat mahdollisimman vihreitä. Tässä adjektiivi ”vihreä” viittaa uusiutuvien energialähteiden käyttöön, energiankulutuksen vähenemiseen, alhaisiin hiilidioksidipäästöihin</w:t>
      </w:r>
      <w:r>
        <w:rPr>
          <w:vertAlign w:val="subscript"/>
        </w:rPr>
        <w:t>ja</w:t>
      </w:r>
      <w:r>
        <w:rPr/>
        <w:t xml:space="preserve"> laitosten sisällyttämiseen arkkitehtonisiin hankkeisiin. </w:t>
      </w:r>
    </w:p>
    <w:p>
      <w:pPr>
        <w:pStyle w:val="Normal"/>
        <w:rPr/>
      </w:pPr>
      <w:r>
        <w:rPr/>
        <w:t xml:space="preserve"> </w:t>
      </w:r>
    </w:p>
    <w:p>
      <w:pPr>
        <w:pStyle w:val="Normal"/>
        <w:rPr/>
      </w:pPr>
      <w:r>
        <w:rPr/>
        <w:t>Vihreämmät kaupungit auttavat aktiivisesti vähentämään ilmastonmuutoksen sekä hiilidioksidi- ja</w:t>
      </w:r>
      <w:r>
        <w:rPr>
          <w:vertAlign w:val="subscript"/>
        </w:rPr>
        <w:t>otsonipäästöjen</w:t>
      </w:r>
      <w:r>
        <w:rPr/>
        <w:t xml:space="preserve"> vaikutuksia, jotka vaikuttavat kielteisesti kansalaisten terveyteen. Investoiminen vihreämpiin kaupunkeihin edistää kestävää yhteisökehitystä, joka tuottaa pitkän aikavälin taloudellisia ja sosiaalisia hyötyjä. </w:t>
      </w:r>
    </w:p>
    <w:p>
      <w:pPr>
        <w:pStyle w:val="Normal"/>
        <w:rPr/>
      </w:pPr>
      <w:r>
        <w:rPr/>
        <w:t xml:space="preserve"> </w:t>
      </w:r>
    </w:p>
    <w:p>
      <w:pPr>
        <w:pStyle w:val="P68B1DB1Normal15"/>
        <w:rPr>
          <w:b/>
          <w:b/>
        </w:rPr>
      </w:pPr>
      <w:r>
        <w:rPr/>
        <w:t xml:space="preserve">7. Tilintarkastustuomioistuin suosittaa, että EU laatii, hyväksyy ja panee täytäntöön jäsenvaltioiden avustuksella yhteisen eurooppalaisen peruskirjan, jossa keskitytään monitahoisiin ympäristökysymyksiin. Peruskirja tarjoaa jäsenvaltioille puitteet järjestää säännöllisiä tiedotus- ja koulutuskampanjoita, joita levitetään kaikkien käytettävissä olevien mediakanavien ja tätä tarkoitusta varten perustetun uuden tiedotusportaalin kautta. Näitä kampanjoita olisi järjestettävä kaikkialla ja kaikilla tasoilla, jotta voidaan lisätä tietoisuutta ympäristöstä kaikkien kansalaisten keskuudessa. </w:t>
      </w:r>
    </w:p>
    <w:p>
      <w:pPr>
        <w:pStyle w:val="Normal"/>
        <w:rPr/>
      </w:pPr>
      <w:r>
        <w:rPr/>
        <w:t xml:space="preserve"> </w:t>
      </w:r>
    </w:p>
    <w:p>
      <w:pPr>
        <w:pStyle w:val="Normal"/>
        <w:rPr/>
      </w:pPr>
      <w:r>
        <w:rPr/>
        <w:t xml:space="preserve">Jäsenvaltioiden välisen koordinoinnin puute heikentää nykyisten kampanjoiden tehokkuutta ja hidastaa pyrkimyksiä vastata ilmastonmuutoksen maailmanlaajuiseen haasteeseen. Yhteinen peruskirja edistää jäsenvaltioiden toimintasuunnitelmien välistä synergiaa ja varmistaa toimien tehokkuuden. Lisäksi sillä varmistetaan, että kansalaisille annetaan johdonmukaista ja johdonmukaista tietoa heidän päivittäisten toimiensa vaikutuksista, kuten kuljetusmuodon valinnasta ja jätteiden käsittelystä. </w:t>
      </w:r>
    </w:p>
    <w:p>
      <w:pPr>
        <w:pStyle w:val="Normal"/>
        <w:rPr/>
      </w:pPr>
      <w:r>
        <w:rPr/>
        <w:t xml:space="preserve"> </w:t>
      </w:r>
    </w:p>
    <w:p>
      <w:pPr>
        <w:pStyle w:val="Titre3"/>
        <w:numPr>
          <w:ilvl w:val="2"/>
          <w:numId w:val="2"/>
        </w:numPr>
        <w:rPr/>
      </w:pPr>
      <w:bookmarkStart w:id="159" w:name="__RefHeading___Toc297253_1346298689"/>
      <w:bookmarkEnd w:id="159"/>
      <w:r>
        <w:rPr/>
        <w:t xml:space="preserve">Akseli 2: Ympäristömme ja terveytemme suojelu </w:t>
      </w:r>
    </w:p>
    <w:p>
      <w:pPr>
        <w:pStyle w:val="Titre4"/>
        <w:numPr>
          <w:ilvl w:val="3"/>
          <w:numId w:val="2"/>
        </w:numPr>
        <w:rPr/>
      </w:pPr>
      <w:bookmarkStart w:id="160" w:name="__RefHeading___Toc297255_1346298689"/>
      <w:bookmarkEnd w:id="160"/>
      <w:r>
        <w:rPr/>
        <w:t xml:space="preserve">Osa-akseli 2.1 Terveellinen luonto </w:t>
      </w:r>
    </w:p>
    <w:p>
      <w:pPr>
        <w:pStyle w:val="P68B1DB1Normal15"/>
        <w:rPr>
          <w:b/>
          <w:b/>
        </w:rPr>
      </w:pPr>
      <w:r>
        <w:rPr/>
        <w:t xml:space="preserve">8. Suosittelemme yhtenäistä ekopisteytysjärjestelmää, joka näyttää jokaisen ostetun tuotteen kokonaisympäristöjalanjäljen. Kolmansista maista peräisin olevien tuotteiden on noudatettava tätä ekopisteytysjärjestelmää avoimesti. Järjestelmän olisi perustuttava selkeisiin luokituskriteereihin, joita sovelletaan itse tuotteisiin, ja siinä olisi käytettävä esimerkiksi QR-koodia, joka antaa yksityiskohtaisempia tuotetietoja. </w:t>
      </w:r>
    </w:p>
    <w:p>
      <w:pPr>
        <w:pStyle w:val="Normal"/>
        <w:rPr/>
      </w:pPr>
      <w:r>
        <w:rPr/>
        <w:t xml:space="preserve"> </w:t>
      </w:r>
    </w:p>
    <w:p>
      <w:pPr>
        <w:pStyle w:val="Normal"/>
        <w:rPr/>
      </w:pPr>
      <w:r>
        <w:rPr/>
        <w:t xml:space="preserve">Nämä tuotteiden elinkaaritiedot ovat olennaisen tärkeitä kaikille EU:n kansalaisille, jotta kuluttajat voivat tehdä ostoksia. Näin EU:n kansalaiset voivat tehdä vastuullisia päätöksiä, jotka edistävät heidän ympäristönsä suojelua. </w:t>
      </w:r>
    </w:p>
    <w:p>
      <w:pPr>
        <w:pStyle w:val="Normal"/>
        <w:rPr/>
      </w:pPr>
      <w:r>
        <w:rPr/>
        <w:t xml:space="preserve"> </w:t>
      </w:r>
    </w:p>
    <w:p>
      <w:pPr>
        <w:pStyle w:val="P68B1DB1Normal15"/>
        <w:rPr>
          <w:b/>
          <w:b/>
        </w:rPr>
      </w:pPr>
      <w:r>
        <w:rPr/>
        <w:t xml:space="preserve">9. Suosittelemme lisäinvestointeja uusien ympäristöystävällisten energialähteiden tutkimiseen ja näiden uusien energialähteiden käyttöönottoon asti lisäinvestointeja olemassa oleviin optimaalisiin energiantuotantoratkaisuihin. Suosittelemme myös, että Euroopan kansalaisille tiedotetaan ja valistetaan avoimesti tietyistä energialähteistä. Suosittelemme vahvasti ottamaan huomioon energiantuotannon yleiset ekologiset ja sosiaaliset vaikutukset nykyisille ja tuleville sukupolville. </w:t>
      </w:r>
    </w:p>
    <w:p>
      <w:pPr>
        <w:pStyle w:val="Normal"/>
        <w:rPr/>
      </w:pPr>
      <w:r>
        <w:rPr/>
        <w:t xml:space="preserve"> </w:t>
      </w:r>
    </w:p>
    <w:p>
      <w:pPr>
        <w:pStyle w:val="Normal"/>
        <w:rPr/>
      </w:pPr>
      <w:r>
        <w:rPr/>
        <w:t xml:space="preserve">Kohtaamme hyvin suuria määriä hiilidioksidipäästöjä ja muita energiantuotannon myrkyllisiä aineita, jotka heikentävät ilmastoa ja ilmanlaatua. EU:n suuntaviivojen, IPCC:n raporttien suositusten ja COP26-kokouksen tavoitteiden noudattamiseksi meidän on vahvistettava tutkimusta ja investointeja ilmastoneutraalin energiantuotannon saavuttamiseksi. </w:t>
      </w:r>
    </w:p>
    <w:p>
      <w:pPr>
        <w:pStyle w:val="Normal"/>
        <w:rPr/>
      </w:pPr>
      <w:r>
        <w:rPr/>
        <w:t xml:space="preserve"> </w:t>
      </w:r>
    </w:p>
    <w:p>
      <w:pPr>
        <w:pStyle w:val="Titre4"/>
        <w:numPr>
          <w:ilvl w:val="3"/>
          <w:numId w:val="2"/>
        </w:numPr>
        <w:rPr/>
      </w:pPr>
      <w:bookmarkStart w:id="161" w:name="__RefHeading___Toc297257_1346298689"/>
      <w:bookmarkEnd w:id="161"/>
      <w:r>
        <w:rPr/>
        <w:t xml:space="preserve">Osa-alue 2.2 Luonnon monimuotoisuuden suojelu </w:t>
      </w:r>
    </w:p>
    <w:p>
      <w:pPr>
        <w:pStyle w:val="P68B1DB1Normal15"/>
        <w:rPr>
          <w:b/>
          <w:b/>
        </w:rPr>
      </w:pPr>
      <w:r>
        <w:rPr/>
        <w:t xml:space="preserve">10. Kehotamme vähentämään merkittävästi kemiallisten torjunta-aineiden ja lannoitteiden käyttöä kaikentyyppisessä maataloudessa varmistamalla tiukempien yhteisten standardien soveltamisen, nopeuttamalla luonnollisia vaihtoehtoja koskevaa tutkimusta ja tukemalla uusien ratkaisujen käyttöönottoa, mukaan lukien maanviljelijöiden koulutus. </w:t>
      </w:r>
    </w:p>
    <w:p>
      <w:pPr>
        <w:pStyle w:val="Normal"/>
        <w:rPr/>
      </w:pPr>
      <w:r>
        <w:rPr/>
        <w:t xml:space="preserve"> </w:t>
      </w:r>
    </w:p>
    <w:p>
      <w:pPr>
        <w:pStyle w:val="Normal"/>
        <w:rPr/>
      </w:pPr>
      <w:r>
        <w:rPr/>
        <w:t xml:space="preserve">Vaikka lannoitteiden ja vaihtoehtoisten torjunta-aineiden alalla on edistytty, suurin osa niistä ei ole vielä käytettävissä suurtiloilla. Siksi uusien ratkaisujen kehittäminen edellyttää kestävämpiä ponnisteluja. Tutkimusta olisi edistettävä julkisten menojen ja torjunta-aineiden ja lannoitteiden käyttöä koskevien normien tiukentamisen avulla. Tutkimustuloksia on levitettävä nopeasti EU:n tasolla. </w:t>
      </w:r>
    </w:p>
    <w:p>
      <w:pPr>
        <w:pStyle w:val="Normal"/>
        <w:rPr/>
      </w:pPr>
      <w:r>
        <w:rPr/>
        <w:t xml:space="preserve"> </w:t>
      </w:r>
    </w:p>
    <w:p>
      <w:pPr>
        <w:pStyle w:val="P68B1DB1Normal15"/>
        <w:rPr>
          <w:b/>
          <w:b/>
        </w:rPr>
      </w:pPr>
      <w:r>
        <w:rPr/>
        <w:t xml:space="preserve">11. Suosittelemme suojeltujen alueiden laajentamista biologisen monimuotoisuuden (nisäkkäät, linnut, hyönteiset ja kasvit) suojelemiseksi ja oikeusvaltioperiaatteen vahvistamista ihmisen toiminnan osalta näillä alueilla. Suojelualueita pidetään paitsi luotoina myös ympäristöystävällisempien kaupunkialueiden jatkumoina yhdenmukaistettujen EU:n standardien mukaisesti. </w:t>
      </w:r>
    </w:p>
    <w:p>
      <w:pPr>
        <w:pStyle w:val="Normal"/>
        <w:rPr/>
      </w:pPr>
      <w:r>
        <w:rPr/>
        <w:t xml:space="preserve"> </w:t>
      </w:r>
    </w:p>
    <w:p>
      <w:pPr>
        <w:pStyle w:val="Normal"/>
        <w:rPr/>
      </w:pPr>
      <w:r>
        <w:rPr/>
        <w:t xml:space="preserve">Biologinen monimuotoisuus kärsii suuresti metsäkadosta. Suojelualueiden luominen on yksi tärkeimmistä keinoista suojella maan biologista monimuotoisuutta. On kuitenkin vaikeaa säilyttää suojeltuja alueita saastuneiden kaupunkien lähellä tai välttää ihmisten häiriöitä, kun ympäröivät alueet jättävät vain vähän tilaa luonnolle. Meidän on viherrytettävä asuinalueet ja integroitava ne ympäröivään luontoon. </w:t>
      </w:r>
    </w:p>
    <w:p>
      <w:pPr>
        <w:pStyle w:val="Normal"/>
        <w:rPr/>
      </w:pPr>
      <w:r>
        <w:rPr/>
        <w:t xml:space="preserve"> </w:t>
      </w:r>
    </w:p>
    <w:p>
      <w:pPr>
        <w:pStyle w:val="Normal"/>
        <w:rPr/>
      </w:pPr>
      <w:r>
        <w:rPr>
          <w:b/>
        </w:rPr>
        <w:t>12. Suosittelemme suuntaamaan yleisluonteiset tuet maatalouteen pääasiassa hankkeisiin, jotka liittyvät kestävän maatalouden kehittämiseen, mukaan lukien luonnon ja työntekijöiden kunnioittaminen. Tuensaajien olisi noudatettava selkeitä ympäristönormeja ja heitä olisi seurattava tiiviisti.</w:t>
      </w:r>
      <w:r>
        <w:rPr/>
        <w:t xml:space="preserve"> </w:t>
      </w:r>
    </w:p>
    <w:p>
      <w:pPr>
        <w:pStyle w:val="Normal"/>
        <w:rPr/>
      </w:pPr>
      <w:r>
        <w:rPr/>
        <w:t xml:space="preserve"> </w:t>
      </w:r>
    </w:p>
    <w:p>
      <w:pPr>
        <w:pStyle w:val="Normal"/>
        <w:rPr/>
      </w:pPr>
      <w:r>
        <w:rPr/>
        <w:t xml:space="preserve">Katsomme, että vain kestävää maataloutta olisi kannustettava, mikä merkitsee sitä, että tällä hetkellä yleisluonteisiin tukiin käytettävät varat kohdennetaan uudelleen. Lisäksi on mahdollista lisätä käytettyjen varojen tehokkuutta keskittymällä muutoshankkeisiin ja innovatiivisiin ratkaisuihin vuosimaksujen sijaan. Maataloustoiminnan ja -hankkeiden ekologisten vaikutusten seurantaa olisi parannettava. Myös työntekijöiden ihmisoikeuksia on pidettävä kestävän kehityksen olennaisena osana. </w:t>
      </w:r>
    </w:p>
    <w:p>
      <w:pPr>
        <w:pStyle w:val="Normal"/>
        <w:rPr/>
      </w:pPr>
      <w:r>
        <w:rPr/>
        <w:t xml:space="preserve"> </w:t>
      </w:r>
    </w:p>
    <w:p>
      <w:pPr>
        <w:pStyle w:val="Normal"/>
        <w:rPr/>
      </w:pPr>
      <w:r>
        <w:rPr>
          <w:b/>
        </w:rPr>
        <w:t>13. Tilintarkastustuomioistuin suosittaa, että EU varmistaa oikeudenmukaisen kilpailun ympäristöystävällisille maataloustuotteille asettamalla tiukemmat vaatimukset sekä että tuontituotteille ja varmistamalla jäljitettävyyden, merkintöjen ja laadunvalvonnan.</w:t>
      </w:r>
      <w:r>
        <w:rPr/>
        <w:t xml:space="preserve"> </w:t>
      </w:r>
    </w:p>
    <w:p>
      <w:pPr>
        <w:pStyle w:val="Normal"/>
        <w:rPr/>
      </w:pPr>
      <w:r>
        <w:rPr/>
        <w:t xml:space="preserve"> </w:t>
      </w:r>
    </w:p>
    <w:p>
      <w:pPr>
        <w:pStyle w:val="Normal"/>
        <w:rPr/>
      </w:pPr>
      <w:r>
        <w:rPr/>
        <w:t xml:space="preserve">Kestävien maataloustuotteiden alhaisempi tuottavuus heikentää niiden kustannuskilpailukykyä. Tuontituotteiden olisi täytettävä samat tiukat vaatimukset tuotannon ympäristövaikutuksista. Viranomaistemme pitäisi pystyä varmistamaan maahantuotujen maataloustuotteiden jäljitettävyys. </w:t>
      </w:r>
    </w:p>
    <w:p>
      <w:pPr>
        <w:pStyle w:val="Normal"/>
        <w:rPr/>
      </w:pPr>
      <w:r>
        <w:rPr/>
        <w:t xml:space="preserve"> </w:t>
      </w:r>
    </w:p>
    <w:p>
      <w:pPr>
        <w:pStyle w:val="P68B1DB1Normal15"/>
        <w:rPr>
          <w:b/>
          <w:b/>
        </w:rPr>
      </w:pPr>
      <w:r>
        <w:rPr/>
        <w:t xml:space="preserve">14. Suosittelemme nopeaa ja massiivista uudelleenmetsittämistä ja metsittämistä maankäytön optimoinnin ansiosta. Erityistä huomiota olisi kiinnitettävä hyväksikäytettyjen tai tuhoutuneiden metsien uudelleenmetsittämiseen ja maaperän huonontuneiden alueiden metsittämiseen. Olisi edistettävä uusia, vastuullisempia ratkaisuja puun parempaan käyttöön esimerkiksi muovien ja muiden kemikaalien korvaamiseksi, biomassan energiatehokkuuden parantamiseksi ja puutuotteiden kierrättämiseksi. </w:t>
      </w:r>
    </w:p>
    <w:p>
      <w:pPr>
        <w:pStyle w:val="Normal"/>
        <w:rPr/>
      </w:pPr>
      <w:r>
        <w:rPr/>
        <w:t xml:space="preserve"> </w:t>
      </w:r>
    </w:p>
    <w:p>
      <w:pPr>
        <w:pStyle w:val="Normal"/>
        <w:rPr/>
      </w:pPr>
      <w:r>
        <w:rPr/>
        <w:t xml:space="preserve">Uudelleenmetsityksellä on selkeä myönteinen vaikutus ympäristöön ja yleisesti biologiseen monimuotoisuuteen. Samalla meidän on käytettävä vähemmän puuta lämmittääksemme itseämme, mutta enemmän tehdäksemme niistä korkean lisäarvon tuotteita; esimerkiksi muovien korvaamiseksi puun käyttö on ensiarvoisen tärkeää. </w:t>
      </w:r>
    </w:p>
    <w:p>
      <w:pPr>
        <w:pStyle w:val="Normal"/>
        <w:rPr/>
      </w:pPr>
      <w:r>
        <w:rPr/>
        <w:t xml:space="preserve"> </w:t>
      </w:r>
    </w:p>
    <w:p>
      <w:pPr>
        <w:pStyle w:val="Titre4"/>
        <w:numPr>
          <w:ilvl w:val="3"/>
          <w:numId w:val="2"/>
        </w:numPr>
        <w:rPr/>
      </w:pPr>
      <w:bookmarkStart w:id="162" w:name="__RefHeading___Toc297259_1346298689"/>
      <w:bookmarkEnd w:id="162"/>
      <w:r>
        <w:rPr/>
        <w:t xml:space="preserve">Osa-akseli 2.3 Turvalliset ja terveelliset elintarvikkeet </w:t>
      </w:r>
    </w:p>
    <w:p>
      <w:pPr>
        <w:pStyle w:val="P68B1DB1Normal15"/>
        <w:rPr>
          <w:b/>
          <w:b/>
        </w:rPr>
      </w:pPr>
      <w:r>
        <w:rPr/>
        <w:t xml:space="preserve">15. Suosittelemme elintarvikkeissa käytettävien kestämättömien pakkausten nopeaa ja asteittaista poistamista, mukaan lukien muovipakkaukset ja muut biohajoamattomat pakkaukset. Tätä varten ehdotamme taloudellisten kannustimien tarjoamista yrityksille, jotka siirtyvät täysin biohajoaviin pakkausmuotoihin, investoimaan vaihtoehtojen löytämiseen ja määräämään seuraamuksia yrityksille, jotka eivät käytä biohajoavia pakkauksia. </w:t>
      </w:r>
    </w:p>
    <w:p>
      <w:pPr>
        <w:pStyle w:val="Normal"/>
        <w:rPr/>
      </w:pPr>
      <w:r>
        <w:rPr/>
        <w:t xml:space="preserve"> </w:t>
      </w:r>
    </w:p>
    <w:p>
      <w:pPr>
        <w:pStyle w:val="Normal"/>
        <w:rPr/>
      </w:pPr>
      <w:r>
        <w:rPr/>
        <w:t xml:space="preserve">Muovijätteet, erityisesti mikromuovit, lisääntyvät ja hitaasti hajoavat. Muovin kulutus heikentää elintarvikkeiden laatua ja turvallisuutta ja aiheuttaa samalla riskejä ihmisten ja eläinten terveydelle. Lisäksi voimassa oleva EU:n lainsäädäntö biohajoamattomien pakkausten vähentämiseksi on riittämätöntä. </w:t>
      </w:r>
    </w:p>
    <w:p>
      <w:pPr>
        <w:pStyle w:val="Normal"/>
        <w:rPr/>
      </w:pPr>
      <w:r>
        <w:rPr/>
        <w:t xml:space="preserve"> </w:t>
      </w:r>
    </w:p>
    <w:p>
      <w:pPr>
        <w:pStyle w:val="P68B1DB1Normal15"/>
        <w:rPr>
          <w:b/>
          <w:b/>
        </w:rPr>
      </w:pPr>
      <w:r>
        <w:rPr/>
        <w:t xml:space="preserve">16. Suosittelemme luopumaan asteittain tehoviljelystä, mukaan lukien eläinten huonontuvien elinolojen lopettaminen. Ehdotamme, että vahvistetaan yhteiset vaatimukset kotieläintuotannolle (esim. eläinten enimmäismäärä, mukautettu ulkotila) ja investoidaan enemmän ei-intensiivisiin menetelmiin (laaja ja kestävä maatalous) tarjoamalla viljelijöille taloudellisia kannustimia ja koulutusta tämän kehityksen tukemiseksi. </w:t>
      </w:r>
    </w:p>
    <w:p>
      <w:pPr>
        <w:pStyle w:val="Normal"/>
        <w:rPr/>
      </w:pPr>
      <w:r>
        <w:rPr/>
        <w:t xml:space="preserve"> </w:t>
      </w:r>
    </w:p>
    <w:p>
      <w:pPr>
        <w:pStyle w:val="Normal"/>
        <w:rPr/>
      </w:pPr>
      <w:r>
        <w:rPr/>
        <w:t xml:space="preserve">Tehomaatalouden asteittainen lopettaminen vähentää ympäristön pilaantumista ja vahvistaa luonnon suojelua. Lisäksi tehokarjankasvatuksen asteittainen lopettaminen vähentää eläintautien torjuntaan tarvittavien lääkkeiden määrää ja parantaa ruokavaliomme laatua. Tehoviljelyssä ei myöskään kunnioiteta eläinten hyvinvointia, mutta on olemassa kestävämpiä maatalouden muotoja, kuten laajaperäistä viljelyä. viljelijöille on myönnettävä tukia, jotta he voivat siirtyä tälle tielle. </w:t>
      </w:r>
    </w:p>
    <w:p>
      <w:pPr>
        <w:pStyle w:val="Normal"/>
        <w:rPr/>
      </w:pPr>
      <w:r>
        <w:rPr/>
        <w:t xml:space="preserve"> </w:t>
      </w:r>
    </w:p>
    <w:p>
      <w:pPr>
        <w:pStyle w:val="P68B1DB1Normal15"/>
        <w:rPr>
          <w:b/>
          <w:b/>
        </w:rPr>
      </w:pPr>
      <w:r>
        <w:rPr/>
        <w:t xml:space="preserve">17. Komitea suosittaa tiukentamaan valvontaa, joka koskee antibioottien ja muiden eläinlääkkeiden tarpeettoman käytön kieltämistä rehun lisäaineissa: tehdään tämä aloite! Ehdotamme, että antibioottien käyttö kotieläintuotannossa olisi sallittava vain silloin, kun se on ehdottoman välttämätöntä eläinten terveyden ja hyvinvoinnin suojelemiseksi eikä ennalta ehkäisevällä tavalla. Lisäksi on investoitava enemmän tehokkaampien antibioottien etsimiseen ja kehitettävä vaihtoehtoja samalla, kun hyödynnetään tällä alalla käynnissä olevaa tutkimusta. </w:t>
      </w:r>
    </w:p>
    <w:p>
      <w:pPr>
        <w:pStyle w:val="Normal"/>
        <w:rPr/>
      </w:pPr>
      <w:r>
        <w:rPr/>
        <w:t xml:space="preserve"> </w:t>
      </w:r>
    </w:p>
    <w:p>
      <w:pPr>
        <w:pStyle w:val="Normal"/>
        <w:rPr/>
      </w:pPr>
      <w:r>
        <w:rPr/>
        <w:t xml:space="preserve">Ihmisten antibioottiresistenssi vähenee, koska ruuat on saatu eläimistä, joille on annettu antibiootteja. Lisäksi tarvitaan aikaa asianmukaisten ratkaisujen kehittämiseen nykyisten antibioottien korvaamiseksi ja sen varmistamiseksi, että viljelijät ovat tietoisia ja halukkaita käyttämään niitä. Tunnustamme, että on olemassa EU:n antibioottidirektiivejä; niitä ei kuitenkaan ole pantu täytäntöön samalla tavalla kaikissa jäsenvaltioissa. Lisäksi eläinlääkkeitä käytetään väärin dopingtarkoituksiin; siksi tiukempi lainsäädäntö tällä alalla parantaa eläinten hyvinvointia ja parantaa niiden elämänlaatua. </w:t>
      </w:r>
    </w:p>
    <w:p>
      <w:pPr>
        <w:pStyle w:val="Normal"/>
        <w:rPr/>
      </w:pPr>
      <w:r>
        <w:rPr/>
        <w:t xml:space="preserve"> </w:t>
      </w:r>
    </w:p>
    <w:p>
      <w:pPr>
        <w:pStyle w:val="P68B1DB1Normal15"/>
        <w:rPr>
          <w:b/>
          <w:b/>
        </w:rPr>
      </w:pPr>
      <w:r>
        <w:rPr/>
        <w:t xml:space="preserve">18. Tilintarkastustuomioistuin suosittaa, että EU:n lainsäädännössä edellytetään ilmoittamista hormonaalisten aineiden ja hormonaalisten haitta-aineiden käytöstä elintarviketuotannossa, jotta voidaan määrittää käytetyn lopputuotteen tyyppi, määrä ja altistuminen. Kaikkien asianomaisten elintarvikkeiden pakkauksissa on oltava selvästi merkinnät, joista käy selvästi ilmi, mitä aineita ja niiden käyttöä on syytä käyttää. Lisäksi olisi nopeutettava tutkimusta hormonaalisten aineiden ja hormonaalisten haitta-aineiden vaikutuksista ihmisten terveyteen. </w:t>
      </w:r>
    </w:p>
    <w:p>
      <w:pPr>
        <w:pStyle w:val="Normal"/>
        <w:rPr/>
      </w:pPr>
      <w:r>
        <w:rPr/>
        <w:t xml:space="preserve"> </w:t>
      </w:r>
    </w:p>
    <w:p>
      <w:pPr>
        <w:pStyle w:val="Normal"/>
        <w:rPr/>
      </w:pPr>
      <w:r>
        <w:rPr/>
        <w:t xml:space="preserve">Tällä hetkellä elintarvikkeiden jäljitettävyys on riittämätöntä erityisesti hormonaalisten aineiden ja hormonaalisten haitta-aineiden osalta. Uskomme, että elintarviketuotannon läpinäkyvyys on välttämätöntä vastuuvelvollisuuden täyttämiseksi. Lisäksi kuluttajien olisi voitava tietää kuluttamiensa elintarvikkeiden koostumus kokonaisuudessaan ja heidän olisi voitava vapaasti valita, mitä he syövät. Lisäksi hormonaalisia aineita ja hormonaalisia haitta-aineita sisältävien elintarvikkeiden kulutukseen liittyviä vaikutuksia ihmisiin (ja mahdollisia riskejä) ei ole tutkittu riittävästi. </w:t>
      </w:r>
    </w:p>
    <w:p>
      <w:pPr>
        <w:pStyle w:val="Normal"/>
        <w:rPr/>
      </w:pPr>
      <w:r>
        <w:rPr/>
        <w:t xml:space="preserve"> </w:t>
      </w:r>
    </w:p>
    <w:p>
      <w:pPr>
        <w:pStyle w:val="P68B1DB1Normal15"/>
        <w:rPr>
          <w:b/>
          <w:b/>
        </w:rPr>
      </w:pPr>
      <w:r>
        <w:rPr/>
        <w:t xml:space="preserve">19. Suosittelemme vähentämään jalostettujen elintarvikkeiden kulutusta soveltamalla veroja terveydelle haitallisista elintarvikkeista ja sijoittamalla varoja terveellisiin elintarvikkeisiin. Ehdotamme, että perustetaan EU:n laajuinen terveellisten elintarvikkeiden luokitusjärjestelmä, joka perustuu jäsenvaltioiden parhaisiin käytäntöihin, ja asetetaan elintarvikkeisiin merkinnät, joiden avulla kuluttajille tiedotetaan niiden terveysvaikutuksista. </w:t>
      </w:r>
    </w:p>
    <w:p>
      <w:pPr>
        <w:pStyle w:val="Normal"/>
        <w:rPr/>
      </w:pPr>
      <w:r>
        <w:rPr/>
        <w:t xml:space="preserve"> </w:t>
      </w:r>
    </w:p>
    <w:p>
      <w:pPr>
        <w:pStyle w:val="Normal"/>
        <w:rPr/>
      </w:pPr>
      <w:r>
        <w:rPr/>
        <w:t xml:space="preserve">Näin kerättyjä varoja voidaan käyttää valistus- ja menekinedistämiskampanjoiden kehittämiseen, terveellisen ruokailun priorisointiin koulutusalalla ja epäterveellisten elintarvikkeiden näkyvyyden vähentämiseen supermarketeissa. Terveellisiin elintarvikkeisiin tehtävillä investoinneilla parannetaan myös väestön yleistä terveyttä ja vähennetään siten huonosta ravitsemuksesta johtuvien terveysongelmien ratkaisemiseksi tarvittavien julkisten menojen määrää. Lisäksi uskomme, että verot ja tuet kannustavat yrityksiä tuottamaan terveellisempää ruokaa. </w:t>
      </w:r>
    </w:p>
    <w:p>
      <w:pPr>
        <w:pStyle w:val="Normal"/>
        <w:rPr/>
      </w:pPr>
      <w:r>
        <w:rPr/>
        <w:t xml:space="preserve"> </w:t>
      </w:r>
    </w:p>
    <w:p>
      <w:pPr>
        <w:pStyle w:val="Titre3"/>
        <w:numPr>
          <w:ilvl w:val="2"/>
          <w:numId w:val="2"/>
        </w:numPr>
        <w:rPr/>
      </w:pPr>
      <w:bookmarkStart w:id="163" w:name="__RefHeading___Toc297261_1346298689"/>
      <w:bookmarkEnd w:id="163"/>
      <w:r>
        <w:rPr/>
        <w:t xml:space="preserve">Akseli 3: taloutemme ja kulutuksen suuntaaminen uudelleen </w:t>
      </w:r>
    </w:p>
    <w:p>
      <w:pPr>
        <w:pStyle w:val="Titre4"/>
        <w:numPr>
          <w:ilvl w:val="3"/>
          <w:numId w:val="2"/>
        </w:numPr>
        <w:rPr/>
      </w:pPr>
      <w:bookmarkStart w:id="164" w:name="__RefHeading___Toc297263_1346298689"/>
      <w:bookmarkEnd w:id="164"/>
      <w:r>
        <w:rPr/>
        <w:t xml:space="preserve">Osa-akseli 3.1 Ylituotannon ja ylikulutuksen säätely </w:t>
      </w:r>
    </w:p>
    <w:p>
      <w:pPr>
        <w:pStyle w:val="P68B1DB1Normal15"/>
        <w:rPr>
          <w:b/>
          <w:b/>
        </w:rPr>
      </w:pPr>
      <w:r>
        <w:rPr/>
        <w:t xml:space="preserve">20. Komitea suosittaa, että EU toteuttaisi enemmän toimenpiteitä, jotta kuluttajat voisivat käyttää tuotteita pidempään ja jotta heitä kannustettaisiin käyttämään niitä. EU:n olisi torjuttava suunniteltua vanhenemista pidentämällä tuotetakuuta ja asettamalla varaosille enimmäishinta takuuajan päättymisen jälkeen. Kaikkien jäsenvaltioiden olisi otettava käyttöön korjauspalveluihin sovellettava veronalennus, kuten Ruotsissa. Valmistajia olisi vaadittava ilmoittamaan tuotteidensa odotettu käyttöikä. EU:n olisi annettava tietoa tuotteiden uudelleenkäytöstä ja korjaamisesta verkkosivuston ja koulutuksen kautta. </w:t>
      </w:r>
    </w:p>
    <w:p>
      <w:pPr>
        <w:pStyle w:val="Normal"/>
        <w:rPr/>
      </w:pPr>
      <w:r>
        <w:rPr/>
        <w:t xml:space="preserve"> </w:t>
      </w:r>
    </w:p>
    <w:p>
      <w:pPr>
        <w:pStyle w:val="Normal"/>
        <w:rPr/>
      </w:pPr>
      <w:r>
        <w:rPr/>
        <w:t xml:space="preserve">Jäteyhteiskuntamme ei ole elinkelpoinen, koska se tuottaa liikaa jätettä. Soveltamalla ehdotettuja toimenpiteitä kehitymme kohti yhteiskuntaa, jossa tuotteita käytetään uudelleen ja korjataan ja joiden määrä vähenee, mikä vähentää ylikulutusta. </w:t>
      </w:r>
    </w:p>
    <w:p>
      <w:pPr>
        <w:pStyle w:val="Normal"/>
        <w:rPr/>
      </w:pPr>
      <w:r>
        <w:rPr/>
        <w:t xml:space="preserve"> </w:t>
      </w:r>
    </w:p>
    <w:p>
      <w:pPr>
        <w:pStyle w:val="P68B1DB1Normal15"/>
        <w:rPr>
          <w:b/>
          <w:b/>
        </w:rPr>
      </w:pPr>
      <w:r>
        <w:rPr/>
        <w:t xml:space="preserve">21. Suosittelemme, että EU soveltaa tiukempia ympäristönormeja ja varmistaa oikeudenmukaiset työolot koko tuotantoketjussa. EU:n tuotantostandardien olisi oltava kestävämpiä ja yhdenmukaisempia jäsenvaltioiden välillä, ja niitä olisi sovellettava tuontitavaroihin. Näiden normien on oltava luonteeltaan sosiaalisia, mukaan lukien työntekijöiden kohtuulliset tulot ja tyydyttävät työolot tehtaissa. Tällä pitäisi olla seurauksia tavaroille, jotka eivät täytä näitä vaatimuksia. </w:t>
      </w:r>
    </w:p>
    <w:p>
      <w:pPr>
        <w:pStyle w:val="Normal"/>
        <w:rPr/>
      </w:pPr>
      <w:r>
        <w:rPr/>
        <w:t xml:space="preserve"> </w:t>
      </w:r>
    </w:p>
    <w:p>
      <w:pPr>
        <w:pStyle w:val="Normal"/>
        <w:rPr/>
      </w:pPr>
      <w:r>
        <w:rPr/>
        <w:t xml:space="preserve">On tärkeää vahvistaa Euroopassa ympäristön kannalta ja sosiaalisesti yhtenäiset valmistusstandardit sen varmistamiseksi, että kaikki tarjotut tuotteet tuotetaan kestävällä tavalla. Nämä toimenpiteet ovat välttämättömiä taloutemme uudelleensuuntaamiseksi ja liiketoiminnan tuotantotapojen muuttamiseksi. </w:t>
      </w:r>
    </w:p>
    <w:p>
      <w:pPr>
        <w:pStyle w:val="Normal"/>
        <w:rPr/>
      </w:pPr>
      <w:r>
        <w:rPr/>
        <w:t xml:space="preserve"> </w:t>
      </w:r>
    </w:p>
    <w:p>
      <w:pPr>
        <w:pStyle w:val="P68B1DB1Normal15"/>
        <w:rPr>
          <w:b/>
          <w:b/>
        </w:rPr>
      </w:pPr>
      <w:r>
        <w:rPr/>
        <w:t xml:space="preserve">22. Suosittelemme, että EU ja jäsenvaltiot ottavat käyttöön toimenpiteitä ympäristöä vahingoittavien tuotteiden mainonnan rajoittamiseksi. Tuotteisiin, joiden kestävyys on alhainen, olisi sovellettava pakollista vastuukieltolauseketta kaikessa mainonnassa, joka osoittaa, että ne ovat haitallisia ympäristölle. EU:n olisi kiellettävä sellaisten tuotteiden mainonta, jotka eivät ole lainkaan kestäviä. </w:t>
      </w:r>
    </w:p>
    <w:p>
      <w:pPr>
        <w:pStyle w:val="Normal"/>
        <w:rPr/>
      </w:pPr>
      <w:r>
        <w:rPr/>
        <w:t xml:space="preserve"> </w:t>
      </w:r>
    </w:p>
    <w:p>
      <w:pPr>
        <w:pStyle w:val="Normal"/>
        <w:rPr/>
      </w:pPr>
      <w:r>
        <w:rPr/>
        <w:t xml:space="preserve">Mainonta edistää kulutusta; ympäristöä vahingoittavia tuotteita ei pidä korostaa. Näin kuluttajat ostavat vähemmän todennäköisesti ympäristölle haitallisia tuotteita. </w:t>
      </w:r>
    </w:p>
    <w:p>
      <w:pPr>
        <w:pStyle w:val="Normal"/>
        <w:rPr/>
      </w:pPr>
      <w:r>
        <w:rPr/>
        <w:t xml:space="preserve"> </w:t>
      </w:r>
    </w:p>
    <w:p>
      <w:pPr>
        <w:pStyle w:val="P68B1DB1Normal15"/>
        <w:rPr>
          <w:b/>
          <w:b/>
        </w:rPr>
      </w:pPr>
      <w:r>
        <w:rPr/>
        <w:t xml:space="preserve">23. Suosittelemme, että EU perustaa ja kehittää panttijärjestelmien infrastruktuuria kaikkia lasin, muovin, alumiinin jne. primääripakkauksia varten yhdenmukaisesti kaikkialla. Valmistajien olisi mahdollisuuksien mukaan käytettävä palautuspakkaukset uudelleen steriloimalla ne sen sijaan, että ne yksinkertaisesti kierrätettäisiin. Elintarvike- ja juomapakkausten lisäksi laitteen tulisi kattaa myös muuntyyppiset pullot ja astiat, kuten shampoopullot. </w:t>
      </w:r>
    </w:p>
    <w:p>
      <w:pPr>
        <w:pStyle w:val="Normal"/>
        <w:rPr/>
      </w:pPr>
      <w:r>
        <w:rPr/>
        <w:t xml:space="preserve"> </w:t>
      </w:r>
    </w:p>
    <w:p>
      <w:pPr>
        <w:pStyle w:val="Normal"/>
        <w:rPr/>
      </w:pPr>
      <w:r>
        <w:rPr/>
        <w:t xml:space="preserve">Tällä hetkellä kuluttajat heittävät liikaa pakkauksia, saastuttavat ja tuhoavat ekosysteemejämme. Panttijärjestelmät auttavat vähentämään jätettä kannustamalla kansalaisia tuomaan pakkauksia takaisin sen sijaan, että ne heitetään pois. Tätä järjestelmää kehittämällä käytämme vähemmän resursseja. syntyvän jätteen määrää vähennetään. </w:t>
      </w:r>
    </w:p>
    <w:p>
      <w:pPr>
        <w:pStyle w:val="Normal"/>
        <w:rPr/>
      </w:pPr>
      <w:r>
        <w:rPr/>
        <w:t xml:space="preserve"> </w:t>
      </w:r>
    </w:p>
    <w:p>
      <w:pPr>
        <w:pStyle w:val="Titre4"/>
        <w:numPr>
          <w:ilvl w:val="3"/>
          <w:numId w:val="2"/>
        </w:numPr>
        <w:rPr/>
      </w:pPr>
      <w:bookmarkStart w:id="165" w:name="__RefHeading___Toc297265_1346298689"/>
      <w:bookmarkEnd w:id="165"/>
      <w:r>
        <w:rPr/>
        <w:t xml:space="preserve">Osa-akseli 3.2 Jätteiden vähentäminen </w:t>
      </w:r>
    </w:p>
    <w:p>
      <w:pPr>
        <w:pStyle w:val="P68B1DB1Normal15"/>
        <w:rPr>
          <w:b/>
          <w:b/>
        </w:rPr>
      </w:pPr>
      <w:r>
        <w:rPr/>
        <w:t xml:space="preserve">24. Komitea suosittaa, että kiertotalouspolitiikkojen täytäntöönpanoa tehostetaan Euroopan tasolla niin yrityksille kuin kansalaisillekin tarjoamalla taloudellisia kannustimia niitä noudattaville. </w:t>
      </w:r>
    </w:p>
    <w:p>
      <w:pPr>
        <w:pStyle w:val="Normal"/>
        <w:rPr/>
      </w:pPr>
      <w:r>
        <w:rPr/>
        <w:t xml:space="preserve"> </w:t>
      </w:r>
    </w:p>
    <w:p>
      <w:pPr>
        <w:pStyle w:val="Normal"/>
        <w:rPr/>
      </w:pPr>
      <w:r>
        <w:rPr/>
        <w:t xml:space="preserve">Monet ihmiset joutuvat lopulta työttömiksi, jos tuotantoyhtiöt vähentävät työvoimaansa tai jopa päätyvät maksun/käymisen lopettamiseen. Työttömien uudelleenkoulutustoimet kannustavat ympäristöystävällisiin käytäntöihin ja rajoittavat samalla työttömyyttä ja edistävät monimuotoisen talouden nykyaikaistamista. </w:t>
      </w:r>
    </w:p>
    <w:p>
      <w:pPr>
        <w:pStyle w:val="Normal"/>
        <w:rPr/>
      </w:pPr>
      <w:r>
        <w:rPr/>
        <w:t xml:space="preserve"> </w:t>
      </w:r>
    </w:p>
    <w:p>
      <w:pPr>
        <w:pStyle w:val="P68B1DB1Normal15"/>
        <w:rPr>
          <w:b/>
          <w:b/>
        </w:rPr>
      </w:pPr>
      <w:r>
        <w:rPr/>
        <w:t xml:space="preserve">25. Suosittelemme, että EU säätelee ympäristön kannalta turvallisten pakkausten käyttöä (eli pakkauksia, jotka perustuvat biohajoaviin tai kierrätettäviin tai kestävämpiin materiaaleihin, jos mahdollista) ja/tai vähemmän isojen pakkausten käyttöä, myös QR-koodilla, joka sisältää pakkausten kierrätys- ja/tai hävittämisprosessin kannalta merkitykselliset tiedot käytön jälkeen. </w:t>
      </w:r>
    </w:p>
    <w:p>
      <w:pPr>
        <w:pStyle w:val="Normal"/>
        <w:rPr/>
      </w:pPr>
      <w:r>
        <w:rPr/>
        <w:t xml:space="preserve"> </w:t>
      </w:r>
    </w:p>
    <w:p>
      <w:pPr>
        <w:pStyle w:val="Normal"/>
        <w:rPr/>
      </w:pPr>
      <w:r>
        <w:rPr/>
        <w:t xml:space="preserve">Tämä suositus johtaa pakkausten vähenemiseen, jätteiden vähenemiseen ja siten saastumiseen. ympäristö on siis puhtaampi ja hiilijalanjälki on viime kädessä pienempi. Myös tuottajiin kohdistuva verorasitus on pienempi. </w:t>
      </w:r>
    </w:p>
    <w:p>
      <w:pPr>
        <w:pStyle w:val="Normal"/>
        <w:rPr/>
      </w:pPr>
      <w:r>
        <w:rPr/>
        <w:t xml:space="preserve"> </w:t>
      </w:r>
    </w:p>
    <w:p>
      <w:pPr>
        <w:pStyle w:val="Titre4"/>
        <w:numPr>
          <w:ilvl w:val="3"/>
          <w:numId w:val="2"/>
        </w:numPr>
        <w:rPr/>
      </w:pPr>
      <w:bookmarkStart w:id="166" w:name="__RefHeading___Toc297267_1346298689"/>
      <w:bookmarkEnd w:id="166"/>
      <w:r>
        <w:rPr/>
        <w:t xml:space="preserve">Osa-alue 3.3 Reilut tuotteet, yhdenvertainen saatavuus ja oikeudenmukainen kulutus </w:t>
      </w:r>
    </w:p>
    <w:p>
      <w:pPr>
        <w:pStyle w:val="P68B1DB1Normal15"/>
        <w:rPr>
          <w:b/>
          <w:b/>
        </w:rPr>
      </w:pPr>
      <w:r>
        <w:rPr/>
        <w:t xml:space="preserve">26. Suosittelemme, että Euroopan unioni laatii oikeudellisen kehyksen, jolla varmistetaan, että kaikilla eurooppalaisilla kuluttajilla on kohtuuhintaiset ja paremmat mahdollisuudet saada laadukkaita ja paikallisia elintarvikkeita. </w:t>
      </w:r>
    </w:p>
    <w:p>
      <w:pPr>
        <w:pStyle w:val="Normal"/>
        <w:rPr/>
      </w:pPr>
      <w:r>
        <w:rPr/>
        <w:t xml:space="preserve"> </w:t>
      </w:r>
    </w:p>
    <w:p>
      <w:pPr>
        <w:pStyle w:val="Normal"/>
        <w:rPr/>
      </w:pPr>
      <w:r>
        <w:rPr/>
        <w:t xml:space="preserve">EU:n tasolla ei tällä hetkellä ole yhteistä tulkintaa siitä, mitä olisi pidettävä paikallisena ja laadukkaana elintarvikkeena. Tämä aukko on täytettävä. </w:t>
      </w:r>
    </w:p>
    <w:p>
      <w:pPr>
        <w:pStyle w:val="Normal"/>
        <w:rPr/>
      </w:pPr>
      <w:r>
        <w:rPr/>
        <w:t xml:space="preserve">Huonolaatuisten tuotteiden tuonnilla on suora kielteinen vaikutus ympäristöön. Ilmastonmuutoksen torjumiseksi meidän on puututtava kaikkiin sen syihin, myös huonolaatuisten tuotteiden tuontiin: on tarpeen lyhentää kuljetusmatkaa ja edistää kausiluonteisia tuotteita. </w:t>
      </w:r>
    </w:p>
    <w:p>
      <w:pPr>
        <w:pStyle w:val="Normal"/>
        <w:rPr/>
      </w:pPr>
      <w:r>
        <w:rPr/>
        <w:t xml:space="preserve">Tämä suositus on lupaava, koska sitä voitaisiin soveltaa myös muihin kuin elintarvikkeisiin. </w:t>
      </w:r>
    </w:p>
    <w:p>
      <w:pPr>
        <w:pStyle w:val="Normal"/>
        <w:rPr/>
      </w:pPr>
      <w:r>
        <w:rPr/>
        <w:t xml:space="preserve"> </w:t>
      </w:r>
    </w:p>
    <w:p>
      <w:pPr>
        <w:pStyle w:val="P68B1DB1Normal15"/>
        <w:rPr>
          <w:b/>
          <w:b/>
        </w:rPr>
      </w:pPr>
      <w:r>
        <w:rPr/>
        <w:t xml:space="preserve">27. Komitea suosittaa, että Euroopan unioni kannustaa tutkimus- ja kehitystoimintaa rahoitusohjelmien avulla, jotta voidaan varmistaa, että Euroopan markkinoilla on saatavilla kestävämpiä ja edullisempia tuotteita. Euroopan unionin on myös kuultava kansalaisia kaikilla päätöksenteon tasoilla, myös paikallistasolla, määrittääkseen heidän tarpeensa kestäville tuotteille. </w:t>
      </w:r>
    </w:p>
    <w:p>
      <w:pPr>
        <w:pStyle w:val="Normal"/>
        <w:rPr/>
      </w:pPr>
      <w:r>
        <w:rPr/>
        <w:t xml:space="preserve"> </w:t>
      </w:r>
    </w:p>
    <w:p>
      <w:pPr>
        <w:pStyle w:val="Normal"/>
        <w:rPr/>
      </w:pPr>
      <w:r>
        <w:rPr/>
        <w:t xml:space="preserve">Mielestämme kestävien tuotteiden tutkimus on riittämätöntä, ja tutkimukseen on kiireellisesti osoitettava enemmän varoja, jotta eurooppalaiset voivat saada edullisempia ja kestävämpiä tuotteita. </w:t>
      </w:r>
    </w:p>
    <w:p>
      <w:pPr>
        <w:pStyle w:val="Normal"/>
        <w:rPr/>
      </w:pPr>
      <w:r>
        <w:rPr/>
        <w:t xml:space="preserve">Kansalaisten on osallistuttava päätöksentekoon. Tutkimus- ja innovointitoimia koskeva ohjelma on laadittava yhdessä kansalaisten kanssa. Niille olisi tiedotettava jatkotoimista ja tuloksista olisi ilmoitettava heille. </w:t>
      </w:r>
    </w:p>
    <w:p>
      <w:pPr>
        <w:pStyle w:val="Normal"/>
        <w:rPr/>
      </w:pPr>
      <w:r>
        <w:rPr/>
      </w:r>
    </w:p>
    <w:p>
      <w:pPr>
        <w:pStyle w:val="P68B1DB1Normal15"/>
        <w:rPr>
          <w:b/>
          <w:b/>
        </w:rPr>
      </w:pPr>
      <w:r>
        <w:rPr/>
        <w:t xml:space="preserve">28. Suosittelemme, että Euroopan unioni ottaa käyttöön sääntelymekanismin yhteismarkkinoille tuleville muotituotteille. Mekanismin tarkoituksena olisi edistää kulutuksen parantamista indikaattorin avulla, jolla varmistetaan, että tuote täyttää kestävyyskriteerit. </w:t>
      </w:r>
    </w:p>
    <w:p>
      <w:pPr>
        <w:pStyle w:val="Normal"/>
        <w:rPr/>
      </w:pPr>
      <w:r>
        <w:rPr/>
        <w:t xml:space="preserve"> </w:t>
      </w:r>
    </w:p>
    <w:p>
      <w:pPr>
        <w:pStyle w:val="Normal"/>
        <w:rPr/>
      </w:pPr>
      <w:r>
        <w:rPr/>
        <w:t xml:space="preserve">Muotialalla, joka tuottaa liian paljon huonolaatuisia tuotteita Euroopan rajojen ulkopuolella, ei sovelleta eettisiä normeja eikä omaksuta kestävää käyttäytymistä. </w:t>
      </w:r>
    </w:p>
    <w:p>
      <w:pPr>
        <w:pStyle w:val="Normal"/>
        <w:rPr/>
      </w:pPr>
      <w:r>
        <w:rPr/>
        <w:t xml:space="preserve">Meidän on löydettävä oikeudenmukainen mekanismi, jonka avulla kuluttajat voivat kuluttaa paremmin. On kuitenkin tärkeää olla nostamatta veroja, joilla olisi kielteisiä vaikutuksia kuluttajiin, koska he vähentäisivät ostovoimaansa. </w:t>
      </w:r>
    </w:p>
    <w:p>
      <w:pPr>
        <w:pStyle w:val="Normal"/>
        <w:rPr/>
      </w:pPr>
      <w:r>
        <w:rPr/>
        <w:t xml:space="preserve">Kuluttajien olisi tiedettävä, millä ehdoilla heidän ostamansa tuotteet valmistetaan ja täyttävätkö he kestävät laatuvaatimukset. </w:t>
      </w:r>
    </w:p>
    <w:p>
      <w:pPr>
        <w:pStyle w:val="Normal"/>
        <w:rPr/>
      </w:pPr>
      <w:r>
        <w:rPr/>
        <w:t xml:space="preserve"> </w:t>
      </w:r>
    </w:p>
    <w:p>
      <w:pPr>
        <w:pStyle w:val="Titre3"/>
        <w:numPr>
          <w:ilvl w:val="2"/>
          <w:numId w:val="2"/>
        </w:numPr>
        <w:rPr/>
      </w:pPr>
      <w:bookmarkStart w:id="167" w:name="__RefHeading___Toc297269_1346298689"/>
      <w:bookmarkEnd w:id="167"/>
      <w:r>
        <w:rPr/>
        <w:t xml:space="preserve">Akseli 4: kohti kestävää yhteiskuntaa </w:t>
      </w:r>
    </w:p>
    <w:p>
      <w:pPr>
        <w:pStyle w:val="Titre4"/>
        <w:numPr>
          <w:ilvl w:val="3"/>
          <w:numId w:val="2"/>
        </w:numPr>
        <w:rPr/>
      </w:pPr>
      <w:bookmarkStart w:id="168" w:name="__RefHeading___Toc297271_1346298689"/>
      <w:bookmarkEnd w:id="168"/>
      <w:r>
        <w:rPr/>
        <w:t xml:space="preserve">Osa-akseli 4.1 Uusiutuvat energiat, tästä lähtien </w:t>
      </w:r>
    </w:p>
    <w:p>
      <w:pPr>
        <w:pStyle w:val="P68B1DB1Normal15"/>
        <w:rPr>
          <w:b/>
          <w:b/>
        </w:rPr>
      </w:pPr>
      <w:r>
        <w:rPr/>
        <w:t xml:space="preserve">29. Komitea suosittaa, että EU ryhtyy toimiin hiilidioksidisuodattimien tekemiseksi pakollisiksi erityisesti hiilivoimaloiden osalta siirtymäkauden aikana, kunhan luotamme edelleen perinteiseen energiaan. Lisäksi tilintarkastustuomioistuin suosittaa, että EU antaa taloudellista tukea jäsenvaltioille, joilla ei ole taloudellisia resursseja hiilidioksidisuodattimien toteuttamiseen. Tuen ehtona on Pariisin sopimukseen, vihreän kehityksen ohjelmaan ja mahdolliseen uuteen ilmastolakiin liittyvien EU:n ilmastopolitiikkojen noudattaminen. </w:t>
      </w:r>
    </w:p>
    <w:p>
      <w:pPr>
        <w:pStyle w:val="Normal"/>
        <w:rPr/>
      </w:pPr>
      <w:r>
        <w:rPr>
          <w:b/>
        </w:rPr>
        <w:t>Tämä on konkreettinen askel, joka on toteutettava samanaikaisesti energiantuotannon turvallisuutta koskevaan tutkimukseen tehtävien jatkuvien investointien kanssa, ja sen tavoitteena on auttaa EU:n jäsenvaltioita saavuttamaan asteittain yhteiset hiilidioksidipäästöjen vähentämistavoitteet.</w:t>
      </w:r>
      <w:r>
        <w:rPr/>
        <w:t xml:space="preserve"> </w:t>
      </w:r>
    </w:p>
    <w:p>
      <w:pPr>
        <w:pStyle w:val="Normal"/>
        <w:rPr/>
      </w:pPr>
      <w:r>
        <w:rPr/>
        <w:t xml:space="preserve"> </w:t>
      </w:r>
    </w:p>
    <w:p>
      <w:pPr>
        <w:pStyle w:val="Normal"/>
        <w:rPr/>
      </w:pPr>
      <w:r>
        <w:rPr/>
        <w:t xml:space="preserve">Tiedämme, että perinteisten polttoaineiden käyttö johtaa kasvihuonekaasupäästöihin, ja EU:n jäsenvaltioiden on vähennettävä perinteisten polttoaineiden käyttöä Pariisin sopimuksen noudattamiseksi. Koska hiilidioksidipäästöjä ei voida välittömästi lopettaa ja olemme edelleen riippuvaisia hiilestä, meidän on ryhdyttävä toimiin lyhyellä ja keskipitkällä aikavälillä. </w:t>
      </w:r>
    </w:p>
    <w:p>
      <w:pPr>
        <w:pStyle w:val="Normal"/>
        <w:rPr/>
      </w:pPr>
      <w:r>
        <w:rPr/>
        <w:t xml:space="preserve">Hiilidioksidipäästöjen vähentäminen on kaikkien kansalaisten yhteistä etua sekä että sen ulkopuolella. on toimielimenä omat vastuunsa, ja toimielin antaa suosituksia ja tarjoaa ratkaisuja, koska jäsenvaltiot eivät voi saavuttaa tavoitteita yksin. </w:t>
      </w:r>
    </w:p>
    <w:p>
      <w:pPr>
        <w:pStyle w:val="Normal"/>
        <w:rPr/>
      </w:pPr>
      <w:r>
        <w:rPr/>
      </w:r>
    </w:p>
    <w:p>
      <w:pPr>
        <w:pStyle w:val="P68B1DB1Normal15"/>
        <w:rPr>
          <w:b/>
          <w:b/>
        </w:rPr>
      </w:pPr>
      <w:r>
        <w:rPr/>
        <w:t xml:space="preserve">30. Suosittelemme vähentämään intensiivistä teollisuustuotantoa metaanituotannon ja veden pilaantumisen vähentämiseksi. Tätä varten EU tarkistaa yhteistä maatalouspolitiikkaansa kohdentaakseen tuet kestävään ja paikalliseen maatalouteen muun muassa sellaisen merkintäjärjestelmän avulla, jonka avulla kuluttajat voivat tunnistaa kestävät lihatuotteet. Kannustamme myös EU:ta investoimaan eläintuotannosta ja muusta teollisuudesta peräisin olevan jätteen uudelleenkäyttömenetelmiin. </w:t>
      </w:r>
    </w:p>
    <w:p>
      <w:pPr>
        <w:pStyle w:val="Normal"/>
        <w:rPr/>
      </w:pPr>
      <w:r>
        <w:rPr/>
        <w:t xml:space="preserve"> </w:t>
      </w:r>
    </w:p>
    <w:p>
      <w:pPr>
        <w:pStyle w:val="Normal"/>
        <w:rPr/>
      </w:pPr>
      <w:r>
        <w:rPr/>
        <w:t xml:space="preserve">Väestö kasvaa, mikä lisää lihan kysyntää tulevaisuudessa. Siksi lihan kulutusta on vähennettävä. </w:t>
      </w:r>
    </w:p>
    <w:p>
      <w:pPr>
        <w:pStyle w:val="Normal"/>
        <w:rPr/>
      </w:pPr>
      <w:r>
        <w:rPr/>
        <w:t xml:space="preserve">Koska metaani tuottaa kasvihuonekaasuja, uskomme, että on luonnollista aloittaa vähentämällä karjan päästöjä. </w:t>
      </w:r>
    </w:p>
    <w:p>
      <w:pPr>
        <w:pStyle w:val="Normal"/>
        <w:rPr/>
      </w:pPr>
      <w:r>
        <w:rPr/>
        <w:t xml:space="preserve">Me kaikki tiedämme, että lihan kulutusta on vähennettävä, ja siksi karjan määrää on vähennettävä vastaavasti. </w:t>
      </w:r>
    </w:p>
    <w:p>
      <w:pPr>
        <w:pStyle w:val="Normal"/>
        <w:rPr/>
      </w:pPr>
      <w:r>
        <w:rPr/>
        <w:t xml:space="preserve"> </w:t>
      </w:r>
    </w:p>
    <w:p>
      <w:pPr>
        <w:pStyle w:val="P68B1DB1Normal15"/>
        <w:rPr>
          <w:b/>
          <w:b/>
        </w:rPr>
      </w:pPr>
      <w:r>
        <w:rPr/>
        <w:t xml:space="preserve">31. Vaikka vihreän vedyn tuotanto on kallis prosessi, sillä 25 % vedyn saamiseen kuluu 75 % energiasta, tämäntyyppisellä energialla on monia myönteisiä puolia. Paras ratkaisu on tuottaa hiilidioksidivapaata energiaa vihreän vedyn kehittämisen ohella. Tuulienergiaa olisi käytettävä vihreän vedyn tuotantoon, ja EU:n olisi investoitava enemmän ja lisättävä tuulienergian tuotantoa ja varastoitava sitä tulevia tarpeita varten. </w:t>
      </w:r>
    </w:p>
    <w:p>
      <w:pPr>
        <w:pStyle w:val="Normal"/>
        <w:rPr/>
      </w:pPr>
      <w:r>
        <w:rPr/>
        <w:t xml:space="preserve"> </w:t>
      </w:r>
    </w:p>
    <w:p>
      <w:pPr>
        <w:pStyle w:val="Normal"/>
        <w:rPr/>
      </w:pPr>
      <w:r>
        <w:rPr/>
        <w:t xml:space="preserve">Vihreä vety on joustavaa ja sitä voidaan tarvittaessa varastoida käytettäväksi. Se ei aiheuta CO2-saastetta. </w:t>
      </w:r>
    </w:p>
    <w:p>
      <w:pPr>
        <w:pStyle w:val="Normal"/>
        <w:rPr/>
      </w:pPr>
      <w:r>
        <w:rPr/>
        <w:t xml:space="preserve"> </w:t>
      </w:r>
    </w:p>
    <w:p>
      <w:pPr>
        <w:pStyle w:val="Titre4"/>
        <w:numPr>
          <w:ilvl w:val="3"/>
          <w:numId w:val="2"/>
        </w:numPr>
        <w:rPr/>
      </w:pPr>
      <w:bookmarkStart w:id="169" w:name="__RefHeading___Toc297273_1346298689"/>
      <w:bookmarkEnd w:id="169"/>
      <w:r>
        <w:rPr/>
        <w:t xml:space="preserve">Osa-akseli 4.2 Muutoksen tukeminen </w:t>
      </w:r>
    </w:p>
    <w:p>
      <w:pPr>
        <w:pStyle w:val="P68B1DB1Normal15"/>
        <w:rPr>
          <w:b/>
          <w:b/>
        </w:rPr>
      </w:pPr>
      <w:r>
        <w:rPr/>
        <w:t xml:space="preserve">32. Komitea suosittaa, että EU ottaa käyttöön pakottamis- ja palkitsemisjärjestelmän, jolla torjutaan saastumista, kuten vettä, maaperää, ilmaa ja säteilyä. Saastuttajille on määrättävä sakkoja yhdessä sellaisen erityisorganisaation pakollisen tuen kanssa, jonka tarkoituksena on erityisesti auttaa toimijoita poistamaan saastumista ja ennallistamaan ekosysteemiä. Tämän erikoistuneen organisaation olisi oltava johtavassa asemassa pilaantumisen ehkäisemisessä ja valvonnassa. </w:t>
      </w:r>
    </w:p>
    <w:p>
      <w:pPr>
        <w:pStyle w:val="Normal"/>
        <w:rPr/>
      </w:pPr>
      <w:r>
        <w:rPr/>
        <w:t xml:space="preserve"> </w:t>
      </w:r>
    </w:p>
    <w:p>
      <w:pPr>
        <w:pStyle w:val="Normal"/>
        <w:rPr/>
      </w:pPr>
      <w:r>
        <w:rPr/>
        <w:t xml:space="preserve">Koska on tärkeää keskittyä saastuttajien velvollisuuksiin ja kannustaa toimijoita vähentämään pilaantumista kohdentamalla saasteettomuus. On tärkeää, että meillä on terve planeetta, koska se liittyy suoraan hyvinvointiimme ja tulevaan olemassaoloomme. </w:t>
      </w:r>
    </w:p>
    <w:p>
      <w:pPr>
        <w:pStyle w:val="Normal"/>
        <w:rPr/>
      </w:pPr>
      <w:r>
        <w:rPr/>
        <w:t xml:space="preserve"> </w:t>
      </w:r>
    </w:p>
    <w:p>
      <w:pPr>
        <w:pStyle w:val="P68B1DB1Normal15"/>
        <w:rPr>
          <w:b/>
          <w:b/>
        </w:rPr>
      </w:pPr>
      <w:r>
        <w:rPr/>
        <w:t xml:space="preserve">33. Suosittelemme, että EU perustaa verkkosivuston/alustan, jonka useat asiantuntijat todentavat ja joka sisältää monipuolista ja säännöllisesti päivitettävää ympäristötieteellistä tietoa ja joka on helposti kaikkien kansalaisten saatavilla ja avoin. Tämä verkkosivusto/alusta liitetään foorumiin, jossa kansalaiset ja asiantuntijat voivat olla vuorovaikutuksessa. Suosittelemme myös käynnistämään kampanjan tämän verkkosivuston/alustan mainostamiseksi (esim. sosiaalisen median, kuten YouTuben, TikTokin ja LinkedInin kautta). </w:t>
      </w:r>
    </w:p>
    <w:p>
      <w:pPr>
        <w:pStyle w:val="Normal"/>
        <w:rPr/>
      </w:pPr>
      <w:r>
        <w:rPr/>
        <w:t xml:space="preserve"> </w:t>
      </w:r>
    </w:p>
    <w:p>
      <w:pPr>
        <w:pStyle w:val="Normal"/>
        <w:rPr/>
      </w:pPr>
      <w:r>
        <w:rPr/>
        <w:t xml:space="preserve">Kaikilla kansalaisilla on oltava tieteelliseen näyttöön perustuvat riippumattomat tietolähteet, jotta he voivat ymmärtää ilmastonmuutokseen liittyvät haasteet (sen seuraukset ja toimenpiteet sen kääntämiseksi) sekä käsitellä vääriä uutisia. Mediakampanjalla lisätään tietoisuutta tämän foorumin/verkkosivuston olemassaolosta. On myös tärkeää, että verkkosivuston/alustan tarjoamat tiedot ovat ymmärrettäviä kaikille kansalaisille ja että lähdeaineisto on saatavilla niille, jotka haluavat syventää aihetta. </w:t>
      </w:r>
    </w:p>
    <w:p>
      <w:pPr>
        <w:pStyle w:val="Normal"/>
        <w:rPr/>
      </w:pPr>
      <w:r>
        <w:rPr/>
        <w:t xml:space="preserve"> </w:t>
      </w:r>
    </w:p>
    <w:p>
      <w:pPr>
        <w:pStyle w:val="P68B1DB1Normal15"/>
        <w:rPr>
          <w:b/>
          <w:b/>
        </w:rPr>
      </w:pPr>
      <w:r>
        <w:rPr/>
        <w:t xml:space="preserve">34. Tilintarkastustuomioistuin suosittaa, että EU vähentää sellaisten tuontitavaroiden määrää, jotka eivät täytä EU:n ympäristöjalanjälkeä koskevia normeja. </w:t>
      </w:r>
    </w:p>
    <w:p>
      <w:pPr>
        <w:pStyle w:val="Normal"/>
        <w:rPr/>
      </w:pPr>
      <w:r>
        <w:rPr/>
        <w:t xml:space="preserve"> </w:t>
      </w:r>
    </w:p>
    <w:p>
      <w:pPr>
        <w:pStyle w:val="Normal"/>
        <w:rPr/>
      </w:pPr>
      <w:r>
        <w:rPr/>
        <w:t xml:space="preserve">Näin varmistamme, että tuotavilla tavaroilla on vihreämpi jalanjälki. Tavoitteena on vähentää saastumista maailmanlaajuisesti. On myös tärkeää esittää standardit maille, jos ne haluavat viedä tavaroita. </w:t>
      </w:r>
    </w:p>
    <w:p>
      <w:pPr>
        <w:pStyle w:val="Normal"/>
        <w:rPr/>
      </w:pPr>
      <w:r>
        <w:rPr/>
        <w:t xml:space="preserve"> </w:t>
      </w:r>
    </w:p>
    <w:p>
      <w:pPr>
        <w:pStyle w:val="P68B1DB1Normal15"/>
        <w:rPr>
          <w:b/>
          <w:b/>
        </w:rPr>
      </w:pPr>
      <w:r>
        <w:rPr/>
        <w:t xml:space="preserve">35. Komitea suosittaa, että EU kannustaa, edistää ja helpottaa ilmastonmuutosta koskevaa vuoropuhelua kaikkien päätöksentekotasojen välillä hyvin paikallisista (kansalaisista) maailmanlaajuiseen (kansalliseen, kansainväliseen ja mannertenväliseen) päätöksentekoon, jotta voidaan käsitellä kaikkien sidosryhmien huolenaiheita. </w:t>
      </w:r>
    </w:p>
    <w:p>
      <w:pPr>
        <w:pStyle w:val="Normal"/>
        <w:rPr/>
      </w:pPr>
      <w:r>
        <w:rPr/>
        <w:t xml:space="preserve"> </w:t>
      </w:r>
    </w:p>
    <w:p>
      <w:pPr>
        <w:pStyle w:val="Normal"/>
        <w:rPr/>
      </w:pPr>
      <w:r>
        <w:rPr/>
        <w:t xml:space="preserve">Koska vuoropuhelu ja yhteisymmärrys ovat paras tapa vastata ilmastonmuutoksen haasteisiin: jos osapuolet ymmärtävät toisiaan, on enemmän halukkuutta löytää yhteinen perusta. </w:t>
      </w:r>
    </w:p>
    <w:p>
      <w:pPr>
        <w:pStyle w:val="Normal"/>
        <w:rPr/>
      </w:pPr>
      <w:r>
        <w:rPr/>
        <w:t xml:space="preserve"> </w:t>
      </w:r>
    </w:p>
    <w:p>
      <w:pPr>
        <w:pStyle w:val="Titre4"/>
        <w:numPr>
          <w:ilvl w:val="3"/>
          <w:numId w:val="2"/>
        </w:numPr>
        <w:rPr/>
      </w:pPr>
      <w:bookmarkStart w:id="170" w:name="__RefHeading___Toc297275_1346298689"/>
      <w:bookmarkEnd w:id="170"/>
      <w:r>
        <w:rPr/>
        <w:t xml:space="preserve">Osa-akseli 4.3 Ympäristöystävällinen liikenne </w:t>
      </w:r>
    </w:p>
    <w:p>
      <w:pPr>
        <w:pStyle w:val="Normal"/>
        <w:rPr/>
      </w:pPr>
      <w:r>
        <w:rPr>
          <w:b/>
        </w:rPr>
        <w:t>36. Tilintarkastustuomioistuin suosittaa, että EU tukee taloudellisesti Euroopan jäsenvaltioita maaseutualueiden yhteyksien parantamisessa. Tämä edellyttää kohtuuhintaisiin hintoihin (rautateiden priorisointi) ja julkisen liikenteen käytön kannustimiin perustuvan eurooppalaisen joukkoliikenneverkon kehittämistä. Tätä varten internetyhteyksiä olisi kehitettävä myös lyhyessä ja realistisessa aikataulussa maaseutualueilla.</w:t>
      </w:r>
      <w:r>
        <w:rPr/>
        <w:t xml:space="preserve"> </w:t>
      </w:r>
    </w:p>
    <w:p>
      <w:pPr>
        <w:pStyle w:val="Normal"/>
        <w:rPr/>
      </w:pPr>
      <w:r>
        <w:rPr/>
        <w:t xml:space="preserve"> </w:t>
      </w:r>
    </w:p>
    <w:p>
      <w:pPr>
        <w:pStyle w:val="Normal"/>
        <w:rPr/>
      </w:pPr>
      <w:r>
        <w:rPr/>
        <w:t xml:space="preserve">Esitämme tämän suosituksen, koska maaseutu- ja kaupunkialueiden välillä ei ole yhtäläisiä mahdollisuuksia käyttää julkista liikennettä ja internetyhteyksiä. Yhteistä eurooppalaista hanketta vahvistettaisiin, koska kaikki kansalaiset kokevat, että heillä on samat oikeudet. Julkisen liikenteen verkon ja internetyhteyksien vahvistaminen kannustaisi ihmisiä asettumaan maaseutualueille. Tämä prosessi vähentäisi saastumista, kun vähemmän ihmisiä asuisi ahtaasti asuvissa kaupungeissa. </w:t>
      </w:r>
    </w:p>
    <w:p>
      <w:pPr>
        <w:pStyle w:val="Normal"/>
        <w:rPr/>
      </w:pPr>
      <w:r>
        <w:rPr/>
        <w:t xml:space="preserve"> </w:t>
      </w:r>
    </w:p>
    <w:p>
      <w:pPr>
        <w:pStyle w:val="P68B1DB1Normal15"/>
        <w:rPr>
          <w:b/>
          <w:b/>
        </w:rPr>
      </w:pPr>
      <w:r>
        <w:rPr/>
        <w:t xml:space="preserve">37. Suosittelemme nykyisen liikenneinfrastruktuurin parantamista, joka on pudonnut käytöstä tai jota voidaan edelleen parantaa ekologisesti (sähköjunien perustaminen). Tämä prosessi on toteutettava rajoittamatta ympäristönsuojelualueiden käyttöä. </w:t>
      </w:r>
    </w:p>
    <w:p>
      <w:pPr>
        <w:pStyle w:val="Normal"/>
        <w:rPr/>
      </w:pPr>
      <w:r>
        <w:rPr/>
        <w:t xml:space="preserve"> </w:t>
      </w:r>
    </w:p>
    <w:p>
      <w:pPr>
        <w:pStyle w:val="Normal"/>
        <w:rPr/>
      </w:pPr>
      <w:r>
        <w:rPr/>
        <w:t>Olemassa olevan infrastruktuurin parantaminen estäisi tuhlaamasta liikaa resursseja ja vahingoittamasta tärkeitä suojelualueita biologisen monimuotoisuuden suojelemiseksi. Rautatieinfrastruktuurin lisääminen vähentäisi hiilidioksidipäästöjä ja</w:t>
      </w:r>
      <w:r>
        <w:rPr>
          <w:vertAlign w:val="subscript"/>
        </w:rPr>
        <w:t>edistäisi</w:t>
      </w:r>
      <w:r>
        <w:rPr/>
        <w:t xml:space="preserve"> ihmisten liikkuvuutta kaupunkien ja maaseutualueiden välillä. </w:t>
      </w:r>
    </w:p>
    <w:p>
      <w:pPr>
        <w:pStyle w:val="Normal"/>
        <w:rPr/>
      </w:pPr>
      <w:r>
        <w:rPr/>
        <w:t xml:space="preserve"> </w:t>
      </w:r>
    </w:p>
    <w:p>
      <w:pPr>
        <w:pStyle w:val="P68B1DB1Normal15"/>
        <w:rPr>
          <w:b/>
          <w:b/>
        </w:rPr>
      </w:pPr>
      <w:r>
        <w:rPr/>
        <w:t xml:space="preserve">38. Suosittelemme, että EU kannustaa ostamaan sähköajoneuvoja, jotka täyttävät hyvät akunkestovaatimukset. Tätä varten EU voisi kannustaa kaikkia jäsenvaltioita ja parantaa sähköinfrastruktuuria. Samalla EU:n olisi investoitava muiden puhtaiden teknologioiden, kuten biopolttoaineiden ja vedyn, kehittämiseen ajoneuvoissa, joiden sähköistäminen on vaikeaa, kuten veneisiin ja kuorma-autoihin. </w:t>
      </w:r>
    </w:p>
    <w:p>
      <w:pPr>
        <w:pStyle w:val="Normal"/>
        <w:rPr/>
      </w:pPr>
      <w:r>
        <w:rPr/>
        <w:t xml:space="preserve"> </w:t>
      </w:r>
    </w:p>
    <w:p>
      <w:pPr>
        <w:pStyle w:val="Normal"/>
        <w:rPr/>
      </w:pPr>
      <w:r>
        <w:rPr/>
        <w:t xml:space="preserve">Esitämme tämän suosituksen, koska sähkö on nopein tapa vähentää ajoneuvojen päästöjä muilla energialähteillä, kuten vedyllä ja biopolttoaineilla. Nopein, taloudellinen ja toteuttamiskelpoinen ratkaisu on sähkö ja sen jälkeen biopolttoaineet. Pitkällä aikavälillä vihreällä vedyllä olisi oltava täydentävä rooli sellaisten liikennemuotojen kattamisessa, joita ei voida sähköistää. </w:t>
      </w:r>
    </w:p>
    <w:p>
      <w:pPr>
        <w:pStyle w:val="Normal"/>
        <w:rPr/>
      </w:pPr>
      <w:r>
        <w:rPr/>
        <w:t xml:space="preserve"> </w:t>
      </w:r>
    </w:p>
    <w:p>
      <w:pPr>
        <w:pStyle w:val="Titre3"/>
        <w:numPr>
          <w:ilvl w:val="2"/>
          <w:numId w:val="2"/>
        </w:numPr>
        <w:rPr/>
      </w:pPr>
      <w:bookmarkStart w:id="171" w:name="__RefHeading___Toc297277_1346298689"/>
      <w:bookmarkEnd w:id="171"/>
      <w:r>
        <w:rPr/>
        <w:t xml:space="preserve">Akseli 5 Huolto kaikille </w:t>
      </w:r>
    </w:p>
    <w:p>
      <w:pPr>
        <w:pStyle w:val="Titre4"/>
        <w:numPr>
          <w:ilvl w:val="3"/>
          <w:numId w:val="2"/>
        </w:numPr>
        <w:rPr/>
      </w:pPr>
      <w:bookmarkStart w:id="172" w:name="__RefHeading___Toc297279_1346298689"/>
      <w:bookmarkEnd w:id="172"/>
      <w:r>
        <w:rPr/>
        <w:t xml:space="preserve">Osa-akseli 5.1 Vahvistaa terveydenhuoltojärjestelmää </w:t>
      </w:r>
    </w:p>
    <w:p>
      <w:pPr>
        <w:pStyle w:val="P68B1DB1Normal15"/>
        <w:rPr>
          <w:b/>
          <w:b/>
        </w:rPr>
      </w:pPr>
      <w:r>
        <w:rPr/>
        <w:t xml:space="preserve">39. Suosittelemme, että Euroopan unioni takaa yhteiset terveysnormit, mutta kannattaa myös kunnollisia vähimmäispalkkoja, enimmäistyöaikoja ja samoja koulutusvaatimuksia terveydenhuollon ammattilaisille kaikkialla Euroopan unionissa. </w:t>
      </w:r>
    </w:p>
    <w:p>
      <w:pPr>
        <w:pStyle w:val="Normal"/>
        <w:rPr/>
      </w:pPr>
      <w:r>
        <w:rPr/>
        <w:t xml:space="preserve"> </w:t>
      </w:r>
    </w:p>
    <w:p>
      <w:pPr>
        <w:pStyle w:val="Normal"/>
        <w:rPr/>
      </w:pPr>
      <w:r>
        <w:rPr/>
        <w:t xml:space="preserve">Jos meillä ei ole yhteisiä terveydenhuollon standardeja, palkkoja ja yhteistä koulutusta terveydenhuollon ammattilaisille, jäsenvaltioiden väliset erot voivat johtaa epäsuhtaisiin tilanteisiin eri puolilla Euroopan unionia. Terveydenhuollon standardointi voisi edistää vahvempaa, tehokkaampaa ja häiriönsietokykyisempää järjestelmää (esim. EU:n järjestelmien vakauteen liittyvä covid-19-kriisi). Se helpottaisi myös tietämyksen ja tiedon jakamista terveydenhuollon ammattilaisten alalla. </w:t>
      </w:r>
    </w:p>
    <w:p>
      <w:pPr>
        <w:pStyle w:val="Normal"/>
        <w:rPr/>
      </w:pPr>
      <w:r>
        <w:rPr/>
        <w:t xml:space="preserve"> </w:t>
      </w:r>
    </w:p>
    <w:p>
      <w:pPr>
        <w:pStyle w:val="P68B1DB1Normal15"/>
        <w:rPr>
          <w:b/>
          <w:b/>
        </w:rPr>
      </w:pPr>
      <w:r>
        <w:rPr/>
        <w:t xml:space="preserve">40. Suosittelemme, että Euroopan unioni varmistaa, että koko EU:n alueella tapahtuva kohtelu on yhtä laadukasta ja kohtuuhintaista paikallistasolla. Tämä voitaisiin varmistaa esimerkiksi laajentamalla Euroopan lääkeviraston (EMA) toimivaltaa tai perustamalla uusi eurooppalainen julkisia hankintoja käsittelevä virasto, jolla olisi toimivalta neuvotella ja saada asianmukaisemmat hinnat lääkkeistä kaikissa jäsenvaltioissa. Lääketeollisuuden monopolien riski on minimoitava. </w:t>
      </w:r>
    </w:p>
    <w:p>
      <w:pPr>
        <w:pStyle w:val="Normal"/>
        <w:rPr/>
      </w:pPr>
      <w:r>
        <w:rPr/>
        <w:t xml:space="preserve"> </w:t>
      </w:r>
    </w:p>
    <w:p>
      <w:pPr>
        <w:pStyle w:val="Normal"/>
        <w:rPr/>
      </w:pPr>
      <w:r>
        <w:rPr/>
        <w:t xml:space="preserve">Terveydenhuollon ja hoidon tasapuolinen kohtelu takaa yhtäläiset terveysoikeudet kaikille Euroopan kansalaisille. Ostokapasiteetin lisääminen takaa paremmat osto-olosuhteet. Tämä ei kuitenkaan saisi johtaa monopolirakenteisiin ja lääkealan edunvalvontaan. Covid-19-kriisin hallinta on ollut hyvä esimerkki koko Euroopan unionin yhteistyöhön perustuvasta terveydenhuollon hallinnasta. </w:t>
      </w:r>
    </w:p>
    <w:p>
      <w:pPr>
        <w:pStyle w:val="Normal"/>
        <w:rPr/>
      </w:pPr>
      <w:r>
        <w:rPr/>
        <w:t xml:space="preserve"> </w:t>
      </w:r>
    </w:p>
    <w:p>
      <w:pPr>
        <w:pStyle w:val="P68B1DB1Normal15"/>
        <w:rPr>
          <w:b/>
          <w:b/>
        </w:rPr>
      </w:pPr>
      <w:r>
        <w:rPr/>
        <w:t xml:space="preserve">41. Komitea suosittaa, että perustetaan eurooppalainen terveydenhuollon tietokanta, jossa potilastiedot olisivat saatavilla hätätilanteessa tai sairauden sattuessa. Osallistumisen olisi oltava vapaaehtoista, ja olisi varmistettava henkilötietojen suoja. </w:t>
      </w:r>
    </w:p>
    <w:p>
      <w:pPr>
        <w:pStyle w:val="Normal"/>
        <w:rPr/>
      </w:pPr>
      <w:r>
        <w:rPr/>
        <w:t xml:space="preserve"> </w:t>
      </w:r>
    </w:p>
    <w:p>
      <w:pPr>
        <w:pStyle w:val="Normal"/>
        <w:rPr/>
      </w:pPr>
      <w:r>
        <w:rPr/>
        <w:t xml:space="preserve">Tietojen saatavuus ja tietojen käyttö mahdollistavat nopean reagoinnin tilanteissa, joissa henki on vaarassa. Piratismi tai väärinkäyttö ovat suuria uhkia tällaiselle eurooppalaiselle terveydenhuollon tietokantajärjestelmälle, joten tietojen suojaaminen on välttämätöntä, vaikka osallistuminen on edelleen vapaaehtoista, ja tietenkin turvallisuuteen liittyvien uhkien estämiseksi. </w:t>
      </w:r>
    </w:p>
    <w:p>
      <w:pPr>
        <w:pStyle w:val="Normal"/>
        <w:rPr/>
      </w:pPr>
      <w:r>
        <w:rPr/>
        <w:t xml:space="preserve"> </w:t>
      </w:r>
    </w:p>
    <w:p>
      <w:pPr>
        <w:pStyle w:val="P68B1DB1Normal15"/>
        <w:rPr>
          <w:b/>
          <w:b/>
        </w:rPr>
      </w:pPr>
      <w:r>
        <w:rPr/>
        <w:t xml:space="preserve">42. Tilintarkastustuomioistuin suosittaa, että Euroopan unioni jatkaa nykyisten terveysalan tutkimus- ja innovointiohjelmien kehittämistä ja synkronointia, kuten nykyisessä Horisontti Eurooppa -ohjelmassa. Tutkimusten tulosten olisi oltava vapaasti saatavilla kaikissa jäsenvaltioissa. </w:t>
      </w:r>
    </w:p>
    <w:p>
      <w:pPr>
        <w:pStyle w:val="Normal"/>
        <w:rPr/>
      </w:pPr>
      <w:r>
        <w:rPr/>
        <w:t xml:space="preserve"> </w:t>
      </w:r>
    </w:p>
    <w:p>
      <w:pPr>
        <w:pStyle w:val="Normal"/>
        <w:rPr/>
      </w:pPr>
      <w:r>
        <w:rPr/>
        <w:t xml:space="preserve">EU:n tason tieteellinen yhteistyö voisi rikastuttaa yksittäisten tutkijoiden tieteellisiä valmiuksia ja tietämystä. Tietämyksen jakaminen voisi esimerkiksi johtaa varhaiseen diagnosointiin ja parempiin hoitoihin vakavien ja kuolemaan johtavien sairauksien vähentämiseksi kaikkialla Euroopassa. Se edistäisi myös Euroopan omavaraisuutta lääkkeissä ja laitteissa. </w:t>
      </w:r>
    </w:p>
    <w:p>
      <w:pPr>
        <w:pStyle w:val="Normal"/>
        <w:rPr/>
      </w:pPr>
      <w:r>
        <w:rPr/>
        <w:t xml:space="preserve"> </w:t>
      </w:r>
    </w:p>
    <w:p>
      <w:pPr>
        <w:pStyle w:val="P68B1DB1Normal15"/>
        <w:rPr>
          <w:b/>
          <w:b/>
        </w:rPr>
      </w:pPr>
      <w:r>
        <w:rPr/>
        <w:t xml:space="preserve">43. Tilintarkastustuomioistuin suosittaa, että EU lisää määrärahojaan yhteisiin terveysalan tutkimus- ja innovointihankkeisiin (ilman leikkauksia muihin terveyteen liittyviin EU:n ohjelmiin). Tämä vahvistaisi myös Euroopan tiede- ja tutkimuslaitoksia kokonaisuudessaan. </w:t>
      </w:r>
    </w:p>
    <w:p>
      <w:pPr>
        <w:pStyle w:val="Normal"/>
        <w:rPr/>
      </w:pPr>
      <w:r>
        <w:rPr/>
        <w:t xml:space="preserve"> </w:t>
      </w:r>
    </w:p>
    <w:p>
      <w:pPr>
        <w:pStyle w:val="Normal"/>
        <w:rPr/>
      </w:pPr>
      <w:r>
        <w:rPr/>
        <w:t xml:space="preserve">Terveystutkimus ja -investoinnit vahvistavat ennaltaehkäisevää lääketiedettä pitkällä aikavälillä ja vähentävät terveyteen liittyviä kustannuksia. Rahoituksen lisääminen voisi estää eurooppalaisen aivovuodon muihin kehittyneisiin maihin, joilla on suuremmat T &amp; K-määrärahat terveyteen. Tämän rahoituksen ei pitäisi olla peräisin terveydenhuollon nykyisistä rahoitusvaroista. </w:t>
      </w:r>
    </w:p>
    <w:p>
      <w:pPr>
        <w:pStyle w:val="Normal"/>
        <w:rPr/>
      </w:pPr>
      <w:r>
        <w:rPr/>
        <w:t xml:space="preserve"> </w:t>
      </w:r>
    </w:p>
    <w:p>
      <w:pPr>
        <w:pStyle w:val="Titre4"/>
        <w:numPr>
          <w:ilvl w:val="3"/>
          <w:numId w:val="2"/>
        </w:numPr>
        <w:rPr/>
      </w:pPr>
      <w:bookmarkStart w:id="173" w:name="__RefHeading___Toc297281_1346298689"/>
      <w:bookmarkEnd w:id="173"/>
      <w:r>
        <w:rPr/>
        <w:t xml:space="preserve">Osa-akseli 5.2 Laajampi näkemys terveydestä </w:t>
      </w:r>
    </w:p>
    <w:p>
      <w:pPr>
        <w:pStyle w:val="P68B1DB1Normal15"/>
        <w:rPr>
          <w:b/>
          <w:b/>
        </w:rPr>
      </w:pPr>
      <w:r>
        <w:rPr/>
        <w:t xml:space="preserve">44. Suosittelemme terveysviikon perustamista kaikille jäsenvaltioille samalla viikolla kaikille terveyskysymyksille keskittyen mielenterveyteen keskittyvänä EU:n aloitteena. Tällä viikolla käsitellään ja edistetään yhteisesti kaikkia keskeisiä mielenterveyskysymyksiä sekä muita jo olemassa olevia aloitteita, kuten Mielenterveys Euroopassa. </w:t>
      </w:r>
    </w:p>
    <w:p>
      <w:pPr>
        <w:pStyle w:val="Normal"/>
        <w:rPr/>
      </w:pPr>
      <w:r>
        <w:rPr/>
        <w:t xml:space="preserve"> </w:t>
      </w:r>
    </w:p>
    <w:p>
      <w:pPr>
        <w:pStyle w:val="Normal"/>
        <w:rPr/>
      </w:pPr>
      <w:r>
        <w:rPr/>
        <w:t xml:space="preserve">Annamme tämän suosituksen, koska kaikkien Euroopan kansalaisten on tunnettava itsensä hyväksytyiksi ja mukaan, erityisesti jos he kärsivät mielenterveysongelmista. Lisäksi on tarpeen standardoida ja parantaa tietoisuutta mielenterveysongelmista sekä ehkäistä asiaan liittyviä sosiaalisia ongelmia, kuten syrjintää. Lisäksi koska mielenterveysongelmat ovat lisääntyneet pandemian myötä ja ne todennäköisesti jatkuvat, tämä aloite on sitäkin tärkeämpi. </w:t>
      </w:r>
    </w:p>
    <w:p>
      <w:pPr>
        <w:pStyle w:val="Normal"/>
        <w:rPr/>
      </w:pPr>
      <w:r>
        <w:rPr/>
        <w:t xml:space="preserve"> </w:t>
      </w:r>
    </w:p>
    <w:p>
      <w:pPr>
        <w:pStyle w:val="P68B1DB1Normal15"/>
        <w:rPr>
          <w:b/>
          <w:b/>
        </w:rPr>
      </w:pPr>
      <w:r>
        <w:rPr/>
        <w:t xml:space="preserve">45. Suosittelemme, että naisten hygieniatuotteita ei enää pidetä ylellisyystavaroina verotuksen kannalta, koska ne ovat välttämättömiä tuotteita. Suosittelemme myös, että lääketieteellisistä syistä, kuten fibromyalgiasta ja endometrioosista, käytettäviä hormonaalisia ehkäisyvalmisteita verotetaan säännöllisenä lääketieteellisenä hoitona. Suosittelemme myös, että Euroopan unioni kannustaa kaikkien (yhdessä tai naimisissa olevien) naisten lääketieteellisesti avustetun lisääntymishoidon yhdenmukaistamiseen kaikissa jäsenvaltioissa. </w:t>
      </w:r>
    </w:p>
    <w:p>
      <w:pPr>
        <w:pStyle w:val="Normal"/>
        <w:rPr/>
      </w:pPr>
      <w:r>
        <w:rPr/>
        <w:t xml:space="preserve"> </w:t>
      </w:r>
    </w:p>
    <w:p>
      <w:pPr>
        <w:pStyle w:val="Normal"/>
        <w:rPr/>
      </w:pPr>
      <w:r>
        <w:rPr/>
        <w:t xml:space="preserve">Joissakin Euroopan maissa naisten hygieenisiä tuotteita verotetaan luksustavaroina, mikä on epäoikeudenmukaista. Joitakin hormonaalisia ehkäisyvalmisteita käytetään lääketieteellisiin tarkoituksiin, joten niitä on verotettava vastaavasti. Koska naisten lisääntymishoidoilla, kuten koeputkihedelmöityksellä ja munien jäädyttämismenetelmillä, on erilaiset tukikelpoisuusedellytykset eri jäsenvaltioissa, ja Euroopan unionin on pyrittävä yhdenmukaistamaan niitä. </w:t>
      </w:r>
    </w:p>
    <w:p>
      <w:pPr>
        <w:pStyle w:val="Normal"/>
        <w:rPr/>
      </w:pPr>
      <w:r>
        <w:rPr/>
        <w:t xml:space="preserve"> </w:t>
      </w:r>
    </w:p>
    <w:p>
      <w:pPr>
        <w:pStyle w:val="P68B1DB1Normal15"/>
        <w:rPr>
          <w:b/>
          <w:b/>
        </w:rPr>
      </w:pPr>
      <w:r>
        <w:rPr/>
        <w:t xml:space="preserve">46. Suosittelemme, että Euroopan unioni omaksuu vakaan kannan kannustaakseen kaikkia jäsenvaltioita sisällyttämään koulujensa opetussuunnitelmiin tarvittaessa mielenterveys- ja sukupuolikasvatukseen liittyviä kysymyksiä. Auttaakseen jäsenvaltioita omaksumaan nämä asiat koulujen opetussuunnitelmissa Euroopan unionin olisi kehitettävä mielenterveys- ja seksuaalikysymyksiä koskeva vakio-ohjelma ja asetettava se saataville. </w:t>
      </w:r>
    </w:p>
    <w:p>
      <w:pPr>
        <w:pStyle w:val="Normal"/>
        <w:rPr/>
      </w:pPr>
      <w:r>
        <w:rPr/>
        <w:t xml:space="preserve"> </w:t>
      </w:r>
    </w:p>
    <w:p>
      <w:pPr>
        <w:pStyle w:val="Normal"/>
        <w:rPr/>
      </w:pPr>
      <w:r>
        <w:rPr/>
        <w:t xml:space="preserve">Mielenterveysongelmiin liittyvää syrjintää ja tabuja on vähennettävä. Disinformaatiota ja ei-tieteellisiä lähestymistapoja on myös vältettävä. Lisäksi sukupuolikasvatus on elintärkeää terveelle elämälle ja yhteisölle, ja se estää ongelmia, kuten teiniraskauksia. </w:t>
      </w:r>
    </w:p>
    <w:p>
      <w:pPr>
        <w:pStyle w:val="Normal"/>
        <w:rPr/>
      </w:pPr>
      <w:r>
        <w:rPr/>
        <w:t xml:space="preserve"> </w:t>
      </w:r>
    </w:p>
    <w:p>
      <w:pPr>
        <w:pStyle w:val="P68B1DB1Normal15"/>
        <w:rPr>
          <w:b/>
          <w:b/>
        </w:rPr>
      </w:pPr>
      <w:r>
        <w:rPr/>
        <w:t xml:space="preserve">47. Tilintarkastustuomioistuin suosittaa, että Euroopan unioni kehittää paremman viestintäjärjestelmän kaikkia mielenterveysaloitteitaan varten, nimittäin parhaita käytäntöjä käsittelevän kansanterveysportaalin jäsenvaltioissa ja kaikille kansalaisille. Parlamentin jäsenet voisivat esitellä nämä parhaat käytännöt toisilleen, jotta ne olisivat paremmin tunnettuja kaikissa jäsenvaltioissa. </w:t>
      </w:r>
    </w:p>
    <w:p>
      <w:pPr>
        <w:pStyle w:val="Normal"/>
        <w:rPr/>
      </w:pPr>
      <w:r>
        <w:rPr/>
        <w:t xml:space="preserve"> </w:t>
      </w:r>
    </w:p>
    <w:p>
      <w:pPr>
        <w:pStyle w:val="Normal"/>
        <w:rPr/>
      </w:pPr>
      <w:r>
        <w:rPr/>
        <w:t xml:space="preserve">Kansalaiset eivät ole hyvin tietoisia EU:n aloitteista, ja parhaiden käytäntöjen jakaminen antaa meille mahdollisuuden oppia toisiltamme. </w:t>
      </w:r>
    </w:p>
    <w:p>
      <w:pPr>
        <w:pStyle w:val="Normal"/>
        <w:rPr/>
      </w:pPr>
      <w:r>
        <w:rPr/>
        <w:t xml:space="preserve"> </w:t>
      </w:r>
    </w:p>
    <w:p>
      <w:pPr>
        <w:pStyle w:val="Titre4"/>
        <w:numPr>
          <w:ilvl w:val="3"/>
          <w:numId w:val="2"/>
        </w:numPr>
        <w:rPr/>
      </w:pPr>
      <w:bookmarkStart w:id="174" w:name="__RefHeading___Toc297283_1346298689"/>
      <w:bookmarkEnd w:id="174"/>
      <w:r>
        <w:rPr/>
        <w:t xml:space="preserve">Osa-alue 5.3 Terveydenhuollon yhdenvertainen saatavuus kaikille </w:t>
      </w:r>
    </w:p>
    <w:p>
      <w:pPr>
        <w:pStyle w:val="P68B1DB1Normal15"/>
        <w:rPr>
          <w:b/>
          <w:b/>
        </w:rPr>
      </w:pPr>
      <w:r>
        <w:rPr/>
        <w:t xml:space="preserve">48. Tilintarkastustuomioistuin suosittaa, että EU laatii ja edistää laadukkaan hammashoidon, myös ennaltaehkäisyn, vähimmäisvaatimuksia kaikissa EU:n jäsenvaltioissa. Lapsille, pienituloisille ja muille haavoittuvassa asemassa oleville ryhmille olisi annettava maksuton hammashoito. EU:n olisi varmistettava 15–20 vuoden kuluessa, että kohtuuhintainen hammashoito on kaikkien saatavilla. </w:t>
      </w:r>
    </w:p>
    <w:p>
      <w:pPr>
        <w:pStyle w:val="Normal"/>
        <w:rPr/>
      </w:pPr>
      <w:r>
        <w:rPr/>
        <w:t xml:space="preserve"> </w:t>
      </w:r>
    </w:p>
    <w:p>
      <w:pPr>
        <w:pStyle w:val="Normal"/>
        <w:rPr/>
      </w:pPr>
      <w:r>
        <w:rPr/>
        <w:t xml:space="preserve">Teemme tämän suosituksen, koska hammashoito ei tällä hetkellä ole kohtuuhintaista monille EU:n alueella asuville. Hammashoidon ja hammasprofylaksian puuttuminen haittaa heidän terveyttään ja elämännäkymiään. EU:n olisi aloitettava asettamalla hammashoidolle vähimmäisvaatimukset ja vaadittava maksutonta hammashoitoa lapsille ja pienituloisille ryhmille. Jokaisella pitäisi olla oikeus laadukkaaseen hammashoitoon. </w:t>
      </w:r>
    </w:p>
    <w:p>
      <w:pPr>
        <w:pStyle w:val="Normal"/>
        <w:rPr/>
      </w:pPr>
      <w:r>
        <w:rPr/>
        <w:t xml:space="preserve"> </w:t>
      </w:r>
    </w:p>
    <w:p>
      <w:pPr>
        <w:pStyle w:val="P68B1DB1Normal15"/>
        <w:rPr>
          <w:b/>
          <w:b/>
        </w:rPr>
      </w:pPr>
      <w:r>
        <w:rPr/>
        <w:t xml:space="preserve">49. Tilintarkastustuomioistuin suosittaa, että terveys ja terveydenhuolto sisällytetään EU:n ja sen jäsenvaltioiden jaettuun toimivaltaan. Tämän uuden jaetun toimivallan sisällyttämiseksi siihen on tarpeen muuttaa Euroopan unionin toiminnasta tehdyn sopimuksen (SEUT) 4 artiklaa. </w:t>
      </w:r>
    </w:p>
    <w:p>
      <w:pPr>
        <w:pStyle w:val="Normal"/>
        <w:rPr/>
      </w:pPr>
      <w:r>
        <w:rPr/>
        <w:t xml:space="preserve"> </w:t>
      </w:r>
    </w:p>
    <w:p>
      <w:pPr>
        <w:pStyle w:val="Normal"/>
        <w:rPr/>
      </w:pPr>
      <w:r>
        <w:rPr/>
        <w:t xml:space="preserve">Esitämme tämän suosituksen, koska Euroopan unionilla ei ole tällä hetkellä riittäviä valtuuksia antaa lainsäädäntöä terveydenhuollon alalla. Covid-19-pandemia on osoittanut tarpeen lisätä EU:n läsnäoloa terveyspolitiikassa. Tämän perussopimuksen muutoksen ansiosta EU voi tehdä enemmän varmistaakseen terveydenhuollon kaikille EU:n kansalaisille ja antaakseen sitovia asetuksia ja päätöksiä. </w:t>
      </w:r>
    </w:p>
    <w:p>
      <w:pPr>
        <w:pStyle w:val="Normal"/>
        <w:rPr/>
      </w:pPr>
      <w:r>
        <w:rPr/>
        <w:t xml:space="preserve"> </w:t>
      </w:r>
    </w:p>
    <w:p>
      <w:pPr>
        <w:pStyle w:val="P68B1DB1Normal15"/>
        <w:rPr>
          <w:b/>
          <w:b/>
        </w:rPr>
      </w:pPr>
      <w:r>
        <w:rPr/>
        <w:t xml:space="preserve">50. Suosittelemme, että EU tarjoaa kaikille EU:n kansalaisille ilmaisia ensiapukursseja. EU voisi harkita näiden kurssien tekemistä pakolliseksi opiskelijoille ja työpaikoilla (sekä julkisella että yksityisellä sektorilla). Näiden kurssien on myös oltava käytännöllisiä, toistuvia ja mukautettuja opiskelijoiden ikään. Kaikissa EU:n jäsenvaltioissa olisi oltava käytettävissä vähimmäismäärä defibrillaattoreita myös julkisilla paikoilla. </w:t>
      </w:r>
    </w:p>
    <w:p>
      <w:pPr>
        <w:pStyle w:val="Normal"/>
        <w:rPr/>
      </w:pPr>
      <w:r>
        <w:rPr/>
        <w:t xml:space="preserve"> </w:t>
      </w:r>
    </w:p>
    <w:p>
      <w:pPr>
        <w:pStyle w:val="Normal"/>
        <w:rPr/>
      </w:pPr>
      <w:r>
        <w:rPr/>
        <w:t xml:space="preserve">Suosittelemme sitä, koska monet Euroopan unionin kansalaiset eivät ole valmiita toimimaan silloin, kun henkilö tarvitsee apua ja koska he eivät tunne ensiaputekniikoita. Siksi menetetään monia ihmishenkiä. Joillakin julkisilla paikoilla ei ole defibrillaattoria. </w:t>
      </w:r>
    </w:p>
    <w:p>
      <w:pPr>
        <w:pStyle w:val="Normal"/>
        <w:rPr/>
      </w:pPr>
      <w:r>
        <w:rPr/>
        <w:t xml:space="preserve"> </w:t>
      </w:r>
    </w:p>
    <w:p>
      <w:pPr>
        <w:pStyle w:val="P68B1DB1Normal15"/>
        <w:rPr>
          <w:b/>
          <w:b/>
        </w:rPr>
      </w:pPr>
      <w:r>
        <w:rPr/>
        <w:t xml:space="preserve">51. Suosittelemme, että Euroopan unioni varmistaa, että yksityiset terveydenhuollon tarjoajat eivät hyödy epäoikeudenmukaisesti julkisista varoista eivätkä hyödynnä julkisten terveydenhuoltojärjestelmien resursseja. Euroopan unionin olisi annettava jäsenvaltioille tiukkoja suosituksia julkisen terveydenhuollon rahoituksen lisäämiseksi. </w:t>
      </w:r>
    </w:p>
    <w:p>
      <w:pPr>
        <w:pStyle w:val="Normal"/>
        <w:rPr/>
      </w:pPr>
      <w:r>
        <w:rPr/>
        <w:t xml:space="preserve"> </w:t>
      </w:r>
    </w:p>
    <w:p>
      <w:pPr>
        <w:pStyle w:val="Normal"/>
        <w:rPr/>
      </w:pPr>
      <w:r>
        <w:rPr/>
        <w:t xml:space="preserve">Esitämme tämän suosituksen, koska Euroopan unionilla ja sen jäsenvaltioilla on velvollisuus varmistaa terveydenhuollon saatavuus kaikille kansalaisilleen. Lisäksi vahvempi kansanterveysjärjestelmä edellyttää myös parempaa varautumista tuleviin pandemioihin. </w:t>
      </w:r>
    </w:p>
    <w:p>
      <w:pPr>
        <w:pStyle w:val="Normal"/>
        <w:rPr/>
      </w:pPr>
      <w:r>
        <w:rPr/>
        <w:t xml:space="preserve"> </w:t>
      </w:r>
    </w:p>
    <w:p>
      <w:pPr>
        <w:pStyle w:val="Titre3"/>
        <w:numPr>
          <w:ilvl w:val="2"/>
          <w:numId w:val="2"/>
        </w:numPr>
        <w:rPr/>
      </w:pPr>
      <w:bookmarkStart w:id="175" w:name="__RefHeading___Toc297285_1346298689"/>
      <w:bookmarkEnd w:id="175"/>
      <w:r>
        <w:rPr/>
        <w:t xml:space="preserve">Liite: MUUT PANEELIN KÄSITTELEMÄT SUOSITUKSET, JOITA EI HYVÄKSYTTY </w:t>
      </w:r>
    </w:p>
    <w:p>
      <w:pPr>
        <w:pStyle w:val="Titre4"/>
        <w:numPr>
          <w:ilvl w:val="3"/>
          <w:numId w:val="2"/>
        </w:numPr>
        <w:rPr/>
      </w:pPr>
      <w:bookmarkStart w:id="176" w:name="__RefHeading___Toc297287_1346298689"/>
      <w:bookmarkEnd w:id="176"/>
      <w:r>
        <w:rPr/>
        <w:t xml:space="preserve">Akseli 1: Parempia elämäntapoja </w:t>
      </w:r>
    </w:p>
    <w:p>
      <w:pPr>
        <w:pStyle w:val="Normal"/>
        <w:rPr/>
      </w:pPr>
      <w:r>
        <w:rPr/>
        <w:t xml:space="preserve">Osa-akseli 1.1 Terveellinen elämäntapa </w:t>
      </w:r>
    </w:p>
    <w:p>
      <w:pPr>
        <w:pStyle w:val="P68B1DB1Normal15"/>
        <w:rPr>
          <w:b/>
          <w:b/>
        </w:rPr>
      </w:pPr>
      <w:r>
        <w:rPr/>
        <w:t xml:space="preserve">Tilintarkastustuomioistuin suosittaa, että EU lähettää kaikille jäsenvaltioille suosituksen parhaista käytännöistä alkoholin ja tupakan mainonnan kieltämiseksi tai rajoittamiseksi kaikissa tiedotusvälineissä ja kaikissa ikäryhmissä kiinnittäen erityistä huomiota nuoriin yleisöihin. EU:n olisi varmistettava näiden tuotteiden myyntiä alaikäisille rajoittavan lainsäädännön täytäntöönpano. Kaikkien jäsenvaltioiden olisi varmistettava, että julkisissa tiloissa, erityisesti kouluissa, tupakointia koskevat säännökset pannaan täytäntöön seuraamuksin, ja luotava tupakoitsijoille varattuja tiloja. </w:t>
      </w:r>
    </w:p>
    <w:p>
      <w:pPr>
        <w:pStyle w:val="Normal"/>
        <w:rPr/>
      </w:pPr>
      <w:r>
        <w:rPr/>
        <w:t xml:space="preserve"> </w:t>
      </w:r>
    </w:p>
    <w:p>
      <w:pPr>
        <w:pStyle w:val="Normal"/>
        <w:rPr/>
      </w:pPr>
      <w:r>
        <w:rPr/>
        <w:t xml:space="preserve">Terveydelle haitalliset elämäntavat eivät voi näkyä mainonnassa, ja niiden olisi oltava vähemmän näkyviä julkisessa elämässä. Koska alkoholi ja tupakka ovat yksi käytetyimmistä haitallisista aineista, tämä suositus estää niiden väärinkäytön. </w:t>
      </w:r>
    </w:p>
    <w:p>
      <w:pPr>
        <w:pStyle w:val="Normal"/>
        <w:rPr/>
      </w:pPr>
      <w:r>
        <w:rPr/>
        <w:t xml:space="preserve"> </w:t>
      </w:r>
    </w:p>
    <w:p>
      <w:pPr>
        <w:pStyle w:val="P68B1DB1Normal15"/>
        <w:rPr>
          <w:b/>
          <w:b/>
        </w:rPr>
      </w:pPr>
      <w:r>
        <w:rPr/>
        <w:t xml:space="preserve">Suosittelemme, että EU kannustaa jäsenvaltioita sisällyttämään kursseja kansallisiin koulujen opetussuunnitelmiin, jotta ne oppisivat kokkaamaan kestävällä, terveellisellä ja maukkaalla tavalla. Tätä varten EU voi asettaa terveellisiä ruoanlaitto-oppaita saataville sekä verkossa että painetussa muodossa. Nuoret tulisi tavoittaa aktiivisella mainonnalla perinteisessä ja sosiaalisessa mediassa. Meidän pitäisi myös kouluttaa vanhempia oppimaan, miten parhaiten käytetään ruokaa terveellisen elämäntavan omaksumiseen. Alan tutkimusta olisi edistettävä ja rikastettava. </w:t>
      </w:r>
    </w:p>
    <w:p>
      <w:pPr>
        <w:pStyle w:val="Normal"/>
        <w:rPr/>
      </w:pPr>
      <w:r>
        <w:rPr/>
        <w:t xml:space="preserve"> </w:t>
      </w:r>
    </w:p>
    <w:p>
      <w:pPr>
        <w:pStyle w:val="Normal"/>
        <w:rPr/>
      </w:pPr>
      <w:r>
        <w:rPr/>
        <w:t xml:space="preserve">Kokkaus- ja ravitsemuskurssien järjestäminen koulussa parantaisi nuorten terveyttä ja vähentäisi pikaruoan kulutusta. Nuorten kouluttaminen antaisi heille mahdollisuuden selittää vanhemmilleen, mitä he oppivat. Lisäksi vanhempien kouluttaminen terveellisistä elämäntavoista antaisi heille mahdollisuuden näyttää esimerkkiä lapsilleen. </w:t>
      </w:r>
    </w:p>
    <w:p>
      <w:pPr>
        <w:pStyle w:val="Normal"/>
        <w:rPr/>
      </w:pPr>
      <w:r>
        <w:rPr/>
      </w:r>
    </w:p>
    <w:p>
      <w:pPr>
        <w:pStyle w:val="P68B1DB1Normal15"/>
        <w:rPr>
          <w:b/>
          <w:b/>
        </w:rPr>
      </w:pPr>
      <w:r>
        <w:rPr/>
        <w:t xml:space="preserve">Kehotamme tehostamaan Euroopan komission julkista kampanjaa terveellisten elintapojen, HealthyLifestyle4All-ohjelman ja sosiaalisen toiminnan myönteisen vaikutuksen edistämiseksi konkreettisten esimerkkien ja kattavan strategian avulla. Olisi määriteltävä hyvin jäsenneltyjä kohderyhmiä koskevat tiedotuskampanjat ja valittava kullekin näistä ryhmistä asianmukaiset viestintäkeinot. Lisäksi on tärkeää ottaa käyttöön palkitsemis- ja kannustinjärjestelmiä myönteisen käyttäytymisen edistämiseksi. Kampanjoihin olisi osallistuttava vaikuttajia, julkkiksia tai viranomaisia. Niiden on tuotava esiin kaksitahoiset terveys-, ympäristö- ja ilmastohyödyt. Lisäksi kaikissa jäsenvaltioissa olisi oltava saatavilla avustuksia ilmaisen julkisen urheiluinfrastruktuurin edistämiseen. </w:t>
      </w:r>
    </w:p>
    <w:p>
      <w:pPr>
        <w:pStyle w:val="Normal"/>
        <w:rPr/>
      </w:pPr>
      <w:r>
        <w:rPr/>
        <w:t xml:space="preserve"> </w:t>
      </w:r>
    </w:p>
    <w:p>
      <w:pPr>
        <w:pStyle w:val="Normal"/>
        <w:rPr/>
      </w:pPr>
      <w:r>
        <w:rPr/>
        <w:t xml:space="preserve">Terveellisemmillä elämäntavoilla on myönteinen vaikutus terveydenhuoltojärjestelmään, koska ne vähentävät terveysongelmia. Fyysinen terveys vaikuttaa mielenterveyteen ja onnellisuuteen. Nykyiset kampanjat eivät ole riittävän tiedossa. Ne ovat tehokkaampia ja motivoivampia, kun siihen liittyy persoonallisuuksia ja vaikuttajia. </w:t>
      </w:r>
    </w:p>
    <w:p>
      <w:pPr>
        <w:pStyle w:val="Normal"/>
        <w:rPr/>
      </w:pPr>
      <w:r>
        <w:rPr/>
        <w:t xml:space="preserve"> </w:t>
      </w:r>
    </w:p>
    <w:p>
      <w:pPr>
        <w:pStyle w:val="P68B1DB1Normal15"/>
        <w:rPr>
          <w:b/>
          <w:b/>
        </w:rPr>
      </w:pPr>
      <w:r>
        <w:rPr/>
        <w:t xml:space="preserve">Suosittelemme tiedotuskampanjaa terveellisestä ruokavaliosta ja ravitsemuksesta. EU:n olisi kannustettava lisäämään lihan ja sokerin verotusta jäsenvaltioissa. Siinä olisi tarkasteltava mahdollisuuksia erottaa terveelliset elintarvikkeet ja haitalliset elintarvikkeet ja sovellettava niihin eriytettyä arvonlisäveroa. Suosittelemme antamaan erittäin selkeitä varoitussignaaleja terveydelle erittäin haitallisille tuotteille (kuten tupakkatuotteille). Lisäksi suosittelemme Euroopan laajuista ravitsemuksellista pisteytysjärjestelmää, joka sisältää asiaankuuluvat tiedot ja QR-koodit, joiden avulla kuluttajat voivat tehdä paremmin tietoon perustuvia päätöksiä. Tutkia mahdollisuuksia tehdä terveellisistä elintarvikkeista halvempaa kuin roskaruoka ja kannustaa viljelijöitä tuottamaan terveellisiä tuotteita. </w:t>
      </w:r>
    </w:p>
    <w:p>
      <w:pPr>
        <w:pStyle w:val="Normal"/>
        <w:rPr/>
      </w:pPr>
      <w:r>
        <w:rPr/>
        <w:t xml:space="preserve"> </w:t>
      </w:r>
    </w:p>
    <w:p>
      <w:pPr>
        <w:pStyle w:val="Normal"/>
        <w:rPr/>
      </w:pPr>
      <w:r>
        <w:rPr/>
        <w:t xml:space="preserve">Terveellinen ruokavalio on terveellisen elämän perusta. On tarpeen puuttua asiaan sekä tuottajan että kuluttajan puolella. Terveellisten tuotteiden tuotannolla on myös myönteisiä vaikutuksia ympäristöön ja se voi auttaa paikallisia viljelijöitä. Jos terveellinen ruoantuotanto lisääntyy, hinnat laskevat ja kysyntä kasvaa. </w:t>
      </w:r>
    </w:p>
    <w:p>
      <w:pPr>
        <w:pStyle w:val="Normal"/>
        <w:rPr/>
      </w:pPr>
      <w:r>
        <w:rPr/>
        <w:t xml:space="preserve"> </w:t>
      </w:r>
    </w:p>
    <w:p>
      <w:pPr>
        <w:pStyle w:val="Normal"/>
        <w:rPr/>
      </w:pPr>
      <w:r>
        <w:rPr/>
        <w:t xml:space="preserve">Osa-akseli 1.2 Ympäristökasvatus </w:t>
      </w:r>
    </w:p>
    <w:p>
      <w:pPr>
        <w:pStyle w:val="P68B1DB1Normal15"/>
        <w:rPr>
          <w:b/>
          <w:b/>
        </w:rPr>
      </w:pPr>
      <w:r>
        <w:rPr/>
        <w:t xml:space="preserve">Tilintarkastustuomioistuin suosittaa, että EU perustaa rahoitusmekanismin, jolla edistetään pitkän aikavälin ympäristöalan koulutusohjelman sisällyttämistä kansallisiin koulutusjärjestelmiin perus- ja keskiasteen kouluissa. Tähän rahoitusmekanismiin olisi sisällyttävä rahoitus apua tarvitseville vanhemmille. </w:t>
      </w:r>
    </w:p>
    <w:p>
      <w:pPr>
        <w:pStyle w:val="Normal"/>
        <w:rPr/>
      </w:pPr>
      <w:r>
        <w:rPr/>
        <w:t xml:space="preserve"> </w:t>
      </w:r>
    </w:p>
    <w:p>
      <w:pPr>
        <w:pStyle w:val="Normal"/>
        <w:rPr/>
      </w:pPr>
      <w:r>
        <w:rPr/>
        <w:t xml:space="preserve">Nykyiset koulutusjärjestelmät eivät sisällä tarpeeksi käytännön elementtejä, jotka helpottavat lasten ja ympäristön välistä suoraa ja syvällistä vuorovaikutusta. Nykyiset lyhyen aikavälin ohjelmat ovat heterogeenisiä eivätkä edistä tarvittavaa asennemuutosta. Vanhempia olisi tuettava sen varmistamiseksi, että kaikki lapset voivat hyötyä ohjelmasta tasavertaisesti ja että ketään ei suljeta pois taloudellisista syistä. </w:t>
      </w:r>
    </w:p>
    <w:p>
      <w:pPr>
        <w:pStyle w:val="Normal"/>
        <w:rPr/>
      </w:pPr>
      <w:r>
        <w:rPr/>
        <w:t xml:space="preserve"> </w:t>
      </w:r>
    </w:p>
    <w:p>
      <w:pPr>
        <w:pStyle w:val="Titre4"/>
        <w:numPr>
          <w:ilvl w:val="3"/>
          <w:numId w:val="2"/>
        </w:numPr>
        <w:rPr/>
      </w:pPr>
      <w:bookmarkStart w:id="177" w:name="__RefHeading___Toc297289_1346298689"/>
      <w:bookmarkEnd w:id="177"/>
      <w:r>
        <w:rPr/>
        <w:t xml:space="preserve">Akseli 2: Ympäristömme ja terveytemme suojelu </w:t>
      </w:r>
    </w:p>
    <w:p>
      <w:pPr>
        <w:pStyle w:val="Normal"/>
        <w:rPr/>
      </w:pPr>
      <w:r>
        <w:rPr/>
        <w:t xml:space="preserve">Osa-akseli 2.1 Terveellinen luonto </w:t>
      </w:r>
    </w:p>
    <w:p>
      <w:pPr>
        <w:pStyle w:val="P68B1DB1Normal15"/>
        <w:rPr>
          <w:b/>
          <w:b/>
        </w:rPr>
      </w:pPr>
      <w:r>
        <w:rPr/>
        <w:t xml:space="preserve">Suosittelemme ottamaan välittömästi käyttöön mahdollisimman korkeat vedenlaatunormit kaikkialla. Veden säästämiseksi tarjoamme veden hinnoitteluun perustuvan palkitsemisjärjestelmän, joka kannustaa ja kannustaa vähentämään kulutusta, esimerkiksi: 1) luomalla dynaaminen järjestelmä, joka estää kuluttajia ylittämästä keskimääräistä vedenkulutusta (esimerkiksi vedenkulutuksen 10 prosentin kasvu johtaa hintojen 11 prosentin nousuun), 2) luomalla tuotantoyritysten saastuttaman veden kiintiöiden markkinajärjestelmä, joka vastaisi jo käytössä olevien hiililupien markkinoita. </w:t>
      </w:r>
    </w:p>
    <w:p>
      <w:pPr>
        <w:pStyle w:val="Normal"/>
        <w:rPr/>
      </w:pPr>
      <w:r>
        <w:rPr/>
        <w:t xml:space="preserve"> </w:t>
      </w:r>
    </w:p>
    <w:p>
      <w:pPr>
        <w:pStyle w:val="Normal"/>
        <w:rPr/>
      </w:pPr>
      <w:r>
        <w:rPr/>
        <w:t xml:space="preserve">Tätä suositusta perustellaan sillä, että hinnankorotukset kannustavat kaikkia käyttäjiä tekemään paremmin tietoon perustuvia päätöksiä. Kun otetaan huomioon EU-maiden erilaiset realiteetit ja sosiaalisesti tasapuolinen järjestelmä, voimme tukea köyhempiä ihmisiä heidän vesihuollossaan tekemällä yhteisinvestointeja vesihuollon infrastruktuuriin ja tutkimukseen. </w:t>
      </w:r>
    </w:p>
    <w:p>
      <w:pPr>
        <w:pStyle w:val="Normal"/>
        <w:rPr/>
      </w:pPr>
      <w:r>
        <w:rPr/>
        <w:t xml:space="preserve"> </w:t>
      </w:r>
    </w:p>
    <w:p>
      <w:pPr>
        <w:pStyle w:val="Titre4"/>
        <w:numPr>
          <w:ilvl w:val="3"/>
          <w:numId w:val="2"/>
        </w:numPr>
        <w:rPr/>
      </w:pPr>
      <w:bookmarkStart w:id="178" w:name="__RefHeading___Toc297291_1346298689"/>
      <w:bookmarkEnd w:id="178"/>
      <w:r>
        <w:rPr/>
        <w:t xml:space="preserve">Akseli 3: taloutemme ja kulutuksen suuntaaminen uudelleen </w:t>
      </w:r>
    </w:p>
    <w:p>
      <w:pPr>
        <w:pStyle w:val="Normal"/>
        <w:rPr/>
      </w:pPr>
      <w:r>
        <w:rPr/>
        <w:t xml:space="preserve">Osa-akseli 3.1 Ylituotannon ja ylikulutuksen säätely </w:t>
      </w:r>
    </w:p>
    <w:p>
      <w:pPr>
        <w:pStyle w:val="P68B1DB1Normal15"/>
        <w:rPr>
          <w:b/>
          <w:b/>
        </w:rPr>
      </w:pPr>
      <w:r>
        <w:rPr/>
        <w:t xml:space="preserve">Suosittelemme, että EU määrää sakkoja yrityksille, jotka poistavat ylituotannolla tuotetut myymättömät tuotteet. </w:t>
      </w:r>
    </w:p>
    <w:p>
      <w:pPr>
        <w:pStyle w:val="Normal"/>
        <w:rPr/>
      </w:pPr>
      <w:r>
        <w:rPr/>
        <w:t xml:space="preserve"> </w:t>
      </w:r>
    </w:p>
    <w:p>
      <w:pPr>
        <w:pStyle w:val="Normal"/>
        <w:rPr/>
      </w:pPr>
      <w:r>
        <w:rPr/>
        <w:t xml:space="preserve">Joissakin tapauksissa yritykset uskovat, että on kustannustehokkaampaa hävittää myymättömät tavarat sen sijaan, että ne kierrätetään tai käytetään uudelleen. Sen vuoksi on tärkeää estää ylituotantoa määräämällä sakkoja, jotta tämä käytäntö ei enää olisi tuottajien kannalta kannattava. </w:t>
      </w:r>
    </w:p>
    <w:p>
      <w:pPr>
        <w:pStyle w:val="Normal"/>
        <w:rPr/>
      </w:pPr>
      <w:r>
        <w:rPr/>
        <w:t xml:space="preserve"> </w:t>
      </w:r>
    </w:p>
    <w:p>
      <w:pPr>
        <w:pStyle w:val="Normal"/>
        <w:rPr/>
      </w:pPr>
      <w:r>
        <w:rPr/>
        <w:t xml:space="preserve">Osa-akseli 3.2 Jätteiden vähentäminen </w:t>
      </w:r>
    </w:p>
    <w:p>
      <w:pPr>
        <w:pStyle w:val="P68B1DB1Normal15"/>
        <w:rPr>
          <w:b/>
          <w:b/>
        </w:rPr>
      </w:pPr>
      <w:r>
        <w:rPr/>
        <w:t xml:space="preserve">Tilintarkastustuomioistuin suosittaa, että EU suunnittelee ja toteuttaa kotitalouksien ja kansalaisten jätehuoltopolitiikkaa kiinnittäen huomiota niiden tuottaman jätteen tosiasialliseen määrään ja täydentämällä sitä tarvittavilla toimenpiteillä, joilla lisätään kansalaisten tietoisuutta jätteen syntymisen ja valikoivan jätteen keräämisen vähentämisen hyödyistä. Myös sosiaalisesti heikommassa asemassa oleviin perheisiin (esim. lapsiperheisiin, vanhuksiin jne.) kohdistettavat toimenpiteet olisi toteutettava noudattaen periaatetta, jonka mukaan ketään ei jätetä jälkeen. </w:t>
      </w:r>
    </w:p>
    <w:p>
      <w:pPr>
        <w:pStyle w:val="Normal"/>
        <w:rPr/>
      </w:pPr>
      <w:r>
        <w:rPr/>
        <w:t xml:space="preserve"> </w:t>
      </w:r>
    </w:p>
    <w:p>
      <w:pPr>
        <w:pStyle w:val="Normal"/>
        <w:rPr/>
      </w:pPr>
      <w:r>
        <w:rPr/>
        <w:t xml:space="preserve">Tällaisen politiikan tavoitteena on kehittää yhdenmukainen lähestymistapa kotitalouksien jätehuoltoon. se myös helpottaa ympäristönsuojelua vähentämällä jätteitä, stimuloi kiertotaloutta ja tehostaa jätteiden keräystä. Lopuksi, mikä ei ole vähäpätöistä, se lisää kansalaisten tietoisuutta ja vahvistaa ympäristövastuun tunnetta. </w:t>
      </w:r>
    </w:p>
    <w:p>
      <w:pPr>
        <w:pStyle w:val="Normal"/>
        <w:rPr/>
      </w:pPr>
      <w:r>
        <w:rPr/>
        <w:t xml:space="preserve"> </w:t>
      </w:r>
    </w:p>
    <w:p>
      <w:pPr>
        <w:pStyle w:val="P68B1DB1Normal15"/>
        <w:rPr>
          <w:b/>
          <w:b/>
        </w:rPr>
      </w:pPr>
      <w:r>
        <w:rPr/>
        <w:t xml:space="preserve">Tilintarkastustuomioistuin suosittaa, että EU kannustaa vapaata kilpailua ja kannustaa yksityistä sektoria osallistumaan aktiivisemmin jätteiden käsittelyyn, jätevedet mukaan lukien, sekä jätteiden kierrätykseen ja hyödyntämiseen. </w:t>
      </w:r>
    </w:p>
    <w:p>
      <w:pPr>
        <w:pStyle w:val="Normal"/>
        <w:rPr/>
      </w:pPr>
      <w:r>
        <w:rPr/>
        <w:t xml:space="preserve"> </w:t>
      </w:r>
    </w:p>
    <w:p>
      <w:pPr>
        <w:pStyle w:val="Normal"/>
        <w:rPr/>
      </w:pPr>
      <w:r>
        <w:rPr/>
        <w:t xml:space="preserve">EU on asianmukainen taso tämän suosituksen täytäntöönpanemiseksi, koska se täydentää jätepuitedirektiiviä ja kiertotaloutta koskevaa toimintasuunnitelmaa. Lisäksi suosituksen täytäntöönpano vahvistaa innovatiivisia jätehuoltoratkaisuja, parantaa jätehuollon laatua ja lisää käsitellyn jätteen määrää, koska yhä useammat yritykset osallistuvat näihin toimiin. </w:t>
      </w:r>
    </w:p>
    <w:p>
      <w:pPr>
        <w:pStyle w:val="Normal"/>
        <w:rPr/>
      </w:pPr>
      <w:r>
        <w:rPr/>
        <w:t xml:space="preserve"> </w:t>
      </w:r>
    </w:p>
    <w:p>
      <w:pPr>
        <w:pStyle w:val="Normal"/>
        <w:rPr/>
      </w:pPr>
      <w:r>
        <w:rPr/>
        <w:t xml:space="preserve">Osa-alue 3.3 Reilut tuotteet, yhdenvertainen saatavuus ja oikeudenmukainen kulutus </w:t>
      </w:r>
    </w:p>
    <w:p>
      <w:pPr>
        <w:pStyle w:val="P68B1DB1Normal15"/>
        <w:rPr>
          <w:b/>
          <w:b/>
        </w:rPr>
      </w:pPr>
      <w:r>
        <w:rPr/>
        <w:t xml:space="preserve">Suosittelemme teollisuuden siirtämistä Euroopan unioniin, jotta voidaan tarjota korkealaatuisia ja oikeudenmukaisia tuotteita ja vaikuttaa ilmastokysymyksiin. </w:t>
      </w:r>
    </w:p>
    <w:p>
      <w:pPr>
        <w:pStyle w:val="Normal"/>
        <w:rPr/>
      </w:pPr>
      <w:r>
        <w:rPr/>
        <w:t xml:space="preserve"> </w:t>
      </w:r>
    </w:p>
    <w:p>
      <w:pPr>
        <w:pStyle w:val="Normal"/>
        <w:rPr/>
      </w:pPr>
      <w:r>
        <w:rPr/>
        <w:t xml:space="preserve">Euroopan unionilla on osaamista, jota on edistettävä sen omilla markkinoilla. </w:t>
      </w:r>
    </w:p>
    <w:p>
      <w:pPr>
        <w:pStyle w:val="Normal"/>
        <w:rPr/>
      </w:pPr>
      <w:r>
        <w:rPr/>
        <w:t xml:space="preserve">Koska teollisuudenaloja siirretään EU:n ulkopuolelle, erityisesti Aasiassa, joitakin ammattitaitoja siirretään myös muualle. Tämä suositus koskee eurooppalaisten työntekijöiden ammatillista koulutusta. Korostamme tarvetta välttää siirtoja eri jäsenvaltioiden välillä epäreilun kilpailun välttämiseksi. </w:t>
      </w:r>
    </w:p>
    <w:p>
      <w:pPr>
        <w:pStyle w:val="Normal"/>
        <w:rPr/>
      </w:pPr>
      <w:r>
        <w:rPr/>
        <w:t xml:space="preserve">Olemme havainneet, että teollisuuden massiiviset siirrot eri puolille maailmaa vaikuttavat Euroopan teollisuudenaloihin. Paikallinen tuotanto parantaa siten kansalaisten terveyttä ja ympäristöä. </w:t>
      </w:r>
    </w:p>
    <w:p>
      <w:pPr>
        <w:pStyle w:val="Normal"/>
        <w:rPr/>
      </w:pPr>
      <w:r>
        <w:rPr/>
      </w:r>
    </w:p>
    <w:p>
      <w:pPr>
        <w:pStyle w:val="Titre4"/>
        <w:numPr>
          <w:ilvl w:val="3"/>
          <w:numId w:val="2"/>
        </w:numPr>
        <w:rPr/>
      </w:pPr>
      <w:bookmarkStart w:id="179" w:name="__RefHeading___Toc297293_1346298689"/>
      <w:bookmarkEnd w:id="179"/>
      <w:r>
        <w:rPr/>
        <w:t xml:space="preserve">Akseli 4: kohti kestävää yhteiskuntaa </w:t>
      </w:r>
    </w:p>
    <w:p>
      <w:pPr>
        <w:pStyle w:val="Normal"/>
        <w:rPr/>
      </w:pPr>
      <w:r>
        <w:rPr/>
        <w:t xml:space="preserve">Osa-akseli 4.3 Ympäristöystävällinen liikenne </w:t>
      </w:r>
    </w:p>
    <w:p>
      <w:pPr>
        <w:pStyle w:val="P68B1DB1Normal15"/>
        <w:rPr>
          <w:b/>
          <w:b/>
        </w:rPr>
      </w:pPr>
      <w:r>
        <w:rPr/>
        <w:t xml:space="preserve">Suosittelemme, että suurkaupungeille määrätään sakkoja tai tuetaan niiden julkisen liikenteen ympäristö- ja pilaantumistehokkuuden perusteella (sähköajoneuvot, vihreä julkinen liikenne, jalankulkijoiden luominen, polkupyörien käytön edistäminen jne.). Erityisesti kaupungin paikallisviranomaisiin sovellettavat sakot tai tuet olisi määritettävä vihreän liikenteen muutosten perusteella verrattuna kyseisen kaupungin lähtötilanteeseen. Euroopan unionin olisi lainsäädännössään määriteltävä pilaantumiseen liittyvien toimenpiteiden suorituskykyindikaattorit ja määritettävä suhteellinen vähentäminen. Tässä yhteydessä on otettava huomioon kunkin kaupungin lähtökohta. </w:t>
      </w:r>
    </w:p>
    <w:p>
      <w:pPr>
        <w:pStyle w:val="Normal"/>
        <w:rPr/>
      </w:pPr>
      <w:r>
        <w:rPr/>
        <w:t xml:space="preserve"> </w:t>
      </w:r>
    </w:p>
    <w:p>
      <w:pPr>
        <w:pStyle w:val="Normal"/>
        <w:rPr/>
      </w:pPr>
      <w:r>
        <w:rPr/>
        <w:t xml:space="preserve">Esitämme tämän suosituksen, koska kaupungit ovat kärsineet ilmansaasteista, jotka ovat aiheuttaneet terveysongelmia. Vihreän liikenteen kehittäminen parantaisi ihmisten elämää ja terveyttä ja vähentäisi kasvihuoneilmiötä. Tuet ja seuraamukset ovat tehokkaita toimenpiteitä, joilla edistetään muutosta ja helpotetaan sopeutumista erilaisiin tilanteisiin eri kaupungeissa. </w:t>
      </w:r>
    </w:p>
    <w:p>
      <w:pPr>
        <w:pStyle w:val="Normal"/>
        <w:rPr/>
      </w:pPr>
      <w:r>
        <w:rPr/>
        <w:t xml:space="preserve"> </w:t>
      </w:r>
    </w:p>
    <w:p>
      <w:pPr>
        <w:pStyle w:val="P68B1DB1Normal15"/>
        <w:rPr>
          <w:b/>
          <w:b/>
        </w:rPr>
      </w:pPr>
      <w:r>
        <w:rPr/>
        <w:t xml:space="preserve">Suosittelemme, että EU:n lainsäädännössä rajoitetaan ja säännellään lyhyen matkan lentojen ja risteilyalusten käyttöä. Ihmisille on tarjottava ympäristöystävällisiä liikennevaihtoehtoja. Yhtenä tällaisena vaihtoehtona olisi oltava rautateiden standardointi Euroopan pääkaupunkien yhdistämiseksi. Suosittelemme myös, että EU myöntää tukia, joilla tehdään tavaroiden kuljettamisesta ympäristöystävällisempää, mukaan lukien rautatie- ja laivaliikenne (lyhyillä matkoilla). </w:t>
      </w:r>
    </w:p>
    <w:p>
      <w:pPr>
        <w:pStyle w:val="Normal"/>
        <w:rPr/>
      </w:pPr>
      <w:r>
        <w:rPr/>
        <w:t xml:space="preserve"> </w:t>
      </w:r>
    </w:p>
    <w:p>
      <w:pPr>
        <w:pStyle w:val="Normal"/>
        <w:rPr/>
      </w:pPr>
      <w:r>
        <w:rPr/>
        <w:t xml:space="preserve">Teemme tämän suosituksen, koska lyhyitä matkoja on liian usein, saastuttavia ja helppo korvata. Risteilyalusten rajoittaminen vähentäisi meren pilaantumista (suuri ympäristöongelma) sekä rannikkokaupunkeihin kohdistuvia kielteisiä vaikutuksia. Siksi meidän on otettava käyttöön edullisempia vaihtoehtoja saastuttaville ratkaisuille. Yhtenäinen raideleveys parantaisi rautatieyhteyksiä Euroopan pääkaupunkien välillä. </w:t>
      </w:r>
    </w:p>
    <w:p>
      <w:pPr>
        <w:pStyle w:val="Normal"/>
        <w:rPr/>
      </w:pPr>
      <w:r>
        <w:rPr/>
        <w:t xml:space="preserve"> </w:t>
      </w:r>
    </w:p>
    <w:p>
      <w:pPr>
        <w:pStyle w:val="Titre4"/>
        <w:numPr>
          <w:ilvl w:val="3"/>
          <w:numId w:val="2"/>
        </w:numPr>
        <w:rPr/>
      </w:pPr>
      <w:bookmarkStart w:id="180" w:name="__RefHeading___Toc297295_1346298689"/>
      <w:bookmarkEnd w:id="180"/>
      <w:r>
        <w:rPr/>
        <w:t xml:space="preserve">Akseli 5: Pidä huolta kaikista </w:t>
      </w:r>
    </w:p>
    <w:p>
      <w:pPr>
        <w:pStyle w:val="Normal"/>
        <w:rPr/>
      </w:pPr>
      <w:r>
        <w:rPr/>
        <w:t xml:space="preserve">Osa-akseli 5.2 Laajampi näkemys terveydestä </w:t>
      </w:r>
    </w:p>
    <w:p>
      <w:pPr>
        <w:pStyle w:val="Normal"/>
        <w:rPr>
          <w:b/>
          <w:b/>
        </w:rPr>
      </w:pPr>
      <w:r>
        <w:rPr>
          <w:b/>
        </w:rPr>
        <w:t>Suosittelemme, että Euroopan unioni edistää HealthyLife4All-</w:t>
      </w:r>
      <w:r>
        <w:rPr>
          <w:b/>
        </w:rPr>
        <w:commentReference w:id="5"/>
      </w:r>
      <w:r>
        <w:rPr>
          <w:b/>
        </w:rPr>
        <w:t xml:space="preserve"> kampanjansa mukaisesti myös aloitteita, kuten sosiaalisia urheilutapahtumia, koululiikuntatoimintaa, puolivuosittaisia kaikenikäisille avoimia olympialaisia ja kaikkea urheilua [ei ammattilaisille]. Suosittelemme myös ilmaisen eurooppalaisen urheilusovelluksen kehittämistä kollektiivisen urheilutoiminnan edistämiseksi. Tämän sovelluksen pitäisi auttaa ihmisiä tapaamaan urheilun kautta. Lisäksi näiden aloitteiden olisi oltava laajalti tunnettuja ja niitä olisi levitettävä. </w:t>
      </w:r>
    </w:p>
    <w:p>
      <w:pPr>
        <w:pStyle w:val="Normal"/>
        <w:rPr/>
      </w:pPr>
      <w:r>
        <w:rPr/>
        <w:t xml:space="preserve"> </w:t>
      </w:r>
    </w:p>
    <w:p>
      <w:pPr>
        <w:pStyle w:val="Normal"/>
        <w:rPr/>
      </w:pPr>
      <w:r>
        <w:rPr/>
        <w:t xml:space="preserve">Euroopan väestön terveyden parantamiseksi Euroopan unionin on edistettävä urheilua ja terveellisiä elämäntapoja. Lisäksi väestö on hyvin usein tietämätön urheilun ja terveellisten elämäntapojen välisestä suhteesta. Sovellus on tärkeä, koska ihmiset ovat halukkaampia harrastamaan urheilua, jos he tekevät sen yhdessä.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81" w:name="__RefHeading___Toc297297_1346298689"/>
      <w:bookmarkEnd w:id="181"/>
      <w:r>
        <w:rPr/>
        <w:t xml:space="preserve">Eurooppalainen kansalaispaneeli 4: ”EU maailmassa/maahanmuutto” </w:t>
      </w:r>
    </w:p>
    <w:p>
      <w:pPr>
        <w:pStyle w:val="Normal"/>
        <w:rPr/>
      </w:pPr>
      <w:r>
        <w:rPr/>
        <w:t xml:space="preserve">PANEELIN HYVÄKSYMÄT SUOSITUKSET (TOIMITETAAN TÄYSISTUNNOLLE) </w:t>
      </w:r>
    </w:p>
    <w:p>
      <w:pPr>
        <w:pStyle w:val="Normal"/>
        <w:rPr/>
      </w:pPr>
      <w:r>
        <w:rPr/>
      </w:r>
    </w:p>
    <w:p>
      <w:pPr>
        <w:pStyle w:val="Titre3"/>
        <w:numPr>
          <w:ilvl w:val="2"/>
          <w:numId w:val="2"/>
        </w:numPr>
        <w:rPr/>
      </w:pPr>
      <w:bookmarkStart w:id="182" w:name="__RefHeading___Toc297299_1346298689"/>
      <w:bookmarkEnd w:id="182"/>
      <w:r>
        <w:rPr/>
        <w:t xml:space="preserve">Akseli 1: Omavaraisuus ja vakaus </w:t>
      </w:r>
    </w:p>
    <w:p>
      <w:pPr>
        <w:pStyle w:val="Titre4"/>
        <w:numPr>
          <w:ilvl w:val="3"/>
          <w:numId w:val="2"/>
        </w:numPr>
        <w:rPr/>
      </w:pPr>
      <w:bookmarkStart w:id="183" w:name="__RefHeading___Toc297301_1346298689"/>
      <w:bookmarkEnd w:id="183"/>
      <w:r>
        <w:rPr/>
        <w:t xml:space="preserve">Osa-alue 1.1 – EU:n autonomia </w:t>
      </w:r>
    </w:p>
    <w:p>
      <w:pPr>
        <w:pStyle w:val="Normal"/>
        <w:rPr>
          <w:b/>
          <w:b/>
        </w:rPr>
      </w:pPr>
      <w:r>
        <w:rPr>
          <w:b/>
        </w:rPr>
        <w:t>1. Tilintarkastustuomioistuin suosittaa, että strategisia eurooppalaisia valmistustuotteita (kuten maataloustuotteita, puolijohteita, lääkinnällisiä tuotteita tai innovatiivisia digitaalisia ja ympäristöteknologioita) kannustetaan ja tuetaan taloudellisesti, jotta ne olisivat eurooppalaisten kuluttajien saatavilla ja saatavilla ja jotta vähennettäisiin mahdollisimman paljon riippuvuutta Euroopan ulkopuolisista toimittajista. Tällaiseen tukeen voisi sisältyä rakenteellisia ja alueellisia toimenpiteitä, teollisuuden ja toimitusketjujen ylläpitoa unionissa,</w:t>
      </w:r>
      <w:r>
        <w:rPr>
          <w:b/>
        </w:rPr>
        <w:commentReference w:id="6"/>
      </w:r>
      <w:r>
        <w:rPr>
          <w:b/>
        </w:rPr>
        <w:t xml:space="preserve"> verohelpotuksia, tukia, aktiivista pk-yrityspolitiikkaa tai koulutusohjelmia, joilla turvataan asiaankuuluvat taidot ja työpaikat Euroopassa. Aktiivisen teollisuuspolitiikan olisi kuitenkin oltava valikoivaa, ja siinä olisi keskityttävä innovatiivisiin tuotteisiin tai tuotteisiin, jotka ovat välttämättömiä perushyödykkeiden ja -palvelujen takaamiseksi. </w:t>
      </w:r>
    </w:p>
    <w:p>
      <w:pPr>
        <w:pStyle w:val="Normal"/>
        <w:rPr/>
      </w:pPr>
      <w:r>
        <w:rPr/>
        <w:t xml:space="preserve"> </w:t>
      </w:r>
    </w:p>
    <w:p>
      <w:pPr>
        <w:pStyle w:val="Normal"/>
        <w:rPr/>
      </w:pPr>
      <w:r>
        <w:rPr/>
        <w:t xml:space="preserve">Suosittelemme näitä toimenpiteitä, koska Eurooppa on aivan liian riippuvainen Euroopan </w:t>
      </w:r>
      <w:commentRangeStart w:id="7"/>
      <w:r>
        <w:rPr/>
        <w:t>ulkopuolisista toimittajista keskeisillä</w:t>
      </w:r>
      <w:r>
        <w:rPr/>
      </w:r>
      <w:commentRangeEnd w:id="7"/>
      <w:r>
        <w:commentReference w:id="7"/>
      </w:r>
      <w:r>
        <w:rPr/>
        <w:t xml:space="preserve"> aloilla, jotka saattavat aiheuttaa diplomaattisia konflikteja ja johtaa perustuotteiden tai -palvelujen puutteeseen tai strategiseen merkitykseen. Koska tuotantokustannukset ovat yleensä korkeammat kuin muualla maailmassa, näiden tuotteiden aktiivinen kannustaminen ja tukeminen antaa eurooppalaisille mahdollisuuden ostaa kilpailukykyisiä eurooppalaisia tuotteita ja kannustaa heitä tekemään niin. Tällä politiikalla myös vahvistetaan Euroopan kilpailukykyä ja säilytetään tulevaisuuden teollisuudenalat ja työpaikat Euroopassa. Lisäksi tuotannon alueellistamisen lisääminen vähentää kuljetuskustannuksia ja estää ympäristön tilan heikkenemisen. </w:t>
      </w:r>
    </w:p>
    <w:p>
      <w:pPr>
        <w:pStyle w:val="Normal"/>
        <w:rPr/>
      </w:pPr>
      <w:r>
        <w:rPr/>
        <w:t xml:space="preserve"> </w:t>
      </w:r>
    </w:p>
    <w:p>
      <w:pPr>
        <w:pStyle w:val="P68B1DB1Normal15"/>
        <w:rPr>
          <w:b/>
          <w:b/>
        </w:rPr>
      </w:pPr>
      <w:r>
        <w:rPr/>
        <w:t>2. Suosittelemme, että EU vähentää riippuvuuttaan öljyn ja kaasun tuonnista. Tämä edellyttäisi aktiivista tukea julkisille liikenne- ja energiatehokkuushankkeille, Euroopan suurnopeusrahtirautatieverkolle, puhtaan ja uusiutuvan energian (mukaan lukien aurinko- ja tuulienergia) ja vaihtoehtoisten teknologioiden (kuten vedyn tai jätteen energian talteenoton) laajentamiselle. Euroopan unionin olisi myös kannustettava muuttamaan ajattelutapaa ja kannustettava luopumaan yksityisautoista, jotka suosivat julkista liikennettä, autojen yhteiskäyttöä sähköajoneuvojen ja polkupyörien avulla.</w:t>
      </w:r>
    </w:p>
    <w:p>
      <w:pPr>
        <w:pStyle w:val="Normal"/>
        <w:rPr/>
      </w:pPr>
      <w:r>
        <w:rPr/>
      </w:r>
    </w:p>
    <w:p>
      <w:pPr>
        <w:pStyle w:val="Normal"/>
        <w:rPr/>
      </w:pPr>
      <w:r>
        <w:rPr/>
        <w:t>Suosittelemme näitä toimenpiteitä, koska ne luovat tilanteen, joka edistää sekä Euroopan itsenäisyyttä vähentämällä sen ulkoisia riippuvuuksia että kunnianhimoisten ilmasto- ja hiilidioksidipäästöjen</w:t>
      </w:r>
      <w:r>
        <w:rPr>
          <w:vertAlign w:val="subscript"/>
        </w:rPr>
        <w:t>vähennystavoitteiden saavuttamista</w:t>
      </w:r>
      <w:r>
        <w:rPr/>
        <w:t xml:space="preserve">. Ne mahdollistavat myös sen, että Euroopasta voi tulla merkittävä toimija tulevissa teknologioissa, vahvistaa talouttaan ja luoda työpaikkoja. </w:t>
      </w:r>
    </w:p>
    <w:p>
      <w:pPr>
        <w:pStyle w:val="Normal"/>
        <w:rPr/>
      </w:pPr>
      <w:r>
        <w:rPr/>
        <w:t xml:space="preserve"> </w:t>
      </w:r>
    </w:p>
    <w:p>
      <w:pPr>
        <w:pStyle w:val="P68B1DB1Normal15"/>
        <w:rPr>
          <w:b/>
          <w:b/>
        </w:rPr>
      </w:pPr>
      <w:r>
        <w:rPr/>
        <w:t xml:space="preserve">3. Tilintarkastustuomioistuin suosittaa, että EU:n tasolla hyväksytään laki, jolla varmistetaan, että kaikki EU:n tuotanto- ja toimitusprosessit sekä tuontituotteet ovat eurooppalaisten laatu-, etiikka- ja kestävyysstandardien sekä kaikkien sovellettavien eurooppalaisten ihmisoikeusnormien mukaisia ja että näiden kriteerien mukaiset tuotteet sertifioidaan. </w:t>
      </w:r>
    </w:p>
    <w:p>
      <w:pPr>
        <w:pStyle w:val="Normal"/>
        <w:rPr/>
      </w:pPr>
      <w:r>
        <w:rPr/>
        <w:t xml:space="preserve"> </w:t>
      </w:r>
    </w:p>
    <w:p>
      <w:pPr>
        <w:pStyle w:val="Normal"/>
        <w:rPr/>
      </w:pPr>
      <w:r>
        <w:rPr/>
        <w:t xml:space="preserve">Suosittelemme näitä toimenpiteitä, koska niiden avulla kuluttajat ja elinkeinonharjoittajat voivat helposti saada tietoa ostamistaan tai myymistään tuotteista. Voit tehdä tämän yksinkertaisesti tutustumalla sertifiointijärjestelmään. Sertifiointi vähentää myös halpojen ja kalliiden markkinoilla olevien tuotteiden välistä kuilua. Halvat tuotteet eivät täytä vaadittuja kriteerejä, joten ne eivät pysty esittämään itseään hyvälaatuisina. Täyttämällä sertifiointikriteerit ympäristönsuojelu, resurssien säästäminen ja vastuullisen kulutuksen edistäminen. </w:t>
      </w:r>
    </w:p>
    <w:p>
      <w:pPr>
        <w:pStyle w:val="Normal"/>
        <w:rPr/>
      </w:pPr>
      <w:r>
        <w:rPr/>
        <w:t xml:space="preserve"> </w:t>
      </w:r>
    </w:p>
    <w:p>
      <w:pPr>
        <w:pStyle w:val="P68B1DB1Normal15"/>
        <w:rPr>
          <w:b/>
          <w:b/>
        </w:rPr>
      </w:pPr>
      <w:r>
        <w:rPr/>
        <w:t xml:space="preserve">4. Tilintarkastustuomioistuin suosittaa, että pannaan täytäntöön eurooppalainen ohjelma pienten paikallisten tuottajien tukemiseksi strategisilla aloilla kaikissa jäsenvaltioissa. Nämä tuottajat hyötyisivät ammatillisesta koulutuksesta, taloudellisesta tuesta tukien muodossa ja (jos unionissa on saatavilla raaka-aineita) kannustimena tuottaa tukikelpoisempia tuotteita tuonnin kustannuksella. </w:t>
      </w:r>
    </w:p>
    <w:p>
      <w:pPr>
        <w:pStyle w:val="Normal"/>
        <w:rPr/>
      </w:pPr>
      <w:r>
        <w:rPr/>
        <w:t xml:space="preserve"> </w:t>
      </w:r>
    </w:p>
    <w:p>
      <w:pPr>
        <w:pStyle w:val="Normal"/>
        <w:rPr/>
      </w:pPr>
      <w:r>
        <w:rPr/>
        <w:t xml:space="preserve">Tilintarkastustuomioistuin suosittaa näitä toimenpiteitä, koska tukemalla unionissa sijaitsevien strategisten alojen tuottajia unioni voi saavuttaa taloudellisen riippumattomuutensa näillä aloilla. Tämä voi vain kannustaa vahvistamaan koko tuotantoprosessia ja siten kannustaa innovointiin. Tämä johtaa kestävämpään raaka-aineiden tuotantoon, mikä vähentää kuljetuskustannuksia ja suojelee ympäristöä. </w:t>
      </w:r>
    </w:p>
    <w:p>
      <w:pPr>
        <w:pStyle w:val="Normal"/>
        <w:rPr/>
      </w:pPr>
      <w:r>
        <w:rPr/>
        <w:t xml:space="preserve"> </w:t>
      </w:r>
    </w:p>
    <w:p>
      <w:pPr>
        <w:pStyle w:val="P68B1DB1Normal15"/>
        <w:rPr>
          <w:b/>
          <w:b/>
        </w:rPr>
      </w:pPr>
      <w:r>
        <w:rPr/>
        <w:t xml:space="preserve">5. Tilintarkastustuomioistuin suosittaa, että ihmisoikeuksien toteutumista parannetaan Euroopan tasolla seuraavasti: lisätään tietoisuutta niiden maiden keskuudessa, jotka eivät tarvittaessa noudata Euroopan ihmisoikeussopimusta tai ihmisoikeuksien ja perusvapauksien suojaamiseksi tehtyä yleissopimusta; varmistetaan Euroopan unionin ja oikeusalan tulostaulun koordinoima tarkka seuranta siitä, missä määrin ihmisoikeuksia kunnioitetaan eri jäsenvaltioissa, ja varmistetaan, että niitä noudatetaan tiukasti erilaisten pakotteiden avulla. </w:t>
      </w:r>
    </w:p>
    <w:p>
      <w:pPr>
        <w:pStyle w:val="Normal"/>
        <w:rPr/>
      </w:pPr>
      <w:r>
        <w:rPr/>
        <w:t xml:space="preserve"> </w:t>
      </w:r>
    </w:p>
    <w:p>
      <w:pPr>
        <w:pStyle w:val="Normal"/>
        <w:rPr/>
      </w:pPr>
      <w:r>
        <w:rPr/>
        <w:t xml:space="preserve">Suosittelemme näitä toimenpiteitä, koska jäsenvaltiot ovat jo hyväksyneet ihmisoikeudet ratifioidessaan Euroopan ihmisoikeussopimuksen, mutta nyt on tarpeen parantaa niiden hyväksymistä kussakin jäsenvaltiossa, jotta ihmisoikeudet tunnetaan ja ne pannaan aktiivisesti täytäntöön kyseisissä jäsenvaltioissa. </w:t>
      </w:r>
    </w:p>
    <w:p>
      <w:pPr>
        <w:pStyle w:val="Normal"/>
        <w:rPr/>
      </w:pPr>
      <w:r>
        <w:rPr/>
        <w:t xml:space="preserve"> </w:t>
      </w:r>
    </w:p>
    <w:p>
      <w:pPr>
        <w:pStyle w:val="P68B1DB1Normal15"/>
        <w:rPr>
          <w:b/>
          <w:b/>
        </w:rPr>
      </w:pPr>
      <w:r>
        <w:rPr/>
        <w:t xml:space="preserve">6. Komitea suosittaa, että käynnistetään uudelleentarkastelu ja järjestetään intensiivinen tiedotuskampanja Euroopan tasolla sen varmistamiseksi, että EU:n kansalaiset tuntevat paremmin Eures-verkoston (Euroopan työnvälitysverkosto), EU:n maahanmuuttoportaalin ja kolmansien maiden kansalaisten eurooppalaisen osaamisprofiilityökalun ja että EU:n yritykset käyttävät niitä useammin työtarjoustensa julkaisemiseen ja mainostamiseen. </w:t>
      </w:r>
    </w:p>
    <w:p>
      <w:pPr>
        <w:pStyle w:val="Normal"/>
        <w:rPr/>
      </w:pPr>
      <w:r>
        <w:rPr/>
        <w:t xml:space="preserve"> </w:t>
      </w:r>
    </w:p>
    <w:p>
      <w:pPr>
        <w:pStyle w:val="Normal"/>
        <w:rPr/>
      </w:pPr>
      <w:r>
        <w:rPr/>
        <w:t xml:space="preserve">Emme suosittele uuden verkkoalustan luomista nuorille eurooppalaisille suunnattujen työtarjousten julkaisemista varten. Tällaisia aloitteita on jo riittävästi EU:n tasolla. Mielestämme on parempi parantaa jo olemassa olevaa työvoimaa ja työllistymismahdollisuuksia Euroopan tasolla, jotta voidaan lisätä tietoisuutta olemassa olevasta työvoimasta ja työllistymismahdollisuuksista Euroopan tasolla. </w:t>
      </w:r>
    </w:p>
    <w:p>
      <w:pPr>
        <w:pStyle w:val="Normal"/>
        <w:rPr/>
      </w:pPr>
      <w:r>
        <w:rPr/>
        <w:t xml:space="preserve"> </w:t>
      </w:r>
    </w:p>
    <w:p>
      <w:pPr>
        <w:pStyle w:val="Titre4"/>
        <w:numPr>
          <w:ilvl w:val="3"/>
          <w:numId w:val="2"/>
        </w:numPr>
        <w:rPr/>
      </w:pPr>
      <w:bookmarkStart w:id="184" w:name="__RefHeading___Toc297303_1346298689"/>
      <w:bookmarkEnd w:id="184"/>
      <w:r>
        <w:rPr/>
        <w:t xml:space="preserve">Osa-akseli 1.2 – Rajat </w:t>
      </w:r>
    </w:p>
    <w:p>
      <w:pPr>
        <w:pStyle w:val="P68B1DB1Normal15"/>
        <w:rPr>
          <w:b/>
          <w:b/>
        </w:rPr>
      </w:pPr>
      <w:r>
        <w:rPr/>
        <w:t xml:space="preserve">7. Komitea suosittaa, että perustetaan työvoiman maahanmuuttomekanismi, joka perustuu Euroopan työmarkkinoiden todellisiin tarpeisiin. Euroopan unionissa ja kolmansissa maissa käytössä olevien ammatillisten ja akateemisten tutkintotodistusten tunnustamista varten olisi luotava yhtenäinen järjestelmä. Päteville maahanmuuttajille olisi tarjottava ammatillista pätevyyttä sekä kulttuurista ja kielellistä kotoutumista koskevia tarjouksia. Turvapaikanhakijoilla, joilla on asianmukainen pätevyys, olisi oltava pääsy työmarkkinoille. Olisi perustettava integroitu virasto, jolle työnvälityspalvelujen eurooppalainen verkosto voisi toimia perustana. </w:t>
      </w:r>
    </w:p>
    <w:p>
      <w:pPr>
        <w:pStyle w:val="Normal"/>
        <w:rPr/>
      </w:pPr>
      <w:r>
        <w:rPr/>
        <w:t xml:space="preserve"> </w:t>
      </w:r>
    </w:p>
    <w:p>
      <w:pPr>
        <w:pStyle w:val="Normal"/>
        <w:rPr/>
      </w:pPr>
      <w:r>
        <w:rPr/>
        <w:t xml:space="preserve">Suosittelemme näitä toimenpiteitä, koska Eurooppa tarvitsee ammattitaitoista työvoimaa tietyillä aloilla, joilla EU:n työntekijöiden kysyntää ei voida täysin kattaa. Tällä hetkellä ei ole riittävästi toteuttamiskelpoisia tapoja hakea laillisesti työlupaa. Ammatillisten ja akateemisten tutkintotodistusten tunnustamista koskeva eurooppalainen järjestelmä helpottaa näihin tarpeisiin vastaamista ja yksinkertaistaa työvoiman muuttoliikettä unionissa ja työvoiman muuttoa unionin ulkopuolisista maista. Työvoiman kysyntää voitaisiin siten paremmin tyydyttää ja laitonta maahanmuuttoa hallita paremmin. Työperäisen maahanmuuton mekanismin avaaminen turvapaikanhakijoille nopeuttaisi heidän integroitumistaan Euroopan talouksiin ja yhteiskuntiin. </w:t>
      </w:r>
    </w:p>
    <w:p>
      <w:pPr>
        <w:pStyle w:val="Normal"/>
        <w:rPr/>
      </w:pPr>
      <w:r>
        <w:rPr/>
        <w:t xml:space="preserve"> </w:t>
      </w:r>
    </w:p>
    <w:p>
      <w:pPr>
        <w:pStyle w:val="P68B1DB1Normal15"/>
        <w:rPr>
          <w:b/>
          <w:b/>
        </w:rPr>
      </w:pPr>
      <w:r>
        <w:rPr/>
        <w:t xml:space="preserve">8. Suosittelemme, että Euroopan unioni vahvistaa lainsäädäntöään, jotta Frontexille annettaisiin enemmän valtaa ja riippumattomuutta. Unionin olisi kuitenkin tehtävä tarkastuksia Frontexin organisatorisista prosesseista, koska sen on toimittava avoimesti kaikenlaisten väärinkäytösten välttämiseksi. </w:t>
      </w:r>
    </w:p>
    <w:p>
      <w:pPr>
        <w:pStyle w:val="Normal"/>
        <w:rPr/>
      </w:pPr>
      <w:r>
        <w:rPr/>
        <w:t xml:space="preserve"> </w:t>
      </w:r>
    </w:p>
    <w:p>
      <w:pPr>
        <w:pStyle w:val="Normal"/>
        <w:rPr/>
      </w:pPr>
      <w:r>
        <w:rPr/>
        <w:t xml:space="preserve">Suosittelemme näitä toimenpiteitä, koska mielestämme ei voida hyväksyä sitä, että Frontexilta evätään pääsy rajoille, erityisesti silloin, kun kyseessä on ihmisoikeusrikkomus. Haluamme varmistaa, että Frontex soveltaa EU:n lainsäädäntöä. Frontexille on tehtävä tarkastuksia ja tarkastuksia, jotta vältetään epäasianmukainen käyttäytyminen sen sisällä. </w:t>
      </w:r>
    </w:p>
    <w:p>
      <w:pPr>
        <w:pStyle w:val="Normal"/>
        <w:rPr/>
      </w:pPr>
      <w:r>
        <w:rPr/>
        <w:t xml:space="preserve"> </w:t>
      </w:r>
    </w:p>
    <w:p>
      <w:pPr>
        <w:pStyle w:val="P68B1DB1Normal15"/>
        <w:rPr>
          <w:b/>
          <w:b/>
        </w:rPr>
      </w:pPr>
      <w:r>
        <w:rPr/>
        <w:t xml:space="preserve">9. Suosittelemme, että Euroopan unioni järjestää erityisesti taloudellisista syistä tulleille maahanmuuttajille mahdollisuuden valita kansalaisia alkuperämaasta (esimerkiksi heidän todistettujen taitojensa, taustansa jne. perusteella), jotta voidaan määrittää, kuka voi tulla työskentelemään talouden tarpeiden ja vastaanottavan maan avoimien työpaikkojen mukaan. Näiden valintaperusteiden on oltava julkisia ja kaikkien saatavilla. Tätä varten olisi perustettava Euroopan maahanmuuttovirasto (online). </w:t>
      </w:r>
    </w:p>
    <w:p>
      <w:pPr>
        <w:pStyle w:val="Normal"/>
        <w:rPr/>
      </w:pPr>
      <w:r>
        <w:rPr/>
        <w:t xml:space="preserve"> </w:t>
      </w:r>
    </w:p>
    <w:p>
      <w:pPr>
        <w:pStyle w:val="Normal"/>
        <w:rPr/>
      </w:pPr>
      <w:r>
        <w:rPr/>
        <w:t xml:space="preserve">Suosittelemme näitä toimenpiteitä, koska tällä tavoin ei enää tarvitsisi ylittää rajoja laittomasti. EU:n alueelle saapuvia ihmisvirtoja hallittaisiin, mikä vähentäisi rajoihin kohdistuvaa painetta ja helpottaisi isäntämaiden työvoimatarpeiden täyttämistä. </w:t>
      </w:r>
    </w:p>
    <w:p>
      <w:pPr>
        <w:pStyle w:val="Normal"/>
        <w:rPr/>
      </w:pPr>
      <w:r>
        <w:rPr/>
        <w:t xml:space="preserve"> </w:t>
      </w:r>
    </w:p>
    <w:p>
      <w:pPr>
        <w:pStyle w:val="P68B1DB1Normal15"/>
        <w:rPr>
          <w:b/>
          <w:b/>
        </w:rPr>
      </w:pPr>
      <w:r>
        <w:rPr/>
        <w:t xml:space="preserve">10. Suosittelemme, että Euroopan unioni varmistaa, että vastaanottopolitiikka ja -tilat ovat identtiset kaikilla rajoilla, kunnioittavat ihmisoikeuksia ja varmistavat kaikkien maahanmuuttajien turvallisuuden ja terveyden (mukaan lukien esimerkiksi raskaana olevat naiset ja lapset). </w:t>
      </w:r>
    </w:p>
    <w:p>
      <w:pPr>
        <w:pStyle w:val="Normal"/>
        <w:rPr/>
      </w:pPr>
      <w:r>
        <w:rPr/>
        <w:t xml:space="preserve"> </w:t>
      </w:r>
    </w:p>
    <w:p>
      <w:pPr>
        <w:pStyle w:val="Normal"/>
        <w:rPr/>
      </w:pPr>
      <w:r>
        <w:rPr/>
        <w:t xml:space="preserve">Suosittelemme näitä toimenpiteitä, koska pidämme erittäin tärkeänä maahanmuuttajien yhdenvertaista kohtelua kaikilla rajoilla. Haluamme varmistaa, että maahanmuuttajat eivät viivy liian kauan rajoilla ja että muuttajien virta hukkuu jäsenvaltioihin. Jäsenvaltioiden on oltava hyvin varustettuja, jotta ne voivat mukautua niihin. </w:t>
      </w:r>
    </w:p>
    <w:p>
      <w:pPr>
        <w:pStyle w:val="Normal"/>
        <w:rPr/>
      </w:pPr>
      <w:r>
        <w:rPr/>
        <w:t xml:space="preserve"> </w:t>
      </w:r>
    </w:p>
    <w:p>
      <w:pPr>
        <w:pStyle w:val="Titre3"/>
        <w:numPr>
          <w:ilvl w:val="2"/>
          <w:numId w:val="2"/>
        </w:numPr>
        <w:rPr/>
      </w:pPr>
      <w:bookmarkStart w:id="185" w:name="__RefHeading___Toc297305_1346298689"/>
      <w:bookmarkEnd w:id="185"/>
      <w:r>
        <w:rPr/>
        <w:t xml:space="preserve">Akseli 2: EU kansainvälisenä kumppanina </w:t>
      </w:r>
    </w:p>
    <w:p>
      <w:pPr>
        <w:pStyle w:val="Titre4"/>
        <w:numPr>
          <w:ilvl w:val="3"/>
          <w:numId w:val="2"/>
        </w:numPr>
        <w:rPr/>
      </w:pPr>
      <w:bookmarkStart w:id="186" w:name="__RefHeading___Toc297307_1346298689"/>
      <w:bookmarkEnd w:id="186"/>
      <w:r>
        <w:rPr/>
        <w:t xml:space="preserve">Osa-alue 2.1 – Kauppa ja suhteet eettisestä näkökulmasta </w:t>
      </w:r>
    </w:p>
    <w:p>
      <w:pPr>
        <w:pStyle w:val="P68B1DB1Normal15"/>
        <w:rPr>
          <w:b/>
          <w:b/>
        </w:rPr>
      </w:pPr>
      <w:r>
        <w:rPr/>
        <w:t xml:space="preserve">11. Suosittelemme, että EU asettaa rajoituksia sellaisten tuotteiden tuonnille maista, jotka sallivat lapsityövoiman käytön. Tätä varten olisi laadittava musta lista yrityksistä, joita päivitettäisiin säännöllisesti kehityksen mukaisesti. Komitea suosittaa myös, että työnteon lopettaneille lapsille taataan asteittain mahdollisuus koulutukseen ja lisätään kuluttajien tietoisuutta lapsityövoimasta Euroopan unionin virallisesti levittämien tietojen, esimerkiksi kampanjoiden tai tarinankerronnan avulla. </w:t>
      </w:r>
    </w:p>
    <w:p>
      <w:pPr>
        <w:pStyle w:val="Normal"/>
        <w:rPr/>
      </w:pPr>
      <w:r>
        <w:rPr/>
        <w:t xml:space="preserve"> </w:t>
      </w:r>
    </w:p>
    <w:p>
      <w:pPr>
        <w:pStyle w:val="Normal"/>
        <w:rPr/>
      </w:pPr>
      <w:r>
        <w:rPr/>
        <w:t xml:space="preserve">Suosittelemme näitä toimenpiteitä, koska mielestämme koulunkäynnin puutteen ja lapsityövoiman käytön välillä on yhteys. Tällä suosituksella haluamme lisätä kuluttajien tietoisuutta ja vähentää lasten tuotteiden kysyntää, jotta tämä käytäntö katoaa. </w:t>
      </w:r>
    </w:p>
    <w:p>
      <w:pPr>
        <w:pStyle w:val="Normal"/>
        <w:rPr/>
      </w:pPr>
      <w:r>
        <w:rPr/>
        <w:t xml:space="preserve"> </w:t>
      </w:r>
    </w:p>
    <w:p>
      <w:pPr>
        <w:pStyle w:val="P68B1DB1Normal15"/>
        <w:rPr>
          <w:b/>
          <w:b/>
        </w:rPr>
      </w:pPr>
      <w:r>
        <w:rPr/>
        <w:t xml:space="preserve">12. Suosittelemme, että Euroopan unioni kehittää kumppanuuksia kehitysmaiden kanssa niiden infrastruktuurin tukemiseksi ja asiantuntemuksen jakamiseksi vastineeksi molempia osapuolia hyödyttävistä kauppasopimuksista, joilla tuetaan niiden siirtymistä vihreisiin energialähteisiin. </w:t>
      </w:r>
    </w:p>
    <w:p>
      <w:pPr>
        <w:pStyle w:val="Normal"/>
        <w:rPr/>
      </w:pPr>
      <w:r>
        <w:rPr/>
        <w:t xml:space="preserve"> </w:t>
      </w:r>
    </w:p>
    <w:p>
      <w:pPr>
        <w:pStyle w:val="Normal"/>
        <w:rPr/>
      </w:pPr>
      <w:r>
        <w:rPr/>
        <w:t xml:space="preserve">Suositamme näitä toimenpiteitä, joilla helpotetaan kehitysmaiden siirtymistä uusiutuvaan energiaan kauppakumppanuuksien ja diplomaattisten sopimusten avulla. Euroopan unioni ja kehitysmaat kehittävät näin ollen hyviä pitkän aikavälin suhteita, jotka edistäisivät ilmastonmuutoksen torjuntaa. </w:t>
      </w:r>
    </w:p>
    <w:p>
      <w:pPr>
        <w:pStyle w:val="Normal"/>
        <w:rPr/>
      </w:pPr>
      <w:r>
        <w:rPr/>
        <w:t xml:space="preserve"> </w:t>
      </w:r>
    </w:p>
    <w:p>
      <w:pPr>
        <w:pStyle w:val="P68B1DB1Normal15"/>
        <w:rPr>
          <w:b/>
          <w:b/>
        </w:rPr>
      </w:pPr>
      <w:r>
        <w:rPr/>
        <w:t xml:space="preserve">13. Suosittelemme, että Euroopan unioni ottaa käyttöön Euroopan ympäristövaikutusindikaattorin (ekoscore) kaikille kulutustuotteille. Ecoscore laskettaisiin tuotannon ja liikenteen päästöjen sekä sisällön haitallisuuden perusteella vaarallisten tuotteiden luettelon perusteella. Eurooppalaisen viranomaisen olisi hallinnoitava ja valvottava Ecoscorea. </w:t>
      </w:r>
    </w:p>
    <w:p>
      <w:pPr>
        <w:pStyle w:val="Normal"/>
        <w:rPr/>
      </w:pPr>
      <w:r>
        <w:rPr/>
        <w:t xml:space="preserve"> </w:t>
      </w:r>
    </w:p>
    <w:p>
      <w:pPr>
        <w:pStyle w:val="Normal"/>
        <w:rPr/>
      </w:pPr>
      <w:r>
        <w:rPr/>
        <w:t xml:space="preserve">Suosittelemme näitä toimenpiteitä, jotta eurooppalaiset kuluttajat olisivat paremmin tietoisia ostamiensa tuotteiden ympäristöjalanjäljestä. Ecoscoren avulla olisi helppo osoittaa, missä määrin tuote kunnioittaa ympäristöä kaikkialla Euroopassa yhteisen mittakaavan avulla. Ecoscoressa olisi oltava QR-koodi tuotteen takaosassa, jotta sen ympäristöjalanjälkeä voidaan tarkastella tarkemmin. </w:t>
      </w:r>
    </w:p>
    <w:p>
      <w:pPr>
        <w:pStyle w:val="Normal"/>
        <w:rPr/>
      </w:pPr>
      <w:r>
        <w:rPr/>
        <w:t xml:space="preserve"> </w:t>
      </w:r>
    </w:p>
    <w:p>
      <w:pPr>
        <w:pStyle w:val="Titre4"/>
        <w:numPr>
          <w:ilvl w:val="3"/>
          <w:numId w:val="2"/>
        </w:numPr>
        <w:rPr/>
      </w:pPr>
      <w:bookmarkStart w:id="187" w:name="__RefHeading___Toc297309_1346298689"/>
      <w:bookmarkEnd w:id="187"/>
      <w:r>
        <w:rPr/>
        <w:t xml:space="preserve">Osa-alue 2.2 – Kansainväliset ilmastotoimet </w:t>
      </w:r>
    </w:p>
    <w:p>
      <w:pPr>
        <w:pStyle w:val="P68B1DB1Normal15"/>
        <w:rPr>
          <w:b/>
          <w:b/>
        </w:rPr>
      </w:pPr>
      <w:r>
        <w:rPr/>
        <w:t xml:space="preserve">14. Suosittelemme, että Euroopan unioni hyväksyy strategian, jolla se tekee energiatuotannostaan itsenäisemmän. Eurooppalaisen elimen, joka kokoaa yhteen nykyiset eurooppalaiset energiainstituutiot, olisi koordinoitava uusiutuvan energian kehittämistä jäsenvaltioiden tarpeiden, valmiuksien ja resurssien mukaisesti kunnioittaen samalla niiden suvereniteettia. Toimielimet kannustavat keskinäiseen tiedonvaihtoon strategian toteuttamiseksi. </w:t>
      </w:r>
    </w:p>
    <w:p>
      <w:pPr>
        <w:pStyle w:val="Normal"/>
        <w:rPr/>
      </w:pPr>
      <w:r>
        <w:rPr/>
        <w:t xml:space="preserve"> </w:t>
      </w:r>
    </w:p>
    <w:p>
      <w:pPr>
        <w:pStyle w:val="Normal"/>
        <w:rPr/>
      </w:pPr>
      <w:r>
        <w:rPr/>
        <w:t xml:space="preserve">Suosittelemme näitä toimenpiteitä, koska nykyinen riippuvuutemme tekee meistä haavoittuvaisia, jos meillä on poliittisia jännitteitä niiden maiden kanssa, joita tuomme energiamme maahan. Tämä tapahtuu nyt sähkökriisin myötä. Koordinoinnissa olisi kuitenkin kunnioitettava kunkin maan suvereniteettia. </w:t>
      </w:r>
    </w:p>
    <w:p>
      <w:pPr>
        <w:pStyle w:val="Normal"/>
        <w:rPr/>
      </w:pPr>
      <w:r>
        <w:rPr/>
        <w:t xml:space="preserve"> </w:t>
      </w:r>
    </w:p>
    <w:p>
      <w:pPr>
        <w:pStyle w:val="P68B1DB1Normal15"/>
        <w:rPr>
          <w:b/>
          <w:b/>
        </w:rPr>
      </w:pPr>
      <w:r>
        <w:rPr/>
        <w:t xml:space="preserve">15. Suosittelemme tiukentamaan jätteiden vientiä ja sen ulkopuolelle koskevia ympäristönormeja sekä tiukentamaan valvontaa ja seuraamuksia laittoman viennin lopettamiseksi. EU:n olisi kannustettava jäsenvaltioita kierrättämään edelleen omia jätteitään ja käyttämään niitä energian tuottamiseen. </w:t>
      </w:r>
    </w:p>
    <w:p>
      <w:pPr>
        <w:pStyle w:val="Normal"/>
        <w:rPr/>
      </w:pPr>
      <w:r>
        <w:rPr/>
        <w:t xml:space="preserve"> </w:t>
      </w:r>
    </w:p>
    <w:p>
      <w:pPr>
        <w:pStyle w:val="Normal"/>
        <w:rPr/>
      </w:pPr>
      <w:r>
        <w:rPr/>
        <w:t xml:space="preserve">Suositamme näitä toimenpiteitä, joilla lopetetaan jätteistään huolehtivien maiden ympäristövahingot muiden maiden vahingoksi erityisesti silloin, kun ympäristönormeja ei noudateta täysin. </w:t>
      </w:r>
    </w:p>
    <w:p>
      <w:pPr>
        <w:pStyle w:val="Normal"/>
        <w:rPr/>
      </w:pPr>
      <w:r>
        <w:rPr/>
        <w:t xml:space="preserve"> </w:t>
      </w:r>
    </w:p>
    <w:p>
      <w:pPr>
        <w:pStyle w:val="P68B1DB1Normal15"/>
        <w:rPr>
          <w:b/>
          <w:b/>
        </w:rPr>
      </w:pPr>
      <w:r>
        <w:rPr/>
        <w:t xml:space="preserve">16. Suosittelemme, että EU kannustaa määrätietoisemmin jatkuvaan ekologiseen siirtymään pyrkimällä poistamaan saastuttavat pakkaukset. Tämä olisi tehtävä kannustamalla pakkausten vähentämiseen tai edistämällä vihreämpiä pakkauksia. Jotta pienyritykset voisivat sopeutua, niiden olisi saatava tukea ja mukautuksia. </w:t>
      </w:r>
    </w:p>
    <w:p>
      <w:pPr>
        <w:pStyle w:val="Normal"/>
        <w:rPr/>
      </w:pPr>
      <w:r>
        <w:rPr/>
        <w:t xml:space="preserve"> </w:t>
      </w:r>
    </w:p>
    <w:p>
      <w:pPr>
        <w:pStyle w:val="Normal"/>
        <w:rPr/>
      </w:pPr>
      <w:r>
        <w:rPr/>
        <w:t xml:space="preserve">Suosittelemme näitä toimenpiteitä, koska meidän on vähennettävä luonnonvarojen käyttöä, mukaan lukien EU:n ulkopuolisista maista peräisin olevat raaka-aineet. Meidän on myös vähennettävä eurooppalaisten planeetallemme ja sen ilmastolle aiheuttamia vahinkoja. On olennaisen tärkeää tukea paremmin pienyrityksiä, jotta ne voivat mukautua ilman, että niiden tarvitsee nostaa hintojaan. </w:t>
      </w:r>
    </w:p>
    <w:p>
      <w:pPr>
        <w:pStyle w:val="Normal"/>
        <w:rPr/>
      </w:pPr>
      <w:r>
        <w:rPr/>
        <w:t xml:space="preserve"> </w:t>
      </w:r>
    </w:p>
    <w:p>
      <w:pPr>
        <w:pStyle w:val="P68B1DB1Normal15"/>
        <w:rPr>
          <w:b/>
          <w:b/>
        </w:rPr>
      </w:pPr>
      <w:r>
        <w:rPr/>
        <w:t xml:space="preserve">17. Suosittelemme, että Euroopan unionin maat tarkastelisivat ydinenergiakysymystä vakavammin yhdessä. Yhteistyötä olisi tehostettava, jotta voidaan arvioida ydinenergian käyttöä ja sen roolia Euroopan vihreään energiaan siirtymisessä. </w:t>
      </w:r>
    </w:p>
    <w:p>
      <w:pPr>
        <w:pStyle w:val="Normal"/>
        <w:rPr/>
      </w:pPr>
      <w:r>
        <w:rPr/>
        <w:t xml:space="preserve"> </w:t>
      </w:r>
    </w:p>
    <w:p>
      <w:pPr>
        <w:pStyle w:val="Normal"/>
        <w:rPr/>
      </w:pPr>
      <w:r>
        <w:rPr/>
        <w:t xml:space="preserve">Suosittelemme näitä toimenpiteitä, koska ydinaseongelmaa ei voida ratkaista eristyksissä. Puolessa jäsenvaltioista on nyt yli 100 reaktoria, ja uusia reaktoreita on rakenteilla. Kun meillä on yhteinen sähköverkko, niiden tuottama vähähiilinen sähkö hyödyttää kaikkia eurooppalaisia ja lisää maanosamme energiaomavaraisuutta. Lisäksi ydinjätteestä luopuminen tai onnettomuus vaikuttaisi useisiin maihin. Riippumatta siitä, päätetäänkö ydinenergian käytöstä vai ei, eurooppalaisten on keskusteltava siitä yhdessä ja määriteltävä yhtenäisemmät strategiat kansallista itsemääräämisoikeutta kunnioittaen. </w:t>
      </w:r>
    </w:p>
    <w:p>
      <w:pPr>
        <w:pStyle w:val="Normal"/>
        <w:rPr/>
      </w:pPr>
      <w:r>
        <w:rPr/>
        <w:t xml:space="preserve"> </w:t>
      </w:r>
    </w:p>
    <w:p>
      <w:pPr>
        <w:pStyle w:val="Titre4"/>
        <w:numPr>
          <w:ilvl w:val="3"/>
          <w:numId w:val="2"/>
        </w:numPr>
        <w:rPr/>
      </w:pPr>
      <w:bookmarkStart w:id="188" w:name="__RefHeading___Toc297311_1346298689"/>
      <w:bookmarkEnd w:id="188"/>
      <w:r>
        <w:rPr/>
        <w:t xml:space="preserve">Osa-alue 2.3 – Eurooppalaisten arvojen edistäminen </w:t>
      </w:r>
    </w:p>
    <w:p>
      <w:pPr>
        <w:pStyle w:val="P68B1DB1Normal15"/>
        <w:rPr>
          <w:b/>
          <w:b/>
        </w:rPr>
      </w:pPr>
      <w:r>
        <w:rPr/>
        <w:t xml:space="preserve">18. EU:n pitäisi olla lähempänä kansalaisia. Tilintarkastustuomioistuin suosittaa, että EU luo ja vahvistaa yhteyksiä kansalaisiin ja paikallisiin instituutioihin, kuten paikallisviranomaisiin, kouluihin ja kuntiin. Tavoitteena on lisätä avoimuutta, tavoittaa kansalaisia, tiedottaa heille paremmin konkreettisista EU:n aloitteista ja tiedottaa paremmin EU:n yleisistä tiedoista. </w:t>
      </w:r>
    </w:p>
    <w:p>
      <w:pPr>
        <w:pStyle w:val="Normal"/>
        <w:rPr/>
      </w:pPr>
      <w:r>
        <w:rPr/>
        <w:t xml:space="preserve"> </w:t>
      </w:r>
    </w:p>
    <w:p>
      <w:pPr>
        <w:pStyle w:val="Normal"/>
        <w:rPr/>
      </w:pPr>
      <w:r>
        <w:rPr/>
        <w:t xml:space="preserve">Suosittelemme näitä toimenpiteitä, koska EU:ta koskevat nykyiset tiedot eivät ole riittävän kaikkien yhteiskuntaryhmien saatavilla eivätkä vaikuta tavallisiin kansalaisiin. Ne ovat usein tylsiä, vaikeasti ymmärrettäviä ja epäystävällisiä. Tilanteen on muututtava, jotta kansalaisilla on selkeä näkemys EU:n toiminnasta ja roolista. Yleisen kiinnostuksen herättämiseksi liittyvän tiedon on oltava helposti löydettävissä, motivoivaa, kiinnostavaa ja kirjoitettua yhteisellä kielellä. Tässä ovat ehdotuksemme: eurooppalaisten poliitikkojen kouluvierailujen järjestäminen, radiokampanjat podcastien, kirjeiden, lehtiartikkeleiden, mainosbussien ja sosiaalisen median muodossa, paikallisten kansalaiskokousten järjestäminen ja työryhmän perustaminen erityisesti EU:n viestinnän parantamiseksi. Näiden toimenpiteiden avulla kansalaiset voivat saada tietoa, jota kansalliset tiedotusvälineet eivät suodata. </w:t>
      </w:r>
    </w:p>
    <w:p>
      <w:pPr>
        <w:pStyle w:val="Normal"/>
        <w:rPr/>
      </w:pPr>
      <w:r>
        <w:rPr/>
        <w:t xml:space="preserve"> </w:t>
      </w:r>
    </w:p>
    <w:p>
      <w:pPr>
        <w:pStyle w:val="P68B1DB1Normal15"/>
        <w:rPr>
          <w:b/>
          <w:b/>
        </w:rPr>
      </w:pPr>
      <w:r>
        <w:rPr/>
        <w:t xml:space="preserve">19. Komitea suosittaa kansalaisten laajempaa osallistumista EU:n politiikkaan. Ehdotamme, että järjestetään tapahtumia, joihin kansalaiset osallistuvat suoraan Euroopan tulevaisuutta käsittelevän konferenssin mallin mukaisesti. Ne olisi järjestettävä kansallisella, paikallisella ja Euroopan tasolla. EU:n olisi määriteltävä johdonmukainen strategia ja keskitetty opastus näitä tapahtumia varten. </w:t>
      </w:r>
    </w:p>
    <w:p>
      <w:pPr>
        <w:pStyle w:val="Normal"/>
        <w:rPr/>
      </w:pPr>
      <w:r>
        <w:rPr/>
        <w:t xml:space="preserve"> </w:t>
      </w:r>
    </w:p>
    <w:p>
      <w:pPr>
        <w:pStyle w:val="Normal"/>
        <w:rPr/>
      </w:pPr>
      <w:r>
        <w:rPr/>
        <w:t xml:space="preserve">Suosittelemme näitä toimenpiteitä, koska nämä osallistavat demokratiaharjoitukset antavat oikeaa tietoa ja parantavat EU:n politiikkojen laatua. Tapahtumat olisi järjestettävä siten, että ne edistävät unionin perusarvoja – demokratiaa ja kansalaisten osallistumista. Nämä tapahtumat tarjoaisivat poliitikoille tilaisuuden osoittaa kansalaisille, että heille on tärkeää, että kansalaiset saavat tietoa ajankohtaisista tapahtumista ja liittyvät niiden määritelmään. Keskitetyllä ohjauksella varmistetaan kansallisten ja paikallisten konferenssien johdonmukaisuus ja johdonmukaisuus. </w:t>
      </w:r>
    </w:p>
    <w:p>
      <w:pPr>
        <w:pStyle w:val="Normal"/>
        <w:rPr/>
      </w:pPr>
      <w:r>
        <w:rPr/>
        <w:t xml:space="preserve"> </w:t>
      </w:r>
    </w:p>
    <w:p>
      <w:pPr>
        <w:pStyle w:val="Titre3"/>
        <w:numPr>
          <w:ilvl w:val="2"/>
          <w:numId w:val="2"/>
        </w:numPr>
        <w:rPr/>
      </w:pPr>
      <w:bookmarkStart w:id="189" w:name="__RefHeading___Toc297313_1346298689"/>
      <w:bookmarkEnd w:id="189"/>
      <w:r>
        <w:rPr/>
        <w:t xml:space="preserve">Akseli 3: Vahva EU rauhanomaisessa maailmassa </w:t>
      </w:r>
    </w:p>
    <w:p>
      <w:pPr>
        <w:pStyle w:val="Titre4"/>
        <w:numPr>
          <w:ilvl w:val="3"/>
          <w:numId w:val="2"/>
        </w:numPr>
        <w:rPr/>
      </w:pPr>
      <w:bookmarkStart w:id="190" w:name="__RefHeading___Toc297315_1346298689"/>
      <w:bookmarkEnd w:id="190"/>
      <w:r>
        <w:rPr/>
        <w:t xml:space="preserve">Osa-alue 3.1 – Turvallisuus ja puolustus </w:t>
      </w:r>
    </w:p>
    <w:p>
      <w:pPr>
        <w:pStyle w:val="P68B1DB1Normal15"/>
        <w:rPr>
          <w:b/>
          <w:b/>
        </w:rPr>
      </w:pPr>
      <w:r>
        <w:rPr/>
        <w:t xml:space="preserve">20. Suosittelemme, että tulevia ”Euroopan unionin yhteisiä asevoimia” käytetään ensisijaisesti puolustustarkoituksiin. Kaikki aggressiiviset sotilaalliset toimet, niiden luonteesta riippumatta, on suljettu pois. Tämä tarjoaisi Euroopassa keinot avun antamiseen kriisitilanteissa, erityisesti luonnonkatastrofin sattuessa. Tämä mahdollistaisi resurssien käytön Euroopan rajojen ulkopuolella alueille, joilla on poikkeuksellisia olosuhteita, yksinomaan YK:n turvallisuusneuvoston oikeudellisen mandaatin puitteissa ja siten kansainvälisen oikeuden mukaisesti. </w:t>
      </w:r>
    </w:p>
    <w:p>
      <w:pPr>
        <w:pStyle w:val="Normal"/>
        <w:rPr/>
      </w:pPr>
      <w:r>
        <w:rPr/>
        <w:t xml:space="preserve"> </w:t>
      </w:r>
    </w:p>
    <w:p>
      <w:pPr>
        <w:pStyle w:val="Normal"/>
        <w:rPr/>
      </w:pPr>
      <w:r>
        <w:rPr/>
        <w:t xml:space="preserve">Jos se pannaan täytäntöön, Euroopan unionia voitaisiin pitää uskottavana, vastuullisena, vahvana ja rauhanomaisena kumppanina kansainvälisellä näyttämöllä. Sen parannetuilla valmiuksilla reagoida kriisitilanteisiin kotimaassa ja ulkomailla olisi näin ollen suojattava sen perusarvoja. </w:t>
      </w:r>
    </w:p>
    <w:p>
      <w:pPr>
        <w:pStyle w:val="Normal"/>
        <w:rPr/>
      </w:pPr>
      <w:r>
        <w:rPr/>
        <w:t xml:space="preserve"> </w:t>
      </w:r>
    </w:p>
    <w:p>
      <w:pPr>
        <w:pStyle w:val="Titre4"/>
        <w:numPr>
          <w:ilvl w:val="3"/>
          <w:numId w:val="2"/>
        </w:numPr>
        <w:rPr/>
      </w:pPr>
      <w:bookmarkStart w:id="191" w:name="__RefHeading___Toc297317_1346298689"/>
      <w:bookmarkEnd w:id="191"/>
      <w:r>
        <w:rPr/>
        <w:t xml:space="preserve">Osa-alue 3.2 – Päätöksenteko ja EU:n ulkopolitiikka </w:t>
      </w:r>
    </w:p>
    <w:p>
      <w:pPr>
        <w:pStyle w:val="P68B1DB1Normal15"/>
        <w:rPr>
          <w:b/>
          <w:b/>
        </w:rPr>
      </w:pPr>
      <w:r>
        <w:rPr/>
        <w:t xml:space="preserve">21. Suosittelemme, että kaikki alat, joilla päätökset tehdään yksimielisesti, tehdään nyt määräenemmistöllä. Ainoana poikkeuksena olisi oltava uusien jäsenvaltioiden liittyminen unioniin ja Lissabonin sopimuksen 2 artiklassa ja Euroopan unionin perusoikeuskirjassa vahvistettujen unionin perusperiaatteiden muuttaminen. </w:t>
      </w:r>
    </w:p>
    <w:p>
      <w:pPr>
        <w:pStyle w:val="Normal"/>
        <w:rPr/>
      </w:pPr>
      <w:r>
        <w:rPr/>
        <w:t xml:space="preserve"> </w:t>
      </w:r>
    </w:p>
    <w:p>
      <w:pPr>
        <w:pStyle w:val="Normal"/>
        <w:rPr/>
      </w:pPr>
      <w:r>
        <w:rPr/>
        <w:t xml:space="preserve">Tämä vahvistaisi EU:n asemaa maailmassa esittämällä yhtenäisen rintaman kolmansiin maihin nähden ja helpottamalla sen yleisiä toimintavalmiuksia, myös kriisitoimia. </w:t>
      </w:r>
    </w:p>
    <w:p>
      <w:pPr>
        <w:pStyle w:val="Normal"/>
        <w:rPr/>
      </w:pPr>
      <w:r>
        <w:rPr/>
        <w:t xml:space="preserve"> </w:t>
      </w:r>
    </w:p>
    <w:p>
      <w:pPr>
        <w:pStyle w:val="P68B1DB1Normal15"/>
        <w:rPr>
          <w:b/>
          <w:b/>
        </w:rPr>
      </w:pPr>
      <w:r>
        <w:rPr/>
        <w:t xml:space="preserve">22. Suosittelemme, että Euroopan unioni vahvistaa valmiuksiaan määrätä seuraamuksia jäsenvaltioille, hallituksille, yhteisöille, ryhmille tai organisaatioille ja henkilöille, jotka eivät noudata sen perusperiaatteita, sopimuksia ja lakeja. On välttämätöntä, että jo olemassa olevat seuraamukset pannaan nopeasti täytäntöön ja että niitä noudatetaan tehokkaasti. Kolmansille maille määrättyjen seuraamusten olisi oltava oikeasuhteisia niiden käynnistämiin toimiin nähden, niiden olisi oltava tehokkaita ja niitä olisi sovellettava oikea-aikaisesti. </w:t>
      </w:r>
    </w:p>
    <w:p>
      <w:pPr>
        <w:pStyle w:val="Normal"/>
        <w:rPr/>
      </w:pPr>
      <w:r>
        <w:rPr/>
        <w:t xml:space="preserve"> </w:t>
      </w:r>
    </w:p>
    <w:p>
      <w:pPr>
        <w:pStyle w:val="Normal"/>
        <w:rPr/>
      </w:pPr>
      <w:r>
        <w:rPr/>
        <w:t xml:space="preserve">Jotta EU olisi uskottava ja luotettava, sen on määrättävä seuraamuksia niille, jotka rikkovat sen periaatteita. Tällaisia seuraamuksia olisi sovellettava tehokkaasti ja nopeasti, ja niitä olisi valvottava. </w:t>
      </w:r>
    </w:p>
    <w:p>
      <w:pPr>
        <w:pStyle w:val="Normal"/>
        <w:rPr/>
      </w:pPr>
      <w:r>
        <w:rPr/>
        <w:t xml:space="preserve"> </w:t>
      </w:r>
    </w:p>
    <w:p>
      <w:pPr>
        <w:pStyle w:val="Titre4"/>
        <w:numPr>
          <w:ilvl w:val="3"/>
          <w:numId w:val="2"/>
        </w:numPr>
        <w:rPr/>
      </w:pPr>
      <w:bookmarkStart w:id="192" w:name="__RefHeading___Toc297319_1346298689"/>
      <w:bookmarkEnd w:id="192"/>
      <w:r>
        <w:rPr/>
        <w:t xml:space="preserve">Osa-alue 3.3 – Naapuruusmaat ja laajentuminen </w:t>
      </w:r>
    </w:p>
    <w:p>
      <w:pPr>
        <w:pStyle w:val="P68B1DB1Normal15"/>
        <w:rPr>
          <w:b/>
          <w:b/>
        </w:rPr>
      </w:pPr>
      <w:r>
        <w:rPr/>
        <w:t xml:space="preserve">23. Tilintarkastustuomioistuin suosittaa, että Euroopan unioni osoittaa erityisen talousarvion EU:n toimintaa ja sen arvoja koskevien koulutusohjelmien kehittämiseen. Näitä ohjelmia tarjotaan jäsenvaltioille, jos ne haluavat sisällyttää ne koulujensa opetussuunnitelmiin (perus- ja keskiasteen koulutus ja yliopistot). Lisäksi Erasmus-ohjelman kautta voitaisiin tarjota erityistä EU:ta ja sen toimintaa käsittelevää kurssia opiskelijoille, jotka haluavat opiskella toisessa Euroopan maassa. Opiskelijat, jotka valitsevat tämän kurssin, asetetaan etusijalle, jotta he voivat hyötyä näistä Erasmus-ohjelmista. </w:t>
      </w:r>
    </w:p>
    <w:p>
      <w:pPr>
        <w:pStyle w:val="Normal"/>
        <w:rPr/>
      </w:pPr>
      <w:r>
        <w:rPr/>
        <w:t xml:space="preserve"> </w:t>
      </w:r>
    </w:p>
    <w:p>
      <w:pPr>
        <w:pStyle w:val="Normal"/>
        <w:rPr/>
      </w:pPr>
      <w:r>
        <w:rPr/>
        <w:t xml:space="preserve">Tilintarkastustuomioistuin suosittaa näitä toimenpiteitä kuulumisen tunteen lisäämiseksi. Näin kansalaiset voivat paremmin samaistua unioniin ja välittää sen arvoja. Lisäksi näillä toimenpiteillä lisätään avoimuutta EU:n toiminnasta ja siihen kuulumisesta koituvista eduista sekä torjutaan EU:n vastaisia liikkeitä. Näiden toimenpiteiden pitäisi estää jäsenvaltioita poistumasta. </w:t>
      </w:r>
    </w:p>
    <w:p>
      <w:pPr>
        <w:pStyle w:val="Normal"/>
        <w:rPr/>
      </w:pPr>
      <w:r>
        <w:rPr/>
        <w:t xml:space="preserve"> </w:t>
      </w:r>
    </w:p>
    <w:p>
      <w:pPr>
        <w:pStyle w:val="P68B1DB1Normal15"/>
        <w:rPr>
          <w:b/>
          <w:b/>
        </w:rPr>
      </w:pPr>
      <w:r>
        <w:rPr/>
        <w:t xml:space="preserve">24. Suosittelemme, että EU käyttää enemmän poliittista ja taloudellista painoarvoaan suhteissaan muihin maihin estääkseen tiettyjen jäsenvaltioiden kahdenvälisen taloudellisen, poliittisen ja sosiaalisen painostuksen. </w:t>
      </w:r>
    </w:p>
    <w:p>
      <w:pPr>
        <w:pStyle w:val="Normal"/>
        <w:rPr/>
      </w:pPr>
      <w:r>
        <w:rPr/>
        <w:t xml:space="preserve"> </w:t>
      </w:r>
    </w:p>
    <w:p>
      <w:pPr>
        <w:pStyle w:val="Normal"/>
        <w:rPr/>
      </w:pPr>
      <w:r>
        <w:rPr/>
        <w:t xml:space="preserve">Suosittelemme näitä toimenpiteitä kolmesta syystä. Ensinnäkin ne vahvistavat yhtenäisyyden tunnetta. Toiseksi yksipuolinen reagointi on selkeä, voimakas ja nopea vastaus, jotta vältetään kolmansien maiden yritykset kiusata tai torjua EU:n jäsenvaltioita. Lopuksi ne vahvistavat unionin turvallisuutta ja varmistavat, että yksikään jäsenvaltio ei tunne itseään hylätyksi tai jätetty huomiotta. Kahdenväliset reaktiot jakavat EU:n ja ovat heikkous, jota kolmannet maat käyttävät meitä vastaan. </w:t>
      </w:r>
    </w:p>
    <w:p>
      <w:pPr>
        <w:pStyle w:val="Normal"/>
        <w:rPr/>
      </w:pPr>
      <w:r>
        <w:rPr/>
        <w:t xml:space="preserve"> </w:t>
      </w:r>
    </w:p>
    <w:p>
      <w:pPr>
        <w:pStyle w:val="P68B1DB1Normal15"/>
        <w:rPr>
          <w:b/>
          <w:b/>
        </w:rPr>
      </w:pPr>
      <w:r>
        <w:rPr/>
        <w:t xml:space="preserve">25. ”Suosittelemme, että unioni parantaa viestintästrategiaansa”. Toisaalta EU:n olisi lisättävä näkyvyyttään sosiaalisissa verkostoissa ja edistettävä aktiivisesti sen sisältöä. Toisaalta sen olisi edelleen järjestettävä vuosittain muun muassa Euroopan tulevaisuutta käsittelevän konferenssin kaltaisia konferensseja. Komitea suosittaa myös, että se edistää edelleen innovointia edistämällä esteetöntä eurooppalaista sosiaalista verkostoa. </w:t>
      </w:r>
    </w:p>
    <w:p>
      <w:pPr>
        <w:pStyle w:val="Normal"/>
        <w:rPr/>
      </w:pPr>
      <w:r>
        <w:rPr/>
        <w:t xml:space="preserve"> </w:t>
      </w:r>
    </w:p>
    <w:p>
      <w:pPr>
        <w:pStyle w:val="Normal"/>
        <w:rPr/>
      </w:pPr>
      <w:r>
        <w:rPr/>
        <w:t xml:space="preserve">Nämä ehdotukset tavoittaisivat nuoret, mutta myös lisäisivät Euroopan kansalaisten kiinnostusta ja osallistumista houkuttelevamman ja tehokkaamman viestintävälineen avulla. Tapahtumien, kuten Euroopan tulevaisuutta käsittelevän konferenssin, järjestämisen pitäisi antaa kansalaisille mahdollisuus osallistua enemmän päätöksentekoprosessiin ja varmistaa, että heidän äänensä kuullaan. </w:t>
      </w:r>
    </w:p>
    <w:p>
      <w:pPr>
        <w:pStyle w:val="Normal"/>
        <w:rPr/>
      </w:pPr>
      <w:r>
        <w:rPr/>
        <w:t xml:space="preserve"> </w:t>
      </w:r>
    </w:p>
    <w:p>
      <w:pPr>
        <w:pStyle w:val="P68B1DB1Normal15"/>
        <w:rPr>
          <w:b/>
          <w:b/>
        </w:rPr>
      </w:pPr>
      <w:r>
        <w:rPr/>
        <w:t xml:space="preserve">26. Suosittelemme, että jäsenvaltiot omaksuvat vahvan vision ja yhteisen strategian eurooppalaisen identiteetin ja yhtenäisyyden yhdenmukaistamiseksi ja lujittamiseksi ennen unionin laajentumista. </w:t>
      </w:r>
    </w:p>
    <w:p>
      <w:pPr>
        <w:pStyle w:val="Normal"/>
        <w:rPr/>
      </w:pPr>
      <w:r>
        <w:rPr/>
        <w:t xml:space="preserve"> </w:t>
      </w:r>
    </w:p>
    <w:p>
      <w:pPr>
        <w:pStyle w:val="Normal"/>
        <w:rPr/>
      </w:pPr>
      <w:r>
        <w:rPr/>
        <w:t xml:space="preserve">Mielestämme on olennaisen tärkeää vahvistaa EU:ta ja vahvistaa jäsenvaltioiden välisiä suhteita ennen kuin harkitaan muiden maiden yhdentymistä. Mitä enemmän EU:n jäsenvaltioita, sitä monimutkaisempi päätöksentekoprosessi; näin ollen on tärkeää tarkastella uudelleen yksimielistä äänestystä päätöksentekoprosesseissa. </w:t>
      </w:r>
    </w:p>
    <w:p>
      <w:pPr>
        <w:pStyle w:val="Normal"/>
        <w:rPr/>
      </w:pPr>
      <w:r>
        <w:rPr/>
        <w:t xml:space="preserve"> </w:t>
      </w:r>
    </w:p>
    <w:p>
      <w:pPr>
        <w:pStyle w:val="Titre3"/>
        <w:numPr>
          <w:ilvl w:val="2"/>
          <w:numId w:val="2"/>
        </w:numPr>
        <w:rPr/>
      </w:pPr>
      <w:bookmarkStart w:id="193" w:name="__RefHeading___Toc297321_1346298689"/>
      <w:bookmarkEnd w:id="193"/>
      <w:r>
        <w:rPr/>
        <w:t xml:space="preserve">Akseli 4: Muuttoliike ihmisen näkökulmasta </w:t>
      </w:r>
    </w:p>
    <w:p>
      <w:pPr>
        <w:pStyle w:val="Titre4"/>
        <w:numPr>
          <w:ilvl w:val="3"/>
          <w:numId w:val="2"/>
        </w:numPr>
        <w:rPr/>
      </w:pPr>
      <w:bookmarkStart w:id="194" w:name="__RefHeading___Toc297323_1346298689"/>
      <w:bookmarkEnd w:id="194"/>
      <w:r>
        <w:rPr/>
        <w:t xml:space="preserve">Osa-akseli 4.1 – Maahanmuuton syihin puuttuminen </w:t>
      </w:r>
    </w:p>
    <w:p>
      <w:pPr>
        <w:pStyle w:val="P68B1DB1Normal15"/>
        <w:rPr>
          <w:b/>
          <w:b/>
        </w:rPr>
      </w:pPr>
      <w:r>
        <w:rPr/>
        <w:t xml:space="preserve">27. Suosittelemme, että Euroopan unioni osallistuu aktiivisesti kolmansien maiden ja niiden maiden talouskehitykseen, joista suurimmat maahanmuuttajavirrat ovat peräisin. Asiaankuuluvien elinten (paikalliset kansalaisjärjestöt ja paikalliset poliitikot, alan asiantuntijatyöntekijät jne.) avulla EU:n olisi etsittävä keinoja puuttua rauhanomaisesti ja tehokkaasti maihin, joista suurimmat maahanmuuttajavirrat ovat peräisin ja jotka ovat sopineet yhteistyötavoista. Näillä toimilla olisi oltava konkreettisia ja mitattavissa olevia vaikutuksia, jotka olisi tuotava selvästi esiin, jotta Euroopan kansalaiset voivat ymmärtää unionin kehitysapupolitiikkaa. Näin ollen EU:n kehitysaputoimien näkyvyyttä olisi lisättävä. </w:t>
      </w:r>
    </w:p>
    <w:p>
      <w:pPr>
        <w:pStyle w:val="Normal"/>
        <w:rPr/>
      </w:pPr>
      <w:r>
        <w:rPr/>
        <w:t xml:space="preserve"> </w:t>
      </w:r>
    </w:p>
    <w:p>
      <w:pPr>
        <w:pStyle w:val="Normal"/>
        <w:rPr/>
      </w:pPr>
      <w:r>
        <w:rPr/>
        <w:t xml:space="preserve">Vaikka EU työskenteleekin kansainvälisen kehityksen parissa, sen on jatkettava toimiaan ja investoitava tällä alalla harjoittamansa politiikan avoimuuteen ja näkyvyyteen. </w:t>
      </w:r>
    </w:p>
    <w:p>
      <w:pPr>
        <w:pStyle w:val="Normal"/>
        <w:rPr/>
      </w:pPr>
      <w:r>
        <w:rPr/>
        <w:t xml:space="preserve"> </w:t>
      </w:r>
    </w:p>
    <w:p>
      <w:pPr>
        <w:pStyle w:val="P68B1DB1Normal15"/>
        <w:rPr>
          <w:b/>
          <w:b/>
        </w:rPr>
      </w:pPr>
      <w:r>
        <w:rPr/>
        <w:t xml:space="preserve">28. Tilintarkastustuomioistuin suosittaa yhteisen eurooppalaisen kehyksen luomista työolojen yhdenmukaistamiseksi koko unionissa (vähimmäispalkka, työaika jne.). EU:n olisi pyrittävä luomaan yhteiset työelämän perusnormit, joilla estetään kansalaisia lähtemästä maastaan etsimään parempia työoloja muualta. Näiden normien puitteissa EU:n olisi vahvistettava ammattiyhdistysten asemaa kansainvälisellä tasolla. Näin EU tunnustaisi, että sisäinen taloudellisista syistä tapahtuva muuttoliike (EU:n kansalaisten muuttoliike) on vakava ongelma. </w:t>
      </w:r>
    </w:p>
    <w:p>
      <w:pPr>
        <w:pStyle w:val="Normal"/>
        <w:rPr/>
      </w:pPr>
      <w:r>
        <w:rPr/>
        <w:t xml:space="preserve"> </w:t>
      </w:r>
    </w:p>
    <w:p>
      <w:pPr>
        <w:pStyle w:val="Normal"/>
        <w:rPr/>
      </w:pPr>
      <w:r>
        <w:rPr/>
        <w:t xml:space="preserve">Suositus perustuu havaintoon, jonka mukaan suuri määrä ihmisiä muuttaa taloudellisista syistä jäsenvaltioiden välisten työolojen erojen vuoksi. Tämä aivovuoto on estettävä, jotta jäsenvaltiot säilyttäisivät kykynsä ja työvoimansa. Tuemme kansalaisten vapaata liikkuvuutta, mutta uskomme, että EU:n kansalaisten muuttoliike eri jäsenvaltioiden välillä, jos se ei ole toivottavaa, johtuu taloudellisista syistä. Siksi on tärkeää luoda yhteiset puitteet työlle. </w:t>
      </w:r>
    </w:p>
    <w:p>
      <w:pPr>
        <w:pStyle w:val="Normal"/>
        <w:rPr/>
      </w:pPr>
      <w:r>
        <w:rPr/>
        <w:t xml:space="preserve"> </w:t>
      </w:r>
    </w:p>
    <w:p>
      <w:pPr>
        <w:pStyle w:val="Titre4"/>
        <w:numPr>
          <w:ilvl w:val="3"/>
          <w:numId w:val="2"/>
        </w:numPr>
        <w:rPr/>
      </w:pPr>
      <w:bookmarkStart w:id="195" w:name="__RefHeading___Toc297325_1346298689"/>
      <w:bookmarkEnd w:id="195"/>
      <w:r>
        <w:rPr/>
        <w:t xml:space="preserve">Osa-akseli 4.2 – Ihmiseen liittyvät näkökohdat </w:t>
      </w:r>
    </w:p>
    <w:p>
      <w:pPr>
        <w:pStyle w:val="P68B1DB1Normal15"/>
        <w:rPr>
          <w:b/>
          <w:b/>
        </w:rPr>
      </w:pPr>
      <w:r>
        <w:rPr/>
        <w:t xml:space="preserve">29. Komitea suosittaa yhteisvastuun periaatteeseen perustuvan yhteisen maahanmuuttopolitiikan täytäntöönpanoa. Haluamme keskittyä pakolaisongelmaan. Kaikkien EU:n jäsenvaltioiden yhteisen menettelyn olisi perustuttava tehokkaimpiin käytäntöihin kaikissa EU-maissa. Kansallisten viranomaisten ja EU:n hallinnon olisi pantava tämä menettely täytäntöön ennakoivasti. </w:t>
      </w:r>
    </w:p>
    <w:p>
      <w:pPr>
        <w:pStyle w:val="Normal"/>
        <w:rPr/>
      </w:pPr>
      <w:r>
        <w:rPr/>
        <w:t xml:space="preserve"> </w:t>
      </w:r>
    </w:p>
    <w:p>
      <w:pPr>
        <w:pStyle w:val="Normal"/>
        <w:rPr/>
      </w:pPr>
      <w:r>
        <w:rPr/>
        <w:t xml:space="preserve">Pakolaisongelma koskee kaikkia jäsenmaita. Tällä hetkellä näillä valtioilla on liian erilaiset käytännöt, joilla on kielteisiä vaikutuksia pakolaisiin ja EU:n kansalaisiin. Sen vuoksi on tarpeen omaksua johdonmukainen ja johdonmukainen lähestymistapa. </w:t>
      </w:r>
    </w:p>
    <w:p>
      <w:pPr>
        <w:pStyle w:val="Normal"/>
        <w:rPr/>
      </w:pPr>
      <w:r>
        <w:rPr/>
        <w:t xml:space="preserve"> </w:t>
      </w:r>
    </w:p>
    <w:p>
      <w:pPr>
        <w:pStyle w:val="P68B1DB1Normal15"/>
        <w:rPr>
          <w:b/>
          <w:b/>
        </w:rPr>
      </w:pPr>
      <w:r>
        <w:rPr/>
        <w:t xml:space="preserve">30. Tilintarkastustuomioistuin suosittaa, että EU tehostaa toimiaan tiedottaakseen ja valistaakseen jäsenvaltioiden kansalaisia muuttoliikkeeseen liittyvistä kysymyksistä. Tähän olisi päästävä kouluttamalla lapsia mahdollisimman varhaisessa vaiheessa peruskoulun alusta alkaen esimerkiksi muuttoliikkeeseen ja kotoutumiseen liittyvissä kysymyksissä. Jos yhdistämme tämän varhaiskasvatuksen kansalaisjärjestöjen ja nuorisojärjestöjen toimintaan sekä laajamittaisiin mediakampanjoihin, voimme saavuttaa tavoitteemme täysimääräisesti. Lisäksi voitaisiin käyttää monia viestintävälineitä: muun muassa esitteitä, televisiota ja sosiaalisia verkostoja. </w:t>
      </w:r>
    </w:p>
    <w:p>
      <w:pPr>
        <w:pStyle w:val="Normal"/>
        <w:rPr/>
      </w:pPr>
      <w:r>
        <w:rPr/>
        <w:t xml:space="preserve"> </w:t>
      </w:r>
    </w:p>
    <w:p>
      <w:pPr>
        <w:pStyle w:val="Normal"/>
        <w:rPr/>
      </w:pPr>
      <w:r>
        <w:rPr/>
        <w:t xml:space="preserve">On tärkeää osoittaa, että muuttoliikkeeseen liittyy myös monia myönteisiä näkökohtia, kuten työvoiman lisääminen. Haluamme korostaa, että on tärkeää lisätä tietoisuutta molemmista prosesseista, jotta kansalaiset ymmärtävät muuttoliikkeen syyt ja seuraukset, jotta voidaan poistaa leimautuminen, joka johtuu siitä, että häntä pidetään maahanmuuttajana. </w:t>
      </w:r>
    </w:p>
    <w:p>
      <w:pPr>
        <w:pStyle w:val="Normal"/>
        <w:rPr/>
      </w:pPr>
      <w:r>
        <w:rPr/>
        <w:t xml:space="preserve"> </w:t>
      </w:r>
    </w:p>
    <w:p>
      <w:pPr>
        <w:pStyle w:val="Titre4"/>
        <w:numPr>
          <w:ilvl w:val="3"/>
          <w:numId w:val="2"/>
        </w:numPr>
        <w:rPr/>
      </w:pPr>
      <w:bookmarkStart w:id="196" w:name="__RefHeading___Toc297327_1346298689"/>
      <w:bookmarkEnd w:id="196"/>
      <w:r>
        <w:rPr/>
        <w:t xml:space="preserve">Osa-akseli 4.3 – Rajat </w:t>
      </w:r>
    </w:p>
    <w:p>
      <w:pPr>
        <w:pStyle w:val="P68B1DB1Normal15"/>
        <w:rPr>
          <w:b/>
          <w:b/>
        </w:rPr>
      </w:pPr>
      <w:r>
        <w:rPr/>
        <w:t xml:space="preserve">31. Komitea suosittaa, että turvapaikanhakijoiden vastaanottoa jäsenvaltioissa koskevista vähimmäisvaatimuksista annettu direktiivi 2013/33/EU korvataan pakollisella EU:n asetuksella, jota sovelletaan yhdenmukaisesti kaikissa jäsenvaltioissa. Etusijalle olisi asetettava vastaanotto- ja majoitustilojen parantaminen. Tilintarkastustuomioistuin suosittaa, että perustetaan erityinen EU:n valvontaelin asetuksen täytäntöönpanoa varten. </w:t>
      </w:r>
    </w:p>
    <w:p>
      <w:pPr>
        <w:pStyle w:val="Normal"/>
        <w:rPr/>
      </w:pPr>
      <w:r>
        <w:rPr/>
        <w:t xml:space="preserve"> </w:t>
      </w:r>
    </w:p>
    <w:p>
      <w:pPr>
        <w:pStyle w:val="Normal"/>
        <w:rPr/>
      </w:pPr>
      <w:r>
        <w:rPr/>
        <w:t xml:space="preserve">Direktiiviä ei itse asiassa panna täytäntöön yhdenmukaisesti kaikissa jäsenvaltioissa. Meidän on vältettävä toistamasta Morian pakolaisleirillä havaittuja olosuhteita. Suositeltava asetus olisi sen vuoksi pantava täytäntöön, ja siihen olisi sisällytettävä pakollisia seuraamuksia. Valvontaelimen olisi oltava vankka ja luotettava. </w:t>
      </w:r>
    </w:p>
    <w:p>
      <w:pPr>
        <w:pStyle w:val="Normal"/>
        <w:rPr/>
      </w:pPr>
      <w:r>
        <w:rPr/>
        <w:t xml:space="preserve"> </w:t>
      </w:r>
    </w:p>
    <w:p>
      <w:pPr>
        <w:pStyle w:val="P68B1DB1Normal15"/>
        <w:rPr>
          <w:b/>
          <w:b/>
        </w:rPr>
      </w:pPr>
      <w:r>
        <w:rPr/>
        <w:t xml:space="preserve">32. Suosittelemme, että EU varmistaa, että kaikki turvapaikanhakijat ja pakolaiset käyvät kieli- ja kotouttamiskursseja oleskeluhakemuksen käsittelyn aikana. Kurssien olisi oltava pakollisia, maksuttomia, ja niihin olisi sisällyttävä henkilökohtaista apua kotouttamista varten. Heidän on aloitettava kahden viikon kuluessa oleskelulupahakemuksesta. Olisi myös otettava käyttöön kannustin- ja seuraamusmekanismeja. </w:t>
      </w:r>
    </w:p>
    <w:p>
      <w:pPr>
        <w:pStyle w:val="Normal"/>
        <w:rPr/>
      </w:pPr>
      <w:r>
        <w:rPr/>
        <w:t xml:space="preserve"> </w:t>
      </w:r>
    </w:p>
    <w:p>
      <w:pPr>
        <w:pStyle w:val="Normal"/>
        <w:rPr/>
      </w:pPr>
      <w:r>
        <w:rPr/>
        <w:t xml:space="preserve">Kielen oppiminen ja saapumismaan kulttuurin, historian ja etiikan ymmärtäminen on olennainen askel kotoutumisessa. Viivästyksen kesto ennen alkuperäisen kotouttamisprosessin alkua vaikuttaa kielteisesti maahanmuuttajien sosiaaliseen assimilaatioon. Seuraamusmekanismit voivat auttaa tunnistamaan maahanmuuttajien kotoutumishalukkuuden. </w:t>
      </w:r>
    </w:p>
    <w:p>
      <w:pPr>
        <w:pStyle w:val="Normal"/>
        <w:rPr/>
      </w:pPr>
      <w:r>
        <w:rPr/>
        <w:t xml:space="preserve"> </w:t>
      </w:r>
    </w:p>
    <w:p>
      <w:pPr>
        <w:pStyle w:val="Titre3"/>
        <w:numPr>
          <w:ilvl w:val="2"/>
          <w:numId w:val="2"/>
        </w:numPr>
        <w:rPr/>
      </w:pPr>
      <w:bookmarkStart w:id="197" w:name="__RefHeading___Toc297329_1346298689"/>
      <w:bookmarkEnd w:id="197"/>
      <w:r>
        <w:rPr/>
        <w:t xml:space="preserve">Akseli 5: Vastuullisuus ja solidaarisuus </w:t>
      </w:r>
    </w:p>
    <w:p>
      <w:pPr>
        <w:pStyle w:val="Titre4"/>
        <w:numPr>
          <w:ilvl w:val="3"/>
          <w:numId w:val="2"/>
        </w:numPr>
        <w:rPr/>
      </w:pPr>
      <w:bookmarkStart w:id="198" w:name="__RefHeading___Toc297331_1346298689"/>
      <w:bookmarkEnd w:id="198"/>
      <w:r>
        <w:rPr/>
        <w:t xml:space="preserve">Osa-alue 5.1 – Muuttajien jakautuminen </w:t>
      </w:r>
    </w:p>
    <w:p>
      <w:pPr>
        <w:pStyle w:val="P68B1DB1Normal15"/>
        <w:rPr>
          <w:b/>
          <w:b/>
        </w:rPr>
      </w:pPr>
      <w:r>
        <w:rPr/>
        <w:t xml:space="preserve">33. Suosittelemme Dublin-järjestelmän korvaamista oikeudellisesti sitovalla sopimuksella, jotta varmistetaan turvapaikanhakijoiden oikeudenmukainen, tasapainoinen ja oikeasuhteinen jakautuminen solidaarisuuden ja oikeuden pohjalta. Tällä hetkellä pakolaisten on haettava turvapaikkaa ensimmäisestä saapumisjäsenvaltiosta. Järjestelmän muutoksen on tapahduttava mahdollisimman nopeasti. Euroopan komission ehdotus uudeksi EU:n muuttoliike- ja turvapaikkasopimukseksi vuodesta 2020 on hyvä alku, ja sen olisi oltava oikeudellinen muoto, koska siinä säädetään kiintiöistä pakolaisten jakamiseksi EU:n jäsenvaltioiden kesken. </w:t>
      </w:r>
    </w:p>
    <w:p>
      <w:pPr>
        <w:pStyle w:val="Normal"/>
        <w:rPr/>
      </w:pPr>
      <w:r>
        <w:rPr/>
        <w:t xml:space="preserve"> </w:t>
      </w:r>
    </w:p>
    <w:p>
      <w:pPr>
        <w:pStyle w:val="Normal"/>
        <w:rPr/>
      </w:pPr>
      <w:r>
        <w:rPr/>
        <w:t xml:space="preserve">Suosittelemme tätä, koska nykyinen Dublin-järjestelmä ei noudata solidaarisuuden ja oikeudenmukaisuuden periaatteita. Se rasittaa ankarasti EU:n ulkorajoja lähellä olevia jäsenvaltioita, joita turvapaikanhakijat ylittävät päästäkseen sen alueelle. Kaikkien jäsenvaltioiden on otettava vastuu tulevien pakolaisvirtojen hallinnasta. EU on yhteisten arvojen yhteisö ja sen on toimittava sen mukaisesti. </w:t>
      </w:r>
    </w:p>
    <w:p>
      <w:pPr>
        <w:pStyle w:val="Normal"/>
        <w:rPr/>
      </w:pPr>
      <w:r>
        <w:rPr/>
        <w:t xml:space="preserve"> </w:t>
      </w:r>
    </w:p>
    <w:p>
      <w:pPr>
        <w:pStyle w:val="P68B1DB1Normal15"/>
        <w:rPr>
          <w:b/>
          <w:b/>
        </w:rPr>
      </w:pPr>
      <w:r>
        <w:rPr/>
        <w:t xml:space="preserve">34. Tilintarkastustuomioistuin suosittaa, että EU avustaa jäsenvaltioitaan turvapaikkahakemusten käsittelyssä nopeammin ja yhteisten normien mukaisesti. Lisäksi pakolaisille olisi tarjottava humanitaarista asuntoa. Jotta saapuvat maat voitaisiin purkaa ja jotta ne voisivat käsitellä turvapaikkahakemuksensa muualla, suosittelemme, että pakolaiset siirretään nopeasti ja tehokkaasti eri jäsenvaltioihin sen jälkeen, kun he ovat saapuneet ensimmäisen kerran. Tätä varten tarvitaan EU:n rahoitustukea ja organisatorista tukea EU:n turvapaikkavirastolta. Henkilöt, joiden turvapaikkahakemus on hylätty, on palautettava alkuperämaahansa, jos heidän alkuperämaansa katsotaan turvalliseksi. </w:t>
      </w:r>
    </w:p>
    <w:p>
      <w:pPr>
        <w:pStyle w:val="Normal"/>
        <w:rPr/>
      </w:pPr>
      <w:r>
        <w:rPr/>
        <w:t xml:space="preserve"> </w:t>
      </w:r>
    </w:p>
    <w:p>
      <w:pPr>
        <w:pStyle w:val="Normal"/>
        <w:rPr/>
      </w:pPr>
      <w:r>
        <w:rPr/>
        <w:t xml:space="preserve">Suosittelemme tätä siksi, että turvapaikkamenettelyt kestävät tällä hetkellä liian kauan ja voivat vaihdella jäsenvaltiosta toiseen. Nopeuttamalla turvapaikkamenettelyjä pakolaiset viettävät vähemmän aikaa odottaen lopullista päätöstä tilapäisissä majoitustiloissa. Turvapaikanhakijat voidaan integroida nopeammin. </w:t>
      </w:r>
    </w:p>
    <w:p>
      <w:pPr>
        <w:pStyle w:val="Normal"/>
        <w:rPr/>
      </w:pPr>
      <w:r>
        <w:rPr/>
        <w:t xml:space="preserve"> </w:t>
      </w:r>
    </w:p>
    <w:p>
      <w:pPr>
        <w:pStyle w:val="P68B1DB1Normal15"/>
        <w:rPr>
          <w:b/>
          <w:b/>
        </w:rPr>
      </w:pPr>
      <w:r>
        <w:rPr/>
        <w:t xml:space="preserve">35. Tilintarkastustuomioistuin suosittaa vahvaa EU:n taloudellista, logistista ja operatiivista tukea ensimmäisen vastaanoton hallinnointiin, joka mahdollisesti johtaa laittomien muuttajien kotouttamiseen tai kotiuttamiseen. Tukea saavat EU:n rajavaltiot, jotka kantavat muuttovirran taakan. </w:t>
      </w:r>
    </w:p>
    <w:p>
      <w:pPr>
        <w:pStyle w:val="Normal"/>
        <w:rPr/>
      </w:pPr>
      <w:r>
        <w:rPr/>
        <w:t xml:space="preserve"> </w:t>
      </w:r>
    </w:p>
    <w:p>
      <w:pPr>
        <w:pStyle w:val="Normal"/>
        <w:rPr/>
      </w:pPr>
      <w:r>
        <w:rPr/>
        <w:t xml:space="preserve">Maantieteellisen sijaintinsa vuoksi muuttovirrat vaikuttavat eniten joihinkin </w:t>
      </w:r>
      <w:r>
        <w:rPr/>
        <w:commentReference w:id="8"/>
      </w:r>
      <w:r>
        <w:rPr/>
        <w:t xml:space="preserve"> jäsenvaltioihin. </w:t>
      </w:r>
    </w:p>
    <w:p>
      <w:pPr>
        <w:pStyle w:val="Normal"/>
        <w:rPr/>
      </w:pPr>
      <w:r>
        <w:rPr/>
        <w:t xml:space="preserve"> </w:t>
      </w:r>
    </w:p>
    <w:p>
      <w:pPr>
        <w:pStyle w:val="P68B1DB1Normal15"/>
        <w:rPr>
          <w:b/>
          <w:b/>
        </w:rPr>
      </w:pPr>
      <w:r>
        <w:rPr/>
        <w:t xml:space="preserve">36. Tilintarkastustuomioistuin suosittaa EU:n turvapaikkaviraston toimeksiannon vahvistamista, jotta turvapaikanhakijat jakautuisivat oikeudenmukaisesti jäsenvaltioiden kesken. Tämän saavuttamiseksi olisi otettava huomioon tällaisten turvapaikanhakijoiden tarpeet sekä jäsenvaltioiden logistiset ja taloudelliset valmiudet ja heidän tarpeensa työmarkkinoilla. </w:t>
      </w:r>
    </w:p>
    <w:p>
      <w:pPr>
        <w:pStyle w:val="Normal"/>
        <w:rPr/>
      </w:pPr>
      <w:r>
        <w:rPr/>
        <w:t xml:space="preserve"> </w:t>
      </w:r>
    </w:p>
    <w:p>
      <w:pPr>
        <w:pStyle w:val="Normal"/>
        <w:rPr/>
      </w:pPr>
      <w:r>
        <w:rPr/>
        <w:t xml:space="preserve">Koordinoidulla ja keskitetyllä turvapaikanhakijoiden jakautumisella, jota jäsenvaltiot ja niiden kansalaiset pitävät oikeudenmukaisena, vältetään kaoottisia tilanteita ja sosiaalisia jännitteitä ja vahvistetaan jäsenvaltioiden välistä solidaarisuutta. </w:t>
      </w:r>
    </w:p>
    <w:p>
      <w:pPr>
        <w:pStyle w:val="Normal"/>
        <w:rPr/>
      </w:pPr>
      <w:r>
        <w:rPr/>
        <w:t xml:space="preserve"> </w:t>
      </w:r>
    </w:p>
    <w:p>
      <w:pPr>
        <w:pStyle w:val="Titre4"/>
        <w:numPr>
          <w:ilvl w:val="3"/>
          <w:numId w:val="2"/>
        </w:numPr>
        <w:rPr/>
      </w:pPr>
      <w:bookmarkStart w:id="199" w:name="__RefHeading___Toc297333_1346298689"/>
      <w:bookmarkEnd w:id="199"/>
      <w:r>
        <w:rPr/>
        <w:t xml:space="preserve">Osa-alue 5.2 – Turvapaikka-asioita koskeva yhteinen lähestymistapa </w:t>
      </w:r>
    </w:p>
    <w:p>
      <w:pPr>
        <w:pStyle w:val="P68B1DB1Normal15"/>
        <w:rPr>
          <w:b/>
          <w:b/>
        </w:rPr>
      </w:pPr>
      <w:r>
        <w:rPr/>
        <w:t xml:space="preserve">37. Suosittelemme, että perustetaan kattava EU:n toimielin tai vahvistetaan EU:n turvapaikkavirastoa, jotta se voi käsitellä koko Euroopan unionin turvapaikkahakemukset ja toimia yhtenäisten normien mukaisesti. Viraston olisi myös oltava vastuussa pakolaisten tasapuolisesta jakamisesta. Siinä olisi myös määriteltävä turvalliset ja vaaralliset lähtömaat ja oltava vastuussa sellaisten turvapaikanhakijoiden palauttamisesta, joiden hakemukset on hylätty. </w:t>
      </w:r>
    </w:p>
    <w:p>
      <w:pPr>
        <w:pStyle w:val="Normal"/>
        <w:rPr/>
      </w:pPr>
      <w:r>
        <w:rPr/>
        <w:t xml:space="preserve"> </w:t>
      </w:r>
    </w:p>
    <w:p>
      <w:pPr>
        <w:pStyle w:val="Normal"/>
        <w:rPr/>
      </w:pPr>
      <w:r>
        <w:rPr/>
        <w:t xml:space="preserve">Nykyiselle turvapaikkapolitiikalle on ominaista epäselvät vastuualueet ja erilaiset normit EU:n jäsenvaltioiden välillä. Turvapaikkamenettelyjä ei näin ollen kohdella samalla tavalla eri jäsenvaltioissa. Lisäksi Euroopan unionin turvapaikkavirastolla on tällä hetkellä vain vaikutusvalta. Se voi antaa jäsenvaltioille neuvoja vain turvapaikka-asioissa. </w:t>
      </w:r>
    </w:p>
    <w:p>
      <w:pPr>
        <w:pStyle w:val="Normal"/>
        <w:rPr/>
      </w:pPr>
      <w:r>
        <w:rPr/>
        <w:t xml:space="preserve"> </w:t>
      </w:r>
    </w:p>
    <w:p>
      <w:pPr>
        <w:pStyle w:val="P68B1DB1Normal15"/>
        <w:rPr>
          <w:b/>
          <w:b/>
        </w:rPr>
      </w:pPr>
      <w:r>
        <w:rPr/>
        <w:t xml:space="preserve">38. Tilintarkastustuomioistuin suosittaa, että ilman huoltajaa oleville alaikäisille tarkoitettuja erikoistuneita turvapaikkakeskuksia perustetaan viipymättä kaikkiin EU:n jäsenvaltioihin. Tavoitteena on toivottaa alaikäiset tervetulleiksi ja huolehtia heidän erityistarpeistaan mahdollisimman pian. </w:t>
      </w:r>
    </w:p>
    <w:p>
      <w:pPr>
        <w:pStyle w:val="Normal"/>
        <w:rPr/>
      </w:pPr>
      <w:r>
        <w:rPr/>
        <w:t xml:space="preserve"> </w:t>
      </w:r>
    </w:p>
    <w:p>
      <w:pPr>
        <w:pStyle w:val="Normal"/>
        <w:rPr/>
      </w:pPr>
      <w:r>
        <w:rPr/>
        <w:t xml:space="preserve">Teemme tämän suosituksen, koska: </w:t>
      </w:r>
    </w:p>
    <w:p>
      <w:pPr>
        <w:pStyle w:val="Normal"/>
        <w:rPr/>
      </w:pPr>
      <w:r>
        <w:rPr/>
        <w:t xml:space="preserve">1) Monet alaikäiset ovat todennäköisesti traumatisoituneita (koska he tulevat konfliktialueilta); </w:t>
      </w:r>
    </w:p>
    <w:p>
      <w:pPr>
        <w:pStyle w:val="Normal"/>
        <w:rPr/>
      </w:pPr>
      <w:r>
        <w:rPr/>
        <w:t xml:space="preserve">2) Erilaisilla lapsilla on erilaiset tarpeet (iästä, terveydestä jne. riippuen); </w:t>
      </w:r>
    </w:p>
    <w:p>
      <w:pPr>
        <w:pStyle w:val="Normal"/>
        <w:rPr/>
      </w:pPr>
      <w:r>
        <w:rPr/>
        <w:t xml:space="preserve">3) jos se pannaan täytäntöön, se varmistaisi, että haavoittuvassa asemassa olevat ja traumatisoituneet alaikäiset saavat kaiken tarvittavan hoidon mahdollisimman pian; </w:t>
      </w:r>
    </w:p>
    <w:p>
      <w:pPr>
        <w:pStyle w:val="Normal"/>
        <w:rPr/>
      </w:pPr>
      <w:r>
        <w:rPr/>
        <w:t xml:space="preserve">4) nämä alaikäiset ovat tulevia Euroopan kansalaisia, ja jos niitä kohdellaan asianmukaisesti, niiden pitäisi vaikuttaa myönteisesti Euroopan tulevaisuuteen. </w:t>
      </w:r>
    </w:p>
    <w:p>
      <w:pPr>
        <w:pStyle w:val="Normal"/>
        <w:rPr/>
      </w:pPr>
      <w:r>
        <w:rPr/>
        <w:t xml:space="preserve"> </w:t>
      </w:r>
    </w:p>
    <w:p>
      <w:pPr>
        <w:pStyle w:val="P68B1DB1Normal15"/>
        <w:rPr>
          <w:b/>
          <w:b/>
        </w:rPr>
      </w:pPr>
      <w:r>
        <w:rPr/>
        <w:t xml:space="preserve">39. Suosittelemme yhteisen, nopean ja avoimen järjestelmän perustamista turvapaikkahakemusten käsittelyä varten. Tässä prosessissa olisi säädettävä vähimmäisvaatimuksista, ja sitä olisi sovellettava samalla tavalla kaikissa jäsenvaltioissa. </w:t>
      </w:r>
    </w:p>
    <w:p>
      <w:pPr>
        <w:pStyle w:val="Normal"/>
        <w:rPr/>
      </w:pPr>
      <w:r>
        <w:rPr/>
        <w:t xml:space="preserve"> </w:t>
      </w:r>
    </w:p>
    <w:p>
      <w:pPr>
        <w:pStyle w:val="Normal"/>
        <w:rPr/>
      </w:pPr>
      <w:r>
        <w:rPr/>
        <w:t xml:space="preserve">Teemme tämän suosituksen, koska: </w:t>
      </w:r>
    </w:p>
    <w:p>
      <w:pPr>
        <w:pStyle w:val="Normal"/>
        <w:rPr/>
      </w:pPr>
      <w:r>
        <w:rPr/>
        <w:t xml:space="preserve">1) jos tämä suositus pantaisiin täytäntöön, turvapaikkahakemusten käsittely olisi nopeampaa ja avoimempaa; </w:t>
      </w:r>
    </w:p>
    <w:p>
      <w:pPr>
        <w:pStyle w:val="Normal"/>
        <w:rPr/>
      </w:pPr>
      <w:r>
        <w:rPr/>
        <w:t xml:space="preserve">2) nykyisten menettelyjen hitaus johtaa laittomuuteen ja rikollisuuteen; </w:t>
      </w:r>
    </w:p>
    <w:p>
      <w:pPr>
        <w:pStyle w:val="Normal"/>
        <w:rPr/>
      </w:pPr>
      <w:r>
        <w:rPr/>
        <w:t xml:space="preserve">3) suosituksessa esitettyihin vähimmäisvaatimuksiin olisi sisällyttävä turvapaikanhakijoiden ihmisoikeuksien, terveyden ja koulutustarpeiden kunnioittaminen; </w:t>
      </w:r>
    </w:p>
    <w:p>
      <w:pPr>
        <w:pStyle w:val="Normal"/>
        <w:rPr/>
      </w:pPr>
      <w:r>
        <w:rPr/>
        <w:t xml:space="preserve">4) tämän suosituksen täytäntöönpano parantaisi työllistymismahdollisuuksia ja omavaraisuutta, mikä mahdollistaisi myönteisen panoksen eurooppalaiselle yhteiskunnalle. turvapaikanhakijoita, joiden ammatillinen asema on laillistettu, ei todennäköisesti käytetä väärin heidän työympäristössään; tämä voisi vain edistää kaikkien asianosaisten integroitumista. </w:t>
      </w:r>
    </w:p>
    <w:p>
      <w:pPr>
        <w:pStyle w:val="Normal"/>
        <w:rPr/>
      </w:pPr>
      <w:r>
        <w:rPr/>
        <w:t xml:space="preserve">5) pidennetyt oleskelut turvapaikkakeskuksissa vaikuttavat haitallisesti asukkaiden mielenterveyteen ja hyvinvointiin. </w:t>
      </w:r>
    </w:p>
    <w:p>
      <w:pPr>
        <w:pStyle w:val="Normal"/>
        <w:rPr/>
      </w:pPr>
      <w:r>
        <w:rPr/>
        <w:t xml:space="preserve"> </w:t>
      </w:r>
    </w:p>
    <w:p>
      <w:pPr>
        <w:pStyle w:val="P68B1DB1Normal15"/>
        <w:rPr>
          <w:b/>
          <w:b/>
        </w:rPr>
      </w:pPr>
      <w:r>
        <w:rPr/>
        <w:t xml:space="preserve">40. Suosittelemme painokkaasti kaikkien Euroopan turvapaikka- ja maahanmuuttosopimusten ja -lainsäädännön kattavaa tarkistamista. Suosittelemme, että omaksutaan koko Eurooppaa koskeva lähestymistapa. </w:t>
      </w:r>
    </w:p>
    <w:p>
      <w:pPr>
        <w:pStyle w:val="Normal"/>
        <w:rPr/>
      </w:pPr>
      <w:r>
        <w:rPr/>
        <w:t xml:space="preserve"> </w:t>
      </w:r>
    </w:p>
    <w:p>
      <w:pPr>
        <w:pStyle w:val="Normal"/>
        <w:rPr/>
      </w:pPr>
      <w:r>
        <w:rPr/>
        <w:t xml:space="preserve">Teemme tämän suosituksen, koska: </w:t>
      </w:r>
    </w:p>
    <w:p>
      <w:pPr>
        <w:pStyle w:val="Normal"/>
        <w:rPr/>
      </w:pPr>
      <w:r>
        <w:rPr/>
        <w:t xml:space="preserve">1) vuodesta 2015 lähtien kaikkia voimassa olevia sopimuksia ei voida soveltaa, ne ovat epäkäytännöllisiä ja sopimattomia; </w:t>
      </w:r>
    </w:p>
    <w:p>
      <w:pPr>
        <w:pStyle w:val="Normal"/>
        <w:rPr/>
      </w:pPr>
      <w:r>
        <w:rPr/>
        <w:t xml:space="preserve">2) EU:ta olisi pidettävä tärkeimpänä ”virastona”, joka valvoo kaikkia muita virastoja ja kansalaisjärjestöjä, joiden tehtävänä on käsitellä suoraan turvapaikkakysymyksiä; </w:t>
      </w:r>
    </w:p>
    <w:p>
      <w:pPr>
        <w:pStyle w:val="Normal"/>
        <w:rPr/>
      </w:pPr>
      <w:r>
        <w:rPr/>
        <w:t xml:space="preserve">3) jäsenvaltiot, jotka kärsivät eniten tilanteesta, ovat ne, jotka ovat suurelta osin yksin joutuneet kamppailemaan ongelman kanssa; joidenkin jäsenvaltioiden ”à la carte” -valinnat eivät anna kuvaa yhtenäisyydestä. </w:t>
      </w:r>
    </w:p>
    <w:p>
      <w:pPr>
        <w:pStyle w:val="Normal"/>
        <w:rPr/>
      </w:pPr>
      <w:r>
        <w:rPr/>
        <w:t xml:space="preserve">4) uusi kohdennettu lainsäädäntö parantaisi kaikkien turvapaikanhakijoiden tulevaisuutta ja vahvistaisi Euroopan yhtenäisyyttä. </w:t>
      </w:r>
    </w:p>
    <w:p>
      <w:pPr>
        <w:pStyle w:val="Normal"/>
        <w:rPr/>
      </w:pPr>
      <w:r>
        <w:rPr/>
        <w:t xml:space="preserve">5) nykyisen lainsäädännön puutteet aiheuttavat konflikteja ja yhdenmukaistamisen puutetta kaikkialla Euroopassa ja lisäävät EU:n kansalaisten suvaitsemattomuutta maahanmuuttajia kohtaan. </w:t>
      </w:r>
    </w:p>
    <w:p>
      <w:pPr>
        <w:pStyle w:val="Normal"/>
        <w:rPr/>
      </w:pPr>
      <w:r>
        <w:rPr/>
        <w:t>6) tiukempi ja asiaa koskeva lainsäädäntö vähentäisi rikollisuutta ja nykyisen turvapaikkajärjestelmän väärinkäyttöä.</w:t>
      </w:r>
    </w:p>
    <w:p>
      <w:pPr>
        <w:pStyle w:val="Normal"/>
        <w:rPr/>
      </w:pPr>
      <w:r>
        <w:rPr/>
        <w:t xml:space="preserve"> </w:t>
      </w:r>
    </w:p>
    <w:p>
      <w:pPr>
        <w:pStyle w:val="Titre3"/>
        <w:numPr>
          <w:ilvl w:val="2"/>
          <w:numId w:val="2"/>
        </w:numPr>
        <w:rPr/>
      </w:pPr>
      <w:bookmarkStart w:id="200" w:name="__RefHeading___Toc297335_1346298689"/>
      <w:bookmarkEnd w:id="200"/>
      <w:r>
        <w:rPr/>
        <w:t xml:space="preserve">Liite: MUUT PANEELIN KÄSITTELEMÄT SUOSITUKSET, JOITA EI OLE HYVÄKSYTTY </w:t>
      </w:r>
    </w:p>
    <w:p>
      <w:pPr>
        <w:pStyle w:val="Titre4"/>
        <w:numPr>
          <w:ilvl w:val="3"/>
          <w:numId w:val="2"/>
        </w:numPr>
        <w:rPr/>
      </w:pPr>
      <w:bookmarkStart w:id="201" w:name="__RefHeading___Toc297337_1346298689"/>
      <w:bookmarkEnd w:id="201"/>
      <w:r>
        <w:rPr/>
        <w:t xml:space="preserve">Akseli 1: Omavaraisuus ja vakaus </w:t>
      </w:r>
    </w:p>
    <w:p>
      <w:pPr>
        <w:pStyle w:val="Normal"/>
        <w:rPr/>
      </w:pPr>
      <w:r>
        <w:rPr/>
        <w:t xml:space="preserve">Osa-alue 1.1 – EU:n autonomia </w:t>
      </w:r>
    </w:p>
    <w:p>
      <w:pPr>
        <w:pStyle w:val="P68B1DB1Normal15"/>
        <w:rPr>
          <w:b/>
          <w:b/>
        </w:rPr>
      </w:pPr>
      <w:r>
        <w:rPr/>
        <w:t xml:space="preserve">Jos kehitysmaat sitä pyytävät, talouskehityksen interventio-ohjelmia kehitetään kunkin maan tarpeisiin räätälöityjen kumppanuuksien pohjalta ja/tai kauppasopimusten perusteella. Tämä edellyttää ensin kyseisten maiden taloudellisen potentiaalin arviointia ja sen jälkeen tarvittavan taloudellisen tuen ja ammatillisen koulutuksen tarjoamista niille. </w:t>
      </w:r>
    </w:p>
    <w:p>
      <w:pPr>
        <w:pStyle w:val="Normal"/>
        <w:rPr/>
      </w:pPr>
      <w:r>
        <w:rPr/>
        <w:t xml:space="preserve">Tämä lisäisi teollisuuden riippumattomuutta ja parantaisi yleistä muuttoliiketilannetta luomalla työpaikkoja; se johtaisi myös parempiin kauppasopimuksiin kehitysmaissa. </w:t>
      </w:r>
    </w:p>
    <w:p>
      <w:pPr>
        <w:pStyle w:val="Normal"/>
        <w:rPr/>
      </w:pPr>
      <w:r>
        <w:rPr/>
        <w:t xml:space="preserve"> </w:t>
      </w:r>
    </w:p>
    <w:p>
      <w:pPr>
        <w:pStyle w:val="Titre4"/>
        <w:numPr>
          <w:ilvl w:val="3"/>
          <w:numId w:val="2"/>
        </w:numPr>
        <w:rPr/>
      </w:pPr>
      <w:bookmarkStart w:id="202" w:name="__RefHeading___Toc297339_1346298689"/>
      <w:bookmarkEnd w:id="202"/>
      <w:r>
        <w:rPr/>
        <w:t xml:space="preserve">Akseli 2: EU kansainvälisenä kumppanina </w:t>
      </w:r>
    </w:p>
    <w:p>
      <w:pPr>
        <w:pStyle w:val="Normal"/>
        <w:rPr/>
      </w:pPr>
      <w:r>
        <w:rPr/>
        <w:t xml:space="preserve">Osa-alue 2.1 – Kauppasuhteita koskevat eettiset näkökohdat </w:t>
      </w:r>
    </w:p>
    <w:p>
      <w:pPr>
        <w:pStyle w:val="P68B1DB1Normal15"/>
        <w:rPr>
          <w:b/>
          <w:b/>
        </w:rPr>
      </w:pPr>
      <w:r>
        <w:rPr/>
        <w:t xml:space="preserve">Tilintarkastustuomioistuin suosittaa, että EU ottaa käyttöön säännöt, jotka velvoittavat yrityksiä tarkastamaan toimitusketjunsa ja toimittamaan säännöllisesti kattavan tarkastuskertomuksen sekä määräyksiä tuonnin palkitsemisesta tai rajoittamisesta eettisten kriteerien perusteella. Yritysten olisi toimitettava sisäinen ja/tai ulkoinen tarkastusraportti kokonsa perusteella. </w:t>
      </w:r>
    </w:p>
    <w:p>
      <w:pPr>
        <w:pStyle w:val="Normal"/>
        <w:rPr/>
      </w:pPr>
      <w:r>
        <w:rPr/>
        <w:t xml:space="preserve"> </w:t>
      </w:r>
    </w:p>
    <w:p>
      <w:pPr>
        <w:pStyle w:val="Normal"/>
        <w:rPr/>
      </w:pPr>
      <w:r>
        <w:rPr/>
        <w:t xml:space="preserve">EU:n kanssa käytävän kaupan eettisiä näkökohtia on kehitettävä. Tämä voidaan tehdä seuraamalla liiketoimintaa kansainvälisissä toimitusketjuissa ja kannustamalla yrityksiä toimimaan eettisten kriteerien, kuten vaarallisten tuotteiden, työntekijöiden oikeuksien ja ehtojen, lapsityövoiman ja ympäristönsuojelun, mukaisesti. Suositusta ei sovelleta kuluttajan suoraan ostamiin verkkotuotteisiin. </w:t>
      </w:r>
    </w:p>
    <w:p>
      <w:pPr>
        <w:pStyle w:val="Normal"/>
        <w:rPr/>
      </w:pPr>
      <w:r>
        <w:rPr/>
        <w:t xml:space="preserve"> </w:t>
      </w:r>
    </w:p>
    <w:p>
      <w:pPr>
        <w:pStyle w:val="Titre4"/>
        <w:numPr>
          <w:ilvl w:val="3"/>
          <w:numId w:val="2"/>
        </w:numPr>
        <w:rPr/>
      </w:pPr>
      <w:bookmarkStart w:id="203" w:name="__RefHeading___Toc297341_1346298689"/>
      <w:bookmarkEnd w:id="203"/>
      <w:r>
        <w:rPr/>
        <w:t xml:space="preserve">Akseli 3: Vahva EU rauhanomaisessa maailmassa </w:t>
      </w:r>
    </w:p>
    <w:p>
      <w:pPr>
        <w:pStyle w:val="Normal"/>
        <w:rPr/>
      </w:pPr>
      <w:r>
        <w:rPr/>
        <w:t xml:space="preserve">Osa-alue 3.1 – Turvallisuus ja puolustus </w:t>
      </w:r>
    </w:p>
    <w:p>
      <w:pPr>
        <w:pStyle w:val="P68B1DB1Normal15"/>
        <w:rPr>
          <w:b/>
          <w:b/>
        </w:rPr>
      </w:pPr>
      <w:r>
        <w:rPr/>
        <w:t xml:space="preserve">Komitea suosittaa, että nykyistä eurooppalaista turvallisuusrakennetta tarkastellaan uudelleen, jotta siitä tulisi tehokkaampi ja tehokkaampi ylikansallinen rakenne, jossa on paremmat valmiudet, Euroopan unionin yhteisen armeijan perustamiseksi. Tätä varten kansalliset asevoimat olisi vähitellen yhdistettävä ja muutettava. Tavoitteena on, että sotilaallisten voimavarojen yhdistäminen koko Euroopan unionissa edistää myös Euroopan yhdentymistä pitkällä aikavälillä. EU:n yhteisen armeijan perustaminen edellyttäisi myös uutta yhteistyösopimusta EU:n jäsenvaltioiden ja Euroopan ulkopuolisten Naton jäsenten kanssa. </w:t>
      </w:r>
    </w:p>
    <w:p>
      <w:pPr>
        <w:pStyle w:val="Normal"/>
        <w:rPr/>
      </w:pPr>
      <w:r>
        <w:rPr/>
        <w:t xml:space="preserve"> </w:t>
      </w:r>
    </w:p>
    <w:p>
      <w:pPr>
        <w:pStyle w:val="Normal"/>
        <w:rPr/>
      </w:pPr>
      <w:r>
        <w:rPr/>
        <w:t xml:space="preserve">Jos tämä suositus pannaan täytäntöön, katsomme, että Euroopan unionin sotilaallisista rakenteista tulee kustannustehokkaampia ja kykenevämpiä reagoimaan ja toimimaan tarvittaessa. Tämä yhdennetty lähestymistapa vahvistaisi EU:n kykyä toimia päättäväisesti ja koordinoidusti kriittisissä tilanteissa. </w:t>
      </w:r>
    </w:p>
    <w:p>
      <w:pPr>
        <w:pStyle w:val="Normal"/>
        <w:rPr/>
      </w:pPr>
      <w:r>
        <w:rPr/>
        <w:t xml:space="preserve"> </w:t>
      </w:r>
    </w:p>
    <w:p>
      <w:pPr>
        <w:pStyle w:val="Titre4"/>
        <w:numPr>
          <w:ilvl w:val="3"/>
          <w:numId w:val="2"/>
        </w:numPr>
        <w:rPr/>
      </w:pPr>
      <w:bookmarkStart w:id="204" w:name="__RefHeading___Toc297343_1346298689"/>
      <w:bookmarkEnd w:id="204"/>
      <w:r>
        <w:rPr/>
        <w:t xml:space="preserve">Akseli 4: Maastamuutto ihmisen näkökulmasta </w:t>
      </w:r>
    </w:p>
    <w:p>
      <w:pPr>
        <w:pStyle w:val="Normal"/>
        <w:rPr/>
      </w:pPr>
      <w:r>
        <w:rPr/>
        <w:t xml:space="preserve">Osa-akseli 4.1 – Maahanmuuton syihin puuttuminen </w:t>
      </w:r>
    </w:p>
    <w:p>
      <w:pPr>
        <w:pStyle w:val="P68B1DB1Normal15"/>
        <w:rPr>
          <w:b/>
          <w:b/>
        </w:rPr>
      </w:pPr>
      <w:r>
        <w:rPr/>
        <w:t xml:space="preserve">Suosittelemme, että EU ottaa käyttöön toimintapöytäkirjan, jolla valmistellaan seuraavaa muuttoliikekriisiä eli ilmastopakolaisia. Pöytäkirjan mukaan EU:n on laajennettava pakolaisten ja turvapaikanhakijoiden määritelmää niin, että se kattaa myös ilmastonmuutoksesta kärsivät. Koska monien maahanmuuttajien alkuperämaasta on tullut asumiskelvoton, pöytäkirjalla on myös varmistettava, että ilmastonmuutoksesta kärsivillä alueilla löydetään uusia käyttötarkoituksia, jotta voidaan tukea näiltä alueilta poistuneita. Esimerkiksi tulva-alueita voitaisiin käyttää tuulipuistojen perustamiseen. </w:t>
      </w:r>
    </w:p>
    <w:p>
      <w:pPr>
        <w:pStyle w:val="Normal"/>
        <w:rPr/>
      </w:pPr>
      <w:r>
        <w:rPr/>
        <w:t xml:space="preserve"> </w:t>
      </w:r>
    </w:p>
    <w:p>
      <w:pPr>
        <w:pStyle w:val="Normal"/>
        <w:rPr/>
      </w:pPr>
      <w:r>
        <w:rPr/>
        <w:t xml:space="preserve">Teemme tämän suosituksen, koska olemme kaikki vastuussa ilmastokriisistä. Meillä on vastuu niille, jotka kärsivät eniten. Vaikka meillä ei ole ennusteita tai konkreettisia tietoja tulevista pakolaisista, ilmastonmuutos vaikuttaa epäilemättä miljooniin ihmisiin. </w:t>
      </w:r>
    </w:p>
    <w:p>
      <w:pPr>
        <w:pStyle w:val="Normal"/>
        <w:rPr/>
      </w:pPr>
      <w:r>
        <w:rPr/>
        <w:t xml:space="preserve"> </w:t>
      </w:r>
    </w:p>
    <w:p>
      <w:pPr>
        <w:pStyle w:val="Normal"/>
        <w:rPr/>
      </w:pPr>
      <w:r>
        <w:rPr/>
        <w:t xml:space="preserve">Osa-akseli 4.2 – Ihmiseen liittyvät näkökohdat </w:t>
      </w:r>
    </w:p>
    <w:p>
      <w:pPr>
        <w:pStyle w:val="P68B1DB1Normal15"/>
        <w:rPr>
          <w:b/>
          <w:b/>
        </w:rPr>
      </w:pPr>
      <w:r>
        <w:rPr/>
        <w:t xml:space="preserve">Suosittelemme, että laillisia ja humanitaarisia tie- ja liikennevälineitä vahvistetaan ja rahoitetaan viipymättä, jotta pakolaiset voivat siirtyä kriisialueilta järjestäytyneesti. Tätä tarkoitusta varten perustetun elimen olisi perustettava ja säänneltävä erityisturvajärjestelmää eurooppalaisiin kaistoihin. Virasto on perustettava lainsäädäntömenettelyä noudattaen, ja sillä on oltava sen työjärjestyksessä määrätty erityinen toimivalta. </w:t>
      </w:r>
    </w:p>
    <w:p>
      <w:pPr>
        <w:pStyle w:val="Normal"/>
        <w:rPr/>
      </w:pPr>
      <w:r>
        <w:rPr/>
        <w:t xml:space="preserve"> </w:t>
      </w:r>
    </w:p>
    <w:p>
      <w:pPr>
        <w:pStyle w:val="Normal"/>
        <w:rPr/>
      </w:pPr>
      <w:r>
        <w:rPr/>
        <w:t xml:space="preserve">Ihmiskauppa ja maahanmuuttajien salakuljetus ovat vakavia kysymyksiä, joihin on puututtava. Suosituksemme vähentäisi varmasti näitä huolenaiheita. </w:t>
      </w:r>
    </w:p>
    <w:p>
      <w:pPr>
        <w:pStyle w:val="Normal"/>
        <w:rPr/>
      </w:pPr>
      <w:r>
        <w:rPr/>
        <w:t xml:space="preserve"> </w:t>
      </w:r>
    </w:p>
    <w:p>
      <w:pPr>
        <w:pStyle w:val="Normal"/>
        <w:rPr/>
      </w:pPr>
      <w:r>
        <w:rPr/>
        <w:t xml:space="preserve">Osa-akseli 4.3 – Rajat </w:t>
      </w:r>
    </w:p>
    <w:p>
      <w:pPr>
        <w:pStyle w:val="P68B1DB1Normal15"/>
        <w:rPr>
          <w:b/>
          <w:b/>
        </w:rPr>
      </w:pPr>
      <w:r>
        <w:rPr/>
        <w:t xml:space="preserve">Suosittelemme, että EU:n direktiivillä varmistetaan, että jokaisessa jäsenvaltiossa on enintään 30 prosenttia kolmansien maiden asukkaista. Tämä tavoite on tarkoitus saavuttaa vuoteen 2030 mennessä, ja EU:n jäsenvaltioiden on saatava tukea tämän tavoitteen täytäntöönpanoon. </w:t>
      </w:r>
    </w:p>
    <w:p>
      <w:pPr>
        <w:pStyle w:val="Normal"/>
        <w:rPr/>
      </w:pPr>
      <w:r>
        <w:rPr/>
        <w:t xml:space="preserve"> </w:t>
      </w:r>
    </w:p>
    <w:p>
      <w:pPr>
        <w:pStyle w:val="Normal"/>
        <w:rPr/>
      </w:pPr>
      <w:r>
        <w:rPr/>
        <w:t xml:space="preserve">Esitämme tämän suosituksen, koska oikeudenmukaisempi maantieteellinen jakautuminen johtaa siihen, että paikallinen väestö hyväksyy muuttajat paremmin ja siten parantaa heidän kotoutumistaan. Tämä prosenttiosuus perustuu Tanskassa äskettäin saavutettuun poliittiseen yhteisymmärrykseen. </w:t>
      </w:r>
      <w:r>
        <w:br w:type="page"/>
      </w:r>
    </w:p>
    <w:p>
      <w:pPr>
        <w:pStyle w:val="Titre1"/>
        <w:numPr>
          <w:ilvl w:val="0"/>
          <w:numId w:val="2"/>
        </w:numPr>
        <w:rPr/>
      </w:pPr>
      <w:bookmarkStart w:id="205" w:name="__RefHeading___Toc297345_1346298689"/>
      <w:bookmarkEnd w:id="205"/>
      <w:r>
        <w:rPr/>
        <w:t xml:space="preserve">II A – Kansalliset paneelit: Belgia </w:t>
      </w:r>
    </w:p>
    <w:p>
      <w:pPr>
        <w:pStyle w:val="Normal"/>
        <w:spacing w:before="1285" w:after="57"/>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Kuva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Kuva32" descr=""/>
                    <pic:cNvPicPr>
                      <a:picLocks noChangeAspect="1" noChangeArrowheads="1"/>
                    </pic:cNvPicPr>
                  </pic:nvPicPr>
                  <pic:blipFill>
                    <a:blip r:embed="rId83"/>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Täältä löydät kaikki 50 kansalaisen suositukset varapääministerin sekä ulko- ja Eurooppa-asioiden ministeri Sophie Wilmèsin johdolla järjestetyssä kansalaispaneelissa Belgian liittohallituksen panoksena Euroopan tulevaisuutta käsittelevään konferenssiin. Paneelin teemana oli ”Miten kansalaiset saadaan paremmin mukaan eurooppalaiseen demokratiaan”. Vaikka se on hyvin tietoinen siitä, että konferenssin soveltamisala on laajempi kuin pelkästään EU-asiat, paneelin aiheessa selvennetään, miksi niin monia nimenomaisia viittauksia ja sen toimielimiin on tehty. Tarvittaessa on viitattava Eurooppaan yleensä. </w:t>
      </w:r>
    </w:p>
    <w:p>
      <w:pPr>
        <w:pStyle w:val="P68B1DB1Normal19"/>
        <w:widowControl w:val="false"/>
        <w:spacing w:lineRule="exact" w:line="388" w:before="146" w:after="0"/>
        <w:ind w:left="0" w:right="0" w:hanging="0"/>
        <w:jc w:val="left"/>
        <w:rPr>
          <w:rFonts w:ascii="Times New Roman" w:hAnsi="Times New Roman"/>
          <w:color w:val="000000"/>
          <w:sz w:val="24"/>
        </w:rPr>
      </w:pPr>
      <w:r>
        <w:rPr/>
        <w:t xml:space="preserve"> </w:t>
      </w:r>
    </w:p>
    <w:p>
      <w:pPr>
        <w:pStyle w:val="P68B1DB1Normal21"/>
        <w:widowControl w:val="false"/>
        <w:spacing w:lineRule="exact" w:line="316" w:before="102" w:after="0"/>
        <w:ind w:left="0" w:right="176" w:hanging="0"/>
        <w:jc w:val="left"/>
        <w:rPr/>
      </w:pPr>
      <w:r>
        <w:rPr>
          <w:color w:val="000000"/>
        </w:rPr>
        <w:t xml:space="preserve">Kaikkien kansalaisten kannanottojen huomioon ottamiseksi tässä mietinnössä esitetään kaikki suositukset, myös ne, jotka eivät saaneet yksinkertaista enemmistöä kaikista suosituksista lopullisessa äänestyksessä. Ne ovat selvästi tunnistettavissa </w:t>
      </w:r>
      <w:r>
        <w:rPr>
          <w:b/>
          <w:color w:val="FF0000"/>
        </w:rPr>
        <w:t>punaisen ja lihavoidun prosenttiosuuden vuoksi.</w:t>
      </w:r>
      <w:r>
        <w:rPr>
          <w:color w:val="000000"/>
        </w:rPr>
        <w:t xml:space="preserve"> Lisäksi jotkin suositukset ovat ristiriidassa keskenään, ja jopa lopullisissa keskusteluissa kansalaiset eivät ole päässeet niistä yksimielisyyteen. Nämä suositukset ovat tunnistettavissa, koska ne ovat </w:t>
      </w:r>
      <w:r>
        <w:rPr>
          <w:i/>
          <w:color w:val="000000"/>
        </w:rPr>
        <w:t>kursiivilla.</w:t>
      </w:r>
      <w:r>
        <w:rPr>
          <w:color w:val="000000"/>
        </w:rPr>
        <w:t xml:space="preserve"> Yhden suosituksen osalta jako oli niin selvä, että äänestys päättyi </w:t>
      </w:r>
      <w:r>
        <w:rPr>
          <w:i/>
          <w:color w:val="000000"/>
        </w:rPr>
        <w:t xml:space="preserve">ex-aequo, </w:t>
      </w:r>
      <w:r>
        <w:rPr>
          <w:color w:val="000000"/>
        </w:rPr>
        <w:t xml:space="preserve">tämä on merkitty </w:t>
      </w:r>
      <w:r>
        <w:rPr>
          <w:b/>
          <w:color w:val="FF9900"/>
        </w:rPr>
        <w:t>oranssi ja lihavoitu</w:t>
      </w:r>
      <w:r>
        <w:rPr>
          <w:color w:val="000000"/>
        </w:rPr>
        <w:t xml:space="preserve">. Kansalaiset ovat samaa mieltä siitä, että näitä suosituksia koskevat mielipiteet eroavat toisistaan. Sen vuoksi he ehdottavat, että CoFE:n elimet ja EU:n toimielimet valvoisivat suositusten täytäntöönpanoa, koska on olemassa äänestysperusteinen jako. </w:t>
      </w:r>
    </w:p>
    <w:p>
      <w:pPr>
        <w:pStyle w:val="Normal"/>
        <w:rPr/>
      </w:pPr>
      <w:r>
        <w:rPr/>
      </w:r>
      <w:r>
        <w:br w:type="page"/>
      </w:r>
    </w:p>
    <w:p>
      <w:pPr>
        <w:pStyle w:val="Normal"/>
        <w:rPr/>
      </w:pPr>
      <w:r>
        <w:rPr/>
        <w:t>1. Viestintä</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Ongelmia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Suositukset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Tuki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EU:ta koskeva tiedonanto on epätyydyttävä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Ehdotamme, että Euroopan unionia koskevia kursseja sisällytetään peruskoulun kolmannesta tasosta alkaen. Tavoitteena on tavoittaa kaikki kansalaiset ja parantaa Euroopan unionin tuntemusta.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Euroopan unionin ja erityisesti komission olisi annettava eri jäsenvaltioiden opetusministeriöiden käyttöön Euroopan toimintaa käsittelevä koulutusmateriaali. Toimielinten toiminnan, kokoonpanon ja toimivallan lisäksi näiden kokoonpanojen olisi annettava lyhyt katsaus Euroopan yhdentymisen historiaan. Erityistä huomiota olisi kiinnitettävä selkeän ja ymmärrettävän ja helposti saatavilla olevan kielen sekä opetusvälineiden, kuten dokumenttien, videoiden tai koulujen televisio-ohjelmien, käyttöön kaikilla 24 kielellä.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EU-hanke on edelleen ulkomaalainen kansalaisille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Ehdotamme, että EU:n toimielimet varmistavat tiedonannossaan, että ne selittävät paremmin, mikä kuuluu EU:n toimivaltaan, mutta myös se, mikä ei kuulu sen toimivaltaan.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Euroopan unionin tulisi sisällyttää tiedonannossaan tuttuja esimerkkejä eurooppalaisten arjesta. Nämä selitykset olisi välitettävä jäsenvaltioissa EU:n toimielinten ja kansallisten julkisten televisiokanavien välisten sopimusten kautta laajan yleisön saavuttamiseksi.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Lisäksi jäsenvaltioiden kansalaisille olisi tiedotettava säännöllisesti – esimerkiksi videoleikkeiden avulla – Euroopan unionin roolista muissa jäsenvaltioissa. Euroopan edut ja haitat voitaisiin näin ollen ottaa paremmin huomioon Euroopan tulevaisuutta koskevissa keskusteluissa.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Eurooppalaisen identiteetin vahvistamiseksi ehdotamme, että palautetaan säännöllisesti mieleen ja asetetaan saataville tietoa siitä, millaista eurooppalaisten elämä olisi ilman EU:ta ja sen konkreettisia saavutuksia.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Ehdotamme myös, että Eurooppa-päivästä (9. toukokuuta) tehdään eurooppalainen yleinen vapaapäivä kaikille EU:n kansalaisille.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Suosittelemme, että EU:n toimielimet kiinnittävät entistä enemmän huomiota Euroopan tasolla käsiteltäviä ensisijaisia aiheita koskevien tietojen yksinkertaistamiseen, ymmärtämiseen ja saatavuuteen</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Suosittelemme, että Euroopan unioni laatii </w:t>
            </w:r>
            <w:commentRangeStart w:id="10"/>
            <w:r>
              <w:rPr/>
              <w:t>tulostaulun, jossa</w:t>
            </w:r>
            <w:r>
              <w:rPr/>
            </w:r>
            <w:commentRangeEnd w:id="10"/>
            <w:r>
              <w:commentReference w:id="10"/>
            </w:r>
            <w:r>
              <w:rPr/>
              <w:t xml:space="preserve"> esitetään kunkin maan osalta EU:n kullekin ensisijaiselle aihealueelle myöntämät varat. Kaikkien tällaisten tietojen olisi oltava saatavilla Euroopan unionin verkkosivustolta.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Suosittelemme, että Euroopan unioni antaa selkeän esittelyn meneillään olevasta lainsäädäntötyöstä. Kaikkien tällaisten tietojen olisi oltava saatavilla Euroopan unionin verkkosivustolta.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Haluamme, että EU:n toimielimet ovat paremmin </w:t>
            </w:r>
            <w:commentRangeStart w:id="11"/>
            <w:r>
              <w:rPr/>
              <w:t>eurooppalaisten ulottuvilla</w:t>
            </w:r>
            <w:r>
              <w:rPr/>
            </w:r>
            <w:commentRangeEnd w:id="11"/>
            <w:r>
              <w:commentReference w:id="11"/>
            </w:r>
            <w:r>
              <w:rPr/>
              <w:t>. Heidän osallistumistaan Euroopan parlamentin istuntoihin olisi helpotettava.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Suosittelemme, että Erasmus-ohjelmaan osallistuminen ulotetaan koskemaan kaikkia opiskelijoita heidän koulutuspolustaan riippumatta (ammatillinen teknologia, vuorottelu). Kaikkien olisi voitava osallistua eurooppalaiseen vaihtoon.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Suosittelemme, että työssäkäyvälle väestölle annetaan mahdollisuus hyötyä eurooppalaisista vaihto-ohjelmista toimialasta riippumatta myös paikallisille yrityksille. Kaikkien olisi voitava osallistua eurooppalaiseen vaihtoon.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Suosittelemme, että kaikille Euroopan kansalaisille järjestetään Euroopan kansalaisuutta koskevia kursseja.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EU:n lainsäädäntöä ei sovelleta samalla tavalla jäsenvaltioissa.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Suosittelemme, että Euroopan unioni hyödyntää enemmän suoraan sovellettavaa lainsäädäntöä jäsenvaltioissa. Tämä vähentäisi kansallisia eroja EU:n lainsäädännön täytäntöönpanossa, mikä heikentää Eurooppa-hanketta. Tämä edistäisi myös Euroopan tärkeimpiä saavutuksia, kuten sisämarkkinoita, euroa ja Schengen-aluetta.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Eurooppalainen demokratia on uhattuna.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Suosittelemme, että eurooppalaista demokratiaa koskevassa EU:n tiedonannossa muistutetaan tinkimättömästi ja yksiselitteisesti, mitä se merkitsee eurooppalaisille.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Euroopan unionin perustamissopimusten arvot ja periaatteet, joihin jäsenvaltiot ovat liittyessään liittyneet, ovat peruuttamattomia. Heidän suojelunsa on edelleen varmistettava.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w:t>
            </w:r>
            <w:r>
              <w:rPr/>
              <w:commentReference w:id="12"/>
            </w:r>
            <w:r>
              <w:rPr/>
              <w:t xml:space="preserve"> Euroopan yhteisöjen tuomioistuin varmistaa perussopimusten arvojen ja periaatteiden suojelun, eikä jäsenvaltiot voi kyseenalaistaa sitä.</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EU:ta koskevat tiedot eivät ole helposti saatavilla ja vaikeasti ymmärrettäviä</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Suosittelemme vahvistamaan EU-asioita koskevien tietojen todentamista. Toimielinten levittämien ja tarkastamien tietojen on oltava helposti Euroopan kansalaisten ja kunkin jäsenvaltion kansallisten tiedotusvälineiden saatavilla.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Kansalliset tiedotusvälineet välittävät usein kielteisen kuvan</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EU:n on myös oltava aktiivisemmin läsnä eurooppalaisten jokapäiväisessä elämässä. (Esimerkiksi tukemalla esimerkiksi kulttuuritapahtumia, jotka tuovat kansalaiset yhteen ja tekevät heistä ylpeitä EU:n kansalaisuudesta. Raportointi ja kiusaajat antaisivat myös eurooppalaisille mahdollisuuden tutustua EU:</w:t>
            </w:r>
            <w:r>
              <w:rPr/>
              <w:commentReference w:id="13"/>
            </w:r>
            <w:r>
              <w:rPr/>
              <w:t xml:space="preserve"> ta koskeviin asiayhteyteen perustuviin tietoihin.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Kansalaiset eivät tunne niitä, jotka edustavat heitä Euroopan parlamentissa.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Suosittelemme, että parlamentaarikot tunnetaan paremmin kotimaassaan, erityisesti vaalikausien ulkopuolella. Niiden on oltava helpommin saatavilla. Syyt heidän äänestyksiinsä Euroopan parlamentissa on saatettava helpommin EU:n kansalaisten saataville Euroopan unionin verkkosivuston kautta.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Suosittelemme, että kansalliset poliittiset puolueet varmistavat ehdokkaiden nuorentamisen Euroopan parlamentin vaaleissa esitetyillä listoilla. Tällaista toimeksiantoa ei pitäisi pitää palkkiona hyvästä ja uskollisesta palvelusta, jota tarjotaan kansallisessa politiikassa.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EU:n tiedonanto on liian yhtenäinen. siinä ei oteta huomioon väestön monimuotoisuutta.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Jotta tavoitettaisiin riittävän laaja ja monipuolinen yleisö, suosittelemme, että EU ottaa huomioon asianomaisten henkilöiden koulutustason ja heidän mahdolliset vammansa osallistavan viestinnän avulla suunnitteluvaiheesta alkaen. Lisäksi suosittelemme, että tämän tiedonannon välittämiseen otetaan mukaan yksityishenkilöitä ja organisaatioita (katukasvattajat, naapuruston edustajat, CPAS, kansalaisyhteiskunta).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Työvoiman tavoittamiseksi suosittelemme investoimaan enemmän olemassa olevien viestintäkanavien käyttöön, jotta saadaan säännöllisesti asianmukaista tietoa esimerkiksi selittävien ohjelmien avulla. Lisäksi suosittelemme käyttämään EU-hanketta edistäviä suurlähettiläitä (sekä yksityishenkilöitä että organisaatioita).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Nuorten ja opiskelijoiden tavoittamiseksi suosittelemme, että nykyisten kanavien, kuten koulutuksen ja asiaankuuluvien nuorisoliikkeiden, lisäksi olisi kutsuttava lähettiläitä, erityisesti vaikuttajia, jotka voivat tavoittaa nuoria sosiaalisen median kautta. Toinen suositus olisi järjestää yleiseurooppalainen kilpailu sellaisen sarjakuvahahmon luomiseksi, joka vetoaa nuoriin ja lähettää heille eurooppalaisia viestejä.</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Vanhemmille suosittelemme käyttämään samoja kanavia kuin työvoimalle. Lisäksi suosittelemme oikean tasapainon etsimistä digitaalisen ja ei-digitaalisen viestinnän (kirjallinen lehdistö, radio, kasvokkain tapahtuvat tapahtumat) välille, jotta voidaan vastata kaikkien tarpeisiin, mukaan lukien ne, jotka ovat vähemmän mukavia digitaalisessa ympäristössä sekä ne, jotka ovat vähemmän liikkuvia yhteiskunnassa.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Suosittelemme, että monissa jäsenvaltioissa jo olemassa olevien kotouttamiskurssien avulla EU sitoutuu ottamaan mukaan ”uudet eurooppalaiset” (henkilöt, jotka asuvat yhden tai muun laillisen maahanmuuttomenettelyn kautta) ja voivat tiedottaa heille muista perinteisistä kanavista, joiden kautta EU viestii. Lopuksi suosittelemme, että annetaan paikka paikalliselle assositiiviselle maailmalle.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Suosittelemme myös EU:n viemistä kaduille osallistavalla viestinnällä. Esimerkiksi (digitaalisia) mainostauluja voitaisiin käyttää, samoin kuin uusia viestintävälineitä, kuten QR-koodeja ja perinteisiä välineitä.</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Muita suosituksia olisi lisätä EU:n visuaalisuutta (pienten elokuvien tai infografioiden avulla), luoda eurooppalainen urheiluliike, joka luo yhteyden tai tunteen kuulumisesta ja lisätä Euroopan hymnin tunnettuutta.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Disinformaatio</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Ongelmia</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Suositukset</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Tuki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Väärän tiedon riski on yhä suurempi mediassa</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Suosittelemme median rahoitusmallin tarkistamista sekä tulolähteiden pakollista julkaisemista selkeällä ja helposti saatavilla olevalla tavalla. Median rahoitusmalli ajaa heidät sensaatiomaisuuteen ja siten julkaista tietoa kontekstista ja muuttaa ne disinformaatioksi.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Suosittelemme lähteiden pakollista mainitsemista tiedotusvälineissä tarjoamalla linkkejä niiden todentamiseksi. Muussa tapauksessa tiedot olisi merkittävä varmentamattomiksi.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Suosittelemme, että disinformaation torjunnasta vastaava eurooppalainen sääntelyviranomainen (ks. kohta 2) olisi myös vastuussa tietojen todentamisorganisaatioiden akkreditoinnista (”faktatarkistajat”).</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Suosittelemme, että kussakin jäsenvaltiossa perustetaan riippumaton viranomainen, joka vastaa tiedotusvälineiden puolueettomuuden varmistamisesta. Euroopan unionin olisi rahoitettava ja valvottava tätä viranomaista.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Suosittelemme levittämään tietoa EU:n virallisten verkkosivustojen URL-osoitteista, jotta kansalaiset saisivat tiedon tiedon alkuperästä.</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Monet kansalaiset epäilevät median puolueettomuutta</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Suosittelemme eurooppalaisen sääntelyviranomaisen perustamista disinformaation torjumiseksi. Kyseisen sääntelyviranomaisen tehtävänä olisi erityisesti vahvistaa puolueettomuusmerkkiä koskevat kriteerit ja ottaa tarvittaessa käyttöön seuraamus- tai kannustinjärjestelmä, joka liittyy puolueettomuusnormien noudattamiseen. Vaihtoehtoisesti voitaisiin harkita eettisen peruskirjan noudattamista. Merkin myöntäisi riippumaton kansallinen viranomainen, ja siinä otettaisiin huomioon tiedotusvälineiden disinformaation torjumiseksi toteuttamat toimenpiteet.</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Suosittelemme sellaisen eurooppalaisen vihjelinjan perustamista, jonka avulla kansalaiset voivat tuomita disinformaation eurooppalaisesta (poliittisesta ja taloudellisesta) toimivallasta.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Kansalaiset eivät ole tietoisia väärien tietojen riskeistä, joille he altistuvat.</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Suosittelemme, että alustat velvoitetaan julkaisemaan selkeitä ja ymmärrettäviä tietoja disinformaation riskeistä, joille niiden käyttäjät altistuvat. Nämä tiedot on ilmoitettava automaattisesti heti, kun tili avataan.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Suosittelemme tiedotusvälineiden käyttöä koskevaa pakollista koulutusta jo varhaisesta iästä lähtien, ja se on mukautettu koulutusjärjestelmän eri tasoille.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Suosittelemme, että Euroopan unioni käynnistää toistuvia disinformaatiokampanjoita. Kampanjat voidaan tunnistaa logolla tai maskotilla. Euroopan unioni voisi pakottaa sosiaaliset verkostot välittämään niitä levittämällä paikkoja.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Keinot disinformaation torjumiseksi ovat riittämättömiä.</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Suosittelemme julkaisemaan selkeällä ja ymmärrettävällä kielellä tietoa algoritmeista, jotka järjestävät alustan käyttäjien vastaanottamia viestejä.</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Suosittelemme, että käyttäjät voivat poistaa käytöstä käytöshäiriöitä parantavia algoritmeja yksinkertaisella tavalla. Lisäksi voitaisiin tarkastella velvoitetta antaa käyttäjille pääsy muihin lähteisiin, jotka puolustavat eri kantoja samasta aiheesta.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Suosittelemme, että Euroopan unioni tukee sellaisen sosiaalisen median foorumin perustamista, joka täyttää sen omat puolueettomuutta ja disinformaation torjuntaa koskevat normit. Vaihtoehtoisesti Euroopan tulevaisuutta käsittelevän konferenssin tueksi luotua monikielistä foorumia voitaisiin lisätä uusilla ominaisuuksilla.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Kansalaispaneelit</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Ongelmia</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Suositukset</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Tuki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Kansalaispaneelin edustavuuden varmistamisen vaikeudet. Loppujen lopuksi vain pieni osa väestöstä on mukana.</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Suosittelemme, että seurataan, mitä tuoreimmassa keskusteludemokratiaa koskevassa tieteellisessä työssä on ehdotettu näytteenottoon, valintamenetelmän kehittämiseen ja tieteelliseen validointiin parhaan mahdollisen edustavuuden varmistamiseksi.</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Suosittelemme, että pöydän ääressä on riittävästi ihmisiä, jotta voidaan varmistaa mielipiteiden ja profiilien moninaisuus, mukaan lukien – mutta ei vain – henkilöt, jotka ovat suoraan tekemisissä aiheen kanssa.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Suosittelemme lisäämään näytteenottokriteereihin vanhemmuutta (eli sitä, onko henkilöllä lapsia?) perinteisempien kriteerien, kuten sukupuolen, iän, asuinpaikan tai koulutustason, lisäksi.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Suosittelemme kiintiöiden asettamista maantieteellisen alueen mukaan eli sen määrittämistä, että eurooppalaisen kansalaispaneelin on koostuttava X-henkilöstä kutakin Euroopan maantieteellistä aluetta kohden (määritettävä), jotta paneeli voidaan todella luokitella eurooppalaiseksi ja mielekkäästi harkituksi.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Suosittelemme, että väestörekistereitä (tai niitä vastaavia, maasta riippuen) käytetään arvonnan ensisijaisina tietokantoina, jotta kaikilla olisi samat mahdollisuudet tulla valituksi ja jotta he saisivat kiinnostusta johonkin väestöön kuuluvaan aiheeseen.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Suosittelemme, että osallistujille maksetaan korvauksia, jotta he arvostaisivat investointejaan ja houkuttelisivat ihmisiä, jotka eivät osallistuisi, ellei heille maksettaisi korvausta.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Suosittelemme tiedottamista – melko minimaalisesti: ei liian paljon tietoa tai liian monimutkaista tietoa – ensimmäiset osallistujat asiantuntijoiden esitelmien kautta, jotta voidaan varmistaa, että jopa henkilöt, joilla ei ole aikaisempaa tietoa, tuntevat olonsa mukavaksi osallistua keskusteluihin.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Suosittelemme, että kansalaispaneelin aiheesta tiedotetaan etukäteen, jotta ihmiset voivat tietää, mistä aiheesta he sitoutuvat keskustelemaan.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Suosittelemme, että kansalaisia ei vaadita osallistumaan.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Euroopan tason paneelin järjestämisen vaikeudet.</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Suosittelemme, että eurooppalaisen kansalaispaneelin kokoukset voidaan järjestää hybridimuodossa (esittely/distancial). Myös ne, jotka eivät pysty liikkumaan fyysisesti, voivat osallistua.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Suosittelemme, että Euroopan unioni delegoi kansalaispaneelien (eurooppalaisia aiheita käsittelevien) kansalaispaneelien järjestämisen eri viranomaistasoille kansallisella tasolla helpottaakseen pääsyä ja organisointia.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Suosittelemme, että kustakin Euroopan tasolla järjestettävästä paneelista valitaan yksi aihe. Näin kaikki osallistujat voivat keskustella samasta aiheesta riippumatta siitä, mistä he tulevat Euroopasta.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Vältä paneelia </w:t>
              <w:br/>
              <w:t>kansalaisia ei siirretä muihin kuin ilmoitettuihin tarkoituksiin.</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Suosittelemme, että kuka tahansa kansalainen voi antaa aiheen keskustelulle ja että tämä oikeus ei ole varattu poliittiselle maailmalle tai lobbaajien maailmalle.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Suosittelemme, että aloiteoikeus annetaan Euroopan parlamentille, jotta Euroopan parlamentti määrittelisi käsiteltävän aiheen ja hyväksyisi keskusteluissa esitettyjen suositusten johdosta tarvittavat tekstit.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Vaikeudet päättää, miten prosessi järjestetään parhaiten kansalaisten parhaaksi edustukseksi.</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Suosittelemme pysyvän kansalaispaneelin perustamista parlamentin rinnalle, joka hoitaa tiettyjä tehtäviä. Se uusittaisiin säännöllisesti. Tämä mahdollistaisi kansalaisten yhdistämisen pitkällä aikavälillä ja vie riittävästi aikaa keskusteluihin. Aika mahdollistaa väittelyjen ja konsensuksen vivahteen. Pysyvän paneelin ohella kansalaispaneelit käsittelevät pysyvän paneelin valitsemia aiheita. Ehdotamme, että noudatetaan saksankielisen yhteisön mallia.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Suosittelemme perustamaan vain yhden tai useamman ei-pysyvän eurooppalaisen kansalaispaneelin, joka kokoontuisi ja keskustelisi vain tietystä aiheesta vain tietyn ajan.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Suosittelemme, että kiireellisiä kysymyksiä käsitteleviä eurooppalaisia kansalaispaneeleja ei organisoida, sillä keskustelujen laadun varmistamiseksi tarvitaan riittävästi aikaa.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Aivan liian usein kansalaiset, jotka osallistuvat osallistavaan demokratiaan liittyviin aloitteisiin, kuten kansalaispaneeleihin, eivät saa palautetta työstään lyhyellä tai pitkällä aikavälillä.</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Suosittelemme, että kansalaisille annetaan palautetta eurooppalaisten kansalaispaneelien jälkeen annettujen suositusten jatkotoimista (tai ei). Jos suosituksia ei noudateta, asianomaisten EU:n toimielinten on perusteltava päätöksensä (esim. toimivallan puuttuminen). Tätä varten suosittelemme säännöllisten yhteenvetojen kirjoittamista koko prosessin ajan paneelin jälkeen.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Suosittelemme järjestämään kansalaispaneeleja, joissa on mukana myös nuoria lapsia (esim. 10–16-vuotiaat), jotta voidaan lisätä tietoisuutta osallistumisesta ja keskustelusta. Tämä voidaan järjestää kouluissa.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Kansanäänestykset</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Ongelmia</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Suositukset</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Tuki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Suosittelemme, että Euroopan tasolla järjestetään kansanäänestys Eurooppa-asioista.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Kansanäänestyksen kulttuuri vaihtelee suuresti jäsenvaltiosta toiseen.</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Suosittelemme teettämään tutkimusta siitä, miten luodaan yhteinen kansanäänestyskulttuuri Eurooppaan.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Suosittelemme (riippumattomien asiantuntijoiden) tutkimusta tarpeesta ja mahdollisuudesta järjestää kansanäänestys tietystä aiheesta Euroopan tasolla.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Kansanäänestyksessä esitetyn kysymyksen muotoilulla voi olla kielteinen vaikutus, samoin kuin kyky vastata vain ”kyllä” tai ”ei”, mikä usein polarisoi keskusteluja ja yhteiskuntia.</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Suosittelemme tiedekomitean perustamista pohtimaan, miten voidaan esittää kysymyksiä, joista järjestetään mahdollisimman objektiivinen kansanäänestys eurooppalaisesta kansanäänestyksestä.</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Suosittelemme esittämään monivalintakysymyksiä, jotka ylittävät yksinkertaisen vaihtoehdon ”kyllä” ja ”ei”, jotta voidaan tuoda vivahteita tai jopa liittää ehtoja ”kyllä” ja ”ei” (eli ”kyllä jos”, ”ei jos”).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Suosittelemme, että valkoisia ääniä ei oteta huomioon laskettaessa mitään enemmistöä (yksinkertainen enemmistö tai ehdoton enemmistö). Ääniä on vielä oltava riittävästi (päätösvaltaisuutta on kunnioitettava).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Myös aiheen valinta on herkkä.</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Suosittelemme, että EU-kansanäänestyksessä esitetty kysymys kuuluisi kaikkien Euroopan unionin toimivaltaan kuuluvien eurooppalaisten aiheiden piiriin.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Suosittelemme, että jätetään soveltamisalan ulkopuolelle aiheet, jotka voivat aiheuttaa ristiriitoja jäsenvaltioiden välillä.</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Suosittelemme, että myös teknisiä ja vaikeita kysymyksiä voidaan esittää selkeällä sanamuodolla, koska ihmisillä on kyky saada riittävästi tietoa.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Kansanäänestys ei ole demokraattinen väline, jos vain poliittinen maailma voi päättää järjestää sellaisen.</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Suosittelemme, että Euroopan parlamentilla on aloiteoikeus järjestää EU-</w:t>
            </w:r>
            <w:r>
              <w:rPr/>
              <w:commentReference w:id="14"/>
            </w:r>
            <w:r>
              <w:rPr/>
              <w:t xml:space="preserve"> kansanäänestyksiä ja että sen olisi sen jälkeen voitava toteuttaa tuloksiaan (Euroopan komission ja neuvoston olisi noudatettava sitä ilman mahdollisuutta estää niitä).</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Suosittelemme, että aloite voi tulla myös kansalaisilta itseltään (esim. noudattamalla eurooppalaista kansalaisaloitetta koskevia sääntöjä vastaavia sääntöjä).</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Suosittelemme, että EU-kansanäänestyksen käytännön järjestämisen tulisi olla puolueeton elin.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Kansanäänestyksen neuvoa-antavan tai sitovan näkökohdan on oltava </w:t>
              <w:br/>
              <w:t>selkeästi määritelty.</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Suosittelemme, että EU-kansanäänestyksen tulos on sitova vain, jos tietyt äänestysprosenttia koskevat ehdot täyttyvät.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Suosittelemme, että kansanäänestyksen tulokset ovat sitovia vain, jos tietyt enemmistöt saavutetaan (51/49, 70/30). Nämä ehdot vahvistetaan ennen jokaista kansanäänestystä.</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Suosittelemme, että EU-kansanäänestyksen tulos on sitova, jos kansalaisaloitteen tekevät kansalaiset (jotka olisivat onnistuneet keräämään useita allekirjoituksia tätä tarkoitusta varten), mutta viitteellinen, jos aloitteen on tehnyt poliittinen toimielin.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Suosittelemme, että EU-kansanäänestyksen tulos sitoisi vain tiettyjä aiheita, mutta ei niitä, joiden osalta äänestyksen seuraukset voivat olla hyvin vakavia.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Väestö on usein huonosti perillä ennen kuin hänet kutsutaan äänestämään kansanäänestyksessä. Samalla on ratkaisevan tärkeää valvoa toimitettuja tietoja, jotta vältetään haitalliset (sisäiset tai ulkomaiset) vaikutukset äänestykseen.</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Suosittelemme, että ennen EU-kansanäänestystä kansalaisille tiedotetaan selkeästi äänestyksen vaikutuksesta heidän jokapäiväiseen elämäänsä esitteillä, kuten Sveitsissä tehdään, ja/tai tiedotustilaisuuksissa.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Suosittelemme, että kutakin eurooppalaista kansanäänestystä varten perustetaan tiedekomitea, joka takaa toimitettujen tietojen puolueettomuuden.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Vaikka kansanäänestys kutsuu koko väestön äänestämään suoraan (toisin kuin kansalaispaneelissa), on aina tietty poissaolo, joka on enemmän tai vähemmän tärkeä.</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Suosittelemme, että EU-kansanäänestykseen osallistuminen on pakollista.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Suosittelemme, että äänestäminen EU-kansanäänestyksessä on vapaaehtoista.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Suosittelemme, että poissaolojen vähentämiseksi sallitaan sähköinen äänestys paperiäänestyksen (tai muiden äänestystapojen, kuten postiäänestysten) lisäksi. Sähköinen äänestäminen on erityisen kiinnostavaa lomamatkaa käyville, ja se myös rohkaisee ihmisiä, jotka ovat vähemmän kiinnostuneita äänestämisestä, koska matkustuspakkoa ei enää ole.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Liian usein kansalaiset, jotka osallistuvat kansanäänestysten kaltaisiin osallistaviin demokratia-aloitteisiin,</w:t>
            </w:r>
            <w:r>
              <w:rPr/>
              <w:commentReference w:id="15"/>
            </w:r>
            <w:r>
              <w:rPr/>
              <w:t xml:space="preserve"> eivät saa palautetta äänestyksen seurannasta lyhyellä tai pitkällä aikavälillä.</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Suosittelemme, että kansalaisille annetaan palautetta jatkotoimista, jotka on toteutettu (tai eivät) kansalaisten EU-kansanäänestyksessä tekemän päätöksen johdosta.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Olemassa olevat työkalut</w:t>
      </w:r>
    </w:p>
    <w:p>
      <w:pPr>
        <w:pStyle w:val="Normal"/>
        <w:rPr/>
      </w:pPr>
      <w:r>
        <w:rPr/>
        <w:t>5.1. Euroopan parlamentin vaalit.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Ongelmia</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Suositukset</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Tuki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Eri jäsenvaltioiden lainsäädännössä on eroja.</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Ehdotamme, että Euroopan parlamentin olisi osallistuttava äänestykseen pakollisesti, mutta kansalaisille olisi annettava riittävästi tietoa, jotta he voivat ymmärtää sen syyt.</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Suosittelemme, että Euroopan parlamentin vaalisäännöt tehdään mahdollisimman paljon kaikissa maissa, myös vähimmäisiän osalta.</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Euroopan parlamentin jäsenten ikä-, alkuperä- ja sukupuolikriteereissä ei ole riittävästi eroja.</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Ehdotamme, että Euroopan parlamentin jäsenet ovat kaikenikäisiä ja taustoja.</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Ehdotamme, että Euroopan parlamentin jäsenet valitsevat tarkoituksellisesti eurooppalaisen uran eikä vain siksi, että he ovat uransa lopussa.</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Ehdotamme, että sukupuolten tasapuolinen jakautuminen tapahtuu esimerkiksi vaihtamalla sukupuolia vaaliluetteloihin</w:t>
            </w:r>
            <w:r>
              <w:rPr/>
              <w:commentReference w:id="16"/>
            </w:r>
            <w:r>
              <w:rPr/>
              <w:t>. EU:n on vahvistettava nämä kriteerit ja tarkistettava, täyttyvätkö ne kiintiökoostumuksessa. Jos ehdokas kieltäytyy toimikaudestaan, hänen tilalleen tulee seuraava ehdokas, joka on etusijajärjestyksessä ja jolla on sama sukupuoli.</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Suosittelemme, että EU:n listoilla olevat ehdokkaat hoitavat tehtäväänsä, jos heidät valitaan.</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Äänestämme Euroopan parlamentin puolesta, emmekä voi vaikuttaa valiokunnan kokoonpanoon.</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Ehdotamme, että Euroopan parlamentin suurin puolue voi nimittää Euroopan komission puheenjohtajan.</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Suosittelemme, että Euroopan komission kokoonpanosta tehdään eräiden perussääntöjen mukaisesti avoimempi, jotta kokoonpano heijastaa kansalaisten ääntä ja että kansalaiset tietävät, miten valinta tapahtui.</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Ehdokkaista ei ole paljon tietoa, emme tiedä paljoakaan heistä ja heidän ohjelmastaan sekä siitä poliittisesta murto-osasta, jota he edustavat Euroopan parlamentissa.</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Ehdotamme, että eurooppalaiset ehdokkaat esittäytyvät paikallisesti konkreettisemmin tavoitteineen ja ohjelmineen eri kanavien kautta (komission tiedonanto).</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Euroopan oikeusasiamies</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Ongelmia</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Suositukset</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Tuki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Sivusto muilla kielillä kuin englanniksi sisältää vain englanninkielistä tietoa kahdesta ensimmäisestä sivusta. Tämä luo esteen kansalaisille, jotka eivät hallitse englantia</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Ehdotamme, että tiedot laitetaan kotisivulle kunkin kansalaisen kielellä ja julkaistaan, jos niitä ei ole mahdollista kääntää, englanninkieliset uutiset muualla sivustolla.</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Oikeusasiamies ei ole osallisena seuraamuksessa eikä kantelijalle mahdollisesti maksettavissa korvauksissa.</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Ehdotamme, että oikeusasiamies osallistuu ratkaisun/seuraamuksen/korvauksen löytämis- ja täytäntöönpanoprosessiin ja että hänellä on ääni tässä asiassa.</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Määräaika on joskus hyvin pitkä validointi sivuston rekisteröinnin (validointi sähköposti) Se kestää joskus 24 tuntia ja demotive kansalainen, joka siirtyy johonkin muuhun.</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Ehdotamme välittömän validointijärjestelmän käyttöönottoa.</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Kun jätämme valituksen, kysytään: oletko käyttänyt kaikkia mahdollisia menettelyjä? Kansalainen ei aina tiedä kaikkia menettelyjä eikä voi vastata kysymykseen.</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Ehdotamme, että lisätään linkki yksinkertaiseen esitykseen/selitykseen muista menettelyistä.</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Oikeusasiamiehen verkkosivusto on hyvin tehty, mutta sillä ei ole selkeää eurooppalaista imagoa, joten tämä johtaa kansalaisten kysymyksiin (olenko oikealla sivustolla, onko se uskottavaa?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Ehdotamme sivuston graafisen peruskirjan tarkistamista ja sen mukauttamista EU:n graafiseen peruskirjaan (ensimmäiset neuvot: nosta Euroopan lippu sivun yläreunaan). Ensimmäisellä klikkauksella on oltava selvää, että kansalainen on toimielinten oikeusasiamiehen verkkosivustolla.</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Julkinen kuuleminen</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Ongelmia</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Suositukset</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Tuki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Kuulemisten verkkosivusto on muuttunut ja kansalainen lähetetään ensimmäisessä oikeusasteessa vanhentuneelle sivustolle. Sinun on etsittävä uuden sivuston osoite.</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Ehdotamme vanhan sivuston poistamista ja viitaten uuteen sivustoon ensin.</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Kuulemisen etenemissuunnitelmaa (englanti) ja mielipiteitä (kansalaistoimittajan kieli) ei käännetä kansalaislukijan kielelle.</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Suosittelemme, että tiekartta käännetään kansalaisten kielelle. Englannin tiekartta estää kaikki kansalaiset, jotka eivät hallitse</w:t>
            </w:r>
            <w:commentRangeStart w:id="19"/>
            <w:r>
              <w:rPr/>
              <w:t>englantia</w:t>
            </w:r>
            <w:r>
              <w:rPr/>
            </w:r>
            <w:commentRangeEnd w:id="19"/>
            <w:r>
              <w:commentReference w:id="19"/>
            </w:r>
            <w:r>
              <w:rPr/>
              <w:t xml:space="preserve"> osallistuessaan.</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Ehdotamme, että jokaiseen arvosteluun lisätään välilehti/kuvake ”automaattinen käännös”, joka muodostaa yhteyden avoimen lähdekoodin käännösmoottoriin, kuten </w:t>
            </w:r>
            <w:commentRangeStart w:id="20"/>
            <w:r>
              <w:rPr/>
              <w:t>Google Translate tai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Sinun on liityttävä kuulemisen seurantaan.</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Ehdotamme, että prosessiseuranta lähetetään automaattisesti kaikille, jotka ovat reagoineet, ja voimme peruuttaa tilauksen.</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Emme tiedä, vaikuttaako lausuntojen määrä tavallaan valiokuntaan vai pidetäänkö samankaltaisia lausuntoja yhtenä mielipiteenä (painotus vai ei). Jos mielipiteiden määrällä on merkitystä, olemme huolissamme edunvalvojien/aktivistien/suurten yritysten painoarvosta kuulemisissa ja tosiasiallisesti EU:n kansalaisiin ja assosiaatiomaailmaan kohdistamista toimista.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Suosittelemme, että sivustolle annetaan selkeät tiedot tästä.</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Jos mielipiteiden määrällä on vaikutusta yhteen suuntaan, suosittelemme sellaisen järjestelmän perustamista, jolla voidaan suodattaa lobbaajia, aktivisteja/suuria yrityksiä jne., jotta niille ei anneta suhteetonta painoarvoa.</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Suosittelemme luomaan tekoälyohjelmiston, joka sijoittuu eri arvosteluihin ja laskee vastakkaisia tai suotuisia arvosteluja.</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Ehdotamme, että kansalaisten ja yhdistysten (militants) välillä järjestetään tiedotuspisteitä: on paikkoja, joihin kansalaiset voivat tulla ja antaa mielipiteensä ”Eurooppa-talojen” muodossa, jotka voisivat auttaa levittämään kansalaisten mielipiteitä Euroopan tasolle. Nämä paikat olisi perustettava eri paikkakunnille, paikallistasolle, ja ne olisi sijoitettava muualle.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Ilmoituslomake ei ole selvä: on avoin kysymys ja kysely. Mikä on kunkin asiakirjan rooli, mitä pitäisi täydentää?</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Selvitä nämä tiedot sivustolla.</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On liian paljon taitotasoja, kun kyse on työkaluista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Ehdotamme, että perustetaan lähetysasema, joka mahdollistaa pyyntöjen lähettämisen toimivaltaiselle viranomaistasolle.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Eurooppalainen kansalaisaloite</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Ongelmia</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Suositukset</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Tuki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Kansalaisia, joilla ei ole internetiä, on vaikeampi tavoittaa.</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Ehdotamme, että hallituksesta riippumattomat paikallisviranomaiset tai kirjastot voivat osallistua aloitteen levittämiseen ja allekirjoitusten keräämiseen. Sekä sähköisesti että paperilla. EU:n olisi arvioitava tätä verkostoa maittain ja asetettava se aloitteentekijöiden saataville.</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Niiden maiden määrä, joiden on osallistuttava, on liian pieni saadakseen riittävää tukea.</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Ehdotamme, että niiden maiden määrää, joista allekirjoitukset kerätään, lisätään 13 maahan, jotta ehdotus saisi enemmän tukea. Allekirjoitusten määrää on noudatettava suhteessa asukasmäärään.</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Allekirjoitusten keräämisen kustannukset ja ponnistelut ovat korkeat</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Ehdotamme, että näitä aloitteita tuetaan EU:n rahoituksella.</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Ehdotamme, että perustetaan elin, joka helpottaa eri maiden välistä koordinointia.</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Menettely on kansalaisille monimutkainen.</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Ehdotamme, että perustetaan neuvontapalvelu, joka auttaa kansalaisia prosessin loppuunsaattamisessa.</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Kansalaisaloitteen tulokset ovat epäselvät.</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Ehdotamme, että Euroopan komissio velvoitetaan keskustelemaan ehdotuksen jatkotoimista ja työskentelemään sen jatkotoimissa eikä pelkästään vastaamisessa ja vastaanottovahvistuksessa. Jos komissio päättää olla toteuttamatta ehdotusta, sen on perusteltava se.</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Ehdotamme, että eurooppalaista kansalaisaloitetta vastaanotettaessa järjestetään kansalaisten kuuleminen, jotta heiltä pyydetään lausuntoa asiasta ennen kuin valiokunta valvoo sitä. Näin vältettäisiin vain äärimmäiset mielipiteet/äänet aloitteesta ja niiden henkilöiden mielipide, jotka eivät ole allekirjoittaneet. Lisäksi, jos kaikki kansalaiset antavat mielipiteensä, ehdotuksella on enemmän painoarvoa EU:n tasolla ja sen jatkotoimissa.</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Oikeus vetoomukseen</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Ongelmia</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Suositukset</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Tuki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Euroopan komissiolla on lopullinen päätös, lopputuloksesta ei ole varmuutta.</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Ehdotamme, että valiokunta noudattaa Euroopan parlamentin suositusta.</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Päätöksentekoprosessin ja motivaation läpinäkyvyys on vähäistä.</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Ehdotamme, että vetoomuksen esittäneelle henkilölle tiedotetaan edistymisestä ja päätöksistä säännöllisin väliajoin. Myös lopullinen päätelmä on perusteltava.</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Kansalaisten on vaikea osoittaa, että tarvitaan uutta lainsäädäntöä.</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Suosittelemme, että vetoomusta olisi käytettävä myös välineenä, jolla osoitetaan uuden lainsäädännön tarve.</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 B Kansalliset paneelit: Ranska</w:t>
      </w:r>
    </w:p>
    <w:p>
      <w:pPr>
        <w:pStyle w:val="Normal"/>
        <w:spacing w:before="15880" w:after="57"/>
        <w:rPr/>
      </w:pPr>
      <w:r>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Viitekehys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t xml:space="preserve">Tämä asiakirja on tiivistelmä Ranskan järjestämästä raportista ”Kansalaisten panos Euroopan tulevaisuutta käsittelevään konferenssiin”. Raportin ranskankielinen versio on kokonaisuudessaan saatavilla seuraavasta linkistä: </w:t>
                            </w:r>
                          </w:p>
                          <w:p>
                            <w:pPr>
                              <w:pStyle w:val="Contenudecadre"/>
                              <w:spacing w:before="57" w:after="57"/>
                              <w:rPr/>
                            </w:pPr>
                            <w:hyperlink r:id="rId84">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Viitekehys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t xml:space="preserve">Tämä asiakirja on tiivistelmä Ranskan järjestämästä raportista ”Kansalaisten panos Euroopan tulevaisuutta käsittelevään konferenssiin”. Raportin ranskankielinen versio on kokonaisuudessaan saatavilla seuraavasta linkistä: </w:t>
                      </w:r>
                    </w:p>
                    <w:p>
                      <w:pPr>
                        <w:pStyle w:val="Contenudecadre"/>
                        <w:spacing w:before="57" w:after="57"/>
                        <w:rPr/>
                      </w:pPr>
                      <w:hyperlink r:id="rId85">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Kuva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Kuva33" descr=""/>
                    <pic:cNvPicPr>
                      <a:picLocks noChangeAspect="1" noChangeArrowheads="1"/>
                    </pic:cNvPicPr>
                  </pic:nvPicPr>
                  <pic:blipFill>
                    <a:blip r:embed="rId86"/>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Kuva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Kuva38" descr=""/>
                    <pic:cNvPicPr>
                      <a:picLocks noChangeAspect="1" noChangeArrowheads="1"/>
                    </pic:cNvPicPr>
                  </pic:nvPicPr>
                  <pic:blipFill>
                    <a:blip r:embed="rId87"/>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Kuva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Kuva37" descr=""/>
                    <pic:cNvPicPr>
                      <a:picLocks noChangeAspect="1" noChangeArrowheads="1"/>
                    </pic:cNvPicPr>
                  </pic:nvPicPr>
                  <pic:blipFill>
                    <a:blip r:embed="rId88"/>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Kuva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Kuva36" descr=""/>
                    <pic:cNvPicPr>
                      <a:picLocks noChangeAspect="1" noChangeArrowheads="1"/>
                    </pic:cNvPicPr>
                  </pic:nvPicPr>
                  <pic:blipFill>
                    <a:blip r:embed="rId89"/>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Kuva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Kuva34" descr=""/>
                    <pic:cNvPicPr>
                      <a:picLocks noChangeAspect="1" noChangeArrowheads="1"/>
                    </pic:cNvPicPr>
                  </pic:nvPicPr>
                  <pic:blipFill>
                    <a:blip r:embed="rId90"/>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6">
            <wp:simplePos x="0" y="0"/>
            <wp:positionH relativeFrom="column">
              <wp:posOffset>-47625</wp:posOffset>
            </wp:positionH>
            <wp:positionV relativeFrom="paragraph">
              <wp:posOffset>6496050</wp:posOffset>
            </wp:positionV>
            <wp:extent cx="1281430" cy="614680"/>
            <wp:effectExtent l="0" t="0" r="0" b="0"/>
            <wp:wrapSquare wrapText="largest"/>
            <wp:docPr id="82" name="Kuva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Kuva35" descr=""/>
                    <pic:cNvPicPr>
                      <a:picLocks noChangeAspect="1" noChangeArrowheads="1"/>
                    </pic:cNvPicPr>
                  </pic:nvPicPr>
                  <pic:blipFill>
                    <a:blip r:embed="rId91"/>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sdt>
      <w:sdtPr>
        <w:docPartObj>
          <w:docPartGallery w:val="Table of Contents"/>
          <w:docPartUnique w:val="true"/>
        </w:docPartObj>
      </w:sdtPr>
      <w:sdtContent>
        <w:p>
          <w:pPr>
            <w:pStyle w:val="TOAHeading"/>
            <w:suppressLineNumbers/>
            <w:ind w:left="0" w:right="0" w:hanging="0"/>
            <w:rPr/>
          </w:pPr>
          <w:r>
            <w:rPr/>
            <w:t>Yhteenveto</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Esittely </w:t>
      </w:r>
    </w:p>
    <w:p>
      <w:pPr>
        <w:pStyle w:val="P68B1DB1Normal19"/>
        <w:widowControl w:val="false"/>
        <w:spacing w:lineRule="auto" w:line="240" w:before="156" w:after="0"/>
        <w:ind w:left="0" w:right="0" w:hanging="0"/>
        <w:jc w:val="both"/>
        <w:rPr/>
      </w:pPr>
      <w:r>
        <w:rPr/>
        <w:t xml:space="preserve">Euroopan tulevaisuutta käsittelevä konferenssi on ennennäkemätön kansalaisten osallistuminen Euroopan unionin 27 jäsenvaltion kansalaisten kuulemiseen, jotta he voivat olla tulevien vuosien ja vuosikymmenten ajan tehtävien päätösten keskiössä. Sen vuoksi EU:n kansalaisia kehotetaan kuulemaan äänensä ja ehdottamaan muutoksia ja konkreettisia toimintatapoja, joiden avulla Eurooppa voi asettaa uuden tavoitteen ja vastata nykyisiin globaaleihin haasteisiin. </w:t>
      </w:r>
    </w:p>
    <w:p>
      <w:pPr>
        <w:pStyle w:val="P68B1DB1Normal19"/>
        <w:widowControl w:val="false"/>
        <w:spacing w:lineRule="auto" w:line="240" w:before="156" w:after="0"/>
        <w:ind w:left="0" w:right="0" w:hanging="0"/>
        <w:jc w:val="both"/>
        <w:rPr/>
      </w:pPr>
      <w:r>
        <w:rPr/>
        <w:t xml:space="preserve">Ranskan hallitus tukee Euroopan tulevaisuutta käsittelevän konferenssin puheenjohtajakolmikon aloitteita erityisesti kannustamalla sen kansalaisia osallistumaan merkittävästi verkkoalustaan ja järjestämään tapahtumia koko maassa. </w:t>
      </w:r>
    </w:p>
    <w:p>
      <w:pPr>
        <w:pStyle w:val="P68B1DB1Normal19"/>
        <w:widowControl w:val="false"/>
        <w:spacing w:lineRule="auto" w:line="240" w:before="156" w:after="0"/>
        <w:ind w:left="0" w:right="0" w:hanging="0"/>
        <w:jc w:val="left"/>
        <w:rPr/>
      </w:pPr>
      <w:r>
        <w:rPr/>
        <w:t xml:space="preserve">Näiden eurooppalaisten aloitteiden ohella hallitus halusi osallistua kansallisella tasolla. </w:t>
      </w:r>
    </w:p>
    <w:p>
      <w:pPr>
        <w:pStyle w:val="P68B1DB1Normal19"/>
        <w:widowControl w:val="false"/>
        <w:spacing w:lineRule="auto" w:line="240" w:before="156" w:after="0"/>
        <w:ind w:left="0" w:right="0" w:hanging="0"/>
        <w:jc w:val="both"/>
        <w:rPr/>
      </w:pPr>
      <w:r>
        <w:rPr/>
        <w:t xml:space="preserve">Suhteista parlamenttiin ja kansalaisosallistumiseen vastaavan ministeriön (MRPCC) tuella ja ministeriöiden välisen kansalaisosallistumiskeskuksen (ICPC) asiantuntemuksella Euroopan- ja ulkoasiainministeriö (MEAE) järjesti kansalaisharjoituksen, joka perustui vahvoihin metodologisiin vääristymiin (ks. jäljempänä ”Metodologiset sitoumukset ja puolueet”). MEAE tukeutui toimittajakonsortioon, johon kuuluivat Roland Berger, Wavestone, Missions Publiques ja Harris Interactive. Alueellisilla prefektuureilla on viimein ollut keskeinen rooli 18 konferenssin järjestämisessä eri puolilla maata. </w:t>
      </w:r>
    </w:p>
    <w:p>
      <w:pPr>
        <w:pStyle w:val="P68B1DB1Normal19"/>
        <w:widowControl w:val="false"/>
        <w:spacing w:lineRule="auto" w:line="240" w:before="156" w:after="0"/>
        <w:ind w:left="0" w:right="0" w:hanging="0"/>
        <w:jc w:val="both"/>
        <w:rPr/>
      </w:pPr>
      <w:r>
        <w:rPr/>
        <w:t xml:space="preserve">Tämän kuulemisen yhteydessä osallistujille esitettiin yksi kysymys: </w:t>
      </w:r>
      <w:r>
        <w:rPr>
          <w:b/>
          <w:i/>
        </w:rPr>
        <w:t>Mitä muutoksia haluatte Ranskan kansalaisina Euroopalle?</w:t>
      </w:r>
      <w:r>
        <w:rPr/>
        <w:t xml:space="preserve"> (Ks. liite IV ”Osallistumisvaltuudet”). </w:t>
      </w:r>
    </w:p>
    <w:p>
      <w:pPr>
        <w:pStyle w:val="P68B1DB1Normal19"/>
        <w:widowControl w:val="false"/>
        <w:spacing w:lineRule="auto" w:line="240" w:before="156" w:after="0"/>
        <w:ind w:left="0" w:right="0" w:hanging="0"/>
        <w:jc w:val="both"/>
        <w:rPr/>
      </w:pPr>
      <w:r>
        <w:rPr/>
        <w:t xml:space="preserve">Tämä kansallinen harjoitus toteutettiin 18 alueellisen konferenssin muodossa 13 suurkaupunkialueella ja viidellä Ranskan ultramarine-alueella, jotka järjestettiin kolmena viikonloppuna syys- ja lokakuussa 2021, ja kukin kokosi yhteen 30–50 kansalaista arvalla (746 yhteensä). Näiden 18 alueellisen paneelin yhteenveto laadittiin 15.–17. lokakuuta 2021 talous-, sosiaali- ja ympäristöneuvostossa (ETSK) järjestetyssä kansallisessa konferenssissa, johon osallistui 98 vapaaehtoista kansalaista alueellisiin konferensseihin osallistuneiden joukossa. </w:t>
      </w:r>
    </w:p>
    <w:p>
      <w:pPr>
        <w:pStyle w:val="P68B1DB1Normal19"/>
        <w:widowControl w:val="false"/>
        <w:spacing w:lineRule="auto" w:line="240" w:before="156" w:after="0"/>
        <w:ind w:left="0" w:right="0" w:hanging="0"/>
        <w:jc w:val="both"/>
        <w:rPr/>
      </w:pPr>
      <w:r>
        <w:rPr/>
        <w:t xml:space="preserve">Lisäksi Euroopan ministeriö järjesti Make.orgin kanssa yhteistyössä Make.orgin kanssa verkkokuulemisen ” </w:t>
      </w:r>
      <w:r>
        <w:rPr>
          <w:i/>
        </w:rPr>
        <w:t>Speak to Youth</w:t>
      </w:r>
      <w:r>
        <w:rPr/>
        <w:t xml:space="preserve">” -verkkokuulemisen, jonka tarkoituksena on tuoda esiin ranskalaisten nuorten sanat ennen Euroopan nuorten teemavuotta 2022. Yli 50 000 15–35-vuotiasta nuorta esitti ajatuksiaan ja prioriteettejaan vuoden 2035 Euroopalle. </w:t>
      </w:r>
    </w:p>
    <w:p>
      <w:pPr>
        <w:pStyle w:val="P68B1DB1Normal19"/>
        <w:widowControl w:val="false"/>
        <w:spacing w:lineRule="auto" w:line="240" w:before="156" w:after="0"/>
        <w:ind w:left="0" w:right="0" w:hanging="0"/>
        <w:jc w:val="left"/>
        <w:rPr>
          <w:rFonts w:ascii="Times New Roman" w:hAnsi="Times New Roman"/>
          <w:color w:val="000000"/>
          <w:sz w:val="24"/>
        </w:rPr>
      </w:pPr>
      <w:r>
        <w:rPr/>
        <w:t xml:space="preserve">Tässä kertomuksessa esitellään hallituksen käymien kahden kuulemisen tärkeimmät tulokset.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t xml:space="preserve">Kuulemismenettely </w:t>
      </w:r>
    </w:p>
    <w:p>
      <w:pPr>
        <w:pStyle w:val="P68B1DB1Normal19"/>
        <w:widowControl w:val="false"/>
        <w:spacing w:lineRule="auto" w:line="240" w:before="156" w:after="0"/>
        <w:ind w:left="0" w:right="0" w:hanging="0"/>
        <w:jc w:val="both"/>
        <w:rPr/>
      </w:pPr>
      <w:r>
        <w:rPr/>
        <w:t xml:space="preserve">Alueellisiin konferensseihin osallistuneiden kansalaisten rekrytointiin yhdistettiin osallistujien satunnaisvalinta heidän puhelinnumeronsa perusteella ja kohdennettu valikoima profiileja, jotka tavoittavat paneelin, joka edustaa kunkin alueen monimuotoisuutta mahdollisimman hyvin. </w:t>
      </w:r>
    </w:p>
    <w:p>
      <w:pPr>
        <w:pStyle w:val="P68B1DB1Normal19"/>
        <w:widowControl w:val="false"/>
        <w:spacing w:lineRule="auto" w:line="240" w:before="156" w:after="0"/>
        <w:ind w:left="0" w:right="0" w:hanging="0"/>
        <w:jc w:val="both"/>
        <w:rPr/>
      </w:pPr>
      <w:r>
        <w:rPr/>
        <w:t xml:space="preserve">Alueellisissa paneeleissa osallistujat käyttivät vuorotellen työaikaa ryhmissä 6–8 kansalaista kohden sekä avustajan ja esitysajat täysistunnossa. Asiantuntijat olivat läsnä pohdinta-aikana vastatakseen kansalaisten kysymyksiin ja valottaakseen samalla neutraaliutta. </w:t>
      </w:r>
    </w:p>
    <w:p>
      <w:pPr>
        <w:pStyle w:val="P68B1DB1Normal19"/>
        <w:widowControl w:val="false"/>
        <w:spacing w:lineRule="auto" w:line="240" w:before="156" w:after="0"/>
        <w:ind w:left="0" w:right="0" w:hanging="0"/>
        <w:jc w:val="both"/>
        <w:rPr/>
      </w:pPr>
      <w:r>
        <w:rPr/>
        <w:t xml:space="preserve">Kansalaisia pyydettiin ensin keskustelemaan nykyisestä käsityksestään Euroopasta. Tämän jälkeen he ilmaisivat </w:t>
      </w:r>
      <w:r>
        <w:rPr>
          <w:b/>
        </w:rPr>
        <w:t>toiveensa vuoden 2035 Euroopalle</w:t>
      </w:r>
      <w:r>
        <w:rPr/>
        <w:t xml:space="preserve">, ryhmänä ja sen jälkeen täysistunnossa. Näiden keskustelujen avulla pystyttiin yksilöimään 3–8 toivetta aluetta kohti. Tämän jälkeen kansalaiset muotoilivat kunkin toiveensa osalta tarpeellisiksi </w:t>
      </w:r>
      <w:r>
        <w:rPr>
          <w:b/>
        </w:rPr>
        <w:t>katsomansa muutokset</w:t>
      </w:r>
      <w:r>
        <w:rPr/>
        <w:t xml:space="preserve"> halutun Euroopan saavuttamiseksi ja havainnollistavat niitä konkreettisilla ehdotuksilla, jotka on pantava täytäntöön. Prosessin tuloksena tehtiin yhteensä 515 muutosta ja 1 301 konkreettista ehdotusta kansallisella tasolla. </w:t>
      </w:r>
    </w:p>
    <w:p>
      <w:pPr>
        <w:pStyle w:val="P68B1DB1Normal19"/>
        <w:widowControl w:val="false"/>
        <w:spacing w:lineRule="auto" w:line="240" w:before="156" w:after="0"/>
        <w:ind w:left="0" w:right="0" w:hanging="0"/>
        <w:jc w:val="left"/>
        <w:rPr/>
      </w:pPr>
      <w:r>
        <w:rPr/>
        <w:t xml:space="preserve">Kunkin alueellisen konferenssin tuloksena laadittiin alueellinen yhteenvetoraportti, joka toimitettiin kaikille osallistujille ennen kansallista konferenssia. </w:t>
      </w:r>
    </w:p>
    <w:p>
      <w:pPr>
        <w:pStyle w:val="P68B1DB1Normal19"/>
        <w:widowControl w:val="false"/>
        <w:spacing w:lineRule="auto" w:line="240" w:before="156" w:after="0"/>
        <w:ind w:left="0" w:right="0" w:hanging="0"/>
        <w:jc w:val="both"/>
        <w:rPr/>
      </w:pPr>
      <w:r>
        <w:rPr/>
        <w:t xml:space="preserve">Kansallinen synteesikonferenssi kokosi yhteen 98 satunnaisesti piirrettyä kansalaista 18 alueellisen konferenssin osallistujien joukosta. Kansallisen paneelin monimuotoisuuden varmistamiseksi Ranskassa ja Réunionissa järjestettyjen alueellisten konferenssien vapaaehtoisten joukosta kerättiin paljon kuusi kansalaista ja neljä kansalaista ultramarine-konferensseihin kunnioittaen tasa-arvoa ja ikäeroa kussakin alueellisessa arvonnassa (ks. liite II). </w:t>
      </w:r>
    </w:p>
    <w:p>
      <w:pPr>
        <w:pStyle w:val="Normal"/>
        <w:widowControl w:val="false"/>
        <w:spacing w:lineRule="auto" w:line="240" w:before="156" w:after="0"/>
        <w:ind w:left="0" w:right="0" w:hanging="0"/>
        <w:jc w:val="both"/>
        <w:rPr/>
      </w:pPr>
      <w:r>
        <w:rPr/>
        <w:t>Kansallista konferenssia</w:t>
      </w:r>
      <w:r>
        <w:rPr>
          <w:rFonts w:ascii="Times New Roman" w:hAnsi="Times New Roman"/>
          <w:color w:val="000000"/>
          <w:sz w:val="24"/>
        </w:rPr>
        <w:t>valmisteltaessa alueellisissa konferensseissa yksilöityjä 515 muutosta analysoitiin ja sovitettiin yhteen, kun niiden taustalla oleva tarkoitus oli samanlainen tai lähellä, jotta ne muodostivat 14 muutosryhmää,</w:t>
      </w:r>
      <w:r>
        <w:rPr>
          <w:rFonts w:ascii="Times New Roman" w:hAnsi="Times New Roman"/>
          <w:b/>
          <w:color w:val="000000"/>
          <w:sz w:val="24"/>
        </w:rPr>
        <w:t xml:space="preserve"> </w:t>
      </w:r>
      <w:r>
        <w:rPr>
          <w:rFonts w:ascii="Times New Roman" w:hAnsi="Times New Roman"/>
          <w:color w:val="000000"/>
          <w:sz w:val="24"/>
        </w:rPr>
        <w:t>jotka ilmentävät Euroopan yhteistä toivetta (ks. osa 6). Nämä 14 eurooppalaista toivetta toimivat perustana kansallisen konferenssin 98 osanottajalle, joiden tehtävänä oli rikastuttaa alueilla tehtyä työtä ja vastata Euroopan toiveisiin, muutoksiin ja ehdotuksiin 20 asiantuntijan avulla, jotta voitaisiin laatia luettelo ensisijaisista muutoksista. Kukin ryhmä valitsi lopulta kolme keskeistä muutosta,</w:t>
      </w:r>
      <w:r>
        <w:rPr>
          <w:rFonts w:ascii="Times New Roman" w:hAnsi="Times New Roman"/>
          <w:b/>
          <w:color w:val="000000"/>
          <w:sz w:val="24"/>
        </w:rPr>
        <w:t xml:space="preserve"> </w:t>
      </w:r>
      <w:r>
        <w:rPr>
          <w:rFonts w:ascii="Times New Roman" w:hAnsi="Times New Roman"/>
          <w:color w:val="000000"/>
          <w:sz w:val="24"/>
        </w:rPr>
        <w:t xml:space="preserve">joista ensimmäisen äänestivät kaikki 98 kansalaista, mikä loi lopullisen sijoituksen 14 ensisijaiseen muutokseen. Yhteenvetoraportti kokoaa yhteen tämän konferenssin kaiken työn. </w:t>
      </w:r>
      <w:r>
        <w:br w:type="page"/>
      </w:r>
    </w:p>
    <w:p>
      <w:pPr>
        <w:pStyle w:val="P68B1DB1Normal19"/>
        <w:spacing w:lineRule="auto" w:line="240" w:before="156" w:after="0"/>
        <w:ind w:left="0" w:right="0" w:hanging="0"/>
        <w:rPr/>
      </w:pPr>
      <w:r>
        <w:rPr/>
        <w:t xml:space="preserve">Make.orgin kanssa yhteistyössä järjestetty Parole aux Jeunes -verkkokuuleminen järjestettiin touko-heinäkuussa 2021. Yli 50 000 osallistujaa osallistui ja esitti lähes 3 000 ehdotusta Euroopalle. Kaikkien nuorten kansalaisten reaktioiden perusteella tunnistettiin 35 suurta ajatusta, joista 22 oli laajalti arvostettuja ja 13 oli osallistujien keskuudessa kiistanalainen (ks. osa 11). </w:t>
      </w:r>
    </w:p>
    <w:p>
      <w:pPr>
        <w:pStyle w:val="P68B1DB1Normal19"/>
        <w:widowControl w:val="false"/>
        <w:spacing w:lineRule="auto" w:line="240" w:before="156" w:after="0"/>
        <w:ind w:left="0" w:right="0" w:hanging="0"/>
        <w:jc w:val="left"/>
        <w:rPr/>
      </w:pPr>
      <w:r>
        <w:rPr>
          <w:u w:val="single"/>
        </w:rPr>
        <w:t>Poistumispaikka ja työtehtävät välittömästi</w:t>
      </w:r>
      <w:r>
        <w:rPr/>
        <w:t xml:space="preserve"> </w:t>
      </w:r>
    </w:p>
    <w:p>
      <w:pPr>
        <w:pStyle w:val="P68B1DB1Normal19"/>
        <w:widowControl w:val="false"/>
        <w:spacing w:lineRule="auto" w:line="240" w:before="156" w:after="0"/>
        <w:ind w:left="0" w:right="0" w:hanging="0"/>
        <w:jc w:val="both"/>
        <w:rPr/>
      </w:pPr>
      <w:r>
        <w:rPr/>
        <w:t xml:space="preserve">Kansalaiset toimittavat tämän kertomuksen hallitukselle 29. marraskuuta 2021 Euroopan tulevaisuutta käsittelevän konferenssin täysistunnon ranskalaisten jäsenten läsnä ollessa. Se esitellään konferenssin puheenjohtajakolmikkoon Ranskan puheenjohtajakaudella Euroopan unionin neuvoston (PFUE) puheenjohtajakaudella. </w:t>
      </w:r>
    </w:p>
    <w:p>
      <w:pPr>
        <w:pStyle w:val="P68B1DB1Normal19"/>
        <w:widowControl w:val="false"/>
        <w:spacing w:lineRule="auto" w:line="240" w:before="156" w:after="0"/>
        <w:ind w:left="0" w:right="0" w:hanging="0"/>
        <w:jc w:val="both"/>
        <w:rPr/>
      </w:pPr>
      <w:r>
        <w:rPr/>
        <w:t xml:space="preserve">ETSK:n kansallisen yhteenvetokonferenssin päätteeksi ja kansalaisten suuriin odotuksiin vastaamiseksi perustettiin kansalaisten seurantakomitea, joka ilmentää osallistujien oikeutta jatkotoimiin. Komitean, joka koostuu 15 jäsenestä – 14 alueellisten konferenssien edustajasta ja Parole aux Jeunes -kuulemisen edustajasta – tehtävänä on tiedottaa kansalaisille heidän ehdotustensa tulevaisuudesta. Yksi tai yksi seurantakomitean jäsenistä osallistuu jokaisessa konferenssin täysistunnon kokouksessa Ranskan harjoituksen edustajana tässä mietinnössä esitettyjen ehdotusten korostamiseen ja muodostaa samalla yhteisen kannan kaikkien edustettuina olevien Euroopan kansalaisten kanssa. </w:t>
      </w:r>
    </w:p>
    <w:p>
      <w:pPr>
        <w:pStyle w:val="P68B1DB1Normal19"/>
        <w:widowControl w:val="false"/>
        <w:spacing w:lineRule="auto" w:line="240" w:before="156" w:after="0"/>
        <w:ind w:left="0" w:right="0" w:hanging="0"/>
        <w:jc w:val="both"/>
        <w:rPr/>
      </w:pPr>
      <w:r>
        <w:rPr/>
        <w:t xml:space="preserve">Kaikki Ranskan kuulemisen asiakirjat ovat julkisia ja kaikkien saatavilla Ranskan valtion kansalaisten osallistumisfoorumilla: osallistumisvaltuudet, alueelliset yhteenvedot, kansallinen yhteenveto, takaajaraportti ja loppuraportti.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Viitekehys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Yleiskatsaus Ranskan panoksesta Euroopan tulevaisuutta käsittelevään konferenssiin</w:t>
                            </w:r>
                          </w:p>
                          <w:p>
                            <w:pPr>
                              <w:pStyle w:val="Contenudecadre"/>
                              <w:rPr>
                                <w:color w:val="auto"/>
                              </w:rPr>
                            </w:pPr>
                            <w:r>
                              <w:rPr>
                                <w:color w:val="auto"/>
                              </w:rPr>
                            </w:r>
                          </w:p>
                          <w:p>
                            <w:pPr>
                              <w:pStyle w:val="Contenudecadre"/>
                              <w:rPr>
                                <w:color w:val="auto"/>
                              </w:rPr>
                            </w:pPr>
                            <w:r>
                              <w:rPr>
                                <w:color w:val="auto"/>
                              </w:rPr>
                              <w:t>Arvalla valittujen kansalaisten oli vastattava kysymykseen: ”Ranskan kansalaisina, mitä muutoksia haluatte Euroopalle?”</w:t>
                            </w:r>
                          </w:p>
                          <w:p>
                            <w:pPr>
                              <w:pStyle w:val="Contenudecadre"/>
                              <w:rPr>
                                <w:color w:val="auto"/>
                              </w:rPr>
                            </w:pPr>
                            <w:r>
                              <w:rPr>
                                <w:color w:val="auto"/>
                              </w:rPr>
                            </w:r>
                          </w:p>
                          <w:p>
                            <w:pPr>
                              <w:pStyle w:val="Contenudecadre"/>
                              <w:rPr>
                                <w:color w:val="auto"/>
                              </w:rPr>
                            </w:pPr>
                            <w:r>
                              <w:rPr>
                                <w:color w:val="auto"/>
                              </w:rPr>
                              <w:t xml:space="preserve">Kymmenen ensisijaista muutosta Euroopassa vuonna 2035 </w:t>
                            </w:r>
                          </w:p>
                          <w:p>
                            <w:pPr>
                              <w:pStyle w:val="Contenudecadre"/>
                              <w:rPr>
                                <w:color w:val="auto"/>
                              </w:rPr>
                            </w:pPr>
                            <w:r>
                              <w:rPr>
                                <w:color w:val="auto"/>
                              </w:rPr>
                            </w:r>
                          </w:p>
                          <w:p>
                            <w:pPr>
                              <w:pStyle w:val="Contenudecadre"/>
                              <w:rPr>
                                <w:color w:val="auto"/>
                              </w:rPr>
                            </w:pPr>
                            <w:r>
                              <w:rPr>
                                <w:color w:val="auto"/>
                              </w:rPr>
                              <w:t xml:space="preserve">1. Kehittää </w:t>
                            </w:r>
                            <w:r>
                              <w:rPr>
                                <w:b/>
                                <w:color w:val="auto"/>
                              </w:rPr>
                              <w:t>energiaa</w:t>
                            </w:r>
                            <w:r>
                              <w:rPr>
                                <w:color w:val="auto"/>
                              </w:rPr>
                              <w:t xml:space="preserve"> raittius kuluttaa vähemmän pysäyttämällä tarpeeton</w:t>
                            </w:r>
                          </w:p>
                          <w:p>
                            <w:pPr>
                              <w:pStyle w:val="Contenudecadre"/>
                              <w:rPr>
                                <w:b w:val="false"/>
                                <w:b w:val="false"/>
                                <w:color w:val="auto"/>
                              </w:rPr>
                            </w:pPr>
                            <w:r>
                              <w:rPr>
                                <w:b w:val="false"/>
                                <w:color w:val="auto"/>
                              </w:rPr>
                            </w:r>
                          </w:p>
                          <w:p>
                            <w:pPr>
                              <w:pStyle w:val="Contenudecadre"/>
                              <w:rPr>
                                <w:color w:val="auto"/>
                              </w:rPr>
                            </w:pPr>
                            <w:r>
                              <w:rPr>
                                <w:color w:val="auto"/>
                              </w:rPr>
                              <w:t>2. Euroopan unionin</w:t>
                            </w:r>
                            <w:r>
                              <w:rPr>
                                <w:b/>
                                <w:color w:val="auto"/>
                              </w:rPr>
                              <w:t>yhteisen puolustuksen ja turvallisuuden</w:t>
                            </w:r>
                            <w:r>
                              <w:rPr>
                                <w:color w:val="auto"/>
                              </w:rPr>
                              <w:t>vahvistaminen</w:t>
                            </w:r>
                          </w:p>
                          <w:p>
                            <w:pPr>
                              <w:pStyle w:val="Contenudecadre"/>
                              <w:rPr>
                                <w:b w:val="false"/>
                                <w:b w:val="false"/>
                                <w:color w:val="auto"/>
                              </w:rPr>
                            </w:pPr>
                            <w:r>
                              <w:rPr>
                                <w:b w:val="false"/>
                                <w:color w:val="auto"/>
                              </w:rPr>
                            </w:r>
                          </w:p>
                          <w:p>
                            <w:pPr>
                              <w:pStyle w:val="Contenudecadre"/>
                              <w:rPr>
                                <w:color w:val="auto"/>
                              </w:rPr>
                            </w:pPr>
                            <w:r>
                              <w:rPr>
                                <w:color w:val="auto"/>
                              </w:rPr>
                              <w:t xml:space="preserve">3. </w:t>
                            </w:r>
                            <w:r>
                              <w:rPr>
                                <w:b/>
                                <w:color w:val="auto"/>
                              </w:rPr>
                              <w:t>Yhteisen taloudellisen suorituskyvyn</w:t>
                            </w:r>
                            <w:r>
                              <w:rPr>
                                <w:color w:val="auto"/>
                              </w:rPr>
                              <w:t xml:space="preserve"> edistäminen EU:n itsenäisen, kilpailukykyisen ja arvostetun teollisuuden avulla</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Kansalaisten vaikutusmahdollisuuksien lisääminen</w:t>
                            </w:r>
                            <w:r>
                              <w:rPr>
                                <w:color w:val="auto"/>
                              </w:rPr>
                              <w:t xml:space="preserve"> useilla tasoilla: osallistuminen, päätös, valvonta</w:t>
                            </w:r>
                          </w:p>
                          <w:p>
                            <w:pPr>
                              <w:pStyle w:val="Contenudecadre"/>
                              <w:rPr>
                                <w:b w:val="false"/>
                                <w:b w:val="false"/>
                                <w:color w:val="auto"/>
                              </w:rPr>
                            </w:pPr>
                            <w:r>
                              <w:rPr>
                                <w:b w:val="false"/>
                                <w:color w:val="auto"/>
                              </w:rPr>
                            </w:r>
                          </w:p>
                          <w:p>
                            <w:pPr>
                              <w:pStyle w:val="Contenudecadre"/>
                              <w:rPr>
                                <w:color w:val="auto"/>
                              </w:rPr>
                            </w:pPr>
                            <w:r>
                              <w:rPr>
                                <w:color w:val="auto"/>
                              </w:rPr>
                              <w:t xml:space="preserve">5. Siirtyminen kohti </w:t>
                            </w:r>
                            <w:r>
                              <w:rPr>
                                <w:b/>
                                <w:color w:val="auto"/>
                              </w:rPr>
                              <w:t>Euroopan valtioiden liittoa,</w:t>
                            </w:r>
                            <w:r>
                              <w:rPr>
                                <w:color w:val="auto"/>
                              </w:rPr>
                              <w:t xml:space="preserve"> jolla on vahva toimivalta yhteisen edun mukaisilla aloilla</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Tarjota elinikäisiä </w:t>
                            </w:r>
                            <w:r>
                              <w:rPr>
                                <w:b/>
                                <w:color w:val="auto"/>
                              </w:rPr>
                              <w:t>vaihto-ohjelmia</w:t>
                            </w:r>
                          </w:p>
                        </w:txbxContent>
                      </wps:txbx>
                      <wps:bodyPr lIns="54000" rIns="54000" tIns="54000" bIns="54000">
                        <a:noAutofit/>
                      </wps:bodyPr>
                    </wps:wsp>
                  </a:graphicData>
                </a:graphic>
              </wp:anchor>
            </w:drawing>
          </mc:Choice>
          <mc:Fallback>
            <w:pict>
              <v:rect id="shape_0" ID="Viitekehys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Yleiskatsaus Ranskan panoksesta Euroopan tulevaisuutta käsittelevään konferenssiin</w:t>
                      </w:r>
                    </w:p>
                    <w:p>
                      <w:pPr>
                        <w:pStyle w:val="Contenudecadre"/>
                        <w:rPr>
                          <w:color w:val="auto"/>
                        </w:rPr>
                      </w:pPr>
                      <w:r>
                        <w:rPr>
                          <w:color w:val="auto"/>
                        </w:rPr>
                      </w:r>
                    </w:p>
                    <w:p>
                      <w:pPr>
                        <w:pStyle w:val="Contenudecadre"/>
                        <w:rPr>
                          <w:color w:val="auto"/>
                        </w:rPr>
                      </w:pPr>
                      <w:r>
                        <w:rPr>
                          <w:color w:val="auto"/>
                        </w:rPr>
                        <w:t>Arvalla valittujen kansalaisten oli vastattava kysymykseen: ”Ranskan kansalaisina, mitä muutoksia haluatte Euroopalle?”</w:t>
                      </w:r>
                    </w:p>
                    <w:p>
                      <w:pPr>
                        <w:pStyle w:val="Contenudecadre"/>
                        <w:rPr>
                          <w:color w:val="auto"/>
                        </w:rPr>
                      </w:pPr>
                      <w:r>
                        <w:rPr>
                          <w:color w:val="auto"/>
                        </w:rPr>
                      </w:r>
                    </w:p>
                    <w:p>
                      <w:pPr>
                        <w:pStyle w:val="Contenudecadre"/>
                        <w:rPr>
                          <w:color w:val="auto"/>
                        </w:rPr>
                      </w:pPr>
                      <w:r>
                        <w:rPr>
                          <w:color w:val="auto"/>
                        </w:rPr>
                        <w:t xml:space="preserve">Kymmenen ensisijaista muutosta Euroopassa vuonna 2035 </w:t>
                      </w:r>
                    </w:p>
                    <w:p>
                      <w:pPr>
                        <w:pStyle w:val="Contenudecadre"/>
                        <w:rPr>
                          <w:color w:val="auto"/>
                        </w:rPr>
                      </w:pPr>
                      <w:r>
                        <w:rPr>
                          <w:color w:val="auto"/>
                        </w:rPr>
                      </w:r>
                    </w:p>
                    <w:p>
                      <w:pPr>
                        <w:pStyle w:val="Contenudecadre"/>
                        <w:rPr>
                          <w:color w:val="auto"/>
                        </w:rPr>
                      </w:pPr>
                      <w:r>
                        <w:rPr>
                          <w:color w:val="auto"/>
                        </w:rPr>
                        <w:t xml:space="preserve">1. Kehittää </w:t>
                      </w:r>
                      <w:r>
                        <w:rPr>
                          <w:b/>
                          <w:color w:val="auto"/>
                        </w:rPr>
                        <w:t>energiaa</w:t>
                      </w:r>
                      <w:r>
                        <w:rPr>
                          <w:color w:val="auto"/>
                        </w:rPr>
                        <w:t xml:space="preserve"> raittius kuluttaa vähemmän pysäyttämällä tarpeeton</w:t>
                      </w:r>
                    </w:p>
                    <w:p>
                      <w:pPr>
                        <w:pStyle w:val="Contenudecadre"/>
                        <w:rPr>
                          <w:b w:val="false"/>
                          <w:b w:val="false"/>
                          <w:color w:val="auto"/>
                        </w:rPr>
                      </w:pPr>
                      <w:r>
                        <w:rPr>
                          <w:b w:val="false"/>
                          <w:color w:val="auto"/>
                        </w:rPr>
                      </w:r>
                    </w:p>
                    <w:p>
                      <w:pPr>
                        <w:pStyle w:val="Contenudecadre"/>
                        <w:rPr>
                          <w:color w:val="auto"/>
                        </w:rPr>
                      </w:pPr>
                      <w:r>
                        <w:rPr>
                          <w:color w:val="auto"/>
                        </w:rPr>
                        <w:t>2. Euroopan unionin</w:t>
                      </w:r>
                      <w:r>
                        <w:rPr>
                          <w:b/>
                          <w:color w:val="auto"/>
                        </w:rPr>
                        <w:t>yhteisen puolustuksen ja turvallisuuden</w:t>
                      </w:r>
                      <w:r>
                        <w:rPr>
                          <w:color w:val="auto"/>
                        </w:rPr>
                        <w:t>vahvistaminen</w:t>
                      </w:r>
                    </w:p>
                    <w:p>
                      <w:pPr>
                        <w:pStyle w:val="Contenudecadre"/>
                        <w:rPr>
                          <w:b w:val="false"/>
                          <w:b w:val="false"/>
                          <w:color w:val="auto"/>
                        </w:rPr>
                      </w:pPr>
                      <w:r>
                        <w:rPr>
                          <w:b w:val="false"/>
                          <w:color w:val="auto"/>
                        </w:rPr>
                      </w:r>
                    </w:p>
                    <w:p>
                      <w:pPr>
                        <w:pStyle w:val="Contenudecadre"/>
                        <w:rPr>
                          <w:color w:val="auto"/>
                        </w:rPr>
                      </w:pPr>
                      <w:r>
                        <w:rPr>
                          <w:color w:val="auto"/>
                        </w:rPr>
                        <w:t xml:space="preserve">3. </w:t>
                      </w:r>
                      <w:r>
                        <w:rPr>
                          <w:b/>
                          <w:color w:val="auto"/>
                        </w:rPr>
                        <w:t>Yhteisen taloudellisen suorituskyvyn</w:t>
                      </w:r>
                      <w:r>
                        <w:rPr>
                          <w:color w:val="auto"/>
                        </w:rPr>
                        <w:t xml:space="preserve"> edistäminen EU:n itsenäisen, kilpailukykyisen ja arvostetun teollisuuden avulla</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Kansalaisten vaikutusmahdollisuuksien lisääminen</w:t>
                      </w:r>
                      <w:r>
                        <w:rPr>
                          <w:color w:val="auto"/>
                        </w:rPr>
                        <w:t xml:space="preserve"> useilla tasoilla: osallistuminen, päätös, valvonta</w:t>
                      </w:r>
                    </w:p>
                    <w:p>
                      <w:pPr>
                        <w:pStyle w:val="Contenudecadre"/>
                        <w:rPr>
                          <w:b w:val="false"/>
                          <w:b w:val="false"/>
                          <w:color w:val="auto"/>
                        </w:rPr>
                      </w:pPr>
                      <w:r>
                        <w:rPr>
                          <w:b w:val="false"/>
                          <w:color w:val="auto"/>
                        </w:rPr>
                      </w:r>
                    </w:p>
                    <w:p>
                      <w:pPr>
                        <w:pStyle w:val="Contenudecadre"/>
                        <w:rPr>
                          <w:color w:val="auto"/>
                        </w:rPr>
                      </w:pPr>
                      <w:r>
                        <w:rPr>
                          <w:color w:val="auto"/>
                        </w:rPr>
                        <w:t xml:space="preserve">5. Siirtyminen kohti </w:t>
                      </w:r>
                      <w:r>
                        <w:rPr>
                          <w:b/>
                          <w:color w:val="auto"/>
                        </w:rPr>
                        <w:t>Euroopan valtioiden liittoa,</w:t>
                      </w:r>
                      <w:r>
                        <w:rPr>
                          <w:color w:val="auto"/>
                        </w:rPr>
                        <w:t xml:space="preserve"> jolla on vahva toimivalta yhteisen edun mukaisilla aloilla</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Tarjota elinikäisiä </w:t>
                      </w:r>
                      <w:r>
                        <w:rPr>
                          <w:b/>
                          <w:color w:val="auto"/>
                        </w:rPr>
                        <w:t>vaihto-ohjelmia</w:t>
                      </w:r>
                    </w:p>
                  </w:txbxContent>
                </v:textbox>
              </v:rect>
            </w:pict>
          </mc:Fallback>
        </mc:AlternateContent>
      </w:r>
      <w:r>
        <w:rPr/>
        <w:t>Tärkeimpien tulosten esittely</w:t>
      </w:r>
    </w:p>
    <w:p>
      <w:pPr>
        <w:pStyle w:val="P68B1DB1Normal24"/>
        <w:rPr>
          <w:b w:val="false"/>
          <w:b w:val="false"/>
          <w:sz w:val="22"/>
        </w:rPr>
      </w:pPr>
      <w:r>
        <w:rPr/>
        <w:t xml:space="preserve"> </w:t>
      </w:r>
      <w:r>
        <w:rPr/>
        <w:t>(alkuperäinen oli kuvituksen muodossa.)</w:t>
      </w:r>
    </w:p>
    <w:p>
      <w:pPr>
        <w:pStyle w:val="Normal"/>
        <w:rPr/>
      </w:pPr>
      <w:r>
        <w:rPr/>
        <w:drawing>
          <wp:anchor behindDoc="0" distT="0" distB="0" distL="0" distR="0" simplePos="0" locked="0" layoutInCell="1" allowOverlap="1" relativeHeight="44">
            <wp:simplePos x="0" y="0"/>
            <wp:positionH relativeFrom="column">
              <wp:posOffset>39370</wp:posOffset>
            </wp:positionH>
            <wp:positionV relativeFrom="paragraph">
              <wp:posOffset>95250</wp:posOffset>
            </wp:positionV>
            <wp:extent cx="3488690" cy="5027930"/>
            <wp:effectExtent l="0" t="0" r="0" b="0"/>
            <wp:wrapSquare wrapText="largest"/>
            <wp:docPr id="85" name="Kuva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Kuva39" descr=""/>
                    <pic:cNvPicPr>
                      <a:picLocks noChangeAspect="1" noChangeArrowheads="1"/>
                    </pic:cNvPicPr>
                  </pic:nvPicPr>
                  <pic:blipFill>
                    <a:blip r:embed="rId92"/>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Lähde: Muutokset, jotka saivat eniten ääniä Euroopan tulevaisuutta käsittelevässä kansallisessa konferenssissa (15.–17. lokakuuta 2021)</w:t>
      </w:r>
      <w:r>
        <w:br w:type="page"/>
      </w:r>
    </w:p>
    <w:p>
      <w:pPr>
        <w:pStyle w:val="Normal"/>
        <w:rPr/>
      </w:pPr>
      <w:r>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Kuva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Kuva40" descr=""/>
                    <pic:cNvPicPr>
                      <a:picLocks noChangeAspect="1" noChangeArrowheads="1"/>
                    </pic:cNvPicPr>
                  </pic:nvPicPr>
                  <pic:blipFill>
                    <a:blip r:embed="rId93"/>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Viitekehys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Verkkokuuleminen ”Nuorten Sanat”</w:t>
                            </w:r>
                          </w:p>
                          <w:p>
                            <w:pPr>
                              <w:pStyle w:val="Contenudecadre"/>
                              <w:rPr>
                                <w:color w:val="auto"/>
                              </w:rPr>
                            </w:pPr>
                            <w:r>
                              <w:rPr>
                                <w:color w:val="auto"/>
                              </w:rPr>
                              <w:t>Eurooppa-asioista vastaava valtiosihteeri käynnisti 9. toukokuuta 2021 Make.orgin touko-heinäkuun 2021 välisenä aikana järjestämän ”word to young people” -kuulemisen.</w:t>
                            </w:r>
                          </w:p>
                          <w:p>
                            <w:pPr>
                              <w:pStyle w:val="Contenudecadre"/>
                              <w:rPr>
                                <w:color w:val="auto"/>
                              </w:rPr>
                            </w:pPr>
                            <w:r>
                              <w:rPr>
                                <w:color w:val="auto"/>
                              </w:rPr>
                              <w:t>Kysymykseen vastasi 50 000 15–30-vuotiasta nuorta: ”Mitä ovat ensisijaiset tavoitteenne huomisen Euroopalle?”, ja siinä esitettiin 2918 ehdotusta.</w:t>
                            </w:r>
                          </w:p>
                          <w:p>
                            <w:pPr>
                              <w:pStyle w:val="Contenudecadre"/>
                              <w:spacing w:before="57" w:after="57"/>
                              <w:rPr>
                                <w:color w:val="auto"/>
                              </w:rPr>
                            </w:pPr>
                            <w:r>
                              <w:rPr>
                                <w:color w:val="auto"/>
                              </w:rPr>
                              <w:t>Ranskalaisten nuorten tämän verkkokuulemisen yhteydessä esittämät ajatukset ovat osa kansalaisten panosta Euroopan tulevaisuutta käsittelevään konferenssiin (ks. yksityiskohtaiset tiedot tämän raportin osassa 2).</w:t>
                            </w:r>
                          </w:p>
                        </w:txbxContent>
                      </wps:txbx>
                      <wps:bodyPr lIns="54000" rIns="54000" tIns="54000" bIns="54000">
                        <a:noAutofit/>
                      </wps:bodyPr>
                    </wps:wsp>
                  </a:graphicData>
                </a:graphic>
              </wp:anchor>
            </w:drawing>
          </mc:Choice>
          <mc:Fallback>
            <w:pict>
              <v:rect id="shape_0" ID="Viitekehys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Verkkokuuleminen ”Nuorten Sanat”</w:t>
                      </w:r>
                    </w:p>
                    <w:p>
                      <w:pPr>
                        <w:pStyle w:val="Contenudecadre"/>
                        <w:rPr>
                          <w:color w:val="auto"/>
                        </w:rPr>
                      </w:pPr>
                      <w:r>
                        <w:rPr>
                          <w:color w:val="auto"/>
                        </w:rPr>
                        <w:t>Eurooppa-asioista vastaava valtiosihteeri käynnisti 9. toukokuuta 2021 Make.orgin touko-heinäkuun 2021 välisenä aikana järjestämän ”word to young people” -kuulemisen.</w:t>
                      </w:r>
                    </w:p>
                    <w:p>
                      <w:pPr>
                        <w:pStyle w:val="Contenudecadre"/>
                        <w:rPr>
                          <w:color w:val="auto"/>
                        </w:rPr>
                      </w:pPr>
                      <w:r>
                        <w:rPr>
                          <w:color w:val="auto"/>
                        </w:rPr>
                        <w:t>Kysymykseen vastasi 50 000 15–30-vuotiasta nuorta: ”Mitä ovat ensisijaiset tavoitteenne huomisen Euroopalle?”, ja siinä esitettiin 2918 ehdotusta.</w:t>
                      </w:r>
                    </w:p>
                    <w:p>
                      <w:pPr>
                        <w:pStyle w:val="Contenudecadre"/>
                        <w:spacing w:before="57" w:after="57"/>
                        <w:rPr>
                          <w:color w:val="auto"/>
                        </w:rPr>
                      </w:pPr>
                      <w:r>
                        <w:rPr>
                          <w:color w:val="auto"/>
                        </w:rPr>
                        <w:t>Ranskalaisten nuorten tämän verkkokuulemisen yhteydessä esittämät ajatukset ovat osa kansalaisten panosta Euroopan tulevaisuutta käsittelevään konferenssiin (ks. yksityiskohtaiset tiedot tämän raportin osassa 2).</w:t>
                      </w:r>
                    </w:p>
                  </w:txbxContent>
                </v:textbox>
              </v:rect>
            </w:pict>
          </mc:Fallback>
        </mc:AlternateContent>
        <mc:AlternateContent>
          <mc:Choice Requires="wps">
            <w:drawing>
              <wp:anchor behindDoc="0" distT="72390" distB="72390" distL="72390" distR="72390" simplePos="0" locked="0" layoutInCell="1" allowOverlap="1" relativeHeight="45">
                <wp:simplePos x="0" y="0"/>
                <wp:positionH relativeFrom="column">
                  <wp:posOffset>3481070</wp:posOffset>
                </wp:positionH>
                <wp:positionV relativeFrom="paragraph">
                  <wp:posOffset>94615</wp:posOffset>
                </wp:positionV>
                <wp:extent cx="2610485" cy="3150870"/>
                <wp:effectExtent l="0" t="0" r="0" b="0"/>
                <wp:wrapSquare wrapText="bothSides"/>
                <wp:docPr id="89" name="Viitekehys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Eurooppalaisten kulttuurien jakaminen yhdistävien </w:t>
                            </w:r>
                            <w:r>
                              <w:rPr>
                                <w:b/>
                                <w:color w:val="auto"/>
                              </w:rPr>
                              <w:t>tapahtumien ja tapahtumien</w:t>
                            </w:r>
                            <w:r>
                              <w:rPr>
                                <w:color w:val="auto"/>
                              </w:rPr>
                              <w:t>avulla</w:t>
                            </w:r>
                          </w:p>
                          <w:p>
                            <w:pPr>
                              <w:pStyle w:val="Contenudecadre"/>
                              <w:rPr>
                                <w:b w:val="false"/>
                                <w:b w:val="false"/>
                                <w:color w:val="auto"/>
                              </w:rPr>
                            </w:pPr>
                            <w:r>
                              <w:rPr>
                                <w:b w:val="false"/>
                                <w:color w:val="auto"/>
                              </w:rPr>
                            </w:r>
                          </w:p>
                          <w:p>
                            <w:pPr>
                              <w:pStyle w:val="Contenudecadre"/>
                              <w:rPr>
                                <w:color w:val="auto"/>
                              </w:rPr>
                            </w:pPr>
                            <w:r>
                              <w:rPr>
                                <w:color w:val="auto"/>
                              </w:rPr>
                              <w:t xml:space="preserve">8.Terveyden </w:t>
                            </w:r>
                            <w:r>
                              <w:rPr>
                                <w:b/>
                                <w:color w:val="auto"/>
                              </w:rPr>
                              <w:t>yhdenmukaistaminen ja</w:t>
                            </w:r>
                            <w:r>
                              <w:rPr>
                                <w:color w:val="auto"/>
                              </w:rPr>
                              <w:t xml:space="preserve"> sen saattaminen kaikkien eurooppalaisten ulottuville yhteisen terveyspolitiikan avulla</w:t>
                            </w:r>
                          </w:p>
                          <w:p>
                            <w:pPr>
                              <w:pStyle w:val="Contenudecadre"/>
                              <w:rPr>
                                <w:b w:val="false"/>
                                <w:b w:val="false"/>
                                <w:color w:val="auto"/>
                              </w:rPr>
                            </w:pPr>
                            <w:r>
                              <w:rPr>
                                <w:b w:val="false"/>
                                <w:color w:val="auto"/>
                              </w:rPr>
                            </w:r>
                          </w:p>
                          <w:p>
                            <w:pPr>
                              <w:pStyle w:val="Contenudecadre"/>
                              <w:rPr>
                                <w:color w:val="auto"/>
                              </w:rPr>
                            </w:pPr>
                            <w:r>
                              <w:rPr>
                                <w:color w:val="auto"/>
                              </w:rPr>
                              <w:t xml:space="preserve">9. Kehitetään ja ohjataan </w:t>
                            </w:r>
                            <w:r>
                              <w:rPr>
                                <w:b/>
                                <w:color w:val="auto"/>
                              </w:rPr>
                              <w:t>strategisia kanavia</w:t>
                            </w:r>
                            <w:r>
                              <w:rPr>
                                <w:color w:val="auto"/>
                              </w:rPr>
                              <w:t xml:space="preserve"> Euroopan tasolla riippumattomuutemme varmistamiseksi.</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Parannetaan </w:t>
                            </w:r>
                            <w:r>
                              <w:rPr>
                                <w:b/>
                                <w:color w:val="auto"/>
                              </w:rPr>
                              <w:t>ympäristöjen ja ekosysteemien suojelua</w:t>
                            </w:r>
                            <w:r>
                              <w:rPr>
                                <w:color w:val="auto"/>
                              </w:rPr>
                              <w:t xml:space="preserve"> ja luodaan </w:t>
                            </w:r>
                            <w:r>
                              <w:rPr>
                                <w:b/>
                                <w:color w:val="auto"/>
                              </w:rPr>
                              <w:t>suojelualueita</w:t>
                            </w:r>
                            <w:r>
                              <w:rPr>
                                <w:color w:val="auto"/>
                              </w:rPr>
                              <w:t xml:space="preserve"> kaupunkien, kaupunkien lähialueiden ja maaseutualueiden ytimeen.</w:t>
                            </w:r>
                          </w:p>
                        </w:txbxContent>
                      </wps:txbx>
                      <wps:bodyPr lIns="54000" rIns="54000" tIns="54000" bIns="54000">
                        <a:noAutofit/>
                      </wps:bodyPr>
                    </wps:wsp>
                  </a:graphicData>
                </a:graphic>
              </wp:anchor>
            </w:drawing>
          </mc:Choice>
          <mc:Fallback>
            <w:pict>
              <v:rect id="shape_0" ID="Viitekehys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Eurooppalaisten kulttuurien jakaminen yhdistävien </w:t>
                      </w:r>
                      <w:r>
                        <w:rPr>
                          <w:b/>
                          <w:color w:val="auto"/>
                        </w:rPr>
                        <w:t>tapahtumien ja tapahtumien</w:t>
                      </w:r>
                      <w:r>
                        <w:rPr>
                          <w:color w:val="auto"/>
                        </w:rPr>
                        <w:t>avulla</w:t>
                      </w:r>
                    </w:p>
                    <w:p>
                      <w:pPr>
                        <w:pStyle w:val="Contenudecadre"/>
                        <w:rPr>
                          <w:b w:val="false"/>
                          <w:b w:val="false"/>
                          <w:color w:val="auto"/>
                        </w:rPr>
                      </w:pPr>
                      <w:r>
                        <w:rPr>
                          <w:b w:val="false"/>
                          <w:color w:val="auto"/>
                        </w:rPr>
                      </w:r>
                    </w:p>
                    <w:p>
                      <w:pPr>
                        <w:pStyle w:val="Contenudecadre"/>
                        <w:rPr>
                          <w:color w:val="auto"/>
                        </w:rPr>
                      </w:pPr>
                      <w:r>
                        <w:rPr>
                          <w:color w:val="auto"/>
                        </w:rPr>
                        <w:t xml:space="preserve">8.Terveyden </w:t>
                      </w:r>
                      <w:r>
                        <w:rPr>
                          <w:b/>
                          <w:color w:val="auto"/>
                        </w:rPr>
                        <w:t>yhdenmukaistaminen ja</w:t>
                      </w:r>
                      <w:r>
                        <w:rPr>
                          <w:color w:val="auto"/>
                        </w:rPr>
                        <w:t xml:space="preserve"> sen saattaminen kaikkien eurooppalaisten ulottuville yhteisen terveyspolitiikan avulla</w:t>
                      </w:r>
                    </w:p>
                    <w:p>
                      <w:pPr>
                        <w:pStyle w:val="Contenudecadre"/>
                        <w:rPr>
                          <w:b w:val="false"/>
                          <w:b w:val="false"/>
                          <w:color w:val="auto"/>
                        </w:rPr>
                      </w:pPr>
                      <w:r>
                        <w:rPr>
                          <w:b w:val="false"/>
                          <w:color w:val="auto"/>
                        </w:rPr>
                      </w:r>
                    </w:p>
                    <w:p>
                      <w:pPr>
                        <w:pStyle w:val="Contenudecadre"/>
                        <w:rPr>
                          <w:color w:val="auto"/>
                        </w:rPr>
                      </w:pPr>
                      <w:r>
                        <w:rPr>
                          <w:color w:val="auto"/>
                        </w:rPr>
                        <w:t xml:space="preserve">9. Kehitetään ja ohjataan </w:t>
                      </w:r>
                      <w:r>
                        <w:rPr>
                          <w:b/>
                          <w:color w:val="auto"/>
                        </w:rPr>
                        <w:t>strategisia kanavia</w:t>
                      </w:r>
                      <w:r>
                        <w:rPr>
                          <w:color w:val="auto"/>
                        </w:rPr>
                        <w:t xml:space="preserve"> Euroopan tasolla riippumattomuutemme varmistamiseksi.</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Parannetaan </w:t>
                      </w:r>
                      <w:r>
                        <w:rPr>
                          <w:b/>
                          <w:color w:val="auto"/>
                        </w:rPr>
                        <w:t>ympäristöjen ja ekosysteemien suojelua</w:t>
                      </w:r>
                      <w:r>
                        <w:rPr>
                          <w:color w:val="auto"/>
                        </w:rPr>
                        <w:t xml:space="preserve"> ja luodaan </w:t>
                      </w:r>
                      <w:r>
                        <w:rPr>
                          <w:b/>
                          <w:color w:val="auto"/>
                        </w:rPr>
                        <w:t>suojelualueita</w:t>
                      </w:r>
                      <w:r>
                        <w:rPr>
                          <w:color w:val="auto"/>
                        </w:rPr>
                        <w:t xml:space="preserve"> kaupunkien, kaupunkien lähialueiden ja maaseutualueiden ytimeen.</w:t>
                      </w:r>
                    </w:p>
                  </w:txbxContent>
                </v:textbox>
              </v:rect>
            </w:pict>
          </mc:Fallback>
        </mc:AlternateContent>
      </w:r>
    </w:p>
    <w:p>
      <w:pPr>
        <w:pStyle w:val="Titre2"/>
        <w:numPr>
          <w:ilvl w:val="1"/>
          <w:numId w:val="2"/>
        </w:numPr>
        <w:rPr/>
      </w:pPr>
      <w:bookmarkStart w:id="209" w:name="__RefHeading___Toc300452_1346298689"/>
      <w:bookmarkEnd w:id="209"/>
      <w:r>
        <w:rPr/>
        <w:t>Alueellisten konferenssien paneelien esittely</w:t>
      </w:r>
    </w:p>
    <w:p>
      <w:pPr>
        <w:pStyle w:val="Normal"/>
        <w:rPr/>
      </w:pPr>
      <w:r>
        <w:rPr/>
        <mc:AlternateContent>
          <mc:Choice Requires="wpg">
            <w:drawing>
              <wp:anchor behindDoc="0" distT="0" distB="0" distL="0" distR="0" simplePos="0" locked="0" layoutInCell="1" allowOverlap="1" relativeHeight="50">
                <wp:simplePos x="0" y="0"/>
                <wp:positionH relativeFrom="column">
                  <wp:posOffset>635</wp:posOffset>
                </wp:positionH>
                <wp:positionV relativeFrom="paragraph">
                  <wp:posOffset>25400</wp:posOffset>
                </wp:positionV>
                <wp:extent cx="5971540" cy="8288020"/>
                <wp:effectExtent l="0" t="0" r="0" b="0"/>
                <wp:wrapNone/>
                <wp:docPr id="91" name="Lomake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4"/>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Monipuolinen paneeli, jossa on 746 kansalaista</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Yleiskatsaus 18 alueellisen konferenssin osallistujista</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Viljelijät</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Käsityöläiset – Kauppiaat – Yritysjohtajat</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Ylin johto – Vapaiden ammattien harjoittajat</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Keskitason ammatit</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Työntekijät</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Työntekijät</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Eläkeläiset</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Muu passiivinen</w:t>
                              </w:r>
                            </w:p>
                          </w:txbxContent>
                        </wps:txbx>
                        <wps:bodyPr lIns="90000" rIns="90000" tIns="45000" bIns="45000">
                          <a:noAutofit/>
                        </wps:bodyPr>
                      </wps:wsp>
                    </wpg:wgp>
                  </a:graphicData>
                </a:graphic>
              </wp:anchor>
            </w:drawing>
          </mc:Choice>
          <mc:Fallback>
            <w:pict>
              <v:group id="shape_0" alt="Lomake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4"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Monipuolinen paneeli, jossa on 746 kansalaista</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Yleiskatsaus 18 alueellisen konferenssin osallistujista</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Viljelijät</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Käsityöläiset – Kauppiaat – Yritysjohtajat</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Ylin johto – Vapaiden ammattien harjoittajat</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Keskitason ammatit</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Työntekijät</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Työntekijät</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Eläkeläiset</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Muu passiivinen</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Lomake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5"/>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Konferenssit Euroopan tulevaisuudesta kaikkialla Ranskassa</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alueellista konferenssia, 13 metropolissa ja 5 ulkomailla</w:t>
                              </w:r>
                            </w:p>
                          </w:txbxContent>
                        </wps:txbx>
                        <wps:bodyPr lIns="90000" rIns="90000" tIns="45000" bIns="45000">
                          <a:noAutofit/>
                        </wps:bodyPr>
                      </wps:wsp>
                    </wpg:wgp>
                  </a:graphicData>
                </a:graphic>
              </wp:anchor>
            </w:drawing>
          </mc:Choice>
          <mc:Fallback>
            <w:pict>
              <v:group id="shape_0" alt="Lomake2" style="position:absolute;margin-left:0pt;margin-top:2.85pt;width:462.45pt;height:650.75pt" coordorigin="0,57" coordsize="9249,13015">
                <v:shape id="shape_0" stroked="f" style="position:absolute;left:1;top:1652;width:9247;height:11419" type="shapetype_75">
                  <v:imagedata r:id="rId95"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Konferenssit Euroopan tulevaisuudesta kaikkialla Ranskassa</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alueellista konferenssia, 13 metropolissa ja 5 ulkomailla</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Lomake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6"/>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Valtion sitoumukset</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Läpinäkyvyys</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Velvollisuus välittömästi</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Puolueettomuus</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Metodologiset biaasit</w:t>
                              </w:r>
                            </w:p>
                          </w:txbxContent>
                        </wps:txbx>
                        <wps:bodyPr lIns="90000" rIns="90000" tIns="45000" bIns="45000">
                          <a:noAutofit/>
                        </wps:bodyPr>
                      </wps:wsp>
                      <pic:pic xmlns:pic="http://schemas.openxmlformats.org/drawingml/2006/picture">
                        <pic:nvPicPr>
                          <pic:cNvPr id="3" name="" descr=""/>
                          <pic:cNvPicPr/>
                        </pic:nvPicPr>
                        <pic:blipFill>
                          <a:blip r:embed="rId97"/>
                          <a:stretch/>
                        </pic:blipFill>
                        <pic:spPr>
                          <a:xfrm>
                            <a:off x="1105560" y="2401560"/>
                            <a:ext cx="4354200" cy="5891040"/>
                          </a:xfrm>
                          <a:prstGeom prst="rect">
                            <a:avLst/>
                          </a:prstGeom>
                          <a:ln>
                            <a:noFill/>
                          </a:ln>
                        </pic:spPr>
                      </pic:pic>
                    </wpg:wgp>
                  </a:graphicData>
                </a:graphic>
              </wp:anchor>
            </w:drawing>
          </mc:Choice>
          <mc:Fallback>
            <w:pict>
              <v:group id="shape_0" alt="Lomake3" style="position:absolute;margin-left:13.85pt;margin-top:35.45pt;width:455.3pt;height:668.3pt" coordorigin="277,709" coordsize="9106,13366">
                <v:shape id="shape_0" stroked="f" style="position:absolute;left:277;top:709;width:9105;height:13365" type="shapetype_75">
                  <v:imagedata r:id="rId96"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Valtion sitoumukset</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Läpinäkyvyys</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Velvollisuus välittömästi</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Puolueettomuus</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Metodologiset biaasit</w:t>
                        </w:r>
                      </w:p>
                    </w:txbxContent>
                  </v:textbox>
                  <w10:wrap type="square"/>
                  <v:fill o:detectmouseclick="t" on="false"/>
                  <v:stroke color="#3465a4" joinstyle="round" endcap="flat"/>
                </v:rect>
                <v:shape id="shape_0" stroked="f" style="position:absolute;left:2018;top:4491;width:6856;height:9276" type="shapetype_75">
                  <v:imagedata r:id="rId97" o:detectmouseclick="t"/>
                  <w10:wrap type="none"/>
                  <v:stroke color="#3465a4" joinstyle="round" endcap="flat"/>
                </v:shape>
              </v:group>
            </w:pict>
          </mc:Fallback>
        </mc:AlternateContent>
      </w:r>
      <w:r>
        <w:rPr/>
        <w:t xml:space="preserve">Metodologiset sitoumukset ja vinoumat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a</w:t>
      </w:r>
      <w:r>
        <w:rPr/>
        <w:t xml:space="preserve">. </w:t>
      </w:r>
      <w:r>
        <w:rPr>
          <w:rFonts w:ascii="Times New Roman" w:hAnsi="Times New Roman"/>
        </w:rPr>
        <w:t xml:space="preserve">Osallistavaa demokratiaa koskevat valtion sitoumukset </w:t>
      </w:r>
    </w:p>
    <w:p>
      <w:pPr>
        <w:pStyle w:val="P68B1DB1Normal19"/>
        <w:widowControl w:val="false"/>
        <w:spacing w:lineRule="auto" w:line="240" w:before="0" w:after="0"/>
        <w:ind w:left="0" w:right="0" w:hanging="0"/>
        <w:jc w:val="left"/>
        <w:rPr/>
      </w:pPr>
      <w:r>
        <w:rPr/>
        <w:t>Ranskan osallistuminen Euroopan tulevaisuutta käsittelevään konferenssiin on osa valtion sitoutumista osallistavaan demokratiaan, joka perustuu kolmeen periaatteeseen:</w:t>
      </w:r>
      <w:r>
        <w:rPr>
          <w:b/>
        </w:rPr>
        <w:t xml:space="preserve"> avoimuus, puolueettomuus ja velvollisuus välittömästi</w:t>
      </w:r>
      <w:r>
        <w:rPr/>
        <w:t xml:space="preserve">. </w:t>
      </w:r>
    </w:p>
    <w:p>
      <w:pPr>
        <w:pStyle w:val="P68B1DB1Normal19"/>
        <w:widowControl w:val="false"/>
        <w:spacing w:lineRule="auto" w:line="240" w:before="0" w:after="0"/>
        <w:ind w:left="0" w:right="0" w:hanging="0"/>
        <w:jc w:val="both"/>
        <w:rPr/>
      </w:pPr>
      <w:r>
        <w:rPr/>
        <w:t xml:space="preserve">Osallistava lähestymistapa velvoittaa järjestäjän noudattamaan tiukkoja menetelmiä. Kansalaisten osallistumismenetelmän on mahdollistettava se, että kansalaiset voivat osallistua parhaisiin mahdollisiin olosuhteisiin ja ilmaista mielipiteensä vapaasti ja perustellulla tavalla.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Läpinäkyvyys </w:t>
      </w:r>
    </w:p>
    <w:p>
      <w:pPr>
        <w:pStyle w:val="P68B1DB1Normal19"/>
        <w:widowControl w:val="false"/>
        <w:spacing w:lineRule="auto" w:line="240" w:before="0" w:after="0"/>
        <w:ind w:left="0" w:right="0" w:hanging="0"/>
        <w:jc w:val="left"/>
        <w:rPr/>
      </w:pPr>
      <w:r>
        <w:rPr/>
        <w:t xml:space="preserve">Konferenssin järjestämisryhmä on sitoutunut siihen, että kaikki kuulemista koskevat tiedot ovat kansalaisten saatavilla: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Puitteet, joissa kuuleminen toteutetaan; •</w:t>
      </w:r>
      <w:r>
        <w:rPr/>
        <w:t xml:space="preserve"> </w:t>
      </w:r>
      <w:r>
        <w:rPr>
          <w:rFonts w:ascii="Times New Roman" w:hAnsi="Times New Roman"/>
        </w:rPr>
        <w:t xml:space="preserve">Kansalaisia kohtaan tehdyt sitoumukset;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Kuulemisen tarkoitus;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Kuulemisen tulokset. </w:t>
      </w:r>
    </w:p>
    <w:p>
      <w:pPr>
        <w:pStyle w:val="Normal"/>
        <w:widowControl w:val="false"/>
        <w:spacing w:lineRule="auto" w:line="240" w:before="0" w:after="0"/>
        <w:ind w:left="0" w:right="0" w:hanging="0"/>
        <w:jc w:val="both"/>
        <w:rPr/>
      </w:pPr>
      <w:r>
        <w:rPr>
          <w:rFonts w:ascii="Times New Roman" w:hAnsi="Times New Roman"/>
          <w:color w:val="000000"/>
          <w:sz w:val="24"/>
        </w:rPr>
        <w:t>Euroopan tulevaisuutta käsittelevän konferenssin metodologia luotiin siten, että tavoitteena on varmistaa avoimuus kansalaisten kannalta. Menetelmä satunnaisesti piirtyneiden kansalaisten rekrytoimiseksi, metodologiset puolueet ja kansalaisten puheen käsittely esitettiin selkeästi. Osallistujat saivat myös yhteenvedon alueellisesta konferenssistaan konferenssin lopussa sähköpostitse. Lisäksi kaikki työ- ja maastapoistumisasiakirjat julkistetaan järjestelmän lopussa valtion kansalaisten osallistumisfoorumilla</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rFonts w:ascii="Times New Roman" w:hAnsi="Times New Roman"/>
          <w:b/>
          <w:b/>
          <w:color w:val="000000"/>
          <w:sz w:val="24"/>
        </w:rPr>
      </w:pPr>
      <w:r>
        <w:rPr/>
        <w:t xml:space="preserve">Puolueettomuus </w:t>
      </w:r>
    </w:p>
    <w:p>
      <w:pPr>
        <w:pStyle w:val="P68B1DB1Normal19"/>
        <w:widowControl w:val="false"/>
        <w:spacing w:lineRule="auto" w:line="240" w:before="0" w:after="0"/>
        <w:ind w:left="0" w:right="0" w:hanging="0"/>
        <w:jc w:val="both"/>
        <w:rPr/>
      </w:pPr>
      <w:r>
        <w:rPr/>
        <w:t xml:space="preserve">Kuulemisen aikana järjestävän ryhmän on varmistettava, että se pysyy puolueettomana tiedonvaihdon helpottamisessa ja tuloksia esittelevien yhteenvetojen laatimisessa. Järjestelmän sidosryhmät – fasilitaattorit, neuvonantajat, asiantuntijat – eivät saa ilmaista omia näkemyksiään tai pyrkiä ohjaamaan keskustelua subjektiivisesti. </w:t>
      </w:r>
    </w:p>
    <w:p>
      <w:pPr>
        <w:pStyle w:val="P68B1DB1Normal19"/>
        <w:widowControl w:val="false"/>
        <w:spacing w:lineRule="auto" w:line="240" w:before="0" w:after="0"/>
        <w:ind w:left="0" w:right="0" w:hanging="0"/>
        <w:jc w:val="both"/>
        <w:rPr/>
      </w:pPr>
      <w:r>
        <w:rPr/>
        <w:t xml:space="preserve">Puolueettomuuden tavoitetta pyrittiin kaikissa kuulemisvaiheissa erityisesti varmistamaan osallistujien puolueeton valinta, täysi vapaus keskusteluissa ja se, ettei sponsori tai sidosryhmät vaikuta kansalaispuheeseen. Tämä puolueettomuusvaatimus on konkretisoitunut puolueettomalla ja avoimella osallistujien rekrytointiprosessilla, yhtenäisillä metodologisilla vääristymillä (käänteinen asiantuntemus, keskustelujen aihekohtaisen määrittelyn puute) ja kiinnittämällä erityistä huomiota eri puhujien (avustajat, fasilitaattorit, asiantuntijat) asemaan. Lopuksi järjestäjätiimi varmisti arvostavansa kaikkia sanoja eikä suodattamaan kansalaisten ehdotuksia. </w:t>
      </w:r>
    </w:p>
    <w:p>
      <w:pPr>
        <w:pStyle w:val="P68B1DB1Normal19"/>
        <w:widowControl w:val="false"/>
        <w:spacing w:lineRule="auto" w:line="240" w:before="0" w:after="0"/>
        <w:ind w:left="0" w:right="0" w:hanging="0"/>
        <w:jc w:val="both"/>
        <w:rPr/>
      </w:pPr>
      <w:r>
        <w:rPr/>
        <w:t xml:space="preserve">Kansalliskokouksen puhemiehen </w:t>
      </w:r>
      <w:r>
        <w:rPr>
          <w:b/>
        </w:rPr>
        <w:t>ja Euroopan parlamentin puhemiehen ja hallituksen nimittämä kolmen takaajan kollegio</w:t>
      </w:r>
      <w:r>
        <w:rPr/>
        <w:t xml:space="preserve"> on myös varmistanut, että kaikki mielipiteet ilmaistaan ja otetaan huomioon.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Velvollisuus välittömästi </w:t>
      </w:r>
    </w:p>
    <w:p>
      <w:pPr>
        <w:pStyle w:val="P68B1DB1Normal19"/>
        <w:widowControl w:val="false"/>
        <w:spacing w:lineRule="auto" w:line="240" w:before="0" w:after="0"/>
        <w:ind w:left="0" w:right="0" w:hanging="0"/>
        <w:jc w:val="both"/>
        <w:rPr/>
      </w:pPr>
      <w:r>
        <w:rPr/>
        <w:t xml:space="preserve">Kansalaisilla, riippumatta siitä, ovatko he osallistuneet kuulemiseen, on oikeus saada tietoa siitä, mitä on valittu heidän ehdotuksistaan ja mielipiteistään, ja mistä syistä. Tätä kutsutaan </w:t>
      </w:r>
      <w:r>
        <w:rPr>
          <w:b/>
        </w:rPr>
        <w:t>välittömästi velvollisuudeksi</w:t>
      </w:r>
      <w:r>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P68B1DB1Normal19"/>
        <w:spacing w:lineRule="auto" w:line="240" w:before="0" w:after="0"/>
        <w:ind w:left="0" w:right="0" w:hanging="0"/>
        <w:jc w:val="both"/>
        <w:rPr/>
      </w:pPr>
      <w:r>
        <w:rPr/>
        <w:t xml:space="preserve">Citizen Participation (ICPC) ja yksiköiden välinen julkisten muutosten osasto (DITP) määrittelevät sen julkisen päätöksentekijän sitoumukseksi antaa kansalaisille selkeä ja luettavissa oleva vastaus kuulemisen tuloksiin. Konkreettisesti seurantavelvollisuus on palauttaa kansalaisille selkoa siitä, miten heidän panoksensa otetaan huomioon ja miten se vaikuttaa päätöksentekoon ja hallinnon käytäntöihin.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Hallitus otti tämän tehtävän jatkotoimena Euroopan tulevaisuutta käsittelevälle konferenssille ja ilmoitti kunnianhimoisesta seurantamekanismista tämän raportin seuraavassa osassa kuvatun kansallisen konferenssin jälkeen (ks. </w:t>
      </w:r>
      <w:r>
        <w:rPr>
          <w:i/>
        </w:rPr>
        <w:t>metodologiset osapuolet)</w:t>
      </w:r>
      <w:r>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3"/>
        <w:spacing w:lineRule="auto" w:line="240" w:before="0" w:after="0"/>
        <w:ind w:left="0" w:right="0" w:hanging="0"/>
        <w:jc w:val="both"/>
        <w:rPr>
          <w:rFonts w:ascii="Times New Roman" w:hAnsi="Times New Roman"/>
          <w:b/>
          <w:b/>
          <w:color w:val="000000"/>
          <w:sz w:val="24"/>
        </w:rPr>
      </w:pPr>
      <w:r>
        <w:rPr/>
        <w:t xml:space="preserve">B. Menetelmäosapuolet </w:t>
      </w:r>
    </w:p>
    <w:p>
      <w:pPr>
        <w:pStyle w:val="P68B1DB1Normal19"/>
        <w:widowControl w:val="false"/>
        <w:spacing w:lineRule="auto" w:line="240" w:before="0" w:after="0"/>
        <w:ind w:left="0" w:right="0" w:hanging="0"/>
        <w:jc w:val="both"/>
        <w:rPr/>
      </w:pPr>
      <w:r>
        <w:rPr/>
        <w:t xml:space="preserve">Nämä kolme valtion sitoumusta otettiin huomioon kuulemismenettelyissä </w:t>
      </w:r>
      <w:r>
        <w:rPr>
          <w:b/>
        </w:rPr>
        <w:t>seitsemän vahvana metodologisena puolueena</w:t>
      </w:r>
      <w:r>
        <w:rPr/>
        <w:t xml:space="preserve">.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Alueellistaminen ja läheisyys</w:t>
      </w:r>
    </w:p>
    <w:p>
      <w:pPr>
        <w:pStyle w:val="P68B1DB1Normal24"/>
        <w:widowControl w:val="false"/>
        <w:spacing w:lineRule="auto" w:line="240" w:before="0" w:after="0"/>
        <w:ind w:left="0" w:right="0" w:hanging="0"/>
        <w:jc w:val="both"/>
        <w:rPr/>
      </w:pPr>
      <w:r>
        <w:rPr/>
        <w:t xml:space="preserve">Euroopan tulevaisuutta käsittelevän konferenssin kansallinen osa toteutettiin 18 alueellisen konferenssin muodossa 13 suurkaupunkialueella ja viidellä Ranskan ultramerialueella, minkä jälkeen järjestettiin kansallinen konferenssi Pariisissa. Tällä paikallistason paneelien järjestämisellä haluttiin </w:t>
      </w:r>
      <w:r>
        <w:rPr>
          <w:b/>
        </w:rPr>
        <w:t>saada ääni mahdollisimman lähelle kansalaisia</w:t>
      </w:r>
      <w:r>
        <w:rPr/>
        <w:t xml:space="preserve">. Tämä puolueellisuus rikastutti kuulemista myös osoittamalla alueiden välisen konsensuksen ja erimielisyyksien linjat eri aiheista.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Kansalaisten profiilien moninaisuus ja arvontojen käyttö</w:t>
      </w:r>
    </w:p>
    <w:p>
      <w:pPr>
        <w:pStyle w:val="P68B1DB1Normal24"/>
        <w:widowControl w:val="false"/>
        <w:spacing w:lineRule="auto" w:line="240" w:before="0" w:after="0"/>
        <w:ind w:left="0" w:right="0" w:hanging="0"/>
        <w:jc w:val="both"/>
        <w:rPr/>
      </w:pPr>
      <w:r>
        <w:rPr/>
        <w:t xml:space="preserve">Prosessin edellä asetettiin tavoitteeksi 50 kansalaisen palkkaaminen alueellisessa konferenssissa lukuun ottamatta Martiniquen, Mayotten, Guadeloupen ja Guyanan ultramarine-konferensseja, joissa kussakin oli 30–40 kansalaista, ja Grand Est -konferenssia, jossa oli mukana myös viisi Saksan kansalaista kolmesta raja-alueesta. </w:t>
      </w:r>
      <w:r>
        <w:rPr>
          <w:b/>
        </w:rPr>
        <w:t>Satunnaisen puhelinnumerosukupolven</w:t>
      </w:r>
      <w:r>
        <w:rPr/>
        <w:t xml:space="preserve"> ansiosta oli mahdollista saada paljon ihmisiä osallistumaan alueellisiin konferensseihin. </w:t>
      </w:r>
    </w:p>
    <w:p>
      <w:pPr>
        <w:pStyle w:val="P68B1DB1Normal24"/>
        <w:widowControl w:val="false"/>
        <w:spacing w:lineRule="auto" w:line="240" w:before="0" w:after="0"/>
        <w:ind w:left="0" w:right="0" w:hanging="0"/>
        <w:jc w:val="both"/>
        <w:rPr/>
      </w:pPr>
      <w:r>
        <w:rPr/>
        <w:t xml:space="preserve">Ollakseen tukikelpoisia, arvalla valittujen kansalaisten oli oltava yli 18-vuotiaita ja heidän oli oltava Ranskan kansalaisia tai vakinaisia asukkaita tavanomaisessa tilanteessa. Kunkin alueellisen kansalaispaneelin oli </w:t>
      </w:r>
      <w:r>
        <w:rPr>
          <w:b/>
        </w:rPr>
        <w:t>edustettava alueellisen väestön monimuotoisuutta</w:t>
      </w:r>
      <w:r>
        <w:rPr/>
        <w:t xml:space="preserve">ja koottava yhteen </w:t>
      </w:r>
      <w:r>
        <w:rPr>
          <w:b/>
        </w:rPr>
        <w:t>erilaisia näkemyksiä Euroopasta</w:t>
      </w:r>
      <w:r>
        <w:rPr/>
        <w:t xml:space="preserve">. Tarkka menetelmä arpomalla tapahtuvaa palvelukseenottoa varten esitetään liitteessä II.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Lähestymistavan läpinäkyvyys</w:t>
      </w:r>
    </w:p>
    <w:p>
      <w:pPr>
        <w:pStyle w:val="P68B1DB1Normal24"/>
        <w:widowControl w:val="false"/>
        <w:spacing w:lineRule="auto" w:line="240" w:before="0" w:after="0"/>
        <w:ind w:left="0" w:right="0" w:hanging="0"/>
        <w:jc w:val="both"/>
        <w:rPr/>
      </w:pPr>
      <w:r>
        <w:rPr/>
        <w:t xml:space="preserve">Eurooppa </w:t>
      </w:r>
      <w:r>
        <w:rPr>
          <w:b/>
        </w:rPr>
        <w:t>-asioista vastaavan valtiosihteerin, kansalliskokouksen puhemiehen ja Euroopan parlamentin puhemiehen nimittämä kolmen takaajan kollegio</w:t>
      </w:r>
      <w:r>
        <w:rPr/>
        <w:t xml:space="preserve"> seurasi koko prosessia sen puolueettomuuden ja säännönmukaisuuden varmistamiseksi. Takaajilla on erityisesti seuraavat edellytykset: seurasi arvalla valittujen kansalaisten rekrytoinnin vilpittömyyttä, antoi suosituksia asiantuntijoiden valinnasta ja varmisti, että keskustelut olivat hyvin järjestettyjä. Menettelyn päätteeksi takaajat julkistavat mielipiteensä kuulemisesta. Tämä asiakirja julkaistaan valtion kansalaisten osallistumisfoorumilla. </w:t>
      </w:r>
    </w:p>
    <w:p>
      <w:pPr>
        <w:pStyle w:val="P68B1DB1Normal24"/>
        <w:widowControl w:val="false"/>
        <w:spacing w:lineRule="auto" w:line="240" w:before="0" w:after="0"/>
        <w:ind w:left="0" w:right="0" w:hanging="0"/>
        <w:jc w:val="both"/>
        <w:rPr/>
      </w:pPr>
      <w:r>
        <w:rPr/>
        <w:t xml:space="preserve">Julkaistaan myös valtion kansalaisten osallistumisfoorumilla: yhteenvedot 18 aluekonferenssista, yhteenveto kaikista alueellisissa konferensseissa esitetyistä muutoksista, kansallisen konferenssin yhteenveto ja lopuksi hallitukselle toimitettu loppuraportti.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Avoin keskustelu ilman tiettyä teemaa</w:t>
      </w:r>
    </w:p>
    <w:p>
      <w:pPr>
        <w:pStyle w:val="P68B1DB1Normal24"/>
        <w:widowControl w:val="false"/>
        <w:spacing w:lineRule="auto" w:line="240" w:before="215" w:after="0"/>
        <w:ind w:left="1" w:right="0" w:hanging="0"/>
        <w:jc w:val="left"/>
        <w:rPr/>
      </w:pPr>
      <w:r>
        <w:rPr/>
        <w:t xml:space="preserve">Tämän kansallisen kuulemisen yhteydessä laadittiin yksi kysymys osallistuvien kansalaisten tiedoksi: </w:t>
      </w:r>
      <w:r>
        <w:rPr>
          <w:i/>
        </w:rPr>
        <w:t>”Ranskan kansalaisina, mitä muutoksia haluatte Euroopalle?</w:t>
      </w:r>
      <w:r>
        <w:rPr/>
        <w:t xml:space="preserve"> </w:t>
      </w:r>
    </w:p>
    <w:p>
      <w:pPr>
        <w:pStyle w:val="P68B1DB1Normal24"/>
        <w:widowControl w:val="false"/>
        <w:spacing w:lineRule="auto" w:line="240" w:before="235" w:after="0"/>
        <w:ind w:left="1" w:right="0" w:hanging="0"/>
        <w:jc w:val="both"/>
        <w:rPr/>
      </w:pPr>
      <w:r>
        <w:rPr/>
        <w:t xml:space="preserve">Kehittymällä ja käyttöön otetulla metodologialla kansalaiset pystyivät itse määrittelemään toivottujen muutosten esityslistan ilman, että heitä rajoitettiin jollakin erityisellä teemalla tai edeltävällä normatiivisella kehyksellä. </w:t>
      </w:r>
    </w:p>
    <w:p>
      <w:pPr>
        <w:pStyle w:val="Normal"/>
        <w:widowControl w:val="false"/>
        <w:spacing w:lineRule="auto" w:line="240" w:before="233" w:after="0"/>
        <w:ind w:left="1" w:right="1" w:hanging="0"/>
        <w:jc w:val="both"/>
        <w:rPr/>
      </w:pPr>
      <w:r>
        <w:rPr>
          <w:rFonts w:ascii="Times New Roman" w:hAnsi="Times New Roman"/>
          <w:color w:val="000000"/>
        </w:rPr>
        <w:t>Tavoitteena oli antaa alueellisten konferenssien kansalaisille mahdollisuus nauttia täydestä vapaudesta asioissa, joita he halusivat käsitellä. Euroopan tulevaisuutta käsittelevän konferenssin kansallisen osan Eurooppa- ja ulkoasiainministeriö on päättänyt kehittää Eurooppa-harjoitukseen täydentävän lähestymistavan, joka rakentuu yhdeksän teeman ympärille: ilmastonmuutos ja ympäristö; terveys; vahvempi talous, sosiaalinen oikeudenmukaisuus ja työllisyys; EU:n asema maailmassa; arvot ja oikeudet, oikeusvaltioperiaate, turvallisuus; digitaalinen muutos; Eurooppalainen demokratia; maahanmuutto; koulutus, kulttuuri, nuoriso ja urheilu; muita ideoita</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Alueellisia konferensseja koskevat teemat määrittelivät näin ollen kansalaiset itse eivätkä harjoituksen tukijat.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Käänteinen asiantuntemus</w:t>
      </w:r>
    </w:p>
    <w:p>
      <w:pPr>
        <w:pStyle w:val="P68B1DB1Normal24"/>
        <w:widowControl w:val="false"/>
        <w:spacing w:lineRule="auto" w:line="240" w:before="218" w:after="0"/>
        <w:ind w:left="1" w:right="0" w:hanging="0"/>
        <w:jc w:val="left"/>
        <w:rPr/>
      </w:pPr>
      <w:r>
        <w:rPr/>
        <w:t xml:space="preserve">Jotta osallistujat saisivat mahdollisimman vähän tietoa tai asiantuntemusta (esimerkiksi Euroopan unionin nykyisestä hankkeesta, sen toimivallasta tai toimielinten toiminnasta), </w:t>
      </w:r>
      <w:r>
        <w:rPr>
          <w:b/>
        </w:rPr>
        <w:t>ei päätetty antaa etukäteen tietoa tai asiantuntemusta</w:t>
      </w:r>
      <w:r>
        <w:rPr/>
        <w:t xml:space="preserve"> (esimerkiksi Euroopan unionin nykyisestä hankkeesta, sen toimivallasta tai toimielinten toiminnasta) vaan aloittaa kansalaisten itsensä kysymyksistä. Tämä metodologinen puolueellisuus perustuu ” </w:t>
      </w:r>
      <w:r>
        <w:rPr>
          <w:i/>
        </w:rPr>
        <w:t>käänteisen asiantuntemuksen</w:t>
      </w:r>
      <w:r>
        <w:rPr/>
        <w:t xml:space="preserve">” periaatteeseen, jonka mukaan </w:t>
      </w:r>
      <w:r>
        <w:rPr>
          <w:b/>
        </w:rPr>
        <w:t>kollektiivinen pohdinta</w:t>
      </w:r>
      <w:r>
        <w:rPr/>
        <w:t xml:space="preserve"> perustuu kansalaisten kokemuksiin ja mielipiteisiin, jotka sitten kyselevät asiantuntijoita tukemaan keskustelujaan ja vahvistamaan heidän työhypoteesiaan. </w:t>
      </w:r>
    </w:p>
    <w:p>
      <w:pPr>
        <w:pStyle w:val="P68B1DB1Normal24"/>
        <w:widowControl w:val="false"/>
        <w:spacing w:lineRule="auto" w:line="240" w:before="232" w:after="0"/>
        <w:ind w:left="0" w:right="0" w:hanging="0"/>
        <w:jc w:val="both"/>
        <w:rPr/>
      </w:pPr>
      <w:r>
        <w:rPr/>
        <w:t xml:space="preserve">Tämän tavoitteen saavuttamiseksi </w:t>
      </w:r>
      <w:r>
        <w:rPr>
          <w:b/>
        </w:rPr>
        <w:t>asiantuntijoita</w:t>
      </w:r>
      <w:r>
        <w:rPr/>
        <w:t xml:space="preserve"> otettiin käyttöön eri alueilla (keskimäärin kolmella), erityisesti tiedemaailmasta ja Europe Direct -tiedotuskeskuksista asianomaisilla alueilla. He olivat paikalla lauantaina ja sunnuntaina vastatakseen kansalaisten kysymyksiin, puhuen vain heidän pyynnöstään. Myös </w:t>
      </w:r>
      <w:r>
        <w:rPr>
          <w:b/>
        </w:rPr>
        <w:t>faktantarkistajat</w:t>
      </w:r>
      <w:r>
        <w:rPr/>
        <w:t xml:space="preserve"> olivat tavoitettavissa kansalaisten</w:t>
      </w:r>
      <w:r>
        <w:rPr>
          <w:i/>
        </w:rPr>
        <w:t>esittämien</w:t>
      </w:r>
      <w:r>
        <w:rPr/>
        <w:t xml:space="preserve">asiakysymysten nopeaa tarkistamista varten. </w:t>
      </w:r>
    </w:p>
    <w:p>
      <w:pPr>
        <w:pStyle w:val="P68B1DB1Normal24"/>
        <w:widowControl w:val="false"/>
        <w:spacing w:lineRule="auto" w:line="240" w:before="235" w:after="0"/>
        <w:ind w:left="0" w:right="1" w:hanging="0"/>
        <w:jc w:val="both"/>
        <w:rPr/>
      </w:pPr>
      <w:r>
        <w:rPr/>
        <w:t xml:space="preserve">ETSK:n kansallisessa yhteenvetokonferenssissa työryhmiin osallistui 19 korkean tason asiantuntijaa tiedemaailmasta, ajatushautomoista ja diplomaattikunnasta. Nämä asiantuntijat seurasivat ryhmää koko viikonlopun ajan, jotta he voisivat syventää alueilla ilmenneitä muutoksia.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Kollegiaalisuus ja ketterä hallinto</w:t>
      </w:r>
    </w:p>
    <w:p>
      <w:pPr>
        <w:pStyle w:val="P68B1DB1Normal24"/>
        <w:widowControl w:val="false"/>
        <w:spacing w:lineRule="auto" w:line="240" w:before="212" w:after="0"/>
        <w:ind w:left="0" w:right="0" w:hanging="0"/>
        <w:jc w:val="left"/>
        <w:rPr/>
      </w:pPr>
      <w:r>
        <w:rPr/>
        <w:t xml:space="preserve">Koko prosessin </w:t>
      </w:r>
      <w:r>
        <w:rPr>
          <w:b/>
        </w:rPr>
        <w:t>on rakentanut</w:t>
      </w:r>
      <w:r>
        <w:rPr/>
        <w:t xml:space="preserve"> Euroopan ja ulkoasiainministeriö (MEAE). </w:t>
      </w:r>
    </w:p>
    <w:p>
      <w:pPr>
        <w:pStyle w:val="P68B1DB1Normal24"/>
        <w:widowControl w:val="false"/>
        <w:spacing w:lineRule="auto" w:line="240"/>
        <w:ind w:left="0" w:right="4" w:hanging="0"/>
        <w:jc w:val="both"/>
        <w:rPr/>
      </w:pPr>
      <w:r>
        <w:rPr/>
        <w:t xml:space="preserve">DITP:n ja parlamentaaristen suhteiden ja kansalaisten osallistumisen ministeriön (MRPC) ministeriöiden välisen osallistumisstrategian tuella. Ohjelman toteutti toimittajakonsortio, joka koostui Roland Bergeristä, Wavestonesta, Missions Publiquesista ja Harris Interactivesta prosessin ohjaamiseksi, konferenssien vauhdittamiseksi, kansalaisten laatimiseksi sekä raporttien ja yhteenvetojen laatimiseksi yhteistyössä alueellisten prefektuurien kanssa alueellisten konferenssien paikallista järjestämistä varten. </w:t>
      </w:r>
    </w:p>
    <w:p>
      <w:pPr>
        <w:pStyle w:val="P68B1DB1Normal24"/>
        <w:widowControl w:val="false"/>
        <w:spacing w:lineRule="auto" w:line="240" w:before="232" w:after="0"/>
        <w:ind w:left="0" w:right="4" w:hanging="0"/>
        <w:jc w:val="left"/>
        <w:rPr/>
      </w:pPr>
      <w:r>
        <w:rPr>
          <w:b/>
        </w:rPr>
        <w:t>Erityishallinto on</w:t>
      </w:r>
      <w:r>
        <w:rPr/>
        <w:t xml:space="preserve"> perustettu MEAE:n johtaman projektiryhmän ympärille, joka kokoaa yhteen CPIC:n, MRPC:n ja toimittajakonsortion.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Seuranta- ja niveltämisvelvollisuus eurooppalaisen harjoituksen kanssa</w:t>
      </w:r>
    </w:p>
    <w:p>
      <w:pPr>
        <w:pStyle w:val="P68B1DB1Normal19"/>
        <w:widowControl w:val="false"/>
        <w:spacing w:lineRule="auto" w:line="240" w:before="211" w:after="0"/>
        <w:ind w:left="0" w:right="0" w:hanging="0"/>
        <w:jc w:val="left"/>
        <w:rPr/>
      </w:pPr>
      <w:r>
        <w:rPr/>
        <w:t xml:space="preserve">Kansallisen konferenssin yhteydessä ilmoitettiin useista </w:t>
      </w:r>
      <w:r>
        <w:rPr>
          <w:b/>
        </w:rPr>
        <w:t>Ranskan</w:t>
      </w:r>
      <w:r>
        <w:rPr/>
        <w:t xml:space="preserve"> toimielinten seurantavelvollisuuksista Euroopan tulevaisuutta käsitelleessä konferenssissa: </w:t>
      </w:r>
    </w:p>
    <w:p>
      <w:pPr>
        <w:pStyle w:val="P68B1DB1Normal34"/>
        <w:widowControl w:val="false"/>
        <w:spacing w:lineRule="auto" w:line="240" w:before="333" w:after="0"/>
        <w:ind w:left="720" w:right="0" w:hanging="359"/>
        <w:jc w:val="both"/>
        <w:rPr/>
      </w:pPr>
      <w:r>
        <w:rPr>
          <w:rFonts w:ascii="Calibri" w:hAnsi="Calibri"/>
        </w:rPr>
        <w:t>-</w:t>
      </w:r>
      <w:r>
        <w:rPr/>
        <w:t xml:space="preserve"> </w:t>
      </w:r>
      <w:r>
        <w:rPr>
          <w:rFonts w:ascii="Times New Roman" w:hAnsi="Times New Roman"/>
          <w:b/>
        </w:rPr>
        <w:t>Antaa kaikki tiedot</w:t>
      </w:r>
      <w:r>
        <w:rPr>
          <w:rFonts w:ascii="Times New Roman" w:hAnsi="Times New Roman"/>
        </w:rPr>
        <w:t xml:space="preserve"> lähestymistavasta, tästä asiakirjasta sekä alueellisten ja kansallisten konferenssien yhteenvetokertomuksista avoimella ja kaikkien saatavilla olevalla kansalaisten osallistumisfoorumilla, joka käynnistettiin hallituksen palattua hallitukseen; </w:t>
      </w:r>
    </w:p>
    <w:p>
      <w:pPr>
        <w:pStyle w:val="P68B1DB1Normal34"/>
        <w:widowControl w:val="false"/>
        <w:spacing w:lineRule="auto" w:line="240" w:before="90" w:after="0"/>
        <w:ind w:left="360" w:right="0" w:hanging="0"/>
        <w:jc w:val="left"/>
        <w:rPr/>
      </w:pPr>
      <w:r>
        <w:rPr>
          <w:rFonts w:ascii="Calibri" w:hAnsi="Calibri"/>
        </w:rPr>
        <w:t>—</w:t>
      </w:r>
      <w:r>
        <w:rPr/>
        <w:t xml:space="preserve"> </w:t>
      </w:r>
      <w:r>
        <w:rPr>
          <w:rFonts w:ascii="Times New Roman" w:hAnsi="Times New Roman"/>
          <w:b/>
        </w:rPr>
        <w:t xml:space="preserve">Tapahtuman </w:t>
      </w:r>
      <w:r>
        <w:rPr>
          <w:rFonts w:ascii="Times New Roman" w:hAnsi="Times New Roman"/>
        </w:rPr>
        <w:t>järjestäminen marraskuussa 2021 pidettävän Euroopan tulevaisuutta käsittelevän konferenssin kansallisen osan loppuraportin palauttamiseksi hallitukselle</w:t>
      </w:r>
      <w:r>
        <w:rPr>
          <w:rFonts w:ascii="Times New Roman" w:hAnsi="Times New Roman"/>
          <w:b/>
        </w:rPr>
        <w:t xml:space="preserve">; </w:t>
      </w:r>
    </w:p>
    <w:p>
      <w:pPr>
        <w:pStyle w:val="P68B1DB1Normal34"/>
        <w:widowControl w:val="false"/>
        <w:spacing w:lineRule="auto" w:line="240" w:before="90" w:after="0"/>
        <w:ind w:left="720" w:right="0" w:hanging="359"/>
        <w:jc w:val="both"/>
        <w:rPr/>
      </w:pPr>
      <w:r>
        <w:rPr>
          <w:rFonts w:ascii="Calibri" w:hAnsi="Calibri"/>
        </w:rPr>
        <w:t>—</w:t>
      </w:r>
      <w:r>
        <w:rPr/>
        <w:t xml:space="preserve"> </w:t>
      </w:r>
      <w:r>
        <w:rPr>
          <w:rFonts w:ascii="Times New Roman" w:hAnsi="Times New Roman"/>
        </w:rPr>
        <w:t xml:space="preserve">Perustetaan </w:t>
      </w:r>
      <w:r>
        <w:rPr>
          <w:rFonts w:ascii="Times New Roman" w:hAnsi="Times New Roman"/>
          <w:b/>
        </w:rPr>
        <w:t>kansalaisten seurantakomitea, jonka tehtävänä</w:t>
      </w:r>
      <w:r>
        <w:rPr>
          <w:rFonts w:ascii="Times New Roman" w:hAnsi="Times New Roman"/>
        </w:rPr>
        <w:t xml:space="preserve"> on varmistaa, että prosessin tulos on tehtyjen ehdotusten mukainen. Komiteaan kuuluu 15 kansalaista, joista 14 on alueellisia konferensseja ja yksi ”Sana </w:t>
      </w:r>
      <w:r>
        <w:rPr>
          <w:rFonts w:ascii="Times New Roman" w:hAnsi="Times New Roman"/>
          <w:i/>
        </w:rPr>
        <w:t>nuorille” -kuulemisen</w:t>
      </w:r>
      <w:r>
        <w:rPr>
          <w:rFonts w:ascii="Times New Roman" w:hAnsi="Times New Roman"/>
        </w:rPr>
        <w:t xml:space="preserve"> osallistuja. </w:t>
      </w:r>
    </w:p>
    <w:p>
      <w:pPr>
        <w:pStyle w:val="P68B1DB1Normal34"/>
        <w:widowControl w:val="false"/>
        <w:spacing w:lineRule="auto" w:line="240" w:before="95" w:after="0"/>
        <w:ind w:left="360" w:right="0" w:hanging="0"/>
        <w:jc w:val="left"/>
        <w:rPr/>
      </w:pPr>
      <w:r>
        <w:rPr>
          <w:rFonts w:ascii="Calibri" w:hAnsi="Calibri"/>
        </w:rPr>
        <w:t>—</w:t>
      </w:r>
      <w:r>
        <w:rPr/>
        <w:t xml:space="preserve"> </w:t>
      </w:r>
      <w:r>
        <w:rPr>
          <w:rFonts w:ascii="Times New Roman" w:hAnsi="Times New Roman"/>
          <w:b/>
        </w:rPr>
        <w:t>Ranskan panos Euroopan tulevaisuutta käsittelevään konferenssiin EU:n toimielimille</w:t>
      </w:r>
      <w:r>
        <w:rPr>
          <w:rFonts w:ascii="Times New Roman" w:hAnsi="Times New Roman"/>
        </w:rPr>
        <w:t xml:space="preserve"> tammikuussa 2022; </w:t>
      </w:r>
    </w:p>
    <w:p>
      <w:pPr>
        <w:pStyle w:val="P68B1DB1Normal19"/>
        <w:widowControl w:val="false"/>
        <w:spacing w:lineRule="auto" w:line="240" w:before="87" w:after="0"/>
        <w:ind w:left="0" w:right="0" w:hanging="0"/>
        <w:jc w:val="left"/>
        <w:rPr/>
      </w:pPr>
      <w:r>
        <w:rPr/>
        <w:t xml:space="preserve">Ranskan kansalaisten ehdotukset saatetaan jäsenvaltioiden ja EU:n toimielinten yhteiseen pohdintaan. Euroopan unionin neuvoston puheenjohtajavaltiona vuoden 2022 alkupuoliskolla Ranskan tehtävänä on puhua kansalaistensa ääni ja pyrkiä määrittelemään yhteinen kanta koko maanosan laajuiselta pohjalta.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Ensimmäinen osa: Euroopan tulevaisuutta käsittelevien alueellisten konferenssien tulosten esittely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Jokaisessa 18 aluekonferenssissa kansalaiset ilmaisivat toiveensa vuoden 2035 Eurooppaa varten erikseen ja sitten ryhmänä. Kullakin alueella syntyi 3–8 toivomusryhmää, mikä johti siihen, että </w:t>
      </w:r>
      <w:r>
        <w:rPr>
          <w:b/>
        </w:rPr>
        <w:t>Ranskassa toivottiin yhteensä 101 Eurooppaa</w:t>
      </w:r>
      <w:r>
        <w:rPr/>
        <w:t xml:space="preserve">. Tämän jälkeen kansalaiset muotoilivat muutoksia, joita he pitivät tarpeellisina halutun Euroopan saavuttamiseksi, ja havainnollistivat niitä konkreettisilla toimilla. Tämä prosessi tuotti yhteensä </w:t>
      </w:r>
      <w:r>
        <w:rPr>
          <w:b/>
        </w:rPr>
        <w:t>515 muutosta</w:t>
      </w:r>
      <w:r>
        <w:rPr/>
        <w:t xml:space="preserve"> ja 1 </w:t>
      </w:r>
      <w:r>
        <w:rPr>
          <w:b/>
        </w:rPr>
        <w:t xml:space="preserve">301 konkreettista toimenpidettä kaikkialla </w:t>
      </w:r>
      <w:r>
        <w:rPr/>
        <w:t xml:space="preserve">Ranskassa.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 xml:space="preserve">Viikkoina, jotka erottivat alueelliset konferenssit ja valtakunnalliset konferenssit, hankeryhmä toteutti 515 muutosta yhtenäisiksi ryhmiksi. Kaikista alueiden muutoksista tehtiin leksikologinen analyysi ja ne suljettiin, kun niiden taustalla oleva aikomus vaikutti samanlaiselta tai läheiseltä, jotta voitaisiin perustaa kansallisia konferenssityöryhmiä, joilla on yhteinen toive Euroopalle. Lisäksi </w:t>
      </w:r>
      <w:r>
        <w:rPr>
          <w:b/>
        </w:rPr>
        <w:t>alueilla havaitut muutokset ryhmiteltiin 14 erilliseen eurooppalaiseen toiveeseen</w:t>
      </w:r>
      <w:r>
        <w:rPr/>
        <w:t xml:space="preserve">. </w:t>
      </w:r>
    </w:p>
    <w:p>
      <w:pPr>
        <w:pStyle w:val="Normal"/>
        <w:rPr/>
      </w:pPr>
      <w:r>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Lomake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98"/>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Toiveet</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Euroopalle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Muutoksia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toivotun Euroopan saavuttamiseksi</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Konkreettisia ehdotuksia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näiden muutosten toteuttamiseksi</w:t>
                              </w:r>
                            </w:p>
                          </w:txbxContent>
                        </wps:txbx>
                        <wps:bodyPr lIns="90000" rIns="90000" tIns="45000" bIns="45000">
                          <a:noAutofit/>
                        </wps:bodyPr>
                      </wps:wsp>
                    </wpg:wgp>
                  </a:graphicData>
                </a:graphic>
              </wp:anchor>
            </w:drawing>
          </mc:Choice>
          <mc:Fallback>
            <w:pict>
              <v:group id="shape_0" alt="Lomake11" style="position:absolute;margin-left:34.4pt;margin-top:7.25pt;width:453.95pt;height:103.85pt" coordorigin="688,145" coordsize="9079,2077">
                <v:shape id="shape_0" stroked="f" style="position:absolute;left:688;top:145;width:9078;height:1696" type="shapetype_75">
                  <v:imagedata r:id="rId98"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Toiveet</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Euroopalle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Muutoksia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toivotun Euroopan saavuttamiseksi</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Konkreettisia ehdotuksia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näiden muutosten toteuttamiseksi</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Kysymyksiä kansalaisille</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Mikä on toiveesi vuoden 2035 Euroopalle?</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Mitä muutoksia tarvitaan tämän halutun Euroopan saavuttamiseksi?</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Mitä konkreettisia ehdotuksia te teette näiden muutosten toteuttamiseksi?</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Alueellisten konferenssien tulokset</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toivetta</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muutosta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konkreettista ehdotusta</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alueellista muutosta 14 johdonmukaiseen toiveeseen organisaatioryhmältä</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Osallistujien kansallisen konferenssin aikana tekemien muutosten ryhmittely, priorisointi ja yksityiskohtaiset tiedot</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Kansallisen konferenssin tulokset</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toivetta</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muutosta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Keskeiset toteutusvaiheet ja onnistumiskriteerit kullekin muutokselle</w:t>
            </w:r>
          </w:p>
        </w:tc>
      </w:tr>
    </w:tbl>
    <w:p>
      <w:pPr>
        <w:pStyle w:val="Normal"/>
        <w:rPr/>
      </w:pPr>
      <w:r>
        <w:rPr/>
      </w:r>
      <w:r>
        <w:br w:type="page"/>
      </w:r>
    </w:p>
    <w:p>
      <w:pPr>
        <w:pStyle w:val="P68B1DB1Normal33"/>
        <w:spacing w:lineRule="auto" w:line="240"/>
        <w:rPr>
          <w:rFonts w:ascii="Times New Roman" w:hAnsi="Times New Roman"/>
          <w:b/>
          <w:b/>
          <w:color w:val="000000"/>
          <w:sz w:val="24"/>
        </w:rPr>
      </w:pPr>
      <w:r>
        <w:rPr/>
        <w:t xml:space="preserve">a. Euroopan 14 toiveen sijoittuminen </w:t>
      </w:r>
    </w:p>
    <w:p>
      <w:pPr>
        <w:pStyle w:val="P68B1DB1Normal19"/>
        <w:widowControl w:val="false"/>
        <w:spacing w:lineRule="auto" w:line="240" w:before="322" w:after="0"/>
        <w:ind w:left="0" w:right="0" w:hanging="0"/>
        <w:jc w:val="left"/>
        <w:rPr>
          <w:rFonts w:ascii="Times New Roman" w:hAnsi="Times New Roman"/>
          <w:color w:val="000000"/>
          <w:sz w:val="24"/>
        </w:rPr>
      </w:pPr>
      <w:r>
        <w:rPr/>
        <w:t xml:space="preserve">Kunkin alueellisen konferenssin lopussa osallistujat äänestivät kannattavansa eri työryhmien yksilöimiä muutoksia.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Viitekehys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rPr>
                            </w:pPr>
                            <w:r>
                              <w:rPr>
                                <w:color w:val="auto"/>
                              </w:rPr>
                              <w:t xml:space="preserve">Euroopan toiveiden luokittelu suosion mukaan </w:t>
                            </w:r>
                          </w:p>
                        </w:txbxContent>
                      </wps:txbx>
                      <wps:bodyPr lIns="0" rIns="0" tIns="0" bIns="0">
                        <a:noAutofit/>
                      </wps:bodyPr>
                    </wps:wsp>
                  </a:graphicData>
                </a:graphic>
              </wp:anchor>
            </w:drawing>
          </mc:Choice>
          <mc:Fallback>
            <w:pict>
              <v:rect id="shape_0" ID="Viitekehys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rPr>
                      </w:pPr>
                      <w:r>
                        <w:rPr>
                          <w:color w:val="auto"/>
                        </w:rPr>
                        <w:t xml:space="preserve">Euroopan toiveiden luokittelu suosion mukaan </w:t>
                      </w:r>
                    </w:p>
                  </w:txbxContent>
                </v:textbox>
              </v:rect>
            </w:pict>
          </mc:Fallback>
        </mc:AlternateContent>
      </w:r>
      <w:r>
        <w:rPr>
          <w:rFonts w:ascii="Times New Roman" w:hAnsi="Times New Roman"/>
          <w:color w:val="000000"/>
          <w:sz w:val="24"/>
        </w:rPr>
        <w:t xml:space="preserve">Ennen kansallista yhteenvetokonferenssia järjestettyjen ryhmittymien perusteella on mahdollista määrittää – kullakin alueella tapahtuneita muutoksia koskevien äänestysten ansiosta – Euroopan toiveet, jotka ovat olleet kansalaisten suosituimpia. Näin ollen toiveet ” </w:t>
      </w:r>
      <w:r>
        <w:rPr>
          <w:rFonts w:ascii="Times New Roman" w:hAnsi="Times New Roman"/>
          <w:i/>
          <w:color w:val="000000"/>
          <w:sz w:val="24"/>
        </w:rPr>
        <w:t>Eurooppa, joka asettaa koulutuksen etusijalle”</w:t>
      </w:r>
      <w:r>
        <w:rPr>
          <w:rFonts w:ascii="Times New Roman" w:hAnsi="Times New Roman"/>
          <w:color w:val="000000"/>
          <w:sz w:val="24"/>
        </w:rPr>
        <w:t xml:space="preserve"> ja ” </w:t>
      </w:r>
      <w:r>
        <w:rPr>
          <w:rFonts w:ascii="Times New Roman" w:hAnsi="Times New Roman"/>
          <w:i/>
          <w:color w:val="000000"/>
          <w:sz w:val="24"/>
        </w:rPr>
        <w:t>lähempi ja esteetön Eurooppa</w:t>
      </w:r>
      <w:r>
        <w:rPr>
          <w:rFonts w:ascii="Times New Roman" w:hAnsi="Times New Roman"/>
          <w:color w:val="000000"/>
          <w:sz w:val="24"/>
        </w:rPr>
        <w:t>”</w:t>
      </w:r>
      <w:r>
        <w:rPr>
          <w:rFonts w:ascii="Times New Roman" w:hAnsi="Times New Roman"/>
          <w:i/>
          <w:color w:val="000000"/>
          <w:sz w:val="24"/>
        </w:rPr>
        <w:t xml:space="preserve"> </w:t>
      </w:r>
      <w:r>
        <w:rPr>
          <w:rFonts w:ascii="Times New Roman" w:hAnsi="Times New Roman"/>
          <w:color w:val="000000"/>
          <w:sz w:val="24"/>
        </w:rPr>
        <w:t xml:space="preserve">ovat olleet laajalti tervetulleita, ja keskimäärin 56 prosenttia kansalaisista kannatti muutoksia alueellisissa konferensseissa. </w:t>
      </w:r>
    </w:p>
    <w:p>
      <w:pPr>
        <w:pStyle w:val="Normal"/>
        <w:rPr/>
      </w:pPr>
      <w:r>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Lomake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99"/>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Mitä muutoksia haluaisitte toteuttaa?</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Eurooppa, joka asettaa koulutuksen eturintamassa</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Tiiviimpi ja esteetön Eurooppa</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Eurooppa, jolla on yhteisiä kulttuureja ja identiteettiä</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Ilmasto- ja ympäristöhaasteeseen sitoutunut Eurooppa</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Yhtenäisempi Eurooppa</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Solidaarisuus Eurooppa, joka suojelee</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Eurooppa, joka takaa perusoikeuksien kunnioittamisen</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Kilpailukykyinen ja innovatiivinen Eurooppa</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Kestävää kehitystä edistävä Eurooppa</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Demokraattisempi Eurooppa</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Eurooppa, jossa hallinto on tehokkaampaa</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Eurooppa, joka puolustaa etujaan</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Vahva Eurooppa maailmassa</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Eurooppa, jossa kunkin valtion edut ovat etusijalla</w:t>
                              </w:r>
                            </w:p>
                          </w:txbxContent>
                        </wps:txbx>
                        <wps:bodyPr lIns="90000" rIns="90000" tIns="45000" bIns="45000">
                          <a:noAutofit/>
                        </wps:bodyPr>
                      </wps:wsp>
                    </wpg:wgp>
                  </a:graphicData>
                </a:graphic>
              </wp:anchor>
            </w:drawing>
          </mc:Choice>
          <mc:Fallback>
            <w:pict>
              <v:group id="shape_0" alt="Lomake4" style="position:absolute;margin-left:21.5pt;margin-top:39.85pt;width:354.75pt;height:494.75pt" coordorigin="430,797" coordsize="7095,9895">
                <v:shape id="shape_0" stroked="f" style="position:absolute;left:4005;top:1727;width:3121;height:8964" type="shapetype_75">
                  <v:imagedata r:id="rId99"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Mitä muutoksia haluaisitte toteuttaa?</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Eurooppa, joka asettaa koulutuksen eturintamassa</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Tiiviimpi ja esteetön Eurooppa</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Eurooppa, jolla on yhteisiä kulttuureja ja identiteettiä</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Ilmasto- ja ympäristöhaasteeseen sitoutunut Eurooppa</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Yhtenäisempi Eurooppa</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Solidaarisuus Eurooppa, joka suojelee</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Eurooppa, joka takaa perusoikeuksien kunnioittamisen</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Kilpailukykyinen ja innovatiivinen Eurooppa</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Kestävää kehitystä edistävä Eurooppa</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Demokraattisempi Eurooppa</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Eurooppa, jossa hallinto on tehokkaampaa</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Eurooppa, joka puolustaa etujaan</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Vahva Eurooppa maailmassa</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Eurooppa, jossa kunkin valtion edut ovat etusijalla</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t xml:space="preserve">B. Kansallisesta konferenssista johtuvien 14 ensisijaisen muutoksen esittely </w:t>
      </w:r>
    </w:p>
    <w:p>
      <w:pPr>
        <w:pStyle w:val="P68B1DB1Normal19"/>
        <w:widowControl w:val="false"/>
        <w:spacing w:lineRule="exact" w:line="388" w:before="322" w:after="0"/>
        <w:ind w:left="0" w:right="0" w:hanging="0"/>
        <w:jc w:val="left"/>
        <w:rPr/>
      </w:pPr>
      <w:r>
        <w:rPr/>
        <w:t xml:space="preserve">Kansallisessa synteesikonferenssissa mukana olleet 100 kansalaista työskentelivät yhdessä 14:stä vakiintuneesta toivomusryhmästä. Työn päätteeksi kukin ryhmä, joka on valittu edustamaan toivettaan siitä, </w:t>
      </w:r>
      <w:r>
        <w:rPr>
          <w:b/>
        </w:rPr>
        <w:t>että Eurooppaa koskeva ensisijainen muutos toteutetaan vuoteen 2035 mennessä</w:t>
      </w:r>
      <w:r>
        <w:rPr/>
        <w:t xml:space="preserve">. Tämän jälkeen ehdotettiin näitä 14 ensisijaista muutosta 100 kansalaisen äänestykseen kansallisen konferenssin viimeisenä päivänä. Tämän äänestyksen tulos esitetään seuraavassa alenevassa järjestyksessä kustakin muutoksesta saatujen äänten määrän mukaan. </w:t>
      </w:r>
    </w:p>
    <w:p>
      <w:pPr>
        <w:pStyle w:val="P68B1DB1Normal19"/>
        <w:widowControl w:val="false"/>
        <w:spacing w:lineRule="exact" w:line="413" w:before="332" w:after="0"/>
        <w:ind w:left="0" w:right="708" w:hanging="0"/>
        <w:jc w:val="left"/>
        <w:rPr/>
      </w:pPr>
      <w:r>
        <w:rPr/>
        <w:t xml:space="preserve">Kansallisen konferenssin 100 kansalaiselta eniten ääniä saanut muutos on ” </w:t>
      </w:r>
      <w:r>
        <w:rPr>
          <w:i/>
        </w:rPr>
        <w:t>Kehitä energiaa raittius kuluttaa vähemmän pysäyttämällä tarpeettomat”</w:t>
      </w:r>
      <w:r>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t xml:space="preserve"> </w:t>
      </w:r>
    </w:p>
    <w:p>
      <w:pPr>
        <w:pStyle w:val="P68B1DB1Normal40"/>
        <w:widowControl w:val="false"/>
        <w:spacing w:lineRule="auto" w:line="240"/>
        <w:ind w:left="208" w:right="0" w:hanging="0"/>
        <w:jc w:val="left"/>
        <w:rPr/>
      </w:pPr>
      <w:r>
        <w:rPr>
          <w:b/>
          <w:sz w:val="34"/>
        </w:rPr>
        <w:t xml:space="preserve">14 </w:t>
      </w:r>
      <w:r>
        <w:rPr>
          <w:sz w:val="30"/>
        </w:rPr>
        <w:t>keskeistä muutosta Euroopassa vuonna 2035</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Kehitä energiaa raittius kuluttaa vähemmän pois tarpeettomia</w:t>
      </w:r>
    </w:p>
    <w:p>
      <w:pPr>
        <w:pStyle w:val="P68B1DB1Normal41"/>
        <w:widowControl w:val="false"/>
        <w:spacing w:lineRule="auto" w:line="240" w:before="193" w:after="0"/>
        <w:ind w:left="324" w:right="0" w:hanging="0"/>
        <w:jc w:val="left"/>
        <w:rPr/>
      </w:pPr>
      <w:r>
        <w:rPr>
          <w:color w:val="FFFFFF"/>
        </w:rPr>
        <w:t>2</w:t>
      </w:r>
      <w:r>
        <w:rPr>
          <w:color w:val="000000"/>
        </w:rPr>
        <w:t>(2)</w:t>
      </w:r>
      <w:r>
        <w:rPr>
          <w:color w:val="FFFFFF"/>
        </w:rPr>
        <w:t xml:space="preserve"> </w:t>
      </w:r>
      <w:r>
        <w:rPr>
          <w:color w:val="000000"/>
        </w:rPr>
        <w:t>Euroopan unionin yhteisen puolustuksen ja turvallisuuden vahvistaminen</w:t>
      </w:r>
    </w:p>
    <w:p>
      <w:pPr>
        <w:pStyle w:val="P68B1DB1Normal41"/>
        <w:widowControl w:val="false"/>
        <w:spacing w:lineRule="auto" w:line="240" w:before="193" w:after="0"/>
        <w:ind w:left="324" w:right="0" w:hanging="0"/>
        <w:jc w:val="left"/>
        <w:rPr/>
      </w:pPr>
      <w:r>
        <w:rPr>
          <w:color w:val="FFFFFF"/>
        </w:rPr>
        <w:t>3</w:t>
      </w:r>
      <w:r>
        <w:rPr>
          <w:color w:val="000000"/>
        </w:rPr>
        <w:t>(3)</w:t>
      </w:r>
      <w:r>
        <w:rPr>
          <w:color w:val="FFFFFF"/>
        </w:rPr>
        <w:t xml:space="preserve"> </w:t>
      </w:r>
      <w:r>
        <w:rPr>
          <w:color w:val="000000"/>
        </w:rPr>
        <w:t>Yhteisen taloudellisen suorituskyvyn edistäminen Euroopan unionin itsenäisen, kilpailukykyisen ja arvostetun teollisuuden avulla</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Kansalaisvallan </w:t>
      </w:r>
      <w:r>
        <w:rPr>
          <w:color w:val="000000"/>
        </w:rPr>
        <w:t>perustaminen useille tasoille: osallistuminen, päätös, valvonta</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Meneminen Euroopan valtioiden liittoon, jolla on vahva toimivalta yhteisen edun mukaisilla aloilla</w:t>
      </w:r>
    </w:p>
    <w:p>
      <w:pPr>
        <w:pStyle w:val="P68B1DB1Normal41"/>
        <w:widowControl w:val="false"/>
        <w:spacing w:lineRule="auto" w:line="240" w:before="136" w:after="0"/>
        <w:ind w:left="324" w:right="0" w:hanging="0"/>
        <w:jc w:val="left"/>
        <w:rPr/>
      </w:pPr>
      <w:r>
        <w:rPr>
          <w:color w:val="000000"/>
        </w:rPr>
        <w:t>6 (6)</w:t>
      </w:r>
      <w:r>
        <w:rPr>
          <w:color w:val="FFFFFF"/>
        </w:rPr>
        <w:t xml:space="preserve"> </w:t>
      </w:r>
      <w:r>
        <w:rPr>
          <w:color w:val="000000"/>
        </w:rPr>
        <w:t>Elinikäisen vaihto-ohjelman ehdottaminen</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Euroopan kulttuurien jakaminen yhdistävien tapahtumien ja tapahtumien avulla</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Terveyden yhdenmukaistaminen ja sen saattaminen kaikkien eurooppalaisten ulottuville yhteisen terveyspolitiikan avulla</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Strategisten kanavien kehittäminen ja pilotointi Euroopan tasolla riippumattomuutemme varmistamiseksi</w:t>
      </w:r>
    </w:p>
    <w:p>
      <w:pPr>
        <w:pStyle w:val="P68B1DB1Normal41"/>
        <w:widowControl w:val="false"/>
        <w:spacing w:lineRule="auto" w:line="240" w:before="193" w:after="0"/>
        <w:ind w:left="324" w:right="0" w:hanging="0"/>
        <w:jc w:val="left"/>
        <w:rPr/>
      </w:pPr>
      <w:r>
        <w:rPr>
          <w:color w:val="FFFFFF"/>
        </w:rPr>
        <w:t>10</w:t>
      </w:r>
      <w:r>
        <w:rPr>
          <w:color w:val="000000"/>
        </w:rPr>
        <w:t>(10)Ympäristöjen ja ekosysteemien suojelun parantaminen ja suojeltujen alueiden luominen kaupunkien, kaupunkien lähialueiden ja maaseutualueiden ytimeen</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Eurooppalaisten toimipisteiden perustaminen alueille kuuntelemaan ja neuvomaan kansalaisia</w:t>
      </w:r>
    </w:p>
    <w:p>
      <w:pPr>
        <w:pStyle w:val="P68B1DB1Normal41"/>
        <w:widowControl w:val="false"/>
        <w:spacing w:lineRule="auto" w:line="240" w:before="193" w:after="0"/>
        <w:ind w:left="283" w:right="643" w:hanging="0"/>
        <w:jc w:val="left"/>
        <w:rPr/>
      </w:pPr>
      <w:r>
        <w:rPr>
          <w:color w:val="000000"/>
        </w:rPr>
        <w:t>12 ( 12)Yhdistetään 27 jäsenvaltion Euroopan parlamentin valintatapa ja parannetaan kansalaisten läheisyyttä korvaamalla nykyinen äänestys kertaluonteisella äänestyksellä aluetasolla</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maahanmuuttajien vastaanoton sekä sosiaalisen ja ammatillisen kotoutumisen parantamista koskevan yhteisen politiikan määrittely (mukaan lukien laittomat maahanmuuttajat)</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w:t>
      </w:r>
      <w:r>
        <w:rPr>
          <w:color w:val="000000"/>
        </w:rPr>
        <w:t>Euroopan eri alueiden erityispiirteiden (elintarvikemerkinnät, käsityötuotteiden tuotanto, perinteet) säilyttäminen, jotta voidaan välttää yhtenäiset elämäntavat ja varmistaa tuotteiden jäljitettävyys ja laatu</w:t>
      </w:r>
    </w:p>
    <w:p>
      <w:pPr>
        <w:pStyle w:val="Normal"/>
        <w:spacing w:lineRule="auto" w:line="240"/>
        <w:rPr/>
      </w:pPr>
      <w:r>
        <w:rPr/>
      </w:r>
    </w:p>
    <w:p>
      <w:pPr>
        <w:pStyle w:val="Normal"/>
        <w:rPr/>
      </w:pPr>
      <w:r>
        <w:rPr/>
        <w:t xml:space="preserve">Kunkin ensisijaisen muutoksen osalta kyseisen ryhmän kansalaiset määrittelivät muutoksen, ehdottivat konkreettisia toimia sen toteuttamiseksi ja ilmoittivat onnistumisen kriteerit vuoteen 2035 mennessä. </w:t>
      </w:r>
    </w:p>
    <w:p>
      <w:pPr>
        <w:pStyle w:val="Normal"/>
        <w:rPr/>
      </w:pPr>
      <w:r>
        <w:rPr/>
      </w:r>
      <w:r>
        <w:br w:type="page"/>
      </w:r>
    </w:p>
    <w:p>
      <w:pPr>
        <w:pStyle w:val="P68B1DB1Normal42"/>
        <w:widowControl w:val="false"/>
        <w:spacing w:lineRule="auto" w:line="240" w:before="237" w:after="0"/>
        <w:ind w:left="0" w:right="0" w:hanging="0"/>
        <w:jc w:val="left"/>
        <w:rPr/>
      </w:pPr>
      <w:r>
        <w:rPr/>
        <w:t xml:space="preserve">Muutos 1 – Kehitä energiaa raittius kuluttaa vähemmän pysäyttämällä tarpeeton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Assosioituneen Euroopan toive: Ilmasto- ja ympäristöhaasteeseen sitoutunut Eurooppa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Mitä tämä muutos tarkoittaa? </w:t>
      </w:r>
    </w:p>
    <w:p>
      <w:pPr>
        <w:pStyle w:val="P68B1DB1Normal7"/>
        <w:widowControl w:val="false"/>
        <w:spacing w:lineRule="auto" w:line="240" w:before="76" w:after="0"/>
        <w:ind w:left="0" w:right="0" w:hanging="0"/>
        <w:jc w:val="left"/>
        <w:rPr/>
      </w:pPr>
      <w:r>
        <w:rPr>
          <w:i/>
          <w:color w:val="000000"/>
        </w:rPr>
        <w:t>Avainsanat: Uusiutuvien energialähteiden kehittäminen, energiankulutuksen väheneminen</w:t>
      </w:r>
      <w:r>
        <w:rPr>
          <w:b/>
          <w:color w:val="273375"/>
        </w:rPr>
        <w:t xml:space="preserve"> </w:t>
      </w:r>
    </w:p>
    <w:p>
      <w:pPr>
        <w:pStyle w:val="P68B1DB1Normal19"/>
        <w:widowControl w:val="false"/>
        <w:spacing w:lineRule="auto" w:line="240" w:before="248" w:after="0"/>
        <w:ind w:left="0" w:right="9" w:hanging="0"/>
        <w:jc w:val="both"/>
        <w:rPr/>
      </w:pPr>
      <w:r>
        <w:rPr/>
        <w:t xml:space="preserve">Muutoksen tavoitteena on edistää energiankulutuksen vähentämistä Euroopassa ja uusiutuvien energialähteiden kehittämistä. Kansalaisten priorisointi osoittaa, että he haluavat ottaa Euroopan ja sen asukkaat </w:t>
      </w:r>
      <w:r>
        <w:rPr>
          <w:b/>
        </w:rPr>
        <w:t>mukaan määrätietoiseen lähestymistapaan</w:t>
      </w:r>
      <w:r>
        <w:rPr/>
        <w:t xml:space="preserve"> ilmasto- ja ympäristöhaasteessa.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Mitkä ovat keskeiset vaiheet ja onnistumisen kriteerit? </w:t>
      </w:r>
    </w:p>
    <w:p>
      <w:pPr>
        <w:pStyle w:val="P68B1DB1Normal19"/>
        <w:widowControl w:val="false"/>
        <w:spacing w:lineRule="auto" w:line="240" w:before="237" w:after="0"/>
        <w:ind w:left="0" w:right="9" w:hanging="0"/>
        <w:jc w:val="both"/>
        <w:rPr/>
      </w:pPr>
      <w:r>
        <w:rPr/>
        <w:t xml:space="preserve">Tämä muutos näkyy uusiutuvia energialähteitä </w:t>
      </w:r>
      <w:r>
        <w:rPr>
          <w:b/>
        </w:rPr>
        <w:t>koskevien kunnianhimoisten tutkimusohjelmien</w:t>
      </w:r>
      <w:r>
        <w:rPr/>
        <w:t xml:space="preserve"> kehittämisessä ja </w:t>
      </w:r>
      <w:r>
        <w:rPr>
          <w:b/>
        </w:rPr>
        <w:t>sellaisten eurooppalaisten investointirahastojen käyttöönotossa</w:t>
      </w:r>
      <w:r>
        <w:rPr/>
        <w:t xml:space="preserve">, jotka osallistuvat suoraan alan yrityksiin. </w:t>
      </w:r>
    </w:p>
    <w:p>
      <w:pPr>
        <w:pStyle w:val="P68B1DB1Normal19"/>
        <w:widowControl w:val="false"/>
        <w:spacing w:lineRule="auto" w:line="240" w:before="326" w:after="0"/>
        <w:ind w:left="0" w:right="9" w:hanging="0"/>
        <w:jc w:val="both"/>
        <w:rPr/>
      </w:pPr>
      <w:r>
        <w:rPr/>
        <w:t xml:space="preserve">Kansalaisten kannalta tämä muutos olisi onnistunut, jos otettaisiin käyttöön </w:t>
      </w:r>
      <w:r>
        <w:rPr>
          <w:b/>
        </w:rPr>
        <w:t>sitovat energiankulutustavoitteet</w:t>
      </w:r>
      <w:r>
        <w:rPr/>
        <w:t xml:space="preserve"> ja raittiuden</w:t>
      </w:r>
      <w:r>
        <w:rPr>
          <w:b/>
        </w:rPr>
        <w:t>keskeiset indikaattorit, kuten</w:t>
      </w:r>
      <w:r>
        <w:rPr/>
        <w:t xml:space="preserve"> Euroopan autokannan väheneminen tai lihankulutus. Tavoitteena on myös onnistua määrittelemään </w:t>
      </w:r>
      <w:r>
        <w:rPr>
          <w:b/>
        </w:rPr>
        <w:t>kulutuskiintiöt sektoreittain</w:t>
      </w:r>
      <w:r>
        <w:rPr/>
        <w:t xml:space="preserve"> ottaen huomioon yritysten kulutuksen vaihtelut ja kunnioittaen niiden tietojen luottamuksellisuutta. </w:t>
      </w:r>
    </w:p>
    <w:p>
      <w:pPr>
        <w:pStyle w:val="Normal"/>
        <w:spacing w:lineRule="auto" w:line="240"/>
        <w:rPr/>
      </w:pPr>
      <w:r>
        <w:rPr/>
      </w:r>
    </w:p>
    <w:p>
      <w:pPr>
        <w:pStyle w:val="P68B1DB1Normal42"/>
        <w:spacing w:lineRule="auto" w:line="240"/>
        <w:rPr/>
      </w:pPr>
      <w:r>
        <w:rPr/>
        <w:t xml:space="preserve">Muutos 2 – Euroopan unionin yhteisen puolustuksen ja turvallisuuden vahvistaminen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Assosioituneen Euroopan toive: Vahva Eurooppa maailmassa </w:t>
      </w:r>
    </w:p>
    <w:p>
      <w:pPr>
        <w:pStyle w:val="P68B1DB1Normal33"/>
        <w:widowControl w:val="false"/>
        <w:spacing w:lineRule="auto" w:line="240" w:before="321" w:after="0"/>
        <w:ind w:left="0" w:right="0" w:hanging="0"/>
        <w:jc w:val="left"/>
        <w:rPr>
          <w:rFonts w:ascii="Times New Roman" w:hAnsi="Times New Roman"/>
          <w:b/>
          <w:b/>
          <w:color w:val="000000"/>
          <w:sz w:val="24"/>
        </w:rPr>
      </w:pPr>
      <w:r>
        <w:rPr/>
        <w:t xml:space="preserve">Mitä tämä muutos tarkoittaa? </w:t>
      </w:r>
    </w:p>
    <w:p>
      <w:pPr>
        <w:pStyle w:val="P68B1DB1Normal7"/>
        <w:widowControl w:val="false"/>
        <w:spacing w:lineRule="auto" w:line="240" w:before="78" w:after="0"/>
        <w:ind w:left="0" w:right="0" w:hanging="0"/>
        <w:jc w:val="left"/>
        <w:rPr/>
      </w:pPr>
      <w:r>
        <w:rPr>
          <w:i/>
          <w:color w:val="000000"/>
        </w:rPr>
        <w:t>Avainsanat: Euroopan armeija, strateginen riippumattomuus</w:t>
      </w:r>
      <w:r>
        <w:rPr>
          <w:b/>
          <w:color w:val="273375"/>
        </w:rPr>
        <w:t xml:space="preserve"> </w:t>
      </w:r>
    </w:p>
    <w:p>
      <w:pPr>
        <w:pStyle w:val="P68B1DB1Normal19"/>
        <w:widowControl w:val="false"/>
        <w:spacing w:lineRule="auto" w:line="240" w:before="201" w:after="0"/>
        <w:ind w:left="0" w:right="10" w:hanging="0"/>
        <w:jc w:val="left"/>
        <w:rPr/>
      </w:pPr>
      <w:r>
        <w:rPr/>
        <w:t>Tämä muutos vastaa kansalaisten yksimielistä tahtoa saavuttaa</w:t>
      </w:r>
      <w:r>
        <w:rPr>
          <w:b/>
        </w:rPr>
        <w:t>autonomia</w:t>
      </w:r>
      <w:r>
        <w:rPr/>
        <w:t xml:space="preserve"> puolustuksen ja turvallisuuden alalla Euroopassa, jotta se ei olisi riippuvainen ulkovalloista.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Mitkä ovat keskeiset vaiheet ja onnistumisen kriteerit? </w:t>
      </w:r>
    </w:p>
    <w:p>
      <w:pPr>
        <w:pStyle w:val="P68B1DB1Normal19"/>
        <w:widowControl w:val="false"/>
        <w:spacing w:lineRule="auto" w:line="240" w:before="198" w:after="0"/>
        <w:ind w:left="0" w:right="10" w:hanging="0"/>
        <w:jc w:val="left"/>
        <w:rPr/>
      </w:pPr>
      <w:r>
        <w:rPr/>
        <w:t>Muutoksen onnistuminen johtaisi ennen kaikkea puolustus- ja turvallisuusasioista</w:t>
      </w:r>
      <w:r>
        <w:rPr>
          <w:b/>
        </w:rPr>
        <w:t xml:space="preserve"> vastaavan komission jäsenen</w:t>
      </w:r>
      <w:r>
        <w:rPr/>
        <w:t xml:space="preserve"> nimittämiseen. </w:t>
      </w:r>
    </w:p>
    <w:p>
      <w:pPr>
        <w:pStyle w:val="P68B1DB1Normal19"/>
        <w:widowControl w:val="false"/>
        <w:spacing w:lineRule="auto" w:line="240" w:before="203" w:after="0"/>
        <w:ind w:left="0" w:right="10" w:hanging="0"/>
        <w:jc w:val="both"/>
        <w:rPr/>
      </w:pPr>
      <w:r>
        <w:rPr/>
        <w:t>Puolustusasioissa</w:t>
      </w:r>
      <w:r>
        <w:rPr>
          <w:b/>
        </w:rPr>
        <w:t xml:space="preserve"> pysyvän, reaktiivisen ja ennakoitavissa olevan armeijan</w:t>
      </w:r>
      <w:r>
        <w:rPr/>
        <w:t xml:space="preserve"> perustaminen ympäri maailmaa antaisi Euroopalle mahdollisuuden suojella rajojaan ja tarvittaessa puuttua asiaan kolmansien maiden pyynnöstä. </w:t>
      </w:r>
    </w:p>
    <w:p>
      <w:pPr>
        <w:pStyle w:val="P68B1DB1Normal19"/>
        <w:widowControl w:val="false"/>
        <w:spacing w:lineRule="auto" w:line="240" w:before="206" w:after="0"/>
        <w:ind w:left="0" w:right="10" w:hanging="0"/>
        <w:jc w:val="both"/>
        <w:rPr/>
      </w:pPr>
      <w:r>
        <w:rPr/>
        <w:t xml:space="preserve">Turvallisuuden osalta Euroopan olisi kansalaistensa silmissä taattava toimitusvarmuutensa </w:t>
      </w:r>
      <w:r>
        <w:rPr>
          <w:b/>
        </w:rPr>
        <w:t>ja</w:t>
      </w:r>
      <w:r>
        <w:rPr/>
        <w:t xml:space="preserve"> suojeltava </w:t>
      </w:r>
      <w:r>
        <w:rPr>
          <w:b/>
        </w:rPr>
        <w:t>strategista tutkimustaan</w:t>
      </w:r>
      <w:r>
        <w:rPr/>
        <w:t xml:space="preserve"> ensisijaisilla aloilla, kuten avaruus, kyberturvallisuus, terveydenhuoltoala ja ympäristö. </w:t>
      </w:r>
      <w:r>
        <w:rPr>
          <w:b/>
        </w:rPr>
        <w:t>Ulkorajojen paremman suojelun</w:t>
      </w:r>
      <w:r>
        <w:rPr/>
        <w:t xml:space="preserve"> pitäisi myös auttaa pysäyttämään laitonta maahanmuuttoa ja ihmiskauppaa. </w:t>
      </w:r>
    </w:p>
    <w:p>
      <w:pPr>
        <w:pStyle w:val="Normal"/>
        <w:spacing w:lineRule="auto" w:line="240"/>
        <w:rPr/>
      </w:pPr>
      <w:r>
        <w:rPr/>
      </w:r>
    </w:p>
    <w:p>
      <w:pPr>
        <w:pStyle w:val="P68B1DB1Normal42"/>
        <w:spacing w:lineRule="auto" w:line="240"/>
        <w:rPr/>
      </w:pPr>
      <w:r>
        <w:rPr/>
        <w:t xml:space="preserve">Muutos 3 – Yhteisen taloudellisen suorituskyvyn edistäminen Euroopan unionin itsenäisen, kilpailukykyisen ja arvostetun teollisuuden avulla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Assosioituneen Euroopan toive: Eurooppa, joka puolustaa etujaan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Mitä tämä muutos tarkoittaa? </w:t>
      </w:r>
    </w:p>
    <w:p>
      <w:pPr>
        <w:pStyle w:val="P68B1DB1Normal44"/>
        <w:widowControl w:val="false"/>
        <w:spacing w:lineRule="auto" w:line="240" w:before="84" w:after="0"/>
        <w:ind w:left="0" w:right="10" w:hanging="0"/>
        <w:jc w:val="left"/>
        <w:rPr>
          <w:rFonts w:ascii="Times New Roman" w:hAnsi="Times New Roman"/>
          <w:i/>
          <w:i/>
          <w:color w:val="000000"/>
          <w:sz w:val="24"/>
        </w:rPr>
      </w:pPr>
      <w:r>
        <w:rPr/>
        <w:t xml:space="preserve">Avainsanat: </w:t>
      </w:r>
    </w:p>
    <w:p>
      <w:pPr>
        <w:pStyle w:val="P68B1DB1Normal7"/>
        <w:widowControl w:val="false"/>
        <w:spacing w:lineRule="auto" w:line="240"/>
        <w:ind w:left="0" w:right="10" w:hanging="0"/>
        <w:jc w:val="left"/>
        <w:rPr/>
      </w:pPr>
      <w:r>
        <w:rPr>
          <w:i/>
          <w:color w:val="000000"/>
        </w:rPr>
        <w:t>Eurooppalainen etusija, taitotiedon suojaaminen, Euroopan mestareiden kehittäminen</w:t>
      </w:r>
      <w:r>
        <w:rPr>
          <w:b/>
          <w:color w:val="273375"/>
        </w:rPr>
        <w:t xml:space="preserve"> </w:t>
      </w:r>
    </w:p>
    <w:p>
      <w:pPr>
        <w:pStyle w:val="P68B1DB1Normal19"/>
        <w:widowControl w:val="false"/>
        <w:spacing w:lineRule="auto" w:line="240" w:before="321" w:after="0"/>
        <w:ind w:left="0" w:right="10" w:hanging="0"/>
        <w:jc w:val="both"/>
        <w:rPr/>
      </w:pPr>
      <w:r>
        <w:rPr/>
        <w:t xml:space="preserve">Muutoksella pyritään saavuttamaan kolme tavoitetta: vahvistetaan </w:t>
      </w:r>
      <w:r>
        <w:rPr>
          <w:b/>
        </w:rPr>
        <w:t>”eurooppalaista</w:t>
      </w:r>
      <w:r>
        <w:rPr/>
        <w:t xml:space="preserve"> </w:t>
      </w:r>
      <w:r>
        <w:rPr>
          <w:b/>
        </w:rPr>
        <w:t>etuuskohtelupolitiikkaa”</w:t>
      </w:r>
      <w:r>
        <w:rPr/>
        <w:t xml:space="preserve"> unionissa, taataan </w:t>
      </w:r>
      <w:r>
        <w:rPr>
          <w:b/>
        </w:rPr>
        <w:t>olennaisten tavaroiden ja taitotiedon suojelu ja</w:t>
      </w:r>
      <w:r>
        <w:rPr/>
        <w:t xml:space="preserve"> luodaan </w:t>
      </w:r>
      <w:r>
        <w:rPr>
          <w:b/>
        </w:rPr>
        <w:t>”eurooppalaisia mestareita”.</w:t>
      </w:r>
      <w:r>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Mitkä ovat keskeiset vaiheet ja onnistumisen kriteerit? </w:t>
      </w:r>
    </w:p>
    <w:p>
      <w:pPr>
        <w:pStyle w:val="P68B1DB1Normal19"/>
        <w:widowControl w:val="false"/>
        <w:spacing w:lineRule="auto" w:line="240" w:before="316" w:after="0"/>
        <w:ind w:left="0" w:right="10" w:hanging="0"/>
        <w:jc w:val="both"/>
        <w:rPr/>
      </w:pPr>
      <w:r>
        <w:rPr/>
        <w:t xml:space="preserve">Näiden tavoitteiden saavuttaminen edellyttää ennen kaikkea </w:t>
      </w:r>
      <w:r>
        <w:rPr>
          <w:b/>
        </w:rPr>
        <w:t>”eurooppalaisen etuuskohtelupolitiikan” toteuttamista tarjouskilpailujen yhteydessä</w:t>
      </w:r>
      <w:r>
        <w:rPr/>
        <w:t xml:space="preserve"> ja tuontiin </w:t>
      </w:r>
      <w:r>
        <w:rPr>
          <w:b/>
        </w:rPr>
        <w:t>sovellettavan hiiliveron</w:t>
      </w:r>
      <w:r>
        <w:rPr/>
        <w:t xml:space="preserve"> käyttöönottoa. </w:t>
      </w:r>
    </w:p>
    <w:p>
      <w:pPr>
        <w:pStyle w:val="P68B1DB1Normal19"/>
        <w:widowControl w:val="false"/>
        <w:spacing w:lineRule="auto" w:line="240" w:before="332" w:after="0"/>
        <w:ind w:left="0" w:right="10" w:hanging="0"/>
        <w:jc w:val="left"/>
        <w:rPr/>
      </w:pPr>
      <w:r>
        <w:rPr/>
        <w:t xml:space="preserve">Taitotiedon suojaaminen johtaisi ulkomaisten takaisinostojen ja investointien valvonnan lisääntymiseen ja </w:t>
      </w:r>
      <w:r>
        <w:rPr>
          <w:b/>
        </w:rPr>
        <w:t>uudelleensijoittamistuen</w:t>
      </w:r>
      <w:r>
        <w:rPr/>
        <w:t xml:space="preserve"> kehittämiseen. </w:t>
      </w:r>
    </w:p>
    <w:p>
      <w:pPr>
        <w:pStyle w:val="P68B1DB1Normal19"/>
        <w:widowControl w:val="false"/>
        <w:spacing w:lineRule="auto" w:line="240" w:before="323" w:after="0"/>
        <w:ind w:left="0" w:right="10" w:hanging="0"/>
        <w:jc w:val="both"/>
        <w:rPr/>
      </w:pPr>
      <w:r>
        <w:rPr/>
        <w:t xml:space="preserve">Lopuksi ”eurooppalaisten mestareiden” perustamiseen kuuluu eurooppalaisten </w:t>
      </w:r>
      <w:r>
        <w:rPr>
          <w:b/>
        </w:rPr>
        <w:t>teollisuusliittoutumien</w:t>
      </w:r>
      <w:r>
        <w:rPr/>
        <w:t xml:space="preserve"> kannustaminen strategisilla aloilla ja julkisten pääomasijoitusten lisääminen. </w:t>
      </w:r>
    </w:p>
    <w:p>
      <w:pPr>
        <w:pStyle w:val="P68B1DB1Normal45"/>
        <w:widowControl w:val="false"/>
        <w:spacing w:lineRule="auto" w:line="240" w:before="333" w:after="0"/>
        <w:ind w:left="0" w:right="13" w:hanging="0"/>
        <w:jc w:val="both"/>
        <w:rPr>
          <w:sz w:val="20"/>
        </w:rPr>
      </w:pPr>
      <w:r>
        <w:rPr/>
        <w:t xml:space="preserve">Tämän muutoksen onnistuminen toteutuu kansalaisten kannalta kehittämällä eurooppalaisia teollisuusliittoutumia keskeisillä aloilla, lisäämällä yritysten uudelleensijoittamista ja parantamalla kauppatasetta.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Muutos 4 – Kansalaisvallan lisääminen useilla tasoilla: osallistuminen, päätös, valvonta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Assosioituneen Euroopan toive: Demokraattisempi Eurooppa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Mitä tämä muutos tarkoittaa? </w:t>
      </w:r>
    </w:p>
    <w:p>
      <w:pPr>
        <w:pStyle w:val="P68B1DB1Normal7"/>
        <w:widowControl w:val="false"/>
        <w:spacing w:lineRule="auto" w:line="240" w:before="84" w:after="0"/>
        <w:ind w:left="0" w:right="10" w:hanging="0"/>
        <w:jc w:val="left"/>
        <w:rPr/>
      </w:pPr>
      <w:r>
        <w:rPr>
          <w:i/>
          <w:color w:val="000000"/>
        </w:rPr>
        <w:t>Avainsanat: äänestysaktiivisuuden kasvu, Euroopan tyytyväisyysbarometri, kansalaisten kuulemisten yleistyminen</w:t>
      </w:r>
      <w:r>
        <w:rPr>
          <w:b/>
          <w:color w:val="273375"/>
        </w:rPr>
        <w:t xml:space="preserve"> </w:t>
      </w:r>
    </w:p>
    <w:p>
      <w:pPr>
        <w:pStyle w:val="P68B1DB1Normal19"/>
        <w:widowControl w:val="false"/>
        <w:spacing w:lineRule="auto" w:line="240" w:before="324" w:after="0"/>
        <w:ind w:left="0" w:right="10" w:hanging="0"/>
        <w:jc w:val="both"/>
        <w:rPr/>
      </w:pPr>
      <w:r>
        <w:rPr/>
        <w:t>Tämän muutoksen myötä kansalaiset ehdottavat, että</w:t>
      </w:r>
      <w:r>
        <w:rPr>
          <w:i/>
        </w:rPr>
        <w:t xml:space="preserve"> </w:t>
      </w:r>
      <w:r>
        <w:rPr/>
        <w:t xml:space="preserve">eurooppalaisille kehitetään ” </w:t>
      </w:r>
      <w:r>
        <w:rPr>
          <w:i/>
        </w:rPr>
        <w:t xml:space="preserve">täydellinen kansalaiskokemus” </w:t>
      </w:r>
      <w:r>
        <w:rPr/>
        <w:t xml:space="preserve">ja lisätään heidän </w:t>
      </w:r>
      <w:r>
        <w:rPr>
          <w:b/>
        </w:rPr>
        <w:t>osallistumistaan</w:t>
      </w:r>
      <w:r>
        <w:rPr/>
        <w:t xml:space="preserve"> päätöksentekoprosessin kaikkiin vaiheisiin. Se heijastaa kansalaisten halukkuutta </w:t>
      </w:r>
      <w:r>
        <w:rPr>
          <w:b/>
        </w:rPr>
        <w:t>saada äänensä kuuluviin ja vaikuttaa heidän</w:t>
      </w:r>
      <w:r>
        <w:rPr/>
        <w:t xml:space="preserve"> jokapäiväiseen elämäänsä vaikuttavaan julkiseen politiikkaan.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Mitkä ovat keskeiset vaiheet ja onnistumisen kriteerit? </w:t>
      </w:r>
    </w:p>
    <w:p>
      <w:pPr>
        <w:pStyle w:val="P68B1DB1Normal24"/>
        <w:widowControl w:val="false"/>
        <w:spacing w:lineRule="auto" w:line="240" w:before="323" w:after="0"/>
        <w:ind w:left="0" w:right="13" w:hanging="0"/>
        <w:jc w:val="both"/>
        <w:rPr/>
      </w:pPr>
      <w:r>
        <w:rPr/>
        <w:t>Tämä on pääasiassa kansalaisten asia kehittää ja ylläpitää kansalaisten osallistumista koskevia aloitteita</w:t>
      </w:r>
      <w:r>
        <w:rPr>
          <w:b/>
        </w:rPr>
        <w:t xml:space="preserve">. </w:t>
      </w:r>
      <w:r>
        <w:rPr/>
        <w:t xml:space="preserve">Tätä varten voitaisiin toteuttaa useita vipukeinoja: </w:t>
      </w:r>
      <w:r>
        <w:rPr>
          <w:b/>
        </w:rPr>
        <w:t>pysyvän neuvoa-antavan jaoston</w:t>
      </w:r>
      <w:r>
        <w:rPr/>
        <w:t xml:space="preserve"> perustaminen, </w:t>
      </w:r>
      <w:r>
        <w:rPr>
          <w:b/>
        </w:rPr>
        <w:t>kansalaisten toimivallan</w:t>
      </w:r>
      <w:r>
        <w:rPr/>
        <w:t xml:space="preserve"> kirjaaminen EU:n perussopimuksiin tai sellaisen </w:t>
      </w:r>
      <w:r>
        <w:rPr>
          <w:b/>
        </w:rPr>
        <w:t>merkin</w:t>
      </w:r>
      <w:r>
        <w:rPr/>
        <w:t xml:space="preserve"> luominen, jossa vahvistetaan kansalaisten kuulemisen kohteena olleet lait. </w:t>
      </w:r>
    </w:p>
    <w:p>
      <w:pPr>
        <w:pStyle w:val="P68B1DB1Normal19"/>
        <w:widowControl w:val="false"/>
        <w:spacing w:lineRule="auto" w:line="240" w:before="230" w:after="0"/>
        <w:ind w:left="0" w:right="10" w:hanging="0"/>
        <w:jc w:val="both"/>
        <w:rPr/>
      </w:pPr>
      <w:r>
        <w:rPr/>
        <w:t xml:space="preserve">Muutoksen onnistuminen käy ilmi esimerkiksi vaaliosallistumisen kaltaisista indikaattoreista, Euroopan </w:t>
      </w:r>
      <w:r>
        <w:rPr>
          <w:b/>
        </w:rPr>
        <w:t>unionia kohtaan ilmaistusta kiinnostuksesta ja luottamuksesta</w:t>
      </w:r>
      <w:r>
        <w:rPr/>
        <w:t xml:space="preserve"> sekä </w:t>
      </w:r>
      <w:r>
        <w:rPr>
          <w:b/>
        </w:rPr>
        <w:t xml:space="preserve"> eurooppalaisten verkkosivustojen läsnäolosta</w:t>
      </w:r>
      <w:r>
        <w:rPr/>
        <w:t xml:space="preserve">. Kansalaiskuulemisen jälkeen tehtyjen päätösten määrän lisääntymistä ja </w:t>
      </w:r>
      <w:r>
        <w:rPr>
          <w:b/>
        </w:rPr>
        <w:t>eurooppalaisten kansalaisaloitteiden käytön lisääntymistä pidetään</w:t>
      </w:r>
      <w:r>
        <w:rPr/>
        <w:t xml:space="preserve">myös menestyksen merkkinä.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Muutos 5 – Kohti sellaisten Euroopan valtioiden liittoa, joilla on vahva toimivalta yhteisen edun mukaisilla aloilla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Assosioituneen Euroopan toive: Yhtenäisempi Eurooppa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Mitä tämä muutos tarkoittaa? </w:t>
      </w:r>
    </w:p>
    <w:p>
      <w:pPr>
        <w:pStyle w:val="P68B1DB1Normal7"/>
        <w:widowControl w:val="false"/>
        <w:spacing w:lineRule="auto" w:line="240" w:before="76" w:after="0"/>
        <w:ind w:left="0" w:right="0" w:hanging="0"/>
        <w:jc w:val="left"/>
        <w:rPr/>
      </w:pPr>
      <w:r>
        <w:rPr>
          <w:i/>
          <w:color w:val="000000"/>
        </w:rPr>
        <w:t>Avainsanat: institutionaalinen yhdistyminen, valittu puheenjohtaja, EU:n toimivallan vahvistaminen</w:t>
      </w:r>
      <w:r>
        <w:rPr>
          <w:b/>
          <w:color w:val="273375"/>
        </w:rPr>
        <w:t xml:space="preserve"> </w:t>
      </w:r>
    </w:p>
    <w:p>
      <w:pPr>
        <w:pStyle w:val="P68B1DB1Normal19"/>
        <w:widowControl w:val="false"/>
        <w:spacing w:lineRule="auto" w:line="240" w:before="244" w:after="0"/>
        <w:ind w:left="0" w:right="10" w:hanging="0"/>
        <w:jc w:val="both"/>
        <w:rPr/>
      </w:pPr>
      <w:r>
        <w:rPr/>
        <w:t>Tämä muutos heijastaa kansalaisten pyrkimystä</w:t>
      </w:r>
      <w:r>
        <w:rPr>
          <w:b/>
        </w:rPr>
        <w:t>yhtenäistää</w:t>
      </w:r>
      <w:r>
        <w:rPr/>
        <w:t xml:space="preserve"> EU:n poliittiset instituutiot. Esitelty malli on valtioiden liitto, jonka tavoitteena on </w:t>
      </w:r>
      <w:r>
        <w:rPr>
          <w:b/>
        </w:rPr>
        <w:t>vahvistaa Euroopan unionin jaettua tai yksinomaista toimivaltaa</w:t>
      </w:r>
      <w:r>
        <w:rPr/>
        <w:t xml:space="preserve"> siirtymättä kuitenkaan kohti liittovaltiota.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Mitkä ovat tärkeimmät virstanpylväät ja menestyskriteerit? </w:t>
      </w:r>
    </w:p>
    <w:p>
      <w:pPr>
        <w:pStyle w:val="P68B1DB1Normal19"/>
        <w:widowControl w:val="false"/>
        <w:spacing w:lineRule="auto" w:line="240" w:before="239" w:after="0"/>
        <w:ind w:left="0" w:right="10" w:hanging="0"/>
        <w:jc w:val="both"/>
        <w:rPr/>
      </w:pPr>
      <w:r>
        <w:rPr/>
        <w:t xml:space="preserve">Sisäisesti tämä muutos voisi tarkoittaa </w:t>
      </w:r>
      <w:r>
        <w:rPr>
          <w:b/>
        </w:rPr>
        <w:t>kansalaisten osallistumisen</w:t>
      </w:r>
      <w:r>
        <w:rPr/>
        <w:t xml:space="preserve"> kehittämistä, </w:t>
      </w:r>
      <w:r>
        <w:rPr>
          <w:b/>
        </w:rPr>
        <w:t>Euroopan ministeriöiden perustamista jäsenvaltioissa</w:t>
      </w:r>
      <w:r>
        <w:rPr/>
        <w:t xml:space="preserve"> ja pidemmällä aikavälillä Euroopan komission puheenjohtajan</w:t>
      </w:r>
      <w:r>
        <w:rPr>
          <w:b/>
        </w:rPr>
        <w:t xml:space="preserve">valitsemista </w:t>
      </w:r>
      <w:r>
        <w:rPr/>
        <w:t xml:space="preserve"> </w:t>
      </w:r>
      <w:r>
        <w:rPr>
          <w:b/>
        </w:rPr>
        <w:t>yleisillä vaaleilla</w:t>
      </w:r>
      <w:r>
        <w:rPr/>
        <w:t xml:space="preserve">. </w:t>
      </w:r>
    </w:p>
    <w:p>
      <w:pPr>
        <w:pStyle w:val="P68B1DB1Normal19"/>
        <w:widowControl w:val="false"/>
        <w:spacing w:lineRule="auto" w:line="240" w:before="327" w:after="0"/>
        <w:ind w:left="0" w:right="10" w:hanging="0"/>
        <w:jc w:val="left"/>
        <w:rPr/>
      </w:pPr>
      <w:r>
        <w:rPr/>
        <w:t xml:space="preserve">Ulkoisesti eurooppalaisen äänen vahvistaminen ulkomailla muunnettaisiin inkarnaatioksi </w:t>
      </w:r>
      <w:r>
        <w:rPr>
          <w:b/>
        </w:rPr>
        <w:t>Euroopan  ainutlaatuisen edustajan</w:t>
      </w:r>
      <w:r>
        <w:rPr/>
        <w:t xml:space="preserve"> kautta </w:t>
      </w:r>
      <w:r>
        <w:rPr>
          <w:b/>
        </w:rPr>
        <w:t>kansainvälisellä</w:t>
      </w:r>
      <w:r>
        <w:rPr/>
        <w:t xml:space="preserve"> näyttämöllä. </w:t>
      </w:r>
    </w:p>
    <w:p>
      <w:pPr>
        <w:pStyle w:val="P68B1DB1Normal24"/>
        <w:widowControl w:val="false"/>
        <w:spacing w:lineRule="auto" w:line="240" w:before="324" w:after="0"/>
        <w:ind w:left="0" w:right="15" w:hanging="0"/>
        <w:jc w:val="left"/>
        <w:rPr/>
      </w:pPr>
      <w:r>
        <w:rPr/>
        <w:t xml:space="preserve">Tämä valtioiden liitto hyötyisi myös EU: </w:t>
      </w:r>
      <w:r>
        <w:rPr>
          <w:b/>
        </w:rPr>
        <w:t>n talousarvion</w:t>
      </w:r>
      <w:r>
        <w:rPr/>
        <w:t xml:space="preserve"> kasvusta, jonka tavoitteena on saavuttaa 10 prosenttia (nykyisin 2 prosenttia).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rFonts w:ascii="Times New Roman" w:hAnsi="Times New Roman"/>
          <w:b/>
          <w:b/>
          <w:color w:val="000000"/>
          <w:sz w:val="28"/>
        </w:rPr>
      </w:pPr>
      <w:r>
        <w:rPr/>
        <w:t xml:space="preserve">Muutos 6 – Elinikäisen vaihto-ohjelman ehdottaminen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t xml:space="preserve">Assosioituneen Euroopan toive: Eurooppa, joka asettaa koulutuksen eturintamassa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Mitä tämä muutos tarkoittaa?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Avainsanat: kouluvaihto, Erasmus </w:t>
      </w:r>
    </w:p>
    <w:p>
      <w:pPr>
        <w:pStyle w:val="P68B1DB1Normal19"/>
        <w:widowControl w:val="false"/>
        <w:spacing w:lineRule="auto" w:line="240" w:before="330" w:after="0"/>
        <w:ind w:left="0" w:right="0" w:hanging="0"/>
        <w:jc w:val="both"/>
        <w:rPr/>
      </w:pPr>
      <w:r>
        <w:rPr/>
        <w:t xml:space="preserve">Laajalti ylistettynä tämä muutos heijastaa sitä, kuinka tärkeää kansalaisille on kokouksia ja kokemuksia ulkomailla, eurooppalaisena tunteen voimakkaana käymisenä. Tavoitteena on </w:t>
      </w:r>
      <w:r>
        <w:rPr>
          <w:i/>
        </w:rPr>
        <w:t>siirtyä akateemisesta tiedosta elävään</w:t>
      </w:r>
      <w:r>
        <w:rPr>
          <w:b/>
          <w:i/>
        </w:rPr>
        <w:t>, kokeneeseen ja arkaluontoiseen lähestymistapaan</w:t>
      </w:r>
      <w:r>
        <w:rPr>
          <w:i/>
        </w:rPr>
        <w:t>Eurooppaan</w:t>
      </w:r>
      <w:r>
        <w:rPr/>
        <w:t xml:space="preserve">ja ymmärtää koulutusta laajassa merkityksessä </w:t>
      </w:r>
      <w:r>
        <w:rPr>
          <w:b/>
        </w:rPr>
        <w:t xml:space="preserve">elinikäisenä oppimisena.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Mitkä ovat keskeiset vaiheet ja onnistumisen kriteerit? </w:t>
      </w:r>
    </w:p>
    <w:p>
      <w:pPr>
        <w:pStyle w:val="P68B1DB1Normal24"/>
        <w:widowControl w:val="false"/>
        <w:spacing w:lineRule="auto" w:line="240" w:before="317" w:after="0"/>
        <w:ind w:left="0" w:right="4" w:hanging="0"/>
        <w:jc w:val="both"/>
        <w:rPr/>
      </w:pPr>
      <w:r>
        <w:rPr/>
        <w:t xml:space="preserve">Muutoksen onnistuminen johtuu pääasiassa </w:t>
      </w:r>
      <w:r>
        <w:rPr>
          <w:b/>
        </w:rPr>
        <w:t>laajennetun liikkuvuustarjonnan käyttöönotosta, johon kuuluvat muun muassa</w:t>
      </w:r>
      <w:r>
        <w:rPr/>
        <w:t xml:space="preserve"> kouluvaihto, ystävyystoiminta, matkustaminen ja ammatillinen liikkuvuus. Kansalaisten kannalta tämän tarjouksen on oltava kaikkien, erityisesti vähävaraisten tai vammaisten saatavilla. Erasmus-ohjelma voisi kattaa esimerkiksi kaikki eurooppalaiset, joilla ei ole ikä- tai resurssirajoja. Nämä ohjelmat on suunniteltava </w:t>
      </w:r>
      <w:r>
        <w:rPr>
          <w:b/>
        </w:rPr>
        <w:t>monipuolisiksi, osallistaviksi</w:t>
      </w:r>
      <w:r>
        <w:rPr>
          <w:b/>
          <w:sz w:val="20"/>
        </w:rPr>
        <w:t xml:space="preserve"> </w:t>
      </w:r>
      <w:r>
        <w:rPr>
          <w:b/>
        </w:rPr>
        <w:t>ja niiden on oltava saatavilla</w:t>
      </w:r>
      <w:r>
        <w:rPr/>
        <w:t xml:space="preserve"> yksinkertaistettuja hallinnollisia menettelyjä noudattaen. </w:t>
      </w:r>
    </w:p>
    <w:p>
      <w:pPr>
        <w:pStyle w:val="P68B1DB1Normal24"/>
        <w:widowControl w:val="false"/>
        <w:spacing w:lineRule="auto" w:line="240" w:before="232" w:after="0"/>
        <w:ind w:left="0" w:right="3" w:hanging="0"/>
        <w:jc w:val="both"/>
        <w:rPr/>
      </w:pPr>
      <w:r>
        <w:rPr/>
        <w:t xml:space="preserve">Liikkuvuuden lisäksi mainittiin myös, että on tärkeää </w:t>
      </w:r>
      <w:r>
        <w:rPr>
          <w:b/>
        </w:rPr>
        <w:t>kehittää yhteyksiä koulutusjärjestelmien välille</w:t>
      </w:r>
      <w:r>
        <w:rPr/>
        <w:t xml:space="preserve"> (tutkintojen vastaavuus jne.) ja lisätä Euroopan vetovoimaa lahjakkuuksien välttämiseksi ulkomailla.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Muutos 7 – Euroopan kulttuurien jakaminen tapahtumien ja tapahtumien yhdistämisen avulla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Assosioituneen Euroopan toive: Eurooppa, jolla on yhteisiä kulttuureja ja identiteettiä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Mitä tämä muutos tarkoittaa? </w:t>
      </w:r>
    </w:p>
    <w:p>
      <w:pPr>
        <w:pStyle w:val="P68B1DB1Normal44"/>
        <w:widowControl w:val="false"/>
        <w:spacing w:lineRule="auto" w:line="240" w:before="206" w:after="0"/>
        <w:ind w:left="0" w:right="0" w:hanging="0"/>
        <w:jc w:val="left"/>
        <w:rPr>
          <w:rFonts w:ascii="Times New Roman" w:hAnsi="Times New Roman"/>
          <w:i/>
          <w:i/>
          <w:color w:val="000000"/>
          <w:sz w:val="24"/>
        </w:rPr>
      </w:pPr>
      <w:r>
        <w:rPr/>
        <w:t xml:space="preserve">Avainsanat: European Festival, European Public Holiday, World Exhibition of Europe Näytä tarkat tiedot </w:t>
      </w:r>
    </w:p>
    <w:p>
      <w:pPr>
        <w:pStyle w:val="P68B1DB1Normal19"/>
        <w:widowControl w:val="false"/>
        <w:spacing w:lineRule="auto" w:line="240" w:before="246" w:after="0"/>
        <w:ind w:left="0" w:right="10" w:hanging="0"/>
        <w:jc w:val="left"/>
        <w:rPr/>
      </w:pPr>
      <w:r>
        <w:rPr/>
        <w:t xml:space="preserve">Muutoksen tavoitteena on </w:t>
      </w:r>
      <w:r>
        <w:rPr>
          <w:b/>
        </w:rPr>
        <w:t>luoda ja elää eurooppalaista henkeä</w:t>
      </w:r>
      <w:r>
        <w:rPr/>
        <w:t xml:space="preserve"> yhteisten kokemusten, tapahtumien ja juhlatapahtumien avulla.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Mitkä ovat keskeiset vaiheet ja onnistumisen kriteerit? </w:t>
      </w:r>
    </w:p>
    <w:p>
      <w:pPr>
        <w:pStyle w:val="P68B1DB1Normal19"/>
        <w:widowControl w:val="false"/>
        <w:spacing w:lineRule="auto" w:line="240" w:before="239" w:after="0"/>
        <w:ind w:left="0" w:right="10" w:hanging="0"/>
        <w:jc w:val="both"/>
        <w:rPr/>
      </w:pPr>
      <w:r>
        <w:rPr/>
        <w:t xml:space="preserve">Kansalaisten kuvittelemien tapahtumien on tarkoitus olla </w:t>
      </w:r>
      <w:r>
        <w:rPr>
          <w:b/>
        </w:rPr>
        <w:t>hauskoja, yhdistäviä ja suosittuja</w:t>
      </w:r>
      <w:r>
        <w:rPr/>
        <w:t xml:space="preserve">, joista suurin osa jakaa. Tätä varten niihin olisi otettava mukaan </w:t>
      </w:r>
      <w:r>
        <w:rPr>
          <w:b/>
        </w:rPr>
        <w:t>kaikki yleisöt</w:t>
      </w:r>
      <w:r>
        <w:rPr/>
        <w:t xml:space="preserve"> (myös lapset, kouluyleisöt, nuoret ja Erasmus-opiskelijat) ja niitä olisi järjestettävä </w:t>
      </w:r>
      <w:r>
        <w:rPr>
          <w:b/>
        </w:rPr>
        <w:t>eri paikoissa</w:t>
      </w:r>
      <w:r>
        <w:rPr/>
        <w:t xml:space="preserve"> (eläkelaitokset, koulut, julkishallinnot, vankilat jne.). </w:t>
      </w:r>
    </w:p>
    <w:p>
      <w:pPr>
        <w:pStyle w:val="P68B1DB1Normal24"/>
        <w:widowControl w:val="false"/>
        <w:spacing w:lineRule="auto" w:line="240" w:before="327" w:after="0"/>
        <w:ind w:left="0" w:right="13" w:hanging="0"/>
        <w:jc w:val="both"/>
        <w:rPr/>
      </w:pPr>
      <w:r>
        <w:rPr/>
        <w:t xml:space="preserve">Erityisesti suunniteltiin kahta tapahtumaa, joiden tarkoituksena on saattaa eurooppalaiset yhteen: </w:t>
      </w:r>
      <w:r>
        <w:rPr>
          <w:b/>
        </w:rPr>
        <w:t>Euroopan universaali näyttely</w:t>
      </w:r>
      <w:r>
        <w:rPr/>
        <w:t xml:space="preserve">, joka mahdollistaisi kaikkien jäsenvaltioiden edustamisen ja 9. toukokuuta </w:t>
      </w:r>
      <w:r>
        <w:rPr>
          <w:b/>
        </w:rPr>
        <w:t>pidettävän Eurooppa-päivän uudelleenlaatimisen</w:t>
      </w:r>
      <w:r>
        <w:rPr/>
        <w:t>, johon sisältyisi erityisesti koulutustapahtuma</w:t>
      </w:r>
      <w:r>
        <w:rPr>
          <w:i/>
        </w:rPr>
        <w:t>, jotta ”emme unohda Eurooppaan ja sen arvoihin liittyvää rauhaa</w:t>
      </w:r>
      <w:r>
        <w:rPr/>
        <w:t xml:space="preserve">”. Samaan aikaan eurooppalaiset edustajat voisivat tavata maanosan koululaisia kouluissaan vahvistaakseen kansalaisten läheisyyttä ja ymmärtämystä varhaisesta iästä lähtien. </w:t>
      </w:r>
    </w:p>
    <w:p>
      <w:pPr>
        <w:pStyle w:val="P68B1DB1Normal19"/>
        <w:widowControl w:val="false"/>
        <w:spacing w:lineRule="auto" w:line="240" w:before="112"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Muutos 8 – Terveyden yhdenmukaistaminen ja sen saattaminen kaikkien eurooppalaisten ulottuville yhteisen terveyspolitiikan avulla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Assosioituneen Euroopan toive: Solidaarisuus Eurooppa, joka suojelee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Mitä tämä muutos tarkoittaa? </w:t>
      </w:r>
    </w:p>
    <w:p>
      <w:pPr>
        <w:pStyle w:val="P68B1DB1Normal7"/>
        <w:widowControl w:val="false"/>
        <w:spacing w:lineRule="auto" w:line="240" w:before="86" w:after="0"/>
        <w:ind w:left="0" w:right="10" w:hanging="0"/>
        <w:jc w:val="left"/>
        <w:rPr/>
      </w:pPr>
      <w:r>
        <w:rPr>
          <w:i/>
          <w:color w:val="000000"/>
        </w:rPr>
        <w:t>Avainsanat: yleinen terveydenhuollon kattavuus, hoidon yhdenmukaistaminen, terveys perusoikeutena</w:t>
      </w:r>
      <w:r>
        <w:rPr>
          <w:b/>
          <w:color w:val="273375"/>
        </w:rPr>
        <w:t xml:space="preserve"> </w:t>
      </w:r>
    </w:p>
    <w:p>
      <w:pPr>
        <w:pStyle w:val="P68B1DB1Normal19"/>
        <w:widowControl w:val="false"/>
        <w:spacing w:lineRule="auto" w:line="240" w:before="248" w:after="0"/>
        <w:ind w:left="0" w:right="10" w:hanging="0"/>
        <w:jc w:val="both"/>
        <w:rPr/>
      </w:pPr>
      <w:r>
        <w:rPr/>
        <w:t xml:space="preserve">Jotta kaikille eurooppalaisille voitaisiin taata terveydenhuollon saatavuus ja jotta voitaisiin vastata </w:t>
      </w:r>
      <w:r>
        <w:rPr>
          <w:i/>
        </w:rPr>
        <w:t>suojelun ja solidaarisuuden tarpeeseen</w:t>
      </w:r>
      <w:r>
        <w:rPr/>
        <w:t xml:space="preserve">, ehdotettiin yksimielisesti </w:t>
      </w:r>
      <w:r>
        <w:rPr>
          <w:b/>
        </w:rPr>
        <w:t>ylikansallista terveydenhuoltojärjestelmää</w:t>
      </w:r>
      <w:r>
        <w:rPr/>
        <w:t xml:space="preserve">. Se perustuisi jäsenvaltioiden väliseen oikeudenmukaiseen rahoitukseen ja perustuisi parhaisiin EU:n järjestelmiin. Tällainen muutos heijastaa kansalaisten halukkuutta nähdä Euroopan aktiivisempi rooli asukkaidensa suojelussa, erityisesti terveyden alalla, jossa toimia pidetään tähän mennessä liian arkaina.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Mitkä ovat keskeiset vaiheet ja onnistumisen kriteerit? </w:t>
      </w:r>
    </w:p>
    <w:p>
      <w:pPr>
        <w:pStyle w:val="P68B1DB1Normal19"/>
        <w:widowControl w:val="false"/>
        <w:spacing w:lineRule="auto" w:line="240" w:before="239" w:after="0"/>
        <w:ind w:left="0" w:right="10" w:hanging="0"/>
        <w:jc w:val="both"/>
        <w:rPr/>
      </w:pPr>
      <w:r>
        <w:rPr/>
        <w:t xml:space="preserve">Tämän muutoksen toteuttamiseksi enemmistö hyväksyi </w:t>
      </w:r>
      <w:r>
        <w:rPr>
          <w:b/>
        </w:rPr>
        <w:t>yleisen eurooppalaisen sosiaaliturvan</w:t>
      </w:r>
      <w:r>
        <w:rPr/>
        <w:t xml:space="preserve"> periaatteen. Järjestelmän soveltamista koskevista yksityiskohtaisista säännöistä ei kuitenkaan voitu päättää. Jotkut väittävät </w:t>
      </w:r>
      <w:r>
        <w:rPr>
          <w:i/>
        </w:rPr>
        <w:t xml:space="preserve">”tietojen keskittämistä, jotta [eurooppalaiset] terveydenhuollon työntekijät voivat tutustua kaikkiin potilaan sairaushistoriaan”, </w:t>
      </w:r>
      <w:r>
        <w:rPr/>
        <w:t xml:space="preserve">toiset pitävät tätä toimenpidettä </w:t>
      </w:r>
      <w:r>
        <w:rPr>
          <w:i/>
        </w:rPr>
        <w:t>”ylimääräisenä vapaudenriistona ja valvontajärjestelmänä”.</w:t>
      </w:r>
      <w:r>
        <w:rPr/>
        <w:t xml:space="preserve"> </w:t>
      </w:r>
    </w:p>
    <w:p>
      <w:pPr>
        <w:pStyle w:val="P68B1DB1Normal24"/>
        <w:widowControl w:val="false"/>
        <w:spacing w:lineRule="auto" w:line="240" w:before="329" w:after="0"/>
        <w:ind w:left="0" w:right="14" w:hanging="0"/>
        <w:jc w:val="both"/>
        <w:rPr/>
      </w:pPr>
      <w:r>
        <w:rPr>
          <w:b/>
        </w:rPr>
        <w:t xml:space="preserve">Läpinäkyvyys </w:t>
      </w:r>
      <w:r>
        <w:rPr/>
        <w:t>ja</w:t>
      </w:r>
      <w:r>
        <w:rPr>
          <w:b/>
        </w:rPr>
        <w:t>sääntelyvaatimusten yhdenmukaistaminen koko</w:t>
      </w:r>
      <w:r>
        <w:rPr/>
        <w:t xml:space="preserve"> mantereella sekä </w:t>
      </w:r>
      <w:r>
        <w:rPr>
          <w:b/>
        </w:rPr>
        <w:t>eurooppalainen terveyssuunnitelma ovat kuitenkin</w:t>
      </w:r>
      <w:r>
        <w:rPr/>
        <w:t xml:space="preserve"> kaikkien merkittävien muutosten ennakkoedellytyksiä. </w:t>
      </w:r>
    </w:p>
    <w:p>
      <w:pPr>
        <w:pStyle w:val="P68B1DB1Normal19"/>
        <w:spacing w:lineRule="auto" w:line="240"/>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left"/>
        <w:rPr/>
      </w:pPr>
      <w:r>
        <w:rPr/>
        <w:t xml:space="preserve">Muutos 9 – Kehitetään ja ohjataan strategisia kanavia Euroopan tasolla riippumattomuutemme varmistamiseksi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Assosioituneen Euroopan toive: Kilpailukykyinen ja innovatiivinen Eurooppa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Mitä tämä muutos tarkoittaa? </w:t>
      </w:r>
    </w:p>
    <w:p>
      <w:pPr>
        <w:pStyle w:val="P68B1DB1Normal7"/>
        <w:widowControl w:val="false"/>
        <w:spacing w:lineRule="auto" w:line="240" w:before="86" w:after="0"/>
        <w:ind w:left="0" w:right="9" w:hanging="0"/>
        <w:jc w:val="left"/>
        <w:rPr/>
      </w:pPr>
      <w:r>
        <w:rPr>
          <w:i/>
          <w:color w:val="000000"/>
        </w:rPr>
        <w:t>Avainsanat: eurooppalaisten menestyjien kehittäminen, ulkomaisten investointien valvonta, digitaalinen autonomia ja energia</w:t>
      </w:r>
      <w:r>
        <w:rPr>
          <w:b/>
          <w:color w:val="273375"/>
        </w:rPr>
        <w:t xml:space="preserve"> </w:t>
      </w:r>
    </w:p>
    <w:p>
      <w:pPr>
        <w:pStyle w:val="P68B1DB1Normal19"/>
        <w:widowControl w:val="false"/>
        <w:spacing w:lineRule="auto" w:line="240" w:before="248" w:after="0"/>
        <w:ind w:left="0" w:right="9" w:hanging="0"/>
        <w:jc w:val="both"/>
        <w:rPr/>
      </w:pPr>
      <w:r>
        <w:rPr/>
        <w:t xml:space="preserve">Strategiset alat, kuten terveys, elintarvike, energia, digitaaliteknologia, puolustus, liikenne ja uudet materiaalit Euroopan tasolla, vastaavat kansalaisten määrittelemään </w:t>
      </w:r>
      <w:r>
        <w:rPr>
          <w:b/>
        </w:rPr>
        <w:t>itsemääräämisoikeuden tarpeeseen</w:t>
      </w:r>
      <w:r>
        <w:rPr/>
        <w:t>. Tämä rajoittaisi eurooppalaisten yritysten välistä kilpailua, edistäisi</w:t>
      </w:r>
      <w:r>
        <w:rPr>
          <w:b/>
        </w:rPr>
        <w:t>mannermaisten mestareiden syntymistä</w:t>
      </w:r>
      <w:r>
        <w:rPr/>
        <w:t xml:space="preserve"> </w:t>
      </w:r>
      <w:r>
        <w:rPr>
          <w:b/>
        </w:rPr>
        <w:t>ja jälleenteollista Eurooppaa</w:t>
      </w:r>
      <w:r>
        <w:rPr/>
        <w:t xml:space="preserve"> eurooppalaisella mieltymyksellä.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Mitkä ovat keskeiset vaiheet ja onnistumisen kriteerit? </w:t>
      </w:r>
    </w:p>
    <w:p>
      <w:pPr>
        <w:pStyle w:val="P68B1DB1Normal19"/>
        <w:widowControl w:val="false"/>
        <w:spacing w:lineRule="auto" w:line="240" w:before="237" w:after="0"/>
        <w:ind w:left="0" w:right="9" w:hanging="0"/>
        <w:jc w:val="both"/>
        <w:rPr/>
      </w:pPr>
      <w:r>
        <w:rPr/>
        <w:t xml:space="preserve">Tämän itsemääräämisoikeuden saavuttamiseksi </w:t>
      </w:r>
      <w:r>
        <w:rPr>
          <w:b/>
        </w:rPr>
        <w:t>eurooppalaiselle viranomaiselle</w:t>
      </w:r>
      <w:r>
        <w:rPr/>
        <w:t xml:space="preserve"> voitaisiin antaa tehtäväksi johtaa näitä aloja myöntämällä lupia eurooppalaisten yritysten ostamiseen ulkomaisilta kilpailijoilta ja varmistamalla, että tuontituotteet täyttävät samat vaatimukset kuin EU:n tuotanto. Keskipitkällä aikavälillä</w:t>
      </w:r>
      <w:r>
        <w:rPr>
          <w:b/>
        </w:rPr>
        <w:t xml:space="preserve"> 30–50 prosenttia</w:t>
      </w:r>
      <w:r>
        <w:rPr/>
        <w:t xml:space="preserve"> Euroopan kulutuksesta näillä strategisilla aloilla olisi </w:t>
      </w:r>
      <w:r>
        <w:rPr>
          <w:b/>
        </w:rPr>
        <w:t>tuotettava mantereella</w:t>
      </w:r>
      <w:r>
        <w:rPr/>
        <w:t xml:space="preserve"> ja jopa </w:t>
      </w:r>
      <w:r>
        <w:rPr>
          <w:b/>
        </w:rPr>
        <w:t>70 prosenttia</w:t>
      </w:r>
      <w:r>
        <w:rPr/>
        <w:t xml:space="preserve"> pitkällä aikavälillä. Näiden kriteerien täyttäminen varmistaisi</w:t>
      </w:r>
      <w:r>
        <w:rPr>
          <w:b/>
        </w:rPr>
        <w:t>eurooppalaisen</w:t>
      </w:r>
      <w:r>
        <w:rPr/>
        <w:t xml:space="preserve"> teollisuusmallin omavaraisuuden sekä</w:t>
      </w:r>
      <w:r>
        <w:rPr>
          <w:b/>
        </w:rPr>
        <w:t xml:space="preserve"> vaikutusvallan</w:t>
      </w:r>
      <w:r>
        <w:rPr/>
        <w:t>ja jopa</w:t>
      </w:r>
      <w:r>
        <w:rPr>
          <w:b/>
        </w:rPr>
        <w:t>viennin</w:t>
      </w:r>
      <w:r>
        <w:rPr/>
        <w:t xml:space="preserve">. </w:t>
      </w:r>
    </w:p>
    <w:p>
      <w:pPr>
        <w:pStyle w:val="Normal"/>
        <w:spacing w:lineRule="auto" w:line="240"/>
        <w:rPr/>
      </w:pPr>
      <w:r>
        <w:rPr/>
      </w:r>
    </w:p>
    <w:p>
      <w:pPr>
        <w:pStyle w:val="P68B1DB1Normal42"/>
        <w:spacing w:lineRule="auto" w:line="240"/>
        <w:rPr/>
      </w:pPr>
      <w:r>
        <w:rPr/>
        <w:t xml:space="preserve">Muutos 10 – Ympäristöjen ja ekosysteemien suojelun parantaminen ja suojeltujen alueiden luominen kaupunki-, lähi- ja maaseutualueiden ytimeen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Assosioituneen Euroopan toive: Kestävää kehitystä edistävä Eurooppa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Mitä tämä muutos tarkoittaa? </w:t>
      </w:r>
    </w:p>
    <w:p>
      <w:pPr>
        <w:pStyle w:val="P68B1DB1Normal7"/>
        <w:widowControl w:val="false"/>
        <w:spacing w:lineRule="auto" w:line="240" w:before="78" w:after="0"/>
        <w:ind w:left="0" w:right="0" w:hanging="0"/>
        <w:jc w:val="left"/>
        <w:rPr/>
      </w:pPr>
      <w:r>
        <w:rPr>
          <w:i/>
          <w:color w:val="000000"/>
        </w:rPr>
        <w:t>Avainsanat: ympäristöystävällisempi kaupungistuminen, maaperän kunnioittaminen ja suojelu</w:t>
      </w:r>
      <w:r>
        <w:rPr>
          <w:b/>
          <w:color w:val="273375"/>
        </w:rPr>
        <w:t xml:space="preserve"> </w:t>
      </w:r>
    </w:p>
    <w:p>
      <w:pPr>
        <w:pStyle w:val="P68B1DB1Normal19"/>
        <w:widowControl w:val="false"/>
        <w:spacing w:lineRule="auto" w:line="240" w:before="321" w:after="0"/>
        <w:ind w:left="0" w:right="9" w:hanging="0"/>
        <w:jc w:val="both"/>
        <w:rPr/>
      </w:pPr>
      <w:r>
        <w:rPr/>
        <w:t xml:space="preserve">Tavoitteena </w:t>
      </w:r>
      <w:r>
        <w:rPr>
          <w:b/>
        </w:rPr>
        <w:t>on rajoittaa kaupungistumisen kielteisiä vaikutuksia maaperään</w:t>
      </w:r>
      <w:r>
        <w:rPr/>
        <w:t xml:space="preserve">. Voimakkaat toimet </w:t>
      </w:r>
      <w:r>
        <w:rPr>
          <w:b/>
        </w:rPr>
        <w:t>rajoittaisivat maaperän tuhoamiseen liittyviä katastrofeja</w:t>
      </w:r>
      <w:r>
        <w:rPr/>
        <w:t>, kuten maanvyörymiä</w:t>
      </w:r>
      <w:r>
        <w:rPr>
          <w:b/>
        </w:rPr>
        <w:t>, ja parantaisivat kaupunkialueiden elämänlaatua erityisesti</w:t>
      </w:r>
      <w:r>
        <w:rPr/>
        <w:t xml:space="preserve"> istuttamalla puita.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Mitkä ovat keskeiset vaiheet ja onnistumisen kriteerit? </w:t>
      </w:r>
    </w:p>
    <w:p>
      <w:pPr>
        <w:pStyle w:val="P68B1DB1Normal19"/>
        <w:widowControl w:val="false"/>
        <w:spacing w:lineRule="auto" w:line="240" w:before="318" w:after="0"/>
        <w:ind w:left="0" w:right="9" w:hanging="0"/>
        <w:jc w:val="both"/>
        <w:rPr/>
      </w:pPr>
      <w:r>
        <w:rPr/>
        <w:t xml:space="preserve">Ehdotettiin toimia kahdella tasolla: ensinnäkin on </w:t>
      </w:r>
      <w:r>
        <w:rPr>
          <w:b/>
        </w:rPr>
        <w:t>käännettävä uusien rakennelmien suuntaus</w:t>
      </w:r>
      <w:r>
        <w:rPr/>
        <w:t xml:space="preserve"> maaperän tiivistämisen vähentämiseksi ja toiseksi </w:t>
      </w:r>
      <w:r>
        <w:rPr>
          <w:b/>
        </w:rPr>
        <w:t>kannustettava maaperän ennallistamista</w:t>
      </w:r>
      <w:r>
        <w:rPr/>
        <w:t xml:space="preserve"> ” </w:t>
      </w:r>
      <w:r>
        <w:rPr>
          <w:i/>
        </w:rPr>
        <w:t>palauttamaan luontoon se, mikä siihen kuuluu</w:t>
      </w:r>
      <w:r>
        <w:rPr/>
        <w:t xml:space="preserve">”. </w:t>
      </w:r>
    </w:p>
    <w:p>
      <w:pPr>
        <w:pStyle w:val="Normal"/>
        <w:spacing w:lineRule="auto" w:line="240"/>
        <w:rPr/>
      </w:pPr>
      <w:r>
        <w:rPr/>
      </w:r>
    </w:p>
    <w:p>
      <w:pPr>
        <w:pStyle w:val="P68B1DB1Normal42"/>
        <w:spacing w:lineRule="auto" w:line="240"/>
        <w:rPr/>
      </w:pPr>
      <w:r>
        <w:rPr/>
        <w:t xml:space="preserve">Muutos 11 – Eurooppalaisten toimipisteiden perustaminen alueille kansalaisten kuuntelemiseksi ja neuvomiseksi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Assosioituneen Euroopan toive: Tiiviimpi ja esteetön Eurooppa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Mitä tämä muutos tarkoittaa?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Avainsanat: Euroopan talot, referent Europe local, parempi tiedonsaanti </w:t>
      </w:r>
    </w:p>
    <w:p>
      <w:pPr>
        <w:pStyle w:val="P68B1DB1Normal19"/>
        <w:widowControl w:val="false"/>
        <w:spacing w:lineRule="auto" w:line="240" w:before="326" w:after="0"/>
        <w:ind w:left="0" w:right="11" w:hanging="0"/>
        <w:jc w:val="both"/>
        <w:rPr/>
      </w:pPr>
      <w:r>
        <w:rPr/>
        <w:t xml:space="preserve">Muutoksen tavoitteena on tarjota konkreettisia vastauksia siihen, että </w:t>
      </w:r>
      <w:r>
        <w:rPr>
          <w:b/>
        </w:rPr>
        <w:t>Euroopan unioni ei ole</w:t>
      </w:r>
      <w:r>
        <w:rPr/>
        <w:t xml:space="preserve"> ruumiillistunut jokapäiväiseen elämään, minkä monet osallistujat ovat havainneet, ja pyrkiä lähentämään Eurooppaa ja sen kansalaisia.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Mitkä ovat keskeiset vaiheet ja onnistumisen kriteerit? </w:t>
      </w:r>
    </w:p>
    <w:p>
      <w:pPr>
        <w:pStyle w:val="P68B1DB1Normal24"/>
        <w:widowControl w:val="false"/>
        <w:spacing w:lineRule="auto" w:line="240" w:before="317" w:after="0"/>
        <w:ind w:left="0" w:right="14" w:hanging="0"/>
        <w:jc w:val="both"/>
        <w:rPr/>
      </w:pPr>
      <w:r>
        <w:rPr/>
        <w:t xml:space="preserve">EU:n ja kansalaisten välisen etäisyyden korjaamiseksi </w:t>
      </w:r>
      <w:r>
        <w:rPr>
          <w:b/>
        </w:rPr>
        <w:t>kuhunkin kaupungintaloon</w:t>
      </w:r>
      <w:r>
        <w:rPr/>
        <w:t xml:space="preserve"> voitaisiin nimetä asiantuntijatuomari, jonka tehtävänä olisi kuunnella ja neuvoa kansalaisia. Tässä kertomuksessa esitetyt tiedot voisivat olla sosioekonomisia, erityisesti EU:n tai tiedotusavun saatavuutta, esimerkiksi lobbaajien roolia. Tiedot olisi tarkoitettu sekä suurelle yleisölle että ammattilaisille, erityisesti neuvomaan pk-yrityksiä ja auttamaan hankejohtajia saamaan EU:n rahoitusta. Pitkällä aikavälillä tämä muutos voisi johtaa </w:t>
      </w:r>
      <w:r>
        <w:rPr>
          <w:b/>
        </w:rPr>
        <w:t>Eurooppaan omistettujen paikkojen luomiseen, jotka</w:t>
      </w:r>
      <w:r>
        <w:rPr/>
        <w:t xml:space="preserve"> muistuttavat Euroopan nykyisiä taloja, mutta yhteisötasolla, mikä mahdollistaa hienon alueellisen verkoston. </w:t>
      </w:r>
    </w:p>
    <w:p>
      <w:pPr>
        <w:pStyle w:val="P68B1DB1Normal24"/>
        <w:widowControl w:val="false"/>
        <w:spacing w:lineRule="auto" w:line="240" w:before="235" w:after="0"/>
        <w:ind w:left="0" w:right="15" w:hanging="0"/>
        <w:jc w:val="both"/>
        <w:rPr/>
      </w:pPr>
      <w:r>
        <w:rPr/>
        <w:t xml:space="preserve">Muutoksen onnistuminen olisi täydellinen, jos jokainen kansalainen tietäisi ” </w:t>
      </w:r>
      <w:r>
        <w:rPr>
          <w:i/>
        </w:rPr>
        <w:t>selvästi” tämän viittauksen olemassaolon ja tämän Euroopan käyttöön osoitettujen resurssien paikan, joka</w:t>
      </w:r>
      <w:r>
        <w:rPr/>
        <w:t xml:space="preserve">tarjoaisi resursseja, kuuntelua, tietoa ja neuvontaa.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both"/>
        <w:rPr/>
      </w:pPr>
      <w:r>
        <w:rPr/>
        <w:t xml:space="preserve">Muutos 12 – Yhdistetään 27 jäsenvaltion Euroopan parlamentin valintatapa ja parannetaan kansalaisten läheisyyttä korvaamalla nykyinen äänestys kertaluonteisella äänestyksellä aluetasolla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Assosioituneen Euroopan toive: Eurooppa, jossa hallinto on tehokkaampaa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Mitä tämä muutos tarkoittaa? </w:t>
      </w:r>
    </w:p>
    <w:p>
      <w:pPr>
        <w:pStyle w:val="P68B1DB1Normal7"/>
        <w:widowControl w:val="false"/>
        <w:spacing w:lineRule="auto" w:line="240" w:before="76" w:after="0"/>
        <w:ind w:left="0" w:right="0" w:hanging="0"/>
        <w:jc w:val="left"/>
        <w:rPr/>
      </w:pPr>
      <w:r>
        <w:rPr>
          <w:i/>
          <w:color w:val="000000"/>
        </w:rPr>
        <w:t>Avainsanat: institutionaalinen muutos, jota seuraa kansalaisten toiminta koko toimikauden ajan</w:t>
      </w:r>
      <w:r>
        <w:rPr>
          <w:b/>
          <w:color w:val="273375"/>
        </w:rPr>
        <w:t xml:space="preserve"> </w:t>
      </w:r>
    </w:p>
    <w:p>
      <w:pPr>
        <w:pStyle w:val="P68B1DB1Normal19"/>
        <w:widowControl w:val="false"/>
        <w:spacing w:lineRule="auto" w:line="240" w:before="275" w:after="0"/>
        <w:ind w:left="0" w:right="10" w:hanging="0"/>
        <w:jc w:val="both"/>
        <w:rPr/>
      </w:pPr>
      <w:r>
        <w:rPr/>
        <w:t xml:space="preserve">Tämä muutos heijastaa kansalaisten halua vahvistaa </w:t>
      </w:r>
      <w:r>
        <w:rPr>
          <w:b/>
        </w:rPr>
        <w:t>läheisyyttään vaaleilla valittuihin</w:t>
      </w:r>
      <w:r>
        <w:rPr/>
        <w:t xml:space="preserve"> virkamiehiin ja seurata heidän toimiaan koko toimikautensa ajan. Se vastaa laajalti yhteiseen havaintoon, jonka mukaan Euroopan parlamentin vaaleilla valitut edustajat eivät ole muuttaneet kansalaisten huolenaiheita konkreettisiksi toimiksi. </w:t>
      </w:r>
    </w:p>
    <w:p>
      <w:pPr>
        <w:pStyle w:val="P68B1DB1Normal33"/>
        <w:widowControl w:val="false"/>
        <w:spacing w:lineRule="auto" w:line="240" w:before="381" w:after="0"/>
        <w:ind w:left="0" w:right="0" w:hanging="0"/>
        <w:jc w:val="left"/>
        <w:rPr>
          <w:rFonts w:ascii="Times New Roman" w:hAnsi="Times New Roman"/>
          <w:b/>
          <w:b/>
          <w:color w:val="000000"/>
          <w:sz w:val="24"/>
        </w:rPr>
      </w:pPr>
      <w:r>
        <w:rPr/>
        <w:t xml:space="preserve">Mitkä ovat keskeiset vaiheet ja onnistumisen kriteerit? </w:t>
      </w:r>
    </w:p>
    <w:p>
      <w:pPr>
        <w:pStyle w:val="P68B1DB1Normal19"/>
        <w:widowControl w:val="false"/>
        <w:spacing w:lineRule="auto" w:line="240" w:before="316" w:after="0"/>
        <w:ind w:left="0" w:right="10" w:hanging="0"/>
        <w:jc w:val="both"/>
        <w:rPr/>
      </w:pPr>
      <w:r>
        <w:rPr/>
        <w:t xml:space="preserve">Vaalitavan muutos merkitsisi </w:t>
      </w:r>
      <w:r>
        <w:rPr>
          <w:b/>
        </w:rPr>
        <w:t>äänestysjärjestelmän yhtenäistämistä</w:t>
      </w:r>
      <w:r>
        <w:rPr/>
        <w:t xml:space="preserve"> Euroopan tasolla ja siirtymistä kansallisista vaalipiireistä alueellisiin vaalipiireihin, joiden arvioidaan olevan mahdollista vuoteen 2035 mennessä. </w:t>
      </w:r>
    </w:p>
    <w:p>
      <w:pPr>
        <w:pStyle w:val="Normal"/>
        <w:spacing w:lineRule="auto" w:line="240"/>
        <w:rPr/>
      </w:pPr>
      <w:r>
        <w:rPr/>
      </w:r>
    </w:p>
    <w:p>
      <w:pPr>
        <w:pStyle w:val="P68B1DB1Normal42"/>
        <w:spacing w:lineRule="auto" w:line="240"/>
        <w:rPr/>
      </w:pPr>
      <w:r>
        <w:rPr/>
        <w:t xml:space="preserve">Muutos 13 – maahanmuuttajien vastaanoton sekä sosiaalisen ja ammatillisen kotoutumisen parantamista koskevan yhteisen politiikan määrittely (mukaan lukien laittomat maahanmuuttajat)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Assosioituneen Euroopan toive: Eurooppa, joka takaa perusoikeuksien kunnioittamisen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Mitä tämä muutos tarkoittaa? </w:t>
      </w:r>
    </w:p>
    <w:p>
      <w:pPr>
        <w:pStyle w:val="P68B1DB1Normal7"/>
        <w:widowControl w:val="false"/>
        <w:spacing w:lineRule="auto" w:line="240" w:before="76" w:after="0"/>
        <w:ind w:left="0" w:right="0" w:hanging="0"/>
        <w:jc w:val="left"/>
        <w:rPr/>
      </w:pPr>
      <w:r>
        <w:rPr>
          <w:i/>
          <w:color w:val="000000"/>
        </w:rPr>
        <w:t>Avainsanat: Euroopan muuttoliikevirasto, joka varmistaa ihmisarvoisen vastaanoton kaikkialla Euroopassa</w:t>
      </w:r>
      <w:r>
        <w:rPr>
          <w:b/>
          <w:color w:val="273375"/>
        </w:rPr>
        <w:t xml:space="preserve"> </w:t>
      </w:r>
    </w:p>
    <w:p>
      <w:pPr>
        <w:pStyle w:val="P68B1DB1Normal19"/>
        <w:widowControl w:val="false"/>
        <w:spacing w:lineRule="auto" w:line="240" w:before="248" w:after="0"/>
        <w:ind w:left="0" w:right="10" w:hanging="0"/>
        <w:jc w:val="both"/>
        <w:rPr/>
      </w:pPr>
      <w:r>
        <w:rPr/>
        <w:t xml:space="preserve">Muutoksen tavoitteena on parantaa maahanmuuttajien vastaanottoa Euroopan unionissa, mikä on kansalaisten </w:t>
      </w:r>
      <w:r>
        <w:rPr>
          <w:b/>
        </w:rPr>
        <w:t>yksimielinen hätätapaus</w:t>
      </w:r>
      <w:r>
        <w:rPr/>
        <w:t xml:space="preserve">. Nykyisessä tilanteessa </w:t>
      </w:r>
      <w:r>
        <w:rPr>
          <w:b/>
        </w:rPr>
        <w:t>yhteisen, yhtenäisen ja solidaarisen maahanmuuttopolitiikan</w:t>
      </w:r>
      <w:r>
        <w:rPr/>
        <w:t xml:space="preserve"> luominen näyttää olevan merkittävä rauhan veturi.</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Mitkä ovat keskeiset vaiheet ja onnistumisen kriteerit? </w:t>
      </w:r>
    </w:p>
    <w:p>
      <w:pPr>
        <w:pStyle w:val="P68B1DB1Normal19"/>
        <w:widowControl w:val="false"/>
        <w:spacing w:lineRule="auto" w:line="240" w:before="243" w:after="0"/>
        <w:ind w:left="0" w:right="10" w:hanging="0"/>
        <w:jc w:val="left"/>
        <w:rPr/>
      </w:pPr>
      <w:r>
        <w:rPr/>
        <w:t xml:space="preserve">Tällaisen muutoksen onnistuminen johtaisi maahanmuuttajien vastaanottoa koskevan yhteisen politiikan asteittaiseen täytäntöönpanoon. </w:t>
      </w:r>
    </w:p>
    <w:p>
      <w:pPr>
        <w:pStyle w:val="P68B1DB1Normal19"/>
        <w:widowControl w:val="false"/>
        <w:spacing w:lineRule="auto" w:line="240" w:before="326" w:after="0"/>
        <w:ind w:left="0" w:right="10" w:hanging="0"/>
        <w:jc w:val="both"/>
        <w:rPr/>
      </w:pPr>
      <w:r>
        <w:rPr>
          <w:b/>
        </w:rPr>
        <w:t>Kansalaisaloitteessa</w:t>
      </w:r>
      <w:r>
        <w:rPr/>
        <w:t xml:space="preserve"> olisi annettava asia komission käsiteltäväksi, ja sen olisi mahdollistettava keskipitkällä aikavälillä sellaisten </w:t>
      </w:r>
      <w:r>
        <w:rPr>
          <w:b/>
        </w:rPr>
        <w:t>yhteisten standardien</w:t>
      </w:r>
      <w:r>
        <w:rPr/>
        <w:t xml:space="preserve"> hyväksyminen, jotka määrittävät puitteet maahanmuuttajien vastaanotolle ja sosiaaliselle kotoutumiselle. Pitkällä aikavälillä tätä standardia tuettaisiin perustamalla </w:t>
      </w:r>
      <w:r>
        <w:rPr>
          <w:b/>
        </w:rPr>
        <w:t>erityinen eurooppalainen maahanmuuttovirasto</w:t>
      </w:r>
      <w:r>
        <w:rPr/>
        <w:t xml:space="preserve"> ja tunnustamalla maahanmuuttopolitiikka Euroopan unionin toimivallaksi. </w:t>
      </w:r>
    </w:p>
    <w:p>
      <w:pPr>
        <w:pStyle w:val="Normal"/>
        <w:spacing w:lineRule="auto" w:line="240"/>
        <w:rPr/>
      </w:pPr>
      <w:r>
        <w:rPr/>
      </w:r>
    </w:p>
    <w:p>
      <w:pPr>
        <w:pStyle w:val="P68B1DB1Normal42"/>
        <w:spacing w:lineRule="auto" w:line="240"/>
        <w:rPr/>
      </w:pPr>
      <w:r>
        <w:rPr/>
        <w:t xml:space="preserve">Muutos 14 – Euroopan eri alueiden erityispiirteiden (elintarvikemerkinnät, käsityötuotteiden tuotanto, perinteet) säilyttäminen, jotta voidaan välttää yhtenäiset elämäntavat ja varmistaa tuotteiden jäljitettävyys ja laatu </w:t>
      </w:r>
    </w:p>
    <w:p>
      <w:pPr>
        <w:pStyle w:val="P68B1DB1Normal43"/>
        <w:widowControl w:val="false"/>
        <w:spacing w:lineRule="auto" w:line="240" w:before="347" w:after="0"/>
        <w:ind w:left="0" w:right="912" w:hanging="0"/>
        <w:jc w:val="left"/>
        <w:rPr/>
      </w:pPr>
      <w:r>
        <w:rPr/>
        <w:t xml:space="preserve">Assosioituneen Euroopan toive: Eurooppa, jossa kunkin valtion edut ovat etusijalla </w:t>
      </w:r>
    </w:p>
    <w:p>
      <w:pPr>
        <w:pStyle w:val="P68B1DB1Normal33"/>
        <w:widowControl w:val="false"/>
        <w:spacing w:lineRule="auto" w:line="240" w:before="347" w:after="0"/>
        <w:ind w:left="0" w:right="912" w:hanging="0"/>
        <w:jc w:val="left"/>
        <w:rPr>
          <w:rFonts w:ascii="Times New Roman" w:hAnsi="Times New Roman"/>
          <w:b/>
          <w:b/>
          <w:color w:val="000000"/>
          <w:sz w:val="24"/>
        </w:rPr>
      </w:pPr>
      <w:r>
        <w:rPr/>
        <w:t xml:space="preserve">Mitä tämä muutos tarkoittaa? </w:t>
      </w:r>
    </w:p>
    <w:p>
      <w:pPr>
        <w:pStyle w:val="P68B1DB1Normal7"/>
        <w:widowControl w:val="false"/>
        <w:spacing w:lineRule="auto" w:line="240" w:before="76" w:after="0"/>
        <w:ind w:left="0" w:right="0" w:hanging="0"/>
        <w:jc w:val="left"/>
        <w:rPr/>
      </w:pPr>
      <w:r>
        <w:rPr>
          <w:i/>
          <w:color w:val="000000"/>
        </w:rPr>
        <w:t>Avainsanat: Eurooppalaiset merkinnät, joissa arvostetaan kulttuurien ja perinteiden moninaisuutta</w:t>
      </w:r>
      <w:r>
        <w:rPr>
          <w:b/>
          <w:color w:val="273375"/>
        </w:rPr>
        <w:t xml:space="preserve"> </w:t>
      </w:r>
    </w:p>
    <w:p>
      <w:pPr>
        <w:pStyle w:val="P68B1DB1Normal19"/>
        <w:widowControl w:val="false"/>
        <w:spacing w:lineRule="auto" w:line="240" w:before="323" w:after="0"/>
        <w:ind w:left="0" w:right="10" w:hanging="0"/>
        <w:jc w:val="both"/>
        <w:rPr/>
      </w:pPr>
      <w:r>
        <w:rPr/>
        <w:t xml:space="preserve">Muutoksen tavoitteena on säilyttää </w:t>
      </w:r>
      <w:r>
        <w:rPr>
          <w:b/>
        </w:rPr>
        <w:t>eurooppalaisten perinteiden ja tuotantojen moninaisuus</w:t>
      </w:r>
      <w:r>
        <w:rPr/>
        <w:t xml:space="preserve"> ja</w:t>
      </w:r>
      <w:r>
        <w:rPr>
          <w:b/>
        </w:rPr>
        <w:t>välttää elintapojen standardointi</w:t>
      </w:r>
      <w:r>
        <w:rPr/>
        <w:t>, jota kutsutaan usein Euroopan unionin arvosteluksi.</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Mitkä ovat keskeiset vaiheet ja onnistumisen kriteerit? </w:t>
      </w:r>
    </w:p>
    <w:p>
      <w:pPr>
        <w:pStyle w:val="P68B1DB1Normal19"/>
        <w:widowControl w:val="false"/>
        <w:spacing w:lineRule="auto" w:line="240" w:before="322" w:after="0"/>
        <w:ind w:left="0" w:right="10" w:hanging="0"/>
        <w:jc w:val="both"/>
        <w:rPr/>
      </w:pPr>
      <w:r>
        <w:rPr/>
        <w:t xml:space="preserve">Kansalaisten kannalta päätavoitteena on tehdä olemassa olevasta tietokannasta, jossa luetellaan erilaiset </w:t>
      </w:r>
      <w:r>
        <w:rPr>
          <w:b/>
        </w:rPr>
        <w:t>eurooppalaiset ja kansalliset merkinnät</w:t>
      </w:r>
      <w:r>
        <w:rPr/>
        <w:t xml:space="preserve">, helpommin saatavilla oleva tietokanta. Tätä varten ehdotetaan ” </w:t>
      </w:r>
      <w:r>
        <w:rPr>
          <w:i/>
        </w:rPr>
        <w:t>kolmen napsautuksen”</w:t>
      </w:r>
      <w:r>
        <w:rPr/>
        <w:t xml:space="preserve"> verkkosivuston luomista: sivustolle pääsee yhdellä napsautuksella, toisella näytetään Euroopan unionin alueiden kartta ja toisessa esitetään kunkin alueen nimikkeiden kuvaus. </w:t>
      </w:r>
    </w:p>
    <w:p>
      <w:pPr>
        <w:pStyle w:val="Normal"/>
        <w:widowControl w:val="false"/>
        <w:spacing w:lineRule="auto" w:line="240" w:before="327" w:after="0"/>
        <w:ind w:left="0" w:right="14" w:hanging="0"/>
        <w:jc w:val="left"/>
        <w:rPr/>
      </w:pPr>
      <w:r>
        <w:rPr>
          <w:rFonts w:ascii="Times New Roman" w:hAnsi="Times New Roman"/>
          <w:color w:val="000000"/>
        </w:rPr>
        <w:t xml:space="preserve">Muutoksen onnistuminen merkitsisi tehostettua </w:t>
      </w:r>
      <w:r>
        <w:rPr>
          <w:rFonts w:ascii="Times New Roman" w:hAnsi="Times New Roman"/>
          <w:b/>
          <w:color w:val="000000"/>
        </w:rPr>
        <w:t>viestintää</w:t>
      </w:r>
      <w:r>
        <w:rPr>
          <w:rFonts w:ascii="Times New Roman" w:hAnsi="Times New Roman"/>
          <w:color w:val="000000"/>
        </w:rPr>
        <w:t xml:space="preserve"> olemassa olevista saavutuksista, mikä parantaisi eurooppalaisten kulttuurien moninaisuuden </w:t>
      </w:r>
      <w:r>
        <w:rPr>
          <w:rFonts w:ascii="Times New Roman" w:hAnsi="Times New Roman"/>
          <w:b/>
          <w:color w:val="000000"/>
        </w:rPr>
        <w:t>ymmärtämistä</w:t>
      </w:r>
      <w:r>
        <w:rPr>
          <w:rFonts w:ascii="Times New Roman" w:hAnsi="Times New Roman"/>
          <w:color w:val="000000"/>
        </w:rPr>
        <w:t xml:space="preserve"> kansalaisten keskuudessa.</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Toinen osa: ”Sana to Youth” -kuulemisen tulosten esittely</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t xml:space="preserve">Kuulemisen päivämäärät </w:t>
      </w:r>
    </w:p>
    <w:p>
      <w:pPr>
        <w:pStyle w:val="P68B1DB1Normal19"/>
        <w:widowControl w:val="false"/>
        <w:spacing w:lineRule="auto" w:line="240" w:before="34" w:after="0"/>
        <w:ind w:left="0" w:right="0" w:hanging="0"/>
        <w:jc w:val="center"/>
        <w:rPr/>
      </w:pPr>
      <w:r>
        <w:rPr/>
        <w:t>tullattaessa 9.5.2021–18/07/2021</w:t>
      </w:r>
      <w:r>
        <w:rPr>
          <w:b/>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t xml:space="preserve"> </w:t>
      </w:r>
    </w:p>
    <w:p>
      <w:pPr>
        <w:pStyle w:val="P68B1DB1Normal48"/>
        <w:widowControl w:val="false"/>
        <w:spacing w:lineRule="auto" w:line="240" w:before="26" w:after="0"/>
        <w:ind w:left="0" w:right="0" w:hanging="0"/>
        <w:jc w:val="center"/>
        <w:rPr/>
      </w:pPr>
      <w:r>
        <w:rPr>
          <w:b/>
        </w:rPr>
        <w:t>Osallistumisluvut</w:t>
      </w:r>
      <w:r>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t xml:space="preserve">50 008 osallistujaa </w:t>
      </w:r>
    </w:p>
    <w:p>
      <w:pPr>
        <w:pStyle w:val="P68B1DB1Normal19"/>
        <w:widowControl w:val="false"/>
        <w:spacing w:lineRule="auto" w:line="240" w:before="92" w:after="0"/>
        <w:ind w:left="0" w:right="0" w:hanging="0"/>
        <w:jc w:val="center"/>
        <w:rPr>
          <w:rFonts w:ascii="Times New Roman" w:hAnsi="Times New Roman"/>
          <w:color w:val="000000"/>
          <w:sz w:val="24"/>
        </w:rPr>
      </w:pPr>
      <w:r>
        <w:rPr/>
        <w:t xml:space="preserve">2 918 ehdotusta </w:t>
      </w:r>
    </w:p>
    <w:p>
      <w:pPr>
        <w:pStyle w:val="P68B1DB1Normal19"/>
        <w:widowControl w:val="false"/>
        <w:spacing w:lineRule="auto" w:line="240" w:before="90" w:after="0"/>
        <w:ind w:left="0" w:right="0" w:hanging="0"/>
        <w:jc w:val="center"/>
        <w:rPr>
          <w:rFonts w:ascii="Times New Roman" w:hAnsi="Times New Roman"/>
          <w:color w:val="000000"/>
          <w:sz w:val="24"/>
        </w:rPr>
      </w:pPr>
      <w:r>
        <w:rPr/>
        <w:t xml:space="preserve">338 330 ääntä </w:t>
      </w:r>
    </w:p>
    <w:p>
      <w:pPr>
        <w:pStyle w:val="P68B1DB1Normal49"/>
        <w:widowControl w:val="false"/>
        <w:spacing w:lineRule="auto" w:line="240" w:before="106" w:after="0"/>
        <w:ind w:left="4819" w:right="0" w:hanging="0"/>
        <w:jc w:val="left"/>
        <w:rPr>
          <w:rFonts w:ascii="Times New Roman" w:hAnsi="Times New Roman"/>
          <w:color w:val="000000"/>
          <w:sz w:val="12"/>
        </w:rPr>
      </w:pPr>
      <w:r>
        <w:rPr/>
        <w:t xml:space="preserve"> </w:t>
      </w:r>
    </w:p>
    <w:p>
      <w:pPr>
        <w:pStyle w:val="P68B1DB1Normal50"/>
        <w:widowControl w:val="false"/>
        <w:spacing w:lineRule="auto" w:line="240" w:before="30" w:after="0"/>
        <w:ind w:left="0" w:right="28" w:hanging="0"/>
        <w:jc w:val="both"/>
        <w:rPr/>
      </w:pPr>
      <w:r>
        <w:rPr/>
        <w:t>”</w:t>
      </w:r>
      <w:r>
        <w:rPr/>
        <w:t xml:space="preserve">Walk to Youth” -kuuleminen käynnistettiin Eurooppa-asioiden valtion sihteeristön aloitteesta. Tämä kuuleminen liittyy Euroopan tulevaisuutta käsittelevään konferenssiin, joka on ennennäkemätön osallistava demokratia, jota johtavat EU:n toimielimet. Sen tavoitteena on antaa kaikille Euroopan kansalaisille mahdollisuus ilmaista näkemyksensä siitä, mitä he odottavat Euroopan unionilta. Kuulemisesta saatuja kokemuksia hyödynnetään Euroopan tulevaisuutta käsittelevän konferenssin ja Euroopan unionin neuvoston puheenjohtajavaltion Ranskan työskentelyssä. </w:t>
      </w:r>
    </w:p>
    <w:p>
      <w:pPr>
        <w:pStyle w:val="P68B1DB1Normal51"/>
        <w:widowControl w:val="false"/>
        <w:spacing w:lineRule="auto" w:line="240" w:before="210" w:after="0"/>
        <w:ind w:left="0" w:right="0" w:hanging="0"/>
        <w:jc w:val="left"/>
        <w:rPr>
          <w:rFonts w:ascii="Times New Roman" w:hAnsi="Times New Roman"/>
          <w:b/>
          <w:b/>
          <w:color w:val="222222"/>
          <w:sz w:val="24"/>
        </w:rPr>
      </w:pPr>
      <w:r>
        <w:rPr/>
        <w:t xml:space="preserve">4 oppituntia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Nuorten massiivinen mobilisointi: kuulemiseen</w:t>
      </w:r>
      <w:r>
        <w:rPr>
          <w:rFonts w:ascii="Times New Roman" w:hAnsi="Times New Roman"/>
          <w:b/>
        </w:rPr>
        <w:t xml:space="preserve"> osallistui yli 50 000 nuorta Ranskan kansalaista </w:t>
      </w:r>
      <w:r>
        <w:rPr>
          <w:rFonts w:ascii="Times New Roman" w:hAnsi="Times New Roman"/>
        </w:rPr>
        <w:t xml:space="preserve">kaikilla alueilla.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rPr>
        <w:t xml:space="preserve"> Tärkein yksimielisyys </w:t>
      </w:r>
      <w:r>
        <w:rPr>
          <w:rFonts w:ascii="Times New Roman" w:hAnsi="Times New Roman"/>
          <w:b/>
        </w:rPr>
        <w:t>koskee EU:n politiikkoja ilmastonmuutoksen torjumiseksi, tuotannon siirtämistä  Eurooppaan, eurooppalaisen demokratian elvyttämistä, EU:n painoarvoa maailmassa (talous, tutkimus, ihmisoikeudet, diplomatia).</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b/>
        </w:rPr>
        <w:t>Ajatus voimakkaammasta ja yhtenäisemmästä Euroopasta käy läpi koko kuulemisen,</w:t>
      </w:r>
      <w:r>
        <w:rPr>
          <w:rFonts w:ascii="Times New Roman" w:hAnsi="Times New Roman"/>
        </w:rPr>
        <w:t xml:space="preserve"> ja siitä päästään yksimielisyyteen useista seikoista: </w:t>
      </w:r>
    </w:p>
    <w:p>
      <w:pPr>
        <w:pStyle w:val="P68B1DB1Normal34"/>
        <w:widowControl w:val="false"/>
        <w:spacing w:lineRule="auto" w:line="240" w:before="92" w:after="0"/>
        <w:ind w:left="360" w:right="0" w:hanging="0"/>
        <w:jc w:val="left"/>
        <w:rPr/>
      </w:pPr>
      <w:r>
        <w:rPr>
          <w:rFonts w:ascii="Times New Roman" w:hAnsi="Times New Roman"/>
        </w:rPr>
        <w:t>Vahvempaa</w:t>
      </w:r>
      <w:r>
        <w:rPr/>
        <w:t xml:space="preserve"> </w:t>
      </w:r>
      <w:r>
        <w:rPr>
          <w:rFonts w:ascii="Times New Roman" w:hAnsi="Times New Roman"/>
        </w:rPr>
        <w:t xml:space="preserve">Eurooppaa taloudellisesti (etenkin sisäisten siirtojen avulla) selviytyäkseen Kiinan tai Yhdysvaltojen kanssa </w:t>
      </w:r>
    </w:p>
    <w:p>
      <w:pPr>
        <w:pStyle w:val="P68B1DB1Normal34"/>
        <w:widowControl w:val="false"/>
        <w:spacing w:lineRule="auto" w:line="240" w:before="92" w:after="0"/>
        <w:ind w:left="360" w:right="0" w:hanging="0"/>
        <w:jc w:val="left"/>
        <w:rPr/>
      </w:pPr>
      <w:r>
        <w:rPr>
          <w:rFonts w:ascii="Times New Roman" w:hAnsi="Times New Roman"/>
        </w:rPr>
        <w:t>Diplomaattinen</w:t>
      </w:r>
      <w:r>
        <w:rPr/>
        <w:t xml:space="preserve"> </w:t>
      </w:r>
      <w:r>
        <w:rPr>
          <w:rFonts w:ascii="Times New Roman" w:hAnsi="Times New Roman"/>
        </w:rPr>
        <w:t xml:space="preserve">Eurooppa, joka painostaa enemmän kansainvälisellä näyttämöllä </w:t>
      </w:r>
    </w:p>
    <w:p>
      <w:pPr>
        <w:pStyle w:val="P68B1DB1Normal34"/>
        <w:widowControl w:val="false"/>
        <w:spacing w:lineRule="auto" w:line="240" w:before="85" w:after="0"/>
        <w:ind w:left="360" w:right="1483" w:hanging="0"/>
        <w:jc w:val="left"/>
        <w:rPr/>
      </w:pPr>
      <w:r>
        <w:rPr>
          <w:rFonts w:ascii="Times New Roman" w:hAnsi="Times New Roman"/>
        </w:rPr>
        <w:t>Euroopan</w:t>
      </w:r>
      <w:r>
        <w:rPr/>
        <w:t xml:space="preserve"> </w:t>
      </w:r>
      <w:r>
        <w:rPr>
          <w:rFonts w:ascii="Times New Roman" w:hAnsi="Times New Roman"/>
        </w:rPr>
        <w:t>johtoasema ilmastonmuutoksen torjunnassa maailmassa</w:t>
      </w:r>
    </w:p>
    <w:p>
      <w:pPr>
        <w:pStyle w:val="P68B1DB1Normal34"/>
        <w:widowControl w:val="false"/>
        <w:spacing w:lineRule="auto" w:line="240" w:before="85" w:after="0"/>
        <w:ind w:left="360" w:right="1483" w:hanging="0"/>
        <w:jc w:val="left"/>
        <w:rPr/>
      </w:pPr>
      <w:r>
        <w:rPr>
          <w:rFonts w:ascii="Times New Roman" w:hAnsi="Times New Roman"/>
        </w:rPr>
        <w:t xml:space="preserve">Eurooppa, jonka nuoriso kokoaa yhteen </w:t>
      </w:r>
    </w:p>
    <w:p>
      <w:pPr>
        <w:pStyle w:val="P68B1DB1Normal34"/>
        <w:widowControl w:val="false"/>
        <w:spacing w:lineRule="auto" w:line="240" w:before="85" w:after="0"/>
        <w:ind w:left="360" w:right="0" w:hanging="0"/>
        <w:jc w:val="left"/>
        <w:rPr/>
      </w:pPr>
      <w:r>
        <w:rPr>
          <w:rFonts w:ascii="Times New Roman" w:hAnsi="Times New Roman"/>
        </w:rPr>
        <w:t>Yhtenäinen</w:t>
      </w:r>
      <w:r>
        <w:rPr/>
        <w:t xml:space="preserve"> </w:t>
      </w:r>
      <w:r>
        <w:rPr>
          <w:rFonts w:ascii="Times New Roman" w:hAnsi="Times New Roman"/>
        </w:rPr>
        <w:t xml:space="preserve">Eurooppa tutkimuksessa ja innovoinnissa </w:t>
      </w:r>
    </w:p>
    <w:p>
      <w:pPr>
        <w:pStyle w:val="P68B1DB1Normal19"/>
        <w:widowControl w:val="false"/>
        <w:spacing w:lineRule="auto" w:line="240" w:before="88" w:after="0"/>
        <w:ind w:left="720" w:right="0" w:hanging="0"/>
        <w:jc w:val="left"/>
        <w:rPr>
          <w:rFonts w:ascii="Times New Roman" w:hAnsi="Times New Roman"/>
          <w:color w:val="000000"/>
          <w:sz w:val="24"/>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Nuoret suhtautuivat myönteisesti myös</w:t>
      </w:r>
      <w:r>
        <w:rPr>
          <w:rFonts w:ascii="Times New Roman" w:hAnsi="Times New Roman"/>
          <w:b/>
        </w:rPr>
        <w:t>neljään toisiaan täydentävään ajatukseen kansalaispaneeleista</w:t>
      </w:r>
      <w:r>
        <w:rPr>
          <w:rFonts w:ascii="Times New Roman" w:hAnsi="Times New Roman"/>
        </w:rPr>
        <w:t xml:space="preserve">: </w:t>
      </w:r>
    </w:p>
    <w:p>
      <w:pPr>
        <w:pStyle w:val="P68B1DB1Normal34"/>
        <w:widowControl w:val="false"/>
        <w:spacing w:lineRule="auto" w:line="240" w:before="90" w:after="0"/>
        <w:ind w:left="360" w:right="0" w:hanging="0"/>
        <w:jc w:val="left"/>
        <w:rPr/>
      </w:pPr>
      <w:r>
        <w:rPr>
          <w:rFonts w:ascii="Times New Roman" w:hAnsi="Times New Roman"/>
        </w:rPr>
        <w:t>Ympäristöllisesti</w:t>
      </w:r>
      <w:r>
        <w:rPr/>
        <w:t xml:space="preserve"> </w:t>
      </w:r>
      <w:r>
        <w:rPr>
          <w:rFonts w:ascii="Times New Roman" w:hAnsi="Times New Roman"/>
        </w:rPr>
        <w:t xml:space="preserve">ja sosiaalisesti vastuullinen Euroopan talous </w:t>
      </w:r>
    </w:p>
    <w:p>
      <w:pPr>
        <w:pStyle w:val="P68B1DB1Normal34"/>
        <w:widowControl w:val="false"/>
        <w:spacing w:lineRule="auto" w:line="240" w:before="88" w:after="0"/>
        <w:ind w:left="360" w:right="0" w:hanging="0"/>
        <w:jc w:val="left"/>
        <w:rPr/>
      </w:pPr>
      <w:r>
        <w:rPr>
          <w:rFonts w:ascii="Times New Roman" w:hAnsi="Times New Roman"/>
        </w:rPr>
        <w:t>Euroopan</w:t>
      </w:r>
      <w:r>
        <w:rPr/>
        <w:t xml:space="preserve"> </w:t>
      </w:r>
      <w:r>
        <w:rPr>
          <w:rFonts w:ascii="Times New Roman" w:hAnsi="Times New Roman"/>
        </w:rPr>
        <w:t xml:space="preserve">maantieteellisesti rautatieyhteydet </w:t>
      </w:r>
    </w:p>
    <w:p>
      <w:pPr>
        <w:pStyle w:val="P68B1DB1Normal34"/>
        <w:widowControl w:val="false"/>
        <w:spacing w:lineRule="auto" w:line="240" w:before="85" w:after="0"/>
        <w:ind w:left="360" w:right="0" w:hanging="0"/>
        <w:jc w:val="left"/>
        <w:rPr/>
      </w:pPr>
      <w:r>
        <w:rPr>
          <w:rFonts w:ascii="Times New Roman" w:hAnsi="Times New Roman"/>
        </w:rPr>
        <w:t>—</w:t>
      </w:r>
      <w:r>
        <w:rPr/>
        <w:t xml:space="preserve"> </w:t>
      </w:r>
      <w:r>
        <w:rPr>
          <w:rFonts w:ascii="Times New Roman" w:hAnsi="Times New Roman"/>
        </w:rPr>
        <w:t xml:space="preserve">Verotuksellisesti oikeudenmukaisempi Eurooppa </w:t>
      </w:r>
    </w:p>
    <w:p>
      <w:pPr>
        <w:pStyle w:val="P68B1DB1Normal34"/>
        <w:widowControl w:val="false"/>
        <w:spacing w:lineRule="auto" w:line="240" w:before="88" w:after="0"/>
        <w:ind w:left="360" w:right="0" w:hanging="0"/>
        <w:jc w:val="left"/>
        <w:rPr/>
      </w:pPr>
      <w:r>
        <w:rPr>
          <w:rFonts w:ascii="Times New Roman" w:hAnsi="Times New Roman"/>
        </w:rPr>
        <w:t xml:space="preserve">Euroopan unioninvoimakkaat toimet naisten oikeuksien tukemiseksi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22 suosittua ideaa ja 13 kiistanalaista ideaa, jotka levisivät Euroopan tulevaisuutta käsittelevän konferenssin yhdeksään teemaan </w:t>
      </w:r>
    </w:p>
    <w:p>
      <w:pPr>
        <w:pStyle w:val="P68B1DB1Normal19"/>
        <w:widowControl w:val="false"/>
        <w:spacing w:lineRule="auto" w:line="240" w:before="80" w:after="0"/>
        <w:ind w:left="0" w:right="0" w:hanging="0"/>
        <w:jc w:val="left"/>
        <w:rPr>
          <w:rFonts w:ascii="Times New Roman" w:hAnsi="Times New Roman"/>
          <w:color w:val="000000"/>
          <w:sz w:val="24"/>
        </w:rPr>
      </w:pPr>
      <w:r>
        <w:rPr/>
        <w:t xml:space="preserve"> </w:t>
      </w:r>
    </w:p>
    <w:p>
      <w:pPr>
        <w:pStyle w:val="P68B1DB1Normal52"/>
        <w:widowControl w:val="false"/>
        <w:spacing w:lineRule="auto" w:line="240" w:before="96" w:after="0"/>
        <w:ind w:left="0" w:right="0" w:hanging="0"/>
        <w:jc w:val="both"/>
        <w:rPr/>
      </w:pPr>
      <w:r>
        <w:rPr>
          <w:color w:val="38761D"/>
        </w:rPr>
        <w:t>Ylistetyt ideat</w:t>
      </w:r>
      <w:r>
        <w:rPr>
          <w:color w:val="000000"/>
        </w:rPr>
        <w:t xml:space="preserve"> perustuvat ehdotuksiin, joita kuulemisessa enimmäkseen tukevat. Ehdotukset saavat eniten kannatusta, ja niiden osuus </w:t>
      </w:r>
      <w:r>
        <w:rPr>
          <w:b/>
          <w:color w:val="000000"/>
        </w:rPr>
        <w:t>äänistä on keskimäärin 79 prosenttia</w:t>
      </w:r>
      <w:r>
        <w:rPr>
          <w:color w:val="000000"/>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t xml:space="preserve"> </w:t>
      </w:r>
    </w:p>
    <w:p>
      <w:pPr>
        <w:pStyle w:val="P68B1DB1Normal52"/>
        <w:widowControl w:val="false"/>
        <w:spacing w:lineRule="auto" w:line="240" w:before="96" w:after="0"/>
        <w:ind w:left="0" w:right="0" w:hanging="0"/>
        <w:jc w:val="both"/>
        <w:rPr/>
      </w:pPr>
      <w:r>
        <w:rPr>
          <w:color w:val="FF9900"/>
        </w:rPr>
        <w:t>Kiistanalaiset ajatukset perustuvat ehdotuksiin, joista kuulemisen osanottajat</w:t>
      </w:r>
      <w:r>
        <w:rPr>
          <w:color w:val="000000"/>
        </w:rPr>
        <w:t xml:space="preserve"> ovat eniten keskustelleet ja joissa on tasapainoa puolesta ja vastaan annettujen äänten välillä. Kiistanalaiset ehdotukset ovat kuulemisessa eniten keskusteltuja ehdotuksia, joissa hyödynnetään keskimäärin </w:t>
      </w:r>
      <w:r>
        <w:rPr>
          <w:b/>
          <w:color w:val="000000"/>
        </w:rPr>
        <w:t>40 prosenttia äänistä,</w:t>
      </w:r>
      <w:r>
        <w:rPr>
          <w:color w:val="000000"/>
        </w:rPr>
        <w:t xml:space="preserve"> </w:t>
      </w:r>
      <w:r>
        <w:rPr>
          <w:b/>
          <w:color w:val="000000"/>
        </w:rPr>
        <w:t>38 prosenttia ”vastaavista” äänistä</w:t>
      </w:r>
      <w:r>
        <w:rPr>
          <w:color w:val="000000"/>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t xml:space="preserve"> </w:t>
      </w:r>
    </w:p>
    <w:p>
      <w:pPr>
        <w:pStyle w:val="Normal"/>
        <w:widowControl w:val="false"/>
        <w:spacing w:lineRule="auto" w:line="240" w:before="90" w:after="0"/>
        <w:ind w:left="0" w:right="0" w:hanging="0"/>
        <w:jc w:val="both"/>
        <w:rPr/>
      </w:pPr>
      <w:r>
        <w:rPr>
          <w:rFonts w:ascii="Times New Roman" w:hAnsi="Times New Roman"/>
          <w:color w:val="000000"/>
          <w:sz w:val="24"/>
        </w:rPr>
        <w:t xml:space="preserve">Näiden ehdotusten analyysissä yksilöitiin 22 kiitettyä ideaa ja 13 kiistanalaista ideaa. Nämä 22 ylistettyä ideaa ja 13 kiistanalaista ideaa jaettiin yhdeksään toimintalinjaan, jotka vastaavat Euroopan tulevaisuutta käsittelevän konferenssin pääteemoja. </w:t>
      </w:r>
      <w:r>
        <w:br w:type="page"/>
      </w:r>
    </w:p>
    <w:p>
      <w:pPr>
        <w:pStyle w:val="Normal"/>
        <w:widowControl w:val="false"/>
        <w:spacing w:lineRule="auto" w:line="240" w:before="85" w:after="0"/>
        <w:ind w:left="0" w:right="0" w:hanging="0"/>
        <w:jc w:val="left"/>
        <w:rPr/>
      </w:pPr>
      <w:r>
        <w:rPr/>
        <w:t>Ylistettyjen ja kiistanalaisten ideoiden synteesi</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t>Ilmastonmuutos ja ympäristö</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Vahvemman eurooppalaisen ekologisen politiikantoteuttaminen</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Kohti kestävämpää maataloutta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Toimiminen voimakkaammin biologisen monimuotoisuuden suojelemiseksi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Rautatieliikenteen kehittäminen</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Nopeuttaa energiasiirtymää</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Pakkaustenrajoittaminen ja jätehuollon parantaminen</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Ympäristötietoisuudenlisääminen</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Ympäristövastuullisten rakennusprosessien</w:t>
            </w:r>
            <w:r>
              <w:rPr>
                <w:rFonts w:eastAsia="Wingdings" w:cs="Wingdings" w:ascii="Wingdings" w:hAnsi="Wingdings"/>
              </w:rPr>
              <w:t xml:space="preserve"> </w:t>
            </w:r>
            <w:r>
              <w:rPr/>
              <w:t>edistäminen</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Lisää investointeja ydinvoimaan</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t>Eurooppalainen demokratia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Parempi tiedottaminen EU:n roolista ja työstä</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Euroopan unionin demokraattisen toiminnanmuuttaminen</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Disinformaation torjunta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Tekee Euroopasta federaation</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Annetaan jäsenvaltioille lisää autonomiaa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Vahvemman eurooppalaisen toimeenpanovallan rakentaminen</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Nuorille annetaan paikka EU:n toimielimissä</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t>Talous, sosiaalinen oikeudenmukaisuus ja työllisyys</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Tuotannon siirtäminen Eurooppaan autonomian lisäämiseksi</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Liiketoimintakäytäntöjen ja kaupan vastuullisuuden lisääminen</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Veronkierron ja optimoinnin torjunta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EU:n palkkojen yhdenmukaistaminen</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Yleisen tulotasonluominen</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Euroopansuuntaaminen kohti kapitalismin vastaista mallia</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Koulutus, kulttuuri, nuoriso ja urheilu</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t>Digitaalinen muutos</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Nuorille mahdollisuus vaihtaa enemmän muiden EU-maiden kanssa</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Edistää ei-englannin kielen oppimista</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Investoiminen tieteelliseen, digitaaliseen ja ympäristötutkimukseen</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Lisätään tietoisuutta digitaaliteknologiasta ja sen vaaroista</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EU-oleskelun tekeminen pakolliseksi nuorille</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Kryptovaluuttojen kehittäminen Euroopassa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Arvot ja oikeudet, oikeusvaltio, turvallisuus</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t>Terveys</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Vahvistetaan EU:n toimia ihmisoikeuksien kunnioittamiseksi</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Naisten oikeuksien vahvistaminen</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Investoiminen terveyteen</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Parantaa elintarvikkeiden laatua</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t>EU maailmassa</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t xml:space="preserve">Maahanmuutto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EU pystyy punnitsemaan kansainvälisesti</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Euroopan asevoimien perustaminen</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Maahanmuuton vähentäminen tai siihen liittyminen Euroopassa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Pääajatus (&gt; 10 ylistettyä ehdotusta)</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Singular idea (ja ylistetyt ehdotukset)</w:t>
      </w:r>
    </w:p>
    <w:p>
      <w:pPr>
        <w:pStyle w:val="Contenudetableau"/>
        <w:spacing w:lineRule="auto" w:line="240"/>
        <w:jc w:val="center"/>
        <w:rPr/>
      </w:pPr>
      <w:r>
        <w:rPr>
          <w:rFonts w:eastAsia="SimSun" w:cs="Mangal" w:ascii="Times New Roman" w:hAnsi="Times New Roman"/>
          <w:color w:val="F58220"/>
          <w:sz w:val="18"/>
        </w:rPr>
        <w:t>Kiistanalainen idea (&gt; 3 kiistanalaista ehdotusta)</w:t>
      </w:r>
      <w:r>
        <w:br w:type="page"/>
      </w:r>
    </w:p>
    <w:p>
      <w:pPr>
        <w:pStyle w:val="Titre2"/>
        <w:numPr>
          <w:ilvl w:val="1"/>
          <w:numId w:val="2"/>
        </w:numPr>
        <w:rPr/>
      </w:pPr>
      <w:bookmarkStart w:id="213" w:name="__RefHeading___Toc300458_1346298689"/>
      <w:bookmarkEnd w:id="213"/>
      <w:r>
        <w:rPr/>
        <w:t xml:space="preserve">Johtopäätös </w:t>
      </w:r>
    </w:p>
    <w:p>
      <w:pPr>
        <w:pStyle w:val="P68B1DB1Normal33"/>
        <w:widowControl w:val="false"/>
        <w:spacing w:lineRule="exact" w:line="399" w:before="293"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t>”</w:t>
      </w:r>
      <w:r>
        <w:rPr/>
        <w:t xml:space="preserve">Sanalla, teille, Euroopan on oltava vuonna 2035...”: </w:t>
      </w:r>
    </w:p>
    <w:p>
      <w:pPr>
        <w:pStyle w:val="Normal"/>
        <w:widowControl w:val="false"/>
        <w:spacing w:lineRule="exact" w:line="430" w:before="2454" w:after="0"/>
        <w:ind w:left="0" w:right="0" w:hanging="0"/>
        <w:jc w:val="center"/>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Kuva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Kuva41" descr=""/>
                    <pic:cNvPicPr>
                      <a:picLocks noChangeAspect="1" noChangeArrowheads="1"/>
                    </pic:cNvPicPr>
                  </pic:nvPicPr>
                  <pic:blipFill>
                    <a:blip r:embed="rId100"/>
                    <a:stretch>
                      <a:fillRect/>
                    </a:stretch>
                  </pic:blipFill>
                  <pic:spPr bwMode="auto">
                    <a:xfrm>
                      <a:off x="0" y="0"/>
                      <a:ext cx="6120130" cy="1558290"/>
                    </a:xfrm>
                    <a:prstGeom prst="rect">
                      <a:avLst/>
                    </a:prstGeom>
                  </pic:spPr>
                </pic:pic>
              </a:graphicData>
            </a:graphic>
          </wp:anchor>
        </w:drawing>
      </w:r>
      <w:r>
        <w:rPr/>
        <w:t>K</w:t>
      </w:r>
      <w:r>
        <w:rPr/>
        <w:t>ansallisen konferenssin kansalaisten</w:t>
      </w:r>
      <w:r>
        <w:rPr>
          <w:rFonts w:ascii="Times New Roman" w:hAnsi="Times New Roman"/>
          <w:i/>
          <w:color w:val="632423"/>
          <w:sz w:val="24"/>
        </w:rPr>
        <w:t xml:space="preserve">vastaus viimeiseen kysymykseen: </w:t>
      </w:r>
    </w:p>
    <w:p>
      <w:pPr>
        <w:pStyle w:val="P68B1DB1Normal66"/>
        <w:widowControl w:val="false"/>
        <w:spacing w:lineRule="exact" w:line="430" w:before="95" w:after="0"/>
        <w:ind w:left="0" w:right="0" w:hanging="0"/>
        <w:jc w:val="center"/>
        <w:rPr>
          <w:rFonts w:ascii="Times New Roman" w:hAnsi="Times New Roman"/>
          <w:i/>
          <w:i/>
          <w:color w:val="632423"/>
          <w:sz w:val="24"/>
        </w:rPr>
      </w:pPr>
      <w:r>
        <w:rPr/>
        <w:t xml:space="preserve">Lyhyesti sanottuna, teille, Eurooppa vuonna 2035 on...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C Kansalliset paneelit: Saksa</w:t>
      </w:r>
    </w:p>
    <w:p>
      <w:pPr>
        <w:pStyle w:val="P68B1DB1Normal67"/>
        <w:spacing w:lineRule="auto" w:line="240"/>
        <w:rPr>
          <w:rFonts w:ascii="Calibri" w:hAnsi="Calibri"/>
          <w:b/>
          <w:b/>
          <w:color w:val="000000"/>
          <w:sz w:val="36"/>
        </w:rPr>
      </w:pPr>
      <w:r>
        <w:rPr/>
        <w:t xml:space="preserve">Euroopan tulevaisuutta käsittelevä kansallinen kansalaispaneeli Berliinissä </w:t>
      </w:r>
    </w:p>
    <w:p>
      <w:pPr>
        <w:pStyle w:val="P68B1DB1Normal19"/>
        <w:widowControl w:val="false"/>
        <w:spacing w:lineRule="exact" w:line="388" w:before="206" w:after="0"/>
        <w:ind w:left="3422" w:right="0" w:hanging="0"/>
        <w:jc w:val="left"/>
        <w:rPr>
          <w:rFonts w:ascii="Times New Roman" w:hAnsi="Times New Roman"/>
          <w:color w:val="000000"/>
          <w:sz w:val="24"/>
        </w:rPr>
      </w:pPr>
      <w:r>
        <w:rPr/>
        <w:t xml:space="preserve">— </w:t>
      </w:r>
      <w:r>
        <w:rPr/>
        <w:t xml:space="preserve">Kansalaisten suositukset — </w:t>
      </w:r>
    </w:p>
    <w:p>
      <w:pPr>
        <w:pStyle w:val="P68B1DB1Normal52"/>
        <w:widowControl w:val="false"/>
        <w:spacing w:lineRule="exact" w:line="317" w:before="288" w:after="0"/>
        <w:ind w:left="276" w:right="113" w:hanging="0"/>
        <w:jc w:val="both"/>
        <w:rPr/>
      </w:pPr>
      <w:r>
        <w:rPr>
          <w:color w:val="000000"/>
        </w:rPr>
        <w:t xml:space="preserve">Saksa järjesti Euroopan tulevaisuutta käsittelevän kansallisen kansalaispaneelinsa 5., 8., 15. ja 16. tammikuuta. Kansalaisten valintaprosessissa noudatettiin eurooppalaisten kansalaispaneelien osallistujien satunnaisvalintaa. Osallistujiksi kutsuttiin 12 000 Saksan kansalaista. vastaajista noin 100 valittiin Saksan liittotasavallan nykyiset väestönlaskentatiedot huomioon ottaen Saksan yhteiskunnan ja koko väestön monimuotoisuuden huomioon ottamiseksi. Kansallisen kansalaispaneelin aikana osallistujat keskustelivat viidestä teemasta: EU:n asema maailmassa; vahvempi talous; ilmastonmuutos ja ympäristö; sosiaalinen oikeudenmukaisuus; Eurooppalaiset arvot ja oikeusvaltioperiaate. Tämän jälkeen he laativat kutakin aihetta koskevat konkreettiset suositukset, jotka hyväksyttiin lopullisessa täysistunnossa 16. tammikuuta: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Pyöreä pöytä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Ulkomaankaupan etujen yhdistäminen ilmastopoliittisiin toimenpiteisiin </w:t>
      </w:r>
    </w:p>
    <w:p>
      <w:pPr>
        <w:pStyle w:val="P68B1DB1Normal20"/>
        <w:widowControl w:val="false"/>
        <w:spacing w:lineRule="exact" w:line="337" w:before="192" w:after="0"/>
        <w:ind w:left="276" w:right="123" w:hanging="0"/>
        <w:jc w:val="both"/>
        <w:rPr/>
      </w:pPr>
      <w:r>
        <w:rPr/>
        <w:t xml:space="preserve">Tilintarkastustuomioistuin suosittaa, että EU (erityisesti Euroopan komissio) käynnistää investointipaketin ilmastoystävällisiin teknologioihin ja innovaatioihin, mukaan lukien rahoitusohjelmat. Tämä toimenpidepaketti olisi rahoitettava ilmastoon liittyvistä tuontitulleista, joihin vaikutukset kohdistuisivat erityisesti ja jotka siirrettäisiin ilmastovahinkojen taloudellisena korvauksena. Tässä yhteydessä otetaan käyttöön tiettyjen tuotteiden kestävyyden arviointipistejärjestelmä. Selkeä EU:n kanta ja vahva ja innovatiivinen Eurooppa edistäisivät maailmanlaajuisten ilmastotavoitteiden saavuttamista. Tämä auttaisi vahvistamaan Euroopan unionin roolia globaalina edelläkävijänä ja vastuullisena mallina, joka takaa vaurauden ja voi johtaa kestävään muutokseen maailmanlaajuisesti. Nämä tavoitteet ovat meille tärkeitä, sillä EU edistää kestävällä tavalla ilmastonmuutoksen torjuntaa, jolla voi pitkällä aikavälillä olla keskeinen rooli maailmanlaajuisen rauhan vahvistamisessa.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rFonts w:ascii="Times New Roman" w:hAnsi="Times New Roman"/>
          <w:i/>
          <w:i/>
          <w:color w:val="000000"/>
          <w:sz w:val="24"/>
        </w:rPr>
      </w:pPr>
      <w:r>
        <w:rPr/>
        <w:t xml:space="preserve">Pyöreä pöytä 2: </w:t>
      </w:r>
    </w:p>
    <w:p>
      <w:pPr>
        <w:pStyle w:val="P68B1DB1Normal68"/>
        <w:widowControl w:val="false"/>
        <w:spacing w:lineRule="exact" w:line="338" w:before="321" w:after="0"/>
        <w:ind w:left="0" w:right="131" w:hanging="0"/>
        <w:jc w:val="left"/>
        <w:rPr/>
      </w:pPr>
      <w:r>
        <w:rPr/>
        <w:t xml:space="preserve">Luodaan kannustimia tuotannon toteuttamiseksi, erityisesti hyödykkeiden osalta </w:t>
      </w:r>
    </w:p>
    <w:p>
      <w:pPr>
        <w:pStyle w:val="P68B1DB1Normal20"/>
        <w:widowControl w:val="false"/>
        <w:spacing w:lineRule="exact" w:line="337" w:before="208" w:after="0"/>
        <w:ind w:left="276" w:right="121" w:hanging="0"/>
        <w:jc w:val="both"/>
        <w:rPr/>
      </w:pPr>
      <w:r>
        <w:rPr/>
        <w:t xml:space="preserve">Hyödykkeiden tuotannon helpottamiseksi suosittelemme nopeuttamaan ja standardoimaan hyväksymismenettelyjä, vähentämään byrokratiaa ja myöntämään tukia muuttaville ja/tai tuotantolaitoksille. EU:n olisi edistettävä voimakkaasti uusiutuvaa energiaa energiakustannusten alentamiseksi. </w:t>
      </w:r>
    </w:p>
    <w:p>
      <w:pPr>
        <w:pStyle w:val="P68B1DB1Normal20"/>
        <w:widowControl w:val="false"/>
        <w:spacing w:lineRule="exact" w:line="336" w:before="216" w:after="0"/>
        <w:ind w:left="276" w:right="121" w:hanging="0"/>
        <w:jc w:val="both"/>
        <w:rPr/>
      </w:pPr>
      <w:r>
        <w:rPr/>
        <w:t xml:space="preserve">Näillä toimenpiteillä haluamme lyhentää toimitusketjuja ja tehdä niistä ilmastoystävällisempiä, auttaa vahvistamaan EU:ta ja luomaan työpaikkoja, joissa kunnioitetaan ihmisoikeuksia. </w:t>
      </w:r>
    </w:p>
    <w:p>
      <w:pPr>
        <w:pStyle w:val="Normal"/>
        <w:widowControl w:val="false"/>
        <w:spacing w:lineRule="exact" w:line="336" w:before="219" w:after="0"/>
        <w:ind w:left="276" w:right="121" w:hanging="0"/>
        <w:jc w:val="both"/>
        <w:rPr/>
      </w:pPr>
      <w:r>
        <w:rPr>
          <w:rFonts w:ascii="Calibri" w:hAnsi="Calibri"/>
          <w:color w:val="000000"/>
          <w:sz w:val="24"/>
        </w:rPr>
        <w:t xml:space="preserve">Nämä tavoitteet ovat meille tärkeitä, koska tuotannon siirtäminen tekisi itsenäisemmän ja poliittisesti haavoittuvamman.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Pyöreä pöytä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Digi-Score – vahvan EU:n laajuisen digitaalitalouden pistejärjestelmä </w:t>
      </w:r>
    </w:p>
    <w:p>
      <w:pPr>
        <w:pStyle w:val="P68B1DB1Normal20"/>
        <w:widowControl w:val="false"/>
        <w:spacing w:lineRule="exact" w:line="337" w:before="192" w:after="0"/>
        <w:ind w:left="276" w:right="119" w:hanging="0"/>
        <w:jc w:val="both"/>
        <w:rPr/>
      </w:pPr>
      <w:r>
        <w:rPr/>
        <w:t xml:space="preserve">Ehdotamme, että perustetaan Euroopan komission (DG CNECT) hallinnoima julkinen digitaalinen tulostaulu Digi-Score. Tämä olisi tarkka järjestysjärjestelmä, jonka avulla voitaisiin osoittaa ja vertailla EU:n yritysten nykyistä digitaalisen kypsyysasteen tasoa. Tällä ehdotuksella haluamme edistää digitalisaation lisäämistä kaikkialla Euroopassa. Yritykset, joiden digitaaliset pisteet ovat alhaiset, olisivat oikeutettuja kohdennettuun tukeen, joka auttaa niitä kuromaan umpeen. </w:t>
      </w:r>
    </w:p>
    <w:p>
      <w:pPr>
        <w:pStyle w:val="P68B1DB1Normal20"/>
        <w:widowControl w:val="false"/>
        <w:spacing w:lineRule="exact" w:line="338" w:before="219" w:after="0"/>
        <w:ind w:left="276" w:right="121" w:hanging="0"/>
        <w:jc w:val="both"/>
        <w:rPr/>
      </w:pPr>
      <w:r>
        <w:rPr/>
        <w:t xml:space="preserve">Tämä tavoite on meille tärkeä, sillä se auttaisi tasoittamaan tietä tuottavuuden, tehokkuuden ja myynnin lisäämiselle ja vahvistaisi siten Euroopan asemaa tuotannon perustana. </w:t>
      </w:r>
    </w:p>
    <w:p>
      <w:pPr>
        <w:pStyle w:val="P68B1DB1Normal20"/>
        <w:widowControl w:val="false"/>
        <w:spacing w:lineRule="exact" w:line="385" w:before="137" w:after="0"/>
        <w:ind w:left="0" w:right="0" w:hanging="0"/>
        <w:jc w:val="left"/>
        <w:rPr>
          <w:rFonts w:ascii="Calibri" w:hAnsi="Calibri"/>
          <w:color w:val="000000"/>
          <w:sz w:val="24"/>
        </w:rPr>
      </w:pPr>
      <w:r>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t xml:space="preserve">Pyöreä pöytä 2: </w:t>
      </w:r>
    </w:p>
    <w:p>
      <w:pPr>
        <w:pStyle w:val="P68B1DB1Normal68"/>
        <w:widowControl w:val="false"/>
        <w:spacing w:lineRule="exact" w:line="400" w:before="209" w:after="0"/>
        <w:ind w:left="0" w:right="0" w:hanging="0"/>
        <w:jc w:val="left"/>
        <w:rPr>
          <w:rFonts w:ascii="Calibri" w:hAnsi="Calibri"/>
          <w:b/>
          <w:b/>
          <w:color w:val="000000"/>
          <w:sz w:val="24"/>
        </w:rPr>
      </w:pPr>
      <w:r>
        <w:rPr/>
        <w:t xml:space="preserve">Tietofoorumi tietämyksen ja kokemusten vaihtoa varten EU:n tasolla </w:t>
      </w:r>
    </w:p>
    <w:p>
      <w:pPr>
        <w:pStyle w:val="P68B1DB1Normal20"/>
        <w:widowControl w:val="false"/>
        <w:spacing w:lineRule="exact" w:line="337"/>
        <w:ind w:left="276" w:right="119" w:hanging="0"/>
        <w:jc w:val="both"/>
        <w:rPr/>
      </w:pPr>
      <w:r>
        <w:rPr/>
        <w:t xml:space="preserve">Tilintarkastustuomioistuin suosittaa, että EU perustaa tietofoorumin tietämyksen ja kokemusten vaihtoa varten EU:n tasolla. Tavoitteenamme on jakaa tietoa EU:n nykyisistä ylikansallisista koulutustoimista, esitellä esimerkkejä parhaista käytännöistä ja antaa kansalaisille mahdollisuus esittää uusia ideoita rajatylittävään vaihtoon. Lisäksi voitaisiin antaa lisätietoja käytettävissä olevista teknisistä asiantuntijafoorumeista (esim. energiasta, ympäristöstä tai digitaalisesta siirtymästä). </w:t>
      </w:r>
    </w:p>
    <w:p>
      <w:pPr>
        <w:pStyle w:val="P68B1DB1Normal20"/>
        <w:widowControl w:val="false"/>
        <w:spacing w:lineRule="exact" w:line="337" w:before="216" w:after="0"/>
        <w:ind w:left="276" w:right="121" w:hanging="0"/>
        <w:jc w:val="both"/>
        <w:rPr/>
      </w:pPr>
      <w:r>
        <w:rPr/>
        <w:t xml:space="preserve">Mielestämme tämä on tärkeää, koska kansalaiset tarvitsevat avoimuutta rajat ylittävässä koulutustoiminnassa. Niille olisi annettava EU:n tasolla parempaa ohjausta nykyisistä foorumeista ja foorumeista.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Pyöreä pöytä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Tuotehenkivakuutusta koskeva asetus </w:t>
      </w:r>
    </w:p>
    <w:p>
      <w:pPr>
        <w:pStyle w:val="P68B1DB1Normal20"/>
        <w:widowControl w:val="false"/>
        <w:spacing w:lineRule="exact" w:line="337" w:before="192" w:after="0"/>
        <w:ind w:left="276" w:right="119" w:hanging="0"/>
        <w:jc w:val="both"/>
        <w:rPr/>
      </w:pPr>
      <w:r>
        <w:rPr/>
        <w:t xml:space="preserve">Tilintarkastustuomioistuin suosittaa, että EU antaa lainsäädäntöä, jolla vahvistetaan laajennettu, taattu ja erityinen elinkaari jokaiselle valmistetulle ja myydylle tuotteelle ja että se on avoin kuluttajien kanssa tältä osin. </w:t>
      </w:r>
    </w:p>
    <w:p>
      <w:pPr>
        <w:pStyle w:val="P68B1DB1Normal20"/>
        <w:widowControl w:val="false"/>
        <w:spacing w:lineRule="exact" w:line="336" w:before="219" w:after="0"/>
        <w:ind w:left="276" w:right="126" w:hanging="0"/>
        <w:jc w:val="both"/>
        <w:rPr/>
      </w:pPr>
      <w:r>
        <w:rPr/>
        <w:t xml:space="preserve">Resurssit ovat rajalliset, mikä säästäisi rahaa ja vähentäisi jätettä, mikä hyödyttäisi ympäristöä, ilmastoa ja kuluttajia. </w:t>
      </w:r>
    </w:p>
    <w:p>
      <w:pPr>
        <w:pStyle w:val="P68B1DB1Normal20"/>
        <w:widowControl w:val="false"/>
        <w:spacing w:lineRule="exact" w:line="338" w:before="216" w:after="0"/>
        <w:ind w:left="276" w:right="131" w:hanging="0"/>
        <w:jc w:val="left"/>
        <w:rPr/>
      </w:pPr>
      <w:r>
        <w:rPr/>
        <w:t xml:space="preserve">Haluamme kannustaa valmistajia tuomaan markkinoille kestävämpiä ja korjattavampia tuotteita. </w:t>
      </w:r>
    </w:p>
    <w:p>
      <w:pPr>
        <w:pStyle w:val="P68B1DB1Normal69"/>
        <w:widowControl w:val="false"/>
        <w:spacing w:lineRule="exact" w:line="332" w:before="138" w:after="0"/>
        <w:ind w:left="0" w:right="0" w:hanging="0"/>
        <w:jc w:val="left"/>
        <w:rPr>
          <w:rFonts w:ascii="Calibri" w:hAnsi="Calibri"/>
          <w:b/>
          <w:b/>
          <w:color w:val="000000"/>
          <w:sz w:val="20"/>
        </w:rPr>
      </w:pPr>
      <w:r>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t xml:space="preserve">Pyöreä pöytä 2: </w:t>
      </w:r>
    </w:p>
    <w:p>
      <w:pPr>
        <w:pStyle w:val="P68B1DB1Normal68"/>
        <w:widowControl w:val="false"/>
        <w:spacing w:lineRule="exact" w:line="400" w:before="321" w:after="0"/>
        <w:ind w:left="0" w:right="0" w:hanging="0"/>
        <w:jc w:val="left"/>
        <w:rPr>
          <w:rFonts w:ascii="Calibri" w:hAnsi="Calibri"/>
          <w:b/>
          <w:b/>
          <w:color w:val="000000"/>
          <w:sz w:val="24"/>
        </w:rPr>
      </w:pPr>
      <w:r>
        <w:rPr/>
        <w:t xml:space="preserve">Kestävää kulutusta ja elämäntapaa edistävä EU:n pitkän aikavälin kampanja </w:t>
      </w:r>
    </w:p>
    <w:p>
      <w:pPr>
        <w:pStyle w:val="P68B1DB1Normal20"/>
        <w:widowControl w:val="false"/>
        <w:spacing w:lineRule="exact" w:line="336"/>
        <w:ind w:left="276" w:right="126" w:hanging="0"/>
        <w:jc w:val="left"/>
        <w:rPr/>
      </w:pPr>
      <w:r>
        <w:rPr/>
        <w:t xml:space="preserve">Suosittelemme, että eurooppalaisella elimellä, mukaan lukien sivuliikkeet EU-maissa, on omat varat ja että se johtaa tätä kampanjaa. </w:t>
      </w:r>
    </w:p>
    <w:p>
      <w:pPr>
        <w:pStyle w:val="P68B1DB1Normal20"/>
        <w:widowControl w:val="false"/>
        <w:spacing w:lineRule="exact" w:line="336" w:before="219" w:after="0"/>
        <w:ind w:left="276" w:right="128" w:hanging="0"/>
        <w:jc w:val="both"/>
        <w:rPr/>
      </w:pPr>
      <w:r>
        <w:rPr/>
        <w:t xml:space="preserve">Tavoitteenamme on varmistaa, että kaikki EU:n kansalaiset tunnustavat itsensä yhteisessä identiteetissä, tiedostavat paremmin kestävän kulutuksen ja elämäntapojen tarpeen ja omaksuvat tällaisen elämäntavan. </w:t>
      </w:r>
    </w:p>
    <w:p>
      <w:pPr>
        <w:pStyle w:val="P68B1DB1Normal20"/>
        <w:widowControl w:val="false"/>
        <w:spacing w:lineRule="exact" w:line="336" w:before="216" w:after="0"/>
        <w:ind w:left="276" w:right="128" w:hanging="0"/>
        <w:jc w:val="left"/>
        <w:rPr/>
      </w:pPr>
      <w:r>
        <w:rPr/>
        <w:t xml:space="preserve">Nämä tavoitteet ovat meille tärkeitä, koska haluamme herättää luontaisen motivaation kestävään elämäntapaan. </w:t>
      </w:r>
    </w:p>
    <w:p>
      <w:pPr>
        <w:pStyle w:val="Normal"/>
        <w:spacing w:lineRule="auto" w:line="240"/>
        <w:rPr/>
      </w:pPr>
      <w:r>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Pyöreä pöytä 1: </w:t>
      </w:r>
    </w:p>
    <w:p>
      <w:pPr>
        <w:pStyle w:val="P68B1DB1Normal68"/>
        <w:widowControl w:val="false"/>
        <w:spacing w:lineRule="exact" w:line="400" w:before="88" w:after="0"/>
        <w:ind w:left="0" w:right="0" w:hanging="0"/>
        <w:jc w:val="left"/>
        <w:rPr>
          <w:rFonts w:ascii="Calibri" w:hAnsi="Calibri"/>
          <w:b/>
          <w:b/>
          <w:color w:val="000000"/>
          <w:sz w:val="24"/>
        </w:rPr>
      </w:pPr>
      <w:r>
        <w:rPr/>
        <w:t xml:space="preserve">Opiskelijoiden vaihtomahdollisuuksien lisääminen Euroopassa </w:t>
      </w:r>
    </w:p>
    <w:p>
      <w:pPr>
        <w:pStyle w:val="P68B1DB1Normal20"/>
        <w:widowControl w:val="false"/>
        <w:spacing w:lineRule="exact" w:line="293" w:before="162" w:after="0"/>
        <w:ind w:left="276" w:right="123" w:hanging="0"/>
        <w:jc w:val="both"/>
        <w:rPr/>
      </w:pPr>
      <w:r>
        <w:rPr/>
        <w:t xml:space="preserve">Suosittelemme, että Euroopan unioni hyväksyy Erasmus-ohjelman lisäksi asetuksen 14–25-vuotiaiden oppilaiden ja opiskelijoiden vaihto-ohjelmasta heidän alkuperästään, sukupuolestaan ja koulutustasostaan riippumatta. Koulujen olisi järjestelmällisesti perustettava ja edistettävä tätä vaihto-ohjelmaa paikallistasolla. Jokaisella opiskelijalla tulisi olla mahdollisuus osallistua vaihto-ohjelmaan milloin tahansa koulunkäynnin aikana. Tätä varten Euroopan komission olisi tehtävä ehdotus Euroopan parlamentille ja Eurooppa-neuvostolle. </w:t>
      </w:r>
    </w:p>
    <w:p>
      <w:pPr>
        <w:pStyle w:val="P68B1DB1Normal20"/>
        <w:widowControl w:val="false"/>
        <w:spacing w:lineRule="exact" w:line="293" w:before="168" w:after="0"/>
        <w:ind w:left="276" w:right="123" w:hanging="0"/>
        <w:jc w:val="both"/>
        <w:rPr/>
      </w:pPr>
      <w:r>
        <w:rPr/>
        <w:t xml:space="preserve">Tavoitteenamme on antaa opiskelijoille mahdollisuus osallistua vaihto-ohjelmiin kaikkialla Euroopassa riippumatta heidän akateemisesta suorituskyvystään ja vanhempiensa taloudellisesta tuesta. Eurooppalaisen vaihdon kulttuuria olisi edistettävä kouluiästä lähtien. Ennen kaikkea on tärkeää, että vaihto-ohjelmat ovat helposti saatavilla ja että niihin ei liity byrokratiaa. Tämän vaihto-ohjelman avulla haluamme luoda eurooppalaista solidaarisuutta ja vähentää kieliesteitä. Tässä yhteydessä on pidettävä mielessä tasapuolinen koulutus ja osallistuminen koulutukseen, jotta voidaan vahvistaa kulttuurienvälisiä ja viestintätaitoja. </w:t>
      </w:r>
    </w:p>
    <w:p>
      <w:pPr>
        <w:pStyle w:val="P68B1DB1Normal20"/>
        <w:widowControl w:val="false"/>
        <w:spacing w:lineRule="exact" w:line="293" w:before="168" w:after="0"/>
        <w:ind w:left="276" w:right="123" w:hanging="0"/>
        <w:jc w:val="both"/>
        <w:rPr/>
      </w:pPr>
      <w:r>
        <w:rPr/>
        <w:t xml:space="preserve">Nämä tavoitteet ovat meille tärkeitä, sillä ne voivat edistää Euroopan yhteenkuuluvuutta, vahvistaa kunnioitusta ja yhteistyötä sekä välittää eurooppalaisia arvoja jo varhaisesta iästä lähtien, jotta Euroopan monimuotoisuus voidaan nähdä mahdollisuutena. </w:t>
      </w:r>
    </w:p>
    <w:p>
      <w:pPr>
        <w:pStyle w:val="P68B1DB1Normal20"/>
        <w:widowControl w:val="false"/>
        <w:spacing w:lineRule="exact" w:line="385" w:before="92" w:after="0"/>
        <w:ind w:left="0" w:right="0" w:hanging="0"/>
        <w:jc w:val="left"/>
        <w:rPr>
          <w:rFonts w:ascii="Calibri" w:hAnsi="Calibri"/>
          <w:color w:val="000000"/>
          <w:sz w:val="24"/>
        </w:rPr>
      </w:pPr>
      <w:r>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t xml:space="preserve">Pyöreä pöytä 2: </w:t>
      </w:r>
    </w:p>
    <w:p>
      <w:pPr>
        <w:pStyle w:val="P68B1DB1Normal68"/>
        <w:widowControl w:val="false"/>
        <w:spacing w:lineRule="exact" w:line="400" w:before="205" w:after="0"/>
        <w:ind w:left="0" w:right="0" w:hanging="0"/>
        <w:jc w:val="left"/>
        <w:rPr>
          <w:rFonts w:ascii="Calibri" w:hAnsi="Calibri"/>
          <w:b/>
          <w:b/>
          <w:color w:val="000000"/>
          <w:sz w:val="24"/>
        </w:rPr>
      </w:pPr>
      <w:r>
        <w:rPr/>
        <w:t xml:space="preserve">Työllisyyttä koskevan peruspalkan vahvistaminen </w:t>
      </w:r>
    </w:p>
    <w:p>
      <w:pPr>
        <w:pStyle w:val="P68B1DB1Normal20"/>
        <w:widowControl w:val="false"/>
        <w:spacing w:lineRule="exact" w:line="293"/>
        <w:ind w:left="276" w:right="121" w:hanging="0"/>
        <w:jc w:val="both"/>
        <w:rPr/>
      </w:pPr>
      <w:r>
        <w:rPr/>
        <w:t xml:space="preserve">Suositamme, että työllisyydestä ja sosiaalisista oikeuksista vastaava Euroopan komission jäsen esittää Euroopan parlamentille ehdotuksen työllisyyden peruspalkan perustamisesta kaikissa jäsenvaltioissa. Peruspalkan olisi koostuttava toimeentulon varmistamiseksi riittävästä vähimmäistoimeentulosta ja työllisyyden erityisestä täydentämisestä. </w:t>
      </w:r>
    </w:p>
    <w:p>
      <w:pPr>
        <w:pStyle w:val="P68B1DB1Normal20"/>
        <w:widowControl w:val="false"/>
        <w:spacing w:lineRule="exact" w:line="293" w:before="173" w:after="0"/>
        <w:ind w:left="276" w:right="121" w:hanging="0"/>
        <w:jc w:val="both"/>
        <w:rPr/>
      </w:pPr>
      <w:r>
        <w:rPr/>
        <w:t xml:space="preserve">Tavoitteenamme on varmistaa, että ammatilliset tulokset ja palkat ovat vertailukelpoisia kaikkialla sosiaalisen oikeudenmukaisuuden vahvistamiseksi. Tämä tavoite on meille tärkeä, sillä se varmistaisi, että työmarkkinoilla noudatetaan EU:n perusperiaatetta: vertailukelpoiset elin- ja työolot henkilön asuinpaikasta ja ammatista riippumatta.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Pyöreä pöytä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Eurooppalaisten arvojen ruumiillistaminen ja niiden välittäminen vetoamalla tunteisiin </w:t>
      </w:r>
    </w:p>
    <w:p>
      <w:pPr>
        <w:pStyle w:val="P68B1DB1Normal20"/>
        <w:widowControl w:val="false"/>
        <w:spacing w:lineRule="exact" w:line="338" w:before="192" w:after="0"/>
        <w:ind w:left="276" w:right="126" w:hanging="0"/>
        <w:jc w:val="both"/>
        <w:rPr/>
      </w:pPr>
      <w:r>
        <w:rPr/>
        <w:t xml:space="preserve">Suosittelemme, että eurooppalaiset arvot konkretisoituvat ja kommunikoidaan enemmän tunteiden kanssa. Tämä voitaisiin saavuttaa esimerkiksi ”integraatiopaketilla”, joka kattaa tiedotusvälineet, vuorovaikutteiset elementit ja kansalaisten osallistumisen lisäämisen. </w:t>
      </w:r>
    </w:p>
    <w:p>
      <w:pPr>
        <w:pStyle w:val="P68B1DB1Normal20"/>
        <w:widowControl w:val="false"/>
        <w:spacing w:lineRule="exact" w:line="336" w:before="216" w:after="0"/>
        <w:ind w:left="276" w:right="126" w:hanging="0"/>
        <w:jc w:val="left"/>
        <w:rPr/>
      </w:pPr>
      <w:r>
        <w:rPr/>
        <w:t xml:space="preserve">Tavoitteenamme on, että kaikki asuvat tuntevat ja omaksuvat yhteiset arvot. </w:t>
      </w:r>
    </w:p>
    <w:p>
      <w:pPr>
        <w:pStyle w:val="P68B1DB1Normal20"/>
        <w:widowControl w:val="false"/>
        <w:spacing w:lineRule="exact" w:line="337" w:before="216" w:after="0"/>
        <w:ind w:left="276" w:right="119" w:hanging="0"/>
        <w:jc w:val="both"/>
        <w:rPr/>
      </w:pPr>
      <w:r>
        <w:rPr/>
        <w:t xml:space="preserve">Tämä tavoite on meille tärkeä, koska se muodostaa perustan rinnakkaiselollemme arvoyhteisössämme. Nämä arvot ovat liian vähän tiedossa, koska henkilökohtainen yhteys puuttuu. Meidän on luotava tämä yhteys. </w:t>
      </w:r>
    </w:p>
    <w:p>
      <w:pPr>
        <w:pStyle w:val="P68B1DB1Normal20"/>
        <w:widowControl w:val="false"/>
        <w:spacing w:lineRule="exact" w:line="385" w:before="135" w:after="0"/>
        <w:ind w:left="0" w:right="0" w:hanging="0"/>
        <w:jc w:val="left"/>
        <w:rPr>
          <w:rFonts w:ascii="Calibri" w:hAnsi="Calibri"/>
          <w:color w:val="000000"/>
          <w:sz w:val="24"/>
        </w:rPr>
      </w:pPr>
      <w:r>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t xml:space="preserve">Pyöreä pöytä 2: </w:t>
      </w:r>
    </w:p>
    <w:p>
      <w:pPr>
        <w:pStyle w:val="P68B1DB1Normal68"/>
        <w:widowControl w:val="false"/>
        <w:spacing w:lineRule="exact" w:line="400" w:before="211" w:after="0"/>
        <w:ind w:left="0" w:right="0" w:hanging="0"/>
        <w:jc w:val="left"/>
        <w:rPr>
          <w:rFonts w:ascii="Calibri" w:hAnsi="Calibri"/>
          <w:b/>
          <w:b/>
          <w:color w:val="000000"/>
          <w:sz w:val="24"/>
        </w:rPr>
      </w:pPr>
      <w:r>
        <w:rPr/>
        <w:t xml:space="preserve">Elämä </w:t>
      </w:r>
    </w:p>
    <w:p>
      <w:pPr>
        <w:pStyle w:val="P68B1DB1Normal20"/>
        <w:widowControl w:val="false"/>
        <w:spacing w:lineRule="exact" w:line="337" w:before="191" w:after="0"/>
        <w:ind w:left="276" w:right="116" w:hanging="0"/>
        <w:jc w:val="both"/>
        <w:rPr/>
      </w:pPr>
      <w:r>
        <w:rPr/>
        <w:t xml:space="preserve">Tilintarkastustuomioistuin suosittaa, että EU perustaa oman koulutus- ja tiedotustelevisio-ohjelman, jolla lisätään kaikkien EU:n kansalaisten tietoisuutta yhteisistä arvoistamme ja varmistetaan näiden tietojen helppo ja esteetön saatavuus kaikille. Nämä tavoitteet ovat meille tärkeitä, koska haluamme ymmärtää paremmin yleistä mielipidettä kaikissa EU-maissa. Tällä tavoin haluamme vahvistaa yhteistä perustaa ja auttaa kansalaisia tuomaan yhteen suurempaa solidaarisuutta ja kouluttaa heitä oikeusvaltioperiaatteen noudattamiseen demokratian säilyttämiseksi.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D Kansalliset paneelit: Italia</w:t>
      </w:r>
    </w:p>
    <w:p>
      <w:pPr>
        <w:pStyle w:val="P68B1DB1Normal70"/>
        <w:spacing w:lineRule="auto" w:line="240"/>
        <w:jc w:val="center"/>
        <w:rPr/>
      </w:pPr>
      <w:r>
        <w:rPr/>
        <w:t xml:space="preserve">Kansalaispaneeli antaa suosituksia Euroopan tulevaisuutta käsittelevälle konferenssille 11.–12. maaliskuuta 2022 </w:t>
      </w:r>
    </w:p>
    <w:p>
      <w:pPr>
        <w:pStyle w:val="P68B1DB1Normal71"/>
        <w:widowControl w:val="false"/>
        <w:spacing w:lineRule="exact" w:line="916" w:before="147" w:after="0"/>
        <w:ind w:left="2234" w:right="0" w:hanging="0"/>
        <w:jc w:val="left"/>
        <w:rPr>
          <w:rFonts w:ascii="Arial" w:hAnsi="Arial"/>
          <w:color w:val="BD1271"/>
          <w:sz w:val="56"/>
        </w:rPr>
      </w:pPr>
      <w:r>
        <w:rPr/>
        <w:t xml:space="preserve">Yhteenvetoraportti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Roomassa 16. maaliskuuta 2022</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Kuva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Kuva42" descr=""/>
                    <pic:cNvPicPr>
                      <a:picLocks noChangeAspect="1" noChangeArrowheads="1"/>
                    </pic:cNvPicPr>
                  </pic:nvPicPr>
                  <pic:blipFill>
                    <a:blip r:embed="rId101"/>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sdt>
      <w:sdtPr>
        <w:docPartObj>
          <w:docPartGallery w:val="Table of Contents"/>
          <w:docPartUnique w:val="true"/>
        </w:docPartObj>
      </w:sdtPr>
      <w:sdtContent>
        <w:p>
          <w:pPr>
            <w:pStyle w:val="TOAHeading"/>
            <w:rPr/>
          </w:pPr>
          <w:r>
            <w:rPr/>
            <w:t>Sisällysluettelo</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sdtContent>
    </w:sdt>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Paneelin järjestämisprosessin ohjaavat periaatteet </w:t>
      </w:r>
    </w:p>
    <w:p>
      <w:pPr>
        <w:pStyle w:val="P68B1DB1Normal34"/>
        <w:widowControl w:val="false"/>
        <w:spacing w:lineRule="auto" w:line="240"/>
        <w:ind w:left="0" w:right="0" w:hanging="0"/>
        <w:jc w:val="left"/>
        <w:rPr/>
      </w:pPr>
      <w:r>
        <w:rPr/>
        <w:t xml:space="preserve"> </w:t>
      </w:r>
      <w:r>
        <w:rPr/>
        <w:t xml:space="preserve">Paneelin koko täytäntöönpanoprosessi suunniteltiin vastaamaan ohjeita, jotka sisältyvät Euroopan tulevaisuutta käsittelevän konferenssin yhteydessä kansallisille kansalaispaneeleille annettuihin suuntaviivoihin. Tarkemmin sanottuna: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Tarkoitus:</w:t>
      </w:r>
      <w:r>
        <w:rPr>
          <w:b/>
          <w:color w:val="000000"/>
        </w:rPr>
        <w:t xml:space="preserve"> </w:t>
      </w:r>
    </w:p>
    <w:p>
      <w:pPr>
        <w:pStyle w:val="P68B1DB1Normal34"/>
        <w:widowControl w:val="false"/>
        <w:spacing w:lineRule="auto" w:line="240"/>
        <w:ind w:left="720" w:right="0" w:hanging="0"/>
        <w:jc w:val="left"/>
        <w:rPr/>
      </w:pPr>
      <w:r>
        <w:rPr/>
        <w:t xml:space="preserve">Kaikki paneeliin kutsutut täyttivät osallistumiskyselyn, joka sisälsi hankkeen tavoitteet ja tarkoitukset ja jossa viitataan erityisesti Euroopan tulevaisuutta käsittelevään konferenssiin, aiheisiin ja osallistumista koskeviin yksityiskohtaisiin sääntöihin.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Läpinäkyvyys: </w:t>
      </w:r>
    </w:p>
    <w:p>
      <w:pPr>
        <w:pStyle w:val="P68B1DB1Normal34"/>
        <w:widowControl w:val="false"/>
        <w:spacing w:lineRule="auto" w:line="240"/>
        <w:ind w:left="720" w:right="0" w:hanging="0"/>
        <w:jc w:val="left"/>
        <w:rPr/>
      </w:pPr>
      <w:r>
        <w:rPr/>
        <w:t xml:space="preserve">Kaikki aloitteen esittelyasiakirjat asetettiin osallistujien saataville eri tavoin, ja niissä viitattiin aina konferenssin viralliselle verkkosivustolle. Asiakirjat lähetettiin sähköpostitse kaikille osallistujille.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Osallistavuus: </w:t>
      </w:r>
    </w:p>
    <w:p>
      <w:pPr>
        <w:pStyle w:val="P68B1DB1Normal75"/>
        <w:widowControl w:val="false"/>
        <w:spacing w:lineRule="auto" w:line="240"/>
        <w:ind w:left="708" w:right="0" w:hanging="0"/>
        <w:jc w:val="left"/>
        <w:rPr/>
      </w:pPr>
      <w:r>
        <w:rPr>
          <w:color w:val="000000"/>
        </w:rPr>
        <w:t xml:space="preserve">Osallistumiskutsu lähetettiin eri kanavien kautta: voit esimerkiksi lähettää sähköpostia </w:t>
      </w:r>
      <w:r>
        <w:rPr>
          <w:color w:val="ED7D31"/>
        </w:rPr>
        <w:t>SWG</w:t>
      </w:r>
      <w:r>
        <w:rPr>
          <w:color w:val="000000"/>
        </w:rPr>
        <w:t xml:space="preserve"> -yhteisön jäsenille ja jakaa linkin hakulomakkeeseen Twitterin ja LinkedInin kautta. Tämä johti yhteensä yli 400 pääsyyn hakulomakkeeseen ja 245 hakemukseen. Osallistujat valittiin (satunnaisesti) siten, että taataan eri sukupuoli-, ikä-, yhteiskunnallista alkuperää, asuinpaikkaa ja ammatillista asemaa edustavien henkilöiden läsnäolo.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Edustavuus: </w:t>
      </w:r>
    </w:p>
    <w:p>
      <w:pPr>
        <w:pStyle w:val="P68B1DB1Normal34"/>
        <w:widowControl w:val="false"/>
        <w:spacing w:lineRule="auto" w:line="240"/>
        <w:ind w:left="708" w:right="0" w:hanging="0"/>
        <w:jc w:val="left"/>
        <w:rPr/>
      </w:pPr>
      <w:r>
        <w:rPr/>
        <w:t xml:space="preserve">Vaikka otoskoko ei ole tilastollisesti edustava, otos suunniteltiin niin, että osallistujien välinen heterogeenisyys oli mahdollisimman suuri, jotta kohdeyleisöstä saataisiin mikrokosmos.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Tiedot: </w:t>
      </w:r>
    </w:p>
    <w:p>
      <w:pPr>
        <w:pStyle w:val="Normal"/>
        <w:widowControl w:val="false"/>
        <w:spacing w:lineRule="auto" w:line="240"/>
        <w:ind w:left="720" w:right="0" w:hanging="0"/>
        <w:jc w:val="left"/>
        <w:rPr/>
      </w:pPr>
      <w:r>
        <w:rPr>
          <w:color w:val="000000"/>
        </w:rPr>
        <w:t xml:space="preserve">Kaikki osallistujat saivat runsaasti tietoa konferenssista ja paneelissa keskustelluista aiheista. Hankkeen tavoitteet ja yksityiskohtaiset säännöt palautettiin osallistujille johdanto-osassa puolueettomuuden ja täydellisyyden periaatteiden mukaisesti. Kaikille osallistujille annettiin mahdollisuus pyytää lisätietoja tapahtumasta </w:t>
      </w:r>
      <w:r>
        <w:rPr>
          <w:color w:val="ED7D31"/>
        </w:rPr>
        <w:t>SWG</w:t>
      </w:r>
      <w:r>
        <w:rPr>
          <w:color w:val="000000"/>
        </w:rPr>
        <w:t xml:space="preserve">:n projektipäälliköiden suorilla puhelinnumeroilla.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Keskusteluryhmät: </w:t>
      </w:r>
    </w:p>
    <w:p>
      <w:pPr>
        <w:pStyle w:val="P68B1DB1Normal76"/>
        <w:widowControl w:val="false"/>
        <w:spacing w:lineRule="auto" w:line="240"/>
        <w:ind w:left="720" w:right="0" w:hanging="0"/>
        <w:jc w:val="left"/>
        <w:rPr/>
      </w:pPr>
      <w:r>
        <w:rPr/>
        <w:t xml:space="preserve">Koko prosessin päätavoitteena oli laatia Euroopan unionille osoitettuja konkreettisia suosituksia, joista osallistujat ovat laajalti samaa mieltä. Työn organisointi ja ryhmien johtaminen johtivat prosessiin, jossa keskityttiin osallistujien indikaatioiden keräämiseen, niiden hoitoon ja synteesiin sekä ryhmien itsensä suorittamaan todentamiseen ja validointiin seuraavan työistunnon aikana.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Kalenteri: </w:t>
      </w:r>
    </w:p>
    <w:p>
      <w:pPr>
        <w:pStyle w:val="P68B1DB1Normal76"/>
        <w:widowControl w:val="false"/>
        <w:spacing w:lineRule="auto" w:line="240"/>
        <w:ind w:left="720" w:right="0" w:hanging="0"/>
        <w:jc w:val="left"/>
        <w:rPr/>
      </w:pPr>
      <w:r>
        <w:rPr/>
        <w:t xml:space="preserve">Työistuntojen aikana luotiin rento ilmapiiri, joka antaa osallistujille kaiken tarvittavan syventää teemoja, joista heidät oli kutsuttu pohtimaan, ilmaisemaan näkemyksiään ja kuuntelemaan muiden näkemyksiä. Samasta syystä päätettiin jakaa nämä kaksi pääryhmää kahteen alaryhmään. Lisäksi työ jaettiin kahdelle päivälle, jotta ideat voitaisiin perustaa.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Seuranta:</w:t>
      </w:r>
      <w:r>
        <w:rPr>
          <w:color w:val="000000"/>
        </w:rPr>
        <w:t xml:space="preserve"> </w:t>
      </w:r>
    </w:p>
    <w:p>
      <w:pPr>
        <w:pStyle w:val="P68B1DB1Normal76"/>
        <w:widowControl w:val="false"/>
        <w:spacing w:lineRule="auto" w:line="240"/>
        <w:ind w:left="720" w:right="0" w:hanging="0"/>
        <w:jc w:val="left"/>
        <w:rPr/>
      </w:pPr>
      <w:r>
        <w:rPr/>
        <w:t xml:space="preserve">Viimeisenä päivänä kaikki ryhmät tarkastivat ja validoivat työn ensimmäisessä vaiheessa annetut ensimmäiset suositusluonnokset. Kun tuloksia koskeva selvitys toimitettiin ministerineuvoston puheenjohtajavaltion Euroopan politiikkayksikölle ja sille annettiin siihen lupa, suositusten lopullinen versio toimitettiin kaikille paneelin osallistujille. Osallistujia pyydettiin joka tapauksessa seuraamaan konferenssin toimintaa verkkosivustolla ja julkaistavien päivitysten avulla.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Eheys: </w:t>
      </w:r>
    </w:p>
    <w:p>
      <w:pPr>
        <w:pStyle w:val="Normal"/>
        <w:widowControl w:val="false"/>
        <w:spacing w:lineRule="auto" w:line="240"/>
        <w:ind w:left="720" w:right="0" w:hanging="0"/>
        <w:jc w:val="left"/>
        <w:rPr/>
      </w:pPr>
      <w:r>
        <w:rPr>
          <w:color w:val="000000"/>
        </w:rPr>
        <w:t xml:space="preserve">Valmisteluryhmä suoritti koko työprosessin itsenäisesti saadun tarkastusmatkan </w:t>
      </w:r>
      <w:r>
        <w:rPr>
          <w:color w:val="ED7D31"/>
        </w:rPr>
        <w:t>mukaan</w:t>
      </w:r>
      <w:r>
        <w:rPr>
          <w:color w:val="000000"/>
        </w:rPr>
        <w:t xml:space="preserve">. Ministerineuvoston puheenjohtajavaltion eurooppalaiselle politiikkayksikölle tiedotettiin jatkuvasti aloitteen eri vaiheista ja tuloksista.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Yksityisyyden suoja: </w:t>
      </w:r>
    </w:p>
    <w:p>
      <w:pPr>
        <w:pStyle w:val="P68B1DB1Normal76"/>
        <w:widowControl w:val="false"/>
        <w:spacing w:lineRule="auto" w:line="240"/>
        <w:ind w:left="721" w:right="0" w:hanging="0"/>
        <w:jc w:val="left"/>
        <w:rPr/>
      </w:pPr>
      <w:r>
        <w:rPr/>
        <w:t xml:space="preserve">Osallistujien yksityisyys oli täysin taattu. Voidakseen osallistua paneeliin kaikkien hakijoiden oli allekirjoitettava laissa edellytetty tietoon perustuva suostumuslomake.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Luokitus: </w:t>
      </w:r>
    </w:p>
    <w:p>
      <w:pPr>
        <w:pStyle w:val="P68B1DB1Normal76"/>
        <w:widowControl w:val="false"/>
        <w:spacing w:lineRule="auto" w:line="240"/>
        <w:ind w:left="721" w:right="0" w:hanging="0"/>
        <w:jc w:val="left"/>
        <w:rPr>
          <w:rFonts w:ascii="Arial" w:hAnsi="Arial"/>
          <w:color w:val="000000"/>
          <w:sz w:val="22"/>
        </w:rPr>
      </w:pPr>
      <w:r>
        <w:rPr/>
        <w:t xml:space="preserve">Prosessin päätteeksi kaikille osallistujille lähetettiin kysely heidän kokemuksensa arvioimiseksi. Tulokset esitetään tiivistetysti tässä kertomuksessa. </w:t>
      </w:r>
    </w:p>
    <w:p>
      <w:pPr>
        <w:pStyle w:val="P68B1DB1Titre277"/>
        <w:numPr>
          <w:ilvl w:val="0"/>
          <w:numId w:val="2"/>
        </w:numPr>
        <w:rPr>
          <w:color w:val="BD1271"/>
        </w:rPr>
      </w:pPr>
      <w:bookmarkStart w:id="217" w:name="__RefHeading___Toc300310_1346298689"/>
      <w:bookmarkEnd w:id="217"/>
      <w:r>
        <w:rPr/>
        <w:t xml:space="preserve">2. Osallistujien valinta ja osallistumismuoto </w:t>
      </w:r>
    </w:p>
    <w:p>
      <w:pPr>
        <w:pStyle w:val="P68B1DB1Normal74"/>
        <w:widowControl w:val="false"/>
        <w:spacing w:lineRule="auto" w:line="240" w:before="208" w:after="0"/>
        <w:ind w:left="0" w:right="0" w:hanging="0"/>
        <w:jc w:val="left"/>
        <w:rPr>
          <w:rFonts w:ascii="Arial" w:hAnsi="Arial"/>
          <w:color w:val="2E74B5"/>
          <w:sz w:val="22"/>
        </w:rPr>
      </w:pPr>
      <w:r>
        <w:rPr/>
        <w:t xml:space="preserve">Valinta </w:t>
      </w:r>
    </w:p>
    <w:p>
      <w:pPr>
        <w:pStyle w:val="P68B1DB1Normal76"/>
        <w:widowControl w:val="false"/>
        <w:spacing w:lineRule="auto" w:line="240" w:before="90" w:after="0"/>
        <w:ind w:left="0" w:right="6" w:hanging="0"/>
        <w:jc w:val="left"/>
        <w:rPr/>
      </w:pPr>
      <w:r>
        <w:rPr/>
        <w:t xml:space="preserve">Tapahtumaa edeltävän viestintävaiheen tavoitteena oli valita vähintään 50 Italian kansalaista, jotka ovat kiinnostuneita osallistumaan aloitteeseen. </w:t>
      </w:r>
    </w:p>
    <w:p>
      <w:pPr>
        <w:pStyle w:val="Normal"/>
        <w:widowControl w:val="false"/>
        <w:spacing w:lineRule="auto" w:line="240" w:before="90" w:after="0"/>
        <w:ind w:left="0" w:right="4" w:hanging="0"/>
        <w:jc w:val="both"/>
        <w:rPr/>
      </w:pPr>
      <w:r>
        <w:rPr>
          <w:color w:val="000000"/>
        </w:rPr>
        <w:t xml:space="preserve">Tätä varten laadittiin lyhyt itsehakemuslomake, joka täytettiin verkossa </w:t>
      </w:r>
      <w:r>
        <w:rPr>
          <w:color w:val="ED7D31"/>
        </w:rPr>
        <w:t>SWG</w:t>
      </w:r>
      <w:r>
        <w:rPr>
          <w:color w:val="000000"/>
        </w:rPr>
        <w:t xml:space="preserve">-alustalla ja jonka kautta kaikki aloitteeseen osallistumisesta kiinnostuneet pystyivät tekemään hakemuksen ja ilmoittamaan, mitä tietoja tarvitaan ryhmiin, joista osallistujat valittiin satunnaisesti. Osallistumisen edellytykset olivat seuraavat: sinulla on internet-yhteys, mikrofonilla ja videokameralla varustettu laite sekä allekirjoita konferenssin peruskirja.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64">
            <wp:simplePos x="0" y="0"/>
            <wp:positionH relativeFrom="column">
              <wp:posOffset>58420</wp:posOffset>
            </wp:positionH>
            <wp:positionV relativeFrom="paragraph">
              <wp:posOffset>1365885</wp:posOffset>
            </wp:positionV>
            <wp:extent cx="187960" cy="187960"/>
            <wp:effectExtent l="0" t="0" r="0" b="0"/>
            <wp:wrapSquare wrapText="largest"/>
            <wp:docPr id="100" name="Kuva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Kuva44" descr=""/>
                    <pic:cNvPicPr>
                      <a:picLocks noChangeAspect="1" noChangeArrowheads="1"/>
                    </pic:cNvPicPr>
                  </pic:nvPicPr>
                  <pic:blipFill>
                    <a:blip r:embed="rId102"/>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8">
            <wp:simplePos x="0" y="0"/>
            <wp:positionH relativeFrom="column">
              <wp:posOffset>49530</wp:posOffset>
            </wp:positionH>
            <wp:positionV relativeFrom="paragraph">
              <wp:posOffset>958850</wp:posOffset>
            </wp:positionV>
            <wp:extent cx="287020" cy="287020"/>
            <wp:effectExtent l="0" t="0" r="0" b="0"/>
            <wp:wrapSquare wrapText="largest"/>
            <wp:docPr id="101" name="Kuva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Kuva43" descr=""/>
                    <pic:cNvPicPr>
                      <a:picLocks noChangeAspect="1" noChangeArrowheads="1"/>
                    </pic:cNvPicPr>
                  </pic:nvPicPr>
                  <pic:blipFill>
                    <a:blip r:embed="rId103"/>
                    <a:stretch>
                      <a:fillRect/>
                    </a:stretch>
                  </pic:blipFill>
                  <pic:spPr bwMode="auto">
                    <a:xfrm>
                      <a:off x="0" y="0"/>
                      <a:ext cx="287020" cy="287020"/>
                    </a:xfrm>
                    <a:prstGeom prst="rect">
                      <a:avLst/>
                    </a:prstGeom>
                  </pic:spPr>
                </pic:pic>
              </a:graphicData>
            </a:graphic>
          </wp:anchor>
        </w:drawing>
      </w:r>
      <w:r>
        <w:rPr>
          <w:color w:val="000000"/>
        </w:rPr>
        <w:t>H</w:t>
      </w:r>
      <w:r>
        <w:rPr>
          <w:color w:val="000000"/>
        </w:rPr>
        <w:t>akemuslomake jaettiin sosiaalisissa verkostoissa</w:t>
      </w:r>
      <w:r>
        <w:rPr>
          <w:color w:val="ED7D31"/>
        </w:rPr>
        <w:t>SWG</w:t>
      </w:r>
      <w:r>
        <w:rPr>
          <w:color w:val="000000"/>
        </w:rPr>
        <w:t xml:space="preserve">:n tileiltä. Tätä varten kuusi viestiä julkaistiin Twitterissä ja yksi LinkedInissä seuraavin tuloksin: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Sosiaalinen verkosto</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Päivämäärät</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Katselukertojen määrä</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Pääsy hakulomakkeeseen</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Twitter</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virkaa/toimea 8.–10. maaliskuuta</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LinkedIn</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virka 8. maaliskuuta</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Samaan aikaan </w:t>
      </w:r>
      <w:r>
        <w:rPr>
          <w:color w:val="ED7D31"/>
        </w:rPr>
        <w:t>SWG</w:t>
      </w:r>
      <w:r>
        <w:rPr>
          <w:color w:val="000000"/>
        </w:rPr>
        <w:t xml:space="preserve"> -yhteisön jäseniä kehotettiin soveltamaan kutsustrategiaa, jonka tavoitteena on varmistaa Italian väestön mahdollisimman suuri edustavuus paitsi sosiaalisten ominaispiirteiden myös ideoiden, kulttuuristen suuntaviivojen ja arvojen osalta. </w:t>
      </w:r>
    </w:p>
    <w:p>
      <w:pPr>
        <w:pStyle w:val="P68B1DB1Normal76"/>
        <w:widowControl w:val="false"/>
        <w:spacing w:lineRule="exact" w:line="253" w:before="71" w:after="0"/>
        <w:ind w:left="1" w:right="0" w:hanging="0"/>
        <w:jc w:val="both"/>
        <w:rPr/>
      </w:pPr>
      <w:r>
        <w:rPr/>
        <w:t xml:space="preserve">Hakemukset voidaan jättää 8. maaliskuuta kello 8.00–10. maaliskuuta 2022 kello 16.00. Prosessissa saatiin yhteensä 420 käyttöoikeutta hakulomakkeeseen ja 225 täyttä hakemusta saatiin. </w:t>
      </w:r>
    </w:p>
    <w:p>
      <w:pPr>
        <w:pStyle w:val="P68B1DB1Normal76"/>
        <w:widowControl w:val="false"/>
        <w:spacing w:lineRule="exact" w:line="253" w:before="67" w:after="0"/>
        <w:ind w:left="1" w:right="2" w:hanging="0"/>
        <w:jc w:val="both"/>
        <w:rPr/>
      </w:pPr>
      <w:r>
        <w:rPr/>
        <w:t xml:space="preserve">Tukikelpoisia oli yhteensä </w:t>
      </w:r>
      <w:r>
        <w:rPr>
          <w:b/>
        </w:rPr>
        <w:t>140</w:t>
      </w:r>
      <w:r>
        <w:rPr/>
        <w:t xml:space="preserve"> henkilöä, joista 70 valittiin sukupuolen, maantieteellisen jakautumisen, iän ja koulutustason tasapuolisuuden varmistamiseksi. </w:t>
      </w:r>
    </w:p>
    <w:p>
      <w:pPr>
        <w:pStyle w:val="P68B1DB1Normal76"/>
        <w:widowControl w:val="false"/>
        <w:spacing w:lineRule="exact" w:line="253" w:before="73" w:after="0"/>
        <w:ind w:left="1" w:right="1" w:hanging="0"/>
        <w:jc w:val="both"/>
        <w:rPr/>
      </w:pPr>
      <w:r>
        <w:rPr/>
        <w:t xml:space="preserve">Valintamenettelyssä kiinnitettiin erityistä huomiota oikeudenmukaisen todennäköisyyden periaatteeseen osallistujien valinnassa sekä satunnaiseen kriteeriin perustuviin menettelyihin. </w:t>
      </w:r>
    </w:p>
    <w:p>
      <w:pPr>
        <w:pStyle w:val="P68B1DB1Normal76"/>
        <w:widowControl w:val="false"/>
        <w:spacing w:lineRule="exact" w:line="253" w:before="71" w:after="0"/>
        <w:ind w:left="1" w:right="0" w:hanging="0"/>
        <w:jc w:val="both"/>
        <w:rPr/>
      </w:pPr>
      <w:r>
        <w:rPr/>
        <w:t xml:space="preserve">Valinnan sattumanvaraisuus oli keskeinen osa hanketta, jolla varmistettiin käyttöoikeusprosessin oikeudenmukaisuus. Aloitteen hengessä vaikutti kuitenkin tärkeältä ottaa käyttöön strategia, jonka tavoitteena on mahdollisimman monien ihmisten osallistamisen lisäksi varmistaa valittujen henkilöiden mahdollisimman suuri heterogeenisyys, jotta voidaan edistää mahdollisimman laajaa osallisuutta. </w:t>
      </w:r>
    </w:p>
    <w:p>
      <w:pPr>
        <w:pStyle w:val="P68B1DB1Normal34"/>
        <w:widowControl w:val="false"/>
        <w:spacing w:lineRule="exact" w:line="393" w:before="70" w:after="0"/>
        <w:ind w:left="0" w:right="0" w:hanging="0"/>
        <w:jc w:val="left"/>
        <w:rPr>
          <w:rFonts w:ascii="Arial" w:hAnsi="Arial"/>
          <w:color w:val="000000"/>
          <w:sz w:val="24"/>
        </w:rPr>
      </w:pPr>
      <w:r>
        <w:rPr/>
        <w:t xml:space="preserve"> </w:t>
      </w:r>
    </w:p>
    <w:p>
      <w:pPr>
        <w:pStyle w:val="P68B1DB1Normal76"/>
        <w:widowControl w:val="false"/>
        <w:spacing w:lineRule="exact" w:line="362" w:before="69" w:after="0"/>
        <w:ind w:left="0" w:right="0" w:hanging="0"/>
        <w:jc w:val="left"/>
        <w:rPr>
          <w:rFonts w:ascii="Arial" w:hAnsi="Arial"/>
          <w:color w:val="000000"/>
          <w:sz w:val="22"/>
        </w:rPr>
      </w:pPr>
      <w:r>
        <w:rPr/>
        <w:t>Yhteenvetona voidaan todeta, että tukikelpoisten henkilöiden jakautuminen oli seuraava:</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Lomake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4"/>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Vaatimukset täyttävien ehdokkaiden jakautuminen</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sukupuoli</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ikäryhmä</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vuotta</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35–64-vuotiaat</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vuotta</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Koulutustaso</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Matala</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Koillinen</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Korkeakoulu, ammatillinen koulutus</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Keskiverto</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Lukio</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Korotettu</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Kandidaatin tutkinto, maisterin tutkinto tai enemmän</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Luoteis-länsi</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Asuinalue</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keskusta</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Etelä- ja saaret</w:t>
                              </w:r>
                            </w:p>
                          </w:txbxContent>
                        </wps:txbx>
                        <wps:bodyPr lIns="90000" rIns="90000" tIns="45000" bIns="45000">
                          <a:noAutofit/>
                        </wps:bodyPr>
                      </wps:wsp>
                    </wpg:wgp>
                  </a:graphicData>
                </a:graphic>
              </wp:anchor>
            </w:drawing>
          </mc:Choice>
          <mc:Fallback>
            <w:pict>
              <v:group id="shape_0" alt="Lomake4" style="position:absolute;margin-left:0pt;margin-top:10.45pt;width:477.1pt;height:297.25pt" coordorigin="0,209" coordsize="9542,5945">
                <v:shape id="shape_0" stroked="f" style="position:absolute;left:0;top:976;width:9526;height:5177" type="shapetype_75">
                  <v:imagedata r:id="rId104"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Vaatimukset täyttävien ehdokkaiden jakautuminen</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sukupuoli</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ikäryhmä</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vuotta</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35–64-vuotiaat</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vuotta</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Koulutustaso</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Matala</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Koillinen</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Korkeakoulu, ammatillinen koulutus</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Keskiverto</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Lukio</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Korotettu</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Kandidaatin tutkinto, maisterin tutkinto tai enemmän</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Luoteis-länsi</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Asuinalue</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keskusta</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Etelä- ja saaret</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Kun 70 ehdokasta oli valittu, he saivat samana aamuna puhelun, jossa he vahvistivat osallistumisensa. Nämä puhelut soitettiin </w:t>
      </w:r>
      <w:r>
        <w:rPr>
          <w:color w:val="ED7D31"/>
        </w:rPr>
        <w:t>SWG</w:t>
      </w:r>
      <w:r>
        <w:rPr/>
        <w:t>-yhteyspisteessä</w:t>
      </w:r>
      <w:r>
        <w:rPr>
          <w:color w:val="000000"/>
        </w:rPr>
        <w:t xml:space="preserve"> CATI (Computer Assisted Telephone Survey) -menetelmällä. Tämän vaiheen lopussa yhteensä 59 henkilöä vahvisti osallistumisensa, ja heidät rekisteröitiin. </w:t>
      </w:r>
      <w:r>
        <w:rPr>
          <w:b/>
          <w:color w:val="BD1271"/>
        </w:rPr>
        <w:t>Näistä 55 osallistui aktiivisesti paneeliin.</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rFonts w:ascii="Arial" w:hAnsi="Arial"/>
          <w:color w:val="000000"/>
          <w:sz w:val="22"/>
        </w:rPr>
      </w:pPr>
      <w:r>
        <w:rPr/>
        <w:t xml:space="preserve">Paneelin jäsenten sosiaalinen ja ikäjakauma oli seuraava: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Lomake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5"/>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Aktiivisten osallistujien jakautuminen</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sukupuoli</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ikäryhmä</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vuotta</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35–64-vuotiaat</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vuotta</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Koulutustaso</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Matala</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Koillinen</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Korkeakoulu, ammatillinen koulutus</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Keskiverto</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Lukio</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Korotettu</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Kandidaatin tutkinto, maisterin tutkinto tai enemmän</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Luoteis-länsi</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Asuinalue</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keskusta</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Etelä- ja saaret</w:t>
                              </w:r>
                            </w:p>
                          </w:txbxContent>
                        </wps:txbx>
                        <wps:bodyPr lIns="90000" rIns="90000" tIns="45000" bIns="45000">
                          <a:noAutofit/>
                        </wps:bodyPr>
                      </wps:wsp>
                    </wpg:wgp>
                  </a:graphicData>
                </a:graphic>
              </wp:anchor>
            </w:drawing>
          </mc:Choice>
          <mc:Fallback>
            <w:pict>
              <v:group id="shape_0" alt="Lomake5" style="position:absolute;margin-left:0.05pt;margin-top:3.25pt;width:484.8pt;height:285.3pt" coordorigin="1,65" coordsize="9696,5706">
                <v:shape id="shape_0" stroked="f" style="position:absolute;left:1;top:787;width:9545;height:4982" type="shapetype_75">
                  <v:imagedata r:id="rId105"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Aktiivisten osallistujien jakautuminen</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sukupuoli</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ikäryhmä</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vuotta</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35–64-vuotiaat</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vuotta</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Koulutustaso</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Matala</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Koillinen</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Korkeakoulu, ammatillinen koulutus</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Keskiverto</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Lukio</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Korotettu</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Kandidaatin tutkinto, maisterin tutkinto tai enemmän</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Luoteis-länsi</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Asuinalue</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keskusta</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Etelä- ja saaret</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t xml:space="preserve">Tässä ovat valintaprosessin tulokset: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Lomake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6"/>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Hakuprosessi</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Pääsy hakulomakkeeseen</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Täydelliset sovellukset</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Tukikelpoiset ehdokkaat</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Hyväksytty paneeliin</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Aktiiviset osallistujat</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maaliskuuta 2022</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Maaliskuuta 2022</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maaliskuuta 2022</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Maaliskuuta 2022</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Maaliskuuta 2022</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maaliskuuta 2022</w:t>
                              </w:r>
                            </w:p>
                          </w:txbxContent>
                        </wps:txbx>
                        <wps:bodyPr lIns="90000" rIns="90000" tIns="45000" bIns="45000">
                          <a:noAutofit/>
                        </wps:bodyPr>
                      </wps:wsp>
                    </wpg:wgp>
                  </a:graphicData>
                </a:graphic>
              </wp:anchor>
            </w:drawing>
          </mc:Choice>
          <mc:Fallback>
            <w:pict>
              <v:group id="shape_0" alt="Lomake6" style="position:absolute;margin-left:0.8pt;margin-top:11.4pt;width:476.1pt;height:286.6pt" coordorigin="16,228" coordsize="9522,5732">
                <v:shape id="shape_0" stroked="f" style="position:absolute;left:2410;top:949;width:4571;height:5010" type="shapetype_75">
                  <v:imagedata r:id="rId106"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Hakuprosessi</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Pääsy hakulomakkeeseen</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Täydelliset sovellukset</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Tukikelpoiset ehdokkaat</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Hyväksytty paneeliin</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Aktiiviset osallistujat</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maaliskuuta 2022</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Maaliskuuta 2022</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maaliskuuta 2022</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Maaliskuuta 2022</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Maaliskuuta 2022</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maaliskuuta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t xml:space="preserve">Viestintälaitteet </w:t>
      </w:r>
    </w:p>
    <w:p>
      <w:pPr>
        <w:pStyle w:val="P68B1DB1Normal76"/>
        <w:widowControl w:val="false"/>
        <w:spacing w:lineRule="exact" w:line="379" w:before="200" w:after="0"/>
        <w:ind w:left="0" w:right="2" w:hanging="0"/>
        <w:jc w:val="left"/>
        <w:rPr/>
      </w:pPr>
      <w:r>
        <w:rPr/>
        <w:t xml:space="preserve">Motivaation ja osallistumisen korkean tason varmistamiseksi kaikille osallistujille annettiin seuraavat asiakirjat: </w:t>
      </w:r>
    </w:p>
    <w:p>
      <w:pPr>
        <w:pStyle w:val="P68B1DB1Normal76"/>
        <w:widowControl w:val="false"/>
        <w:spacing w:lineRule="exact" w:line="252" w:before="192" w:after="0"/>
        <w:ind w:left="720" w:right="0" w:hanging="0"/>
        <w:jc w:val="left"/>
        <w:rPr/>
      </w:pPr>
      <w:r>
        <w:rPr/>
        <w:t xml:space="preserve">• </w:t>
      </w:r>
      <w:r>
        <w:rPr>
          <w:b/>
        </w:rPr>
        <w:t xml:space="preserve">Euroopan tulevaisuutta käsittelevän konferenssin ja kansallisten paneelien esittelysivut; </w:t>
      </w:r>
    </w:p>
    <w:p>
      <w:pPr>
        <w:pStyle w:val="P68B1DB1Normal76"/>
        <w:widowControl w:val="false"/>
        <w:spacing w:lineRule="exact" w:line="379"/>
        <w:ind w:left="720" w:right="0" w:hanging="0"/>
        <w:jc w:val="left"/>
        <w:rPr/>
      </w:pPr>
      <w:r>
        <w:rPr/>
        <w:t xml:space="preserve">• </w:t>
      </w:r>
      <w:r>
        <w:rPr>
          <w:b/>
        </w:rPr>
        <w:t xml:space="preserve">Euroopan tulevaisuutta käsittelevän konferenssin peruskirja; </w:t>
      </w:r>
    </w:p>
    <w:p>
      <w:pPr>
        <w:pStyle w:val="P68B1DB1Normal76"/>
        <w:widowControl w:val="false"/>
        <w:spacing w:lineRule="exact" w:line="379"/>
        <w:ind w:left="720" w:right="0" w:hanging="0"/>
        <w:jc w:val="left"/>
        <w:rPr/>
      </w:pPr>
      <w:r>
        <w:rPr/>
        <w:t xml:space="preserve">• </w:t>
      </w:r>
      <w:r>
        <w:rPr/>
        <w:t xml:space="preserve">paneelien aikana käsiteltävät </w:t>
      </w:r>
      <w:r>
        <w:rPr>
          <w:b/>
        </w:rPr>
        <w:t xml:space="preserve">aiheet; </w:t>
      </w:r>
    </w:p>
    <w:p>
      <w:pPr>
        <w:pStyle w:val="P68B1DB1Normal76"/>
        <w:widowControl w:val="false"/>
        <w:spacing w:lineRule="exact" w:line="379"/>
        <w:ind w:left="721" w:right="0" w:hanging="0"/>
        <w:jc w:val="left"/>
        <w:rPr/>
      </w:pPr>
      <w:r>
        <w:rPr/>
        <w:t xml:space="preserve">• </w:t>
      </w:r>
      <w:r>
        <w:rPr>
          <w:b/>
        </w:rPr>
        <w:t xml:space="preserve">osallistumista varten tarvittavat tekniset ja organisatoriset tiedot. </w:t>
      </w:r>
    </w:p>
    <w:p>
      <w:pPr>
        <w:pStyle w:val="P68B1DB1Titre277"/>
        <w:numPr>
          <w:ilvl w:val="0"/>
          <w:numId w:val="2"/>
        </w:numPr>
        <w:rPr>
          <w:color w:val="BD1271"/>
        </w:rPr>
      </w:pPr>
      <w:bookmarkStart w:id="218" w:name="__RefHeading___Toc300312_1346298689"/>
      <w:bookmarkEnd w:id="218"/>
      <w:r>
        <w:rPr/>
        <w:t xml:space="preserve">3. Paneelin organisointi </w:t>
      </w:r>
    </w:p>
    <w:p>
      <w:pPr>
        <w:pStyle w:val="P68B1DB1Normal76"/>
        <w:widowControl w:val="false"/>
        <w:spacing w:lineRule="exact" w:line="272" w:before="231" w:after="0"/>
        <w:ind w:left="0" w:right="0" w:hanging="0"/>
        <w:jc w:val="both"/>
        <w:rPr/>
      </w:pPr>
      <w:r>
        <w:rPr/>
        <w:t xml:space="preserve">Mahdollisimman suuren osallistumisen mahdollistamiseksi, mukaan lukien henkilöt, joilla on ammatillisia sitoumuksia, paneeli järjestettiin kahden peräkkäisen puolen päivän aikana, mukaan lukien yksi viikonloppuisin, seuraavan aikataulun mukaisesti: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Perjantai 11. maaliskuuta kello 16.00–18.00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Lauantai 12 maaliskuu klo 10–12 </w:t>
      </w:r>
    </w:p>
    <w:p>
      <w:pPr>
        <w:pStyle w:val="Normal"/>
        <w:widowControl w:val="false"/>
        <w:spacing w:lineRule="exact" w:line="286" w:before="83" w:after="0"/>
        <w:ind w:left="0" w:right="1" w:hanging="0"/>
        <w:jc w:val="both"/>
        <w:rPr/>
      </w:pPr>
      <w:r>
        <w:rPr>
          <w:color w:val="000000"/>
        </w:rPr>
        <w:t xml:space="preserve">Tämän valinnan tarkoituksena oli yhtäältä helpottaa työntekijöiden osallistumista aloitteeseen ja toisaalta jakaa osallistumisaika, jotta voidaan kannustaa suurempaa huomiota ja osallistumista sekä pohtia tarkemmin esitettyjä aiheita ja ehdotuksia. Paneeliosallistujat, jotka liittyivät GoToMeeting-alustan avulla järjestettyihin kahteen työistuntoon, jaettiin neljään ryhmään (kaksi kutakin aihealuetta kohden), joita johti </w:t>
      </w:r>
      <w:r>
        <w:rPr>
          <w:color w:val="ED7D31"/>
        </w:rPr>
        <w:t>SWG</w:t>
      </w:r>
      <w:r>
        <w:rPr>
          <w:color w:val="000000"/>
        </w:rPr>
        <w:t xml:space="preserve">:n moderaattori ja menettelyn kirjoittamisesta vastaavan henkilön avustajat. Moderaattorit avustivat ryhmiä kahdella eri keskustelutavalla (yksi kutakin aihepiiriä kohti). Tavoitteena on saada mahdollisimman paljon mukaan kaikki valitut henkilöt ja varmistaa mahdollisimman laajaan osallistamiseen ja puolueettomuuteen perustuva lähestymistapa. </w:t>
      </w:r>
    </w:p>
    <w:p>
      <w:pPr>
        <w:pStyle w:val="Titre2"/>
        <w:numPr>
          <w:ilvl w:val="1"/>
          <w:numId w:val="2"/>
        </w:numPr>
        <w:rPr/>
      </w:pPr>
      <w:bookmarkStart w:id="219" w:name="__RefHeading___Toc300314_1346298689"/>
      <w:bookmarkEnd w:id="219"/>
      <w:r>
        <w:rPr>
          <w:color w:val="BD1271"/>
        </w:rPr>
        <w:t>4. Työohjelma</w:t>
      </w:r>
      <w:r>
        <w:rPr/>
        <w:t xml:space="preserve"> </w:t>
      </w:r>
    </w:p>
    <w:p>
      <w:pPr>
        <w:pStyle w:val="P68B1DB1Normal80"/>
        <w:widowControl w:val="false"/>
        <w:spacing w:lineRule="exact" w:line="393" w:before="85" w:after="0"/>
        <w:ind w:left="0" w:right="0" w:hanging="0"/>
        <w:jc w:val="left"/>
        <w:rPr>
          <w:rFonts w:ascii="Arial" w:hAnsi="Arial"/>
          <w:color w:val="116E9A"/>
          <w:sz w:val="24"/>
        </w:rPr>
      </w:pPr>
      <w:r>
        <w:rPr/>
        <w:t xml:space="preserve">Ensimmäinen istunto (perjantai 11. maaliskuuta 2022) </w:t>
      </w:r>
    </w:p>
    <w:p>
      <w:pPr>
        <w:pStyle w:val="P68B1DB1Normal76"/>
        <w:widowControl w:val="false"/>
        <w:spacing w:lineRule="exact" w:line="362" w:before="208" w:after="0"/>
        <w:ind w:left="360" w:right="0" w:hanging="0"/>
        <w:jc w:val="left"/>
        <w:rPr/>
      </w:pPr>
      <w:r>
        <w:rPr/>
        <w:t xml:space="preserve">• </w:t>
      </w:r>
      <w:r>
        <w:rPr/>
        <w:t xml:space="preserve">Klo 00 – Virtuaalihuoneen avaaminen ja osallistujien mahdollisuus muodostaa yhteys alustalle tarkistaakseen ääni- ja videojärjestelmiensä moitteettoman toiminnan. </w:t>
      </w:r>
    </w:p>
    <w:p>
      <w:pPr>
        <w:pStyle w:val="P68B1DB1Normal76"/>
        <w:widowControl w:val="false"/>
        <w:spacing w:lineRule="exact" w:line="362"/>
        <w:ind w:left="360" w:right="0" w:hanging="0"/>
        <w:jc w:val="left"/>
        <w:rPr/>
      </w:pPr>
      <w:r>
        <w:rPr/>
        <w:t xml:space="preserve">• </w:t>
      </w:r>
      <w:r>
        <w:rPr/>
        <w:t xml:space="preserve">16:00 – Johdanto moderaattorin toimesta: selvitys aloitteen taustalla olevista syistä ja kuvaus työn rakenteesta.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15 p.m. – Osallistujien jakaminen ryhmiin hakuvaiheessa esitettyjen mieltymysten perusteella.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16:20 – Ryhmäkeskustelun aloittaminen.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Klo 20.00 – istunnon päättyminen. </w:t>
      </w:r>
    </w:p>
    <w:p>
      <w:pPr>
        <w:pStyle w:val="P68B1DB1Normal80"/>
        <w:widowControl w:val="false"/>
        <w:spacing w:lineRule="exact" w:line="393" w:before="248" w:after="0"/>
        <w:ind w:left="0" w:right="0" w:hanging="0"/>
        <w:jc w:val="left"/>
        <w:rPr>
          <w:rFonts w:ascii="Arial" w:hAnsi="Arial"/>
          <w:color w:val="116E9A"/>
          <w:sz w:val="24"/>
        </w:rPr>
      </w:pPr>
      <w:r>
        <w:rPr/>
        <w:t xml:space="preserve">Toinen istunto (lauantai 12. maaliskuuta 2022) </w:t>
      </w:r>
    </w:p>
    <w:p>
      <w:pPr>
        <w:pStyle w:val="P68B1DB1Normal76"/>
        <w:widowControl w:val="false"/>
        <w:spacing w:lineRule="exact" w:line="362" w:before="208" w:after="0"/>
        <w:ind w:left="360" w:right="0" w:hanging="0"/>
        <w:jc w:val="left"/>
        <w:rPr>
          <w:rFonts w:ascii="Arial" w:hAnsi="Arial"/>
          <w:color w:val="000000"/>
          <w:sz w:val="22"/>
        </w:rPr>
      </w:pPr>
      <w:r>
        <w:rPr/>
        <w:t xml:space="preserve">• </w:t>
      </w:r>
      <w:r>
        <w:rPr/>
        <w:t xml:space="preserve">Klo 10 – Työn jatkaminen lukemalla ensimmäisen päivän työn tulokset. </w:t>
      </w:r>
    </w:p>
    <w:p>
      <w:pPr>
        <w:pStyle w:val="P68B1DB1Normal76"/>
        <w:widowControl w:val="false"/>
        <w:spacing w:lineRule="exact" w:line="254"/>
        <w:ind w:left="360" w:right="140" w:hanging="0"/>
        <w:jc w:val="left"/>
        <w:rPr/>
      </w:pPr>
      <w:r>
        <w:rPr/>
        <w:t xml:space="preserve">• </w:t>
      </w:r>
      <w:r>
        <w:rPr/>
        <w:t xml:space="preserve">Klo 10.15 – Jatkuva keskustelu, syvälliset keskustelut ja osallistujien kommentit. </w:t>
      </w:r>
    </w:p>
    <w:p>
      <w:pPr>
        <w:pStyle w:val="Normal"/>
        <w:widowControl w:val="false"/>
        <w:spacing w:lineRule="exact" w:line="362"/>
        <w:ind w:left="360" w:right="0" w:hanging="0"/>
        <w:jc w:val="left"/>
        <w:rPr/>
      </w:pPr>
      <w:r>
        <w:rPr>
          <w:color w:val="000000"/>
        </w:rPr>
        <w:t xml:space="preserve">• </w:t>
      </w:r>
      <w:r>
        <w:rPr>
          <w:color w:val="000000"/>
        </w:rPr>
        <w:t>12.00 – Työn päättäminen</w:t>
      </w:r>
      <w:r>
        <w:rPr>
          <w:color w:val="FF0000"/>
        </w:rPr>
        <w:t>.</w:t>
      </w:r>
      <w:r>
        <w:rPr>
          <w:color w:val="000000"/>
        </w:rPr>
        <w:t xml:space="preserve"> </w:t>
      </w:r>
    </w:p>
    <w:p>
      <w:pPr>
        <w:pStyle w:val="P68B1DB1Normal34"/>
        <w:widowControl w:val="false"/>
        <w:spacing w:lineRule="exact" w:line="393"/>
        <w:ind w:left="360" w:right="0" w:hanging="0"/>
        <w:jc w:val="left"/>
        <w:rPr>
          <w:rFonts w:ascii="Arial" w:hAnsi="Arial"/>
          <w:color w:val="000000"/>
          <w:sz w:val="24"/>
        </w:rPr>
      </w:pPr>
      <w:r>
        <w:rPr/>
        <w:t xml:space="preserve"> </w:t>
      </w:r>
    </w:p>
    <w:p>
      <w:pPr>
        <w:pStyle w:val="Normal"/>
        <w:spacing w:lineRule="auto" w:line="240" w:before="5420" w:after="57"/>
        <w:rPr/>
      </w:pPr>
      <w:r>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6120130" cy="3441700"/>
            <wp:effectExtent l="0" t="0" r="0" b="0"/>
            <wp:wrapTopAndBottom/>
            <wp:docPr id="105" name="Kuva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Kuva45" descr=""/>
                    <pic:cNvPicPr>
                      <a:picLocks noChangeAspect="1" noChangeArrowheads="1"/>
                    </pic:cNvPicPr>
                  </pic:nvPicPr>
                  <pic:blipFill>
                    <a:blip r:embed="rId107"/>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color w:val="BD1271"/>
        </w:rPr>
      </w:pPr>
      <w:bookmarkStart w:id="220" w:name="__RefHeading___Toc300316_1346298689"/>
      <w:bookmarkEnd w:id="220"/>
      <w:r>
        <w:rPr/>
        <w:t xml:space="preserve">5. Annetut suositukset </w:t>
      </w:r>
    </w:p>
    <w:p>
      <w:pPr>
        <w:pStyle w:val="Titre3"/>
        <w:numPr>
          <w:ilvl w:val="2"/>
          <w:numId w:val="2"/>
        </w:numPr>
        <w:rPr/>
      </w:pPr>
      <w:bookmarkStart w:id="221" w:name="__RefHeading___Toc300318_1346298689"/>
      <w:bookmarkEnd w:id="221"/>
      <w:r>
        <w:rPr>
          <w:color w:val="FFFFFF"/>
          <w:shd w:fill="0066B3" w:val="clear"/>
        </w:rPr>
        <w:t>Vahvempi talous, sosiaalinen oikeudenmukaisuus ja työllisyys</w:t>
      </w:r>
      <w:r>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22" w:name="__RefHeading___Toc300428_1346298689"/>
      <w:bookmarkEnd w:id="222"/>
      <w:r>
        <w:rPr/>
        <w:t xml:space="preserve">1. Viime vuosisadan tuotantomallin ylittäminen </w:t>
      </w:r>
    </w:p>
    <w:p>
      <w:pPr>
        <w:pStyle w:val="P68B1DB1Normal76"/>
        <w:widowControl w:val="false"/>
        <w:spacing w:lineRule="auto" w:line="240" w:before="80" w:after="0"/>
        <w:ind w:left="0" w:right="1" w:hanging="0"/>
        <w:jc w:val="both"/>
        <w:rPr/>
      </w:pPr>
      <w:r>
        <w:rPr/>
        <w:t xml:space="preserve">Paneelin osallistujat katsoivat, että viimeaikaiset maailmanlaajuiset tapahtumat (Covid-19-pandemia ja Venäjän ja Ukrainan välinen konflikti) osoittivat näennäisesti nykyisen eurooppalaisen tuotantomallin rajoitukset ja korostivat tarvetta tarkastella uudelleen lähestymistapaa, jota monet pitävät ”viimeiseen vuosisataan kuuluvana”.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Todisteet siitä, että Euroopan unioni on riippuvainen energian ja elintarvikkeiden tuonnista Euroopan unionin ulkopuolisista maista, sekä se, että (pandemian aikana) on havaittu, että viruksen leviämisen torjumiseksi tarvittavien lääkinnällisten laitteiden ja rokotteiden määrää ei pystytä yksin tuottamaan, on saanut vaikutelman, että talousjärjestelmämme kärsii rakenteellisesta heikkoudesta omavaraisuuden puutteen vuoksi.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3" w:hanging="0"/>
        <w:jc w:val="both"/>
        <w:rPr/>
      </w:pPr>
      <w:r>
        <w:rPr/>
        <w:t xml:space="preserve">Samalla osallistujat ovat selvästi sitä mieltä, että vahvemman talouden, joka kykenee luomaan työpaikkoja sosiaalisen oikeudenmukaisuuden puitteissa, on kyettävä hankkimaan merkittäviä teknologisia voimavaroja. Tätä varten on olennaisen tärkeää tukea koulutusjärjestelmää, jossa kiinnitetään yhä enemmän huomiota STEM-aineisiin.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b/>
        </w:rPr>
        <w:t>Teknologinen innovointi, kestävä energia, mutta myös matkailu ja kulttuuri</w:t>
      </w:r>
      <w:r>
        <w:rPr/>
        <w:t xml:space="preserve"> näyttävät olevan kolme keskeistä toimintalinjaa tulevaisuuden Euroopan talouden kehitykselle, ja siinä painotetaan erityisesti perustuotannon säilyttämistä, jotta vältetään riski siitä, että kolmansista maista on liiallinen riippuvuus välttämättömien tuotteiden ja raaka-aineiden hankinnasta. </w:t>
      </w:r>
    </w:p>
    <w:p>
      <w:pPr>
        <w:pStyle w:val="P68B1DB1Normal82"/>
        <w:widowControl w:val="false"/>
        <w:spacing w:lineRule="auto" w:line="240"/>
        <w:ind w:left="4819" w:right="0" w:hanging="0"/>
        <w:jc w:val="left"/>
        <w:rPr>
          <w:rFonts w:ascii="Arial" w:hAnsi="Arial"/>
          <w:color w:val="2E74B5"/>
          <w:sz w:val="24"/>
        </w:rPr>
      </w:pPr>
      <w:r>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t xml:space="preserve">SUOSITUKSET LYHYESTI </w:t>
      </w:r>
    </w:p>
    <w:p>
      <w:pPr>
        <w:pStyle w:val="P68B1DB1Normal84"/>
        <w:widowControl w:val="false"/>
        <w:spacing w:lineRule="auto" w:line="240" w:before="69" w:after="0"/>
        <w:ind w:left="283" w:right="0" w:hanging="0"/>
        <w:jc w:val="left"/>
        <w:rPr/>
      </w:pPr>
      <w:r>
        <w:rPr>
          <w:color w:val="BD1271"/>
        </w:rPr>
        <w:t xml:space="preserve">1. </w:t>
      </w:r>
      <w:r>
        <w:rPr>
          <w:color w:val="000000"/>
        </w:rPr>
        <w:t>Toteutetaan tehokkaita toimia ilmastonmuutoksen ja vaihtoehtoisen energian torjumiseksi.</w:t>
      </w:r>
    </w:p>
    <w:p>
      <w:pPr>
        <w:pStyle w:val="P68B1DB1Normal84"/>
        <w:widowControl w:val="false"/>
        <w:spacing w:lineRule="auto" w:line="240"/>
        <w:ind w:left="283" w:right="0" w:hanging="0"/>
        <w:jc w:val="left"/>
        <w:rPr/>
      </w:pPr>
      <w:r>
        <w:rPr>
          <w:color w:val="BD1271"/>
        </w:rPr>
        <w:t xml:space="preserve">2. </w:t>
      </w:r>
      <w:r>
        <w:rPr>
          <w:color w:val="000000"/>
        </w:rPr>
        <w:t>Investoidaan matkailu- ja kulttuuritalouteen ja arvostetaan myös Euroopan monia pieniä kohteita.</w:t>
      </w:r>
    </w:p>
    <w:p>
      <w:pPr>
        <w:pStyle w:val="P68B1DB1Normal84"/>
        <w:widowControl w:val="false"/>
        <w:spacing w:lineRule="auto" w:line="240"/>
        <w:ind w:left="283" w:right="0" w:hanging="0"/>
        <w:jc w:val="left"/>
        <w:rPr/>
      </w:pPr>
      <w:r>
        <w:rPr>
          <w:color w:val="BD1271"/>
        </w:rPr>
        <w:t xml:space="preserve">3. </w:t>
      </w:r>
      <w:r>
        <w:rPr>
          <w:color w:val="000000"/>
        </w:rPr>
        <w:t>Keskitytään teknologiaan ja innovointiin kasvun vauhdittajina.</w:t>
      </w:r>
    </w:p>
    <w:p>
      <w:pPr>
        <w:pStyle w:val="P68B1DB1Normal84"/>
        <w:widowControl w:val="false"/>
        <w:spacing w:lineRule="auto" w:line="240"/>
        <w:ind w:left="283" w:right="0" w:hanging="0"/>
        <w:jc w:val="left"/>
        <w:rPr/>
      </w:pPr>
      <w:r>
        <w:rPr>
          <w:color w:val="BD1271"/>
        </w:rPr>
        <w:t xml:space="preserve">4. </w:t>
      </w:r>
      <w:r>
        <w:rPr>
          <w:color w:val="000000"/>
        </w:rPr>
        <w:t>Vähennetään riippuvuutta muista maista raaka-aineista, energialähteistä ja maataloudesta.</w:t>
      </w:r>
    </w:p>
    <w:p>
      <w:pPr>
        <w:pStyle w:val="P68B1DB1Normal84"/>
        <w:widowControl w:val="false"/>
        <w:spacing w:lineRule="auto" w:line="240"/>
        <w:ind w:left="283" w:right="0" w:hanging="0"/>
        <w:jc w:val="left"/>
        <w:rPr/>
      </w:pPr>
      <w:r>
        <w:rPr>
          <w:color w:val="BD1271"/>
        </w:rPr>
        <w:t xml:space="preserve">5. </w:t>
      </w:r>
      <w:r>
        <w:rPr>
          <w:color w:val="000000"/>
        </w:rPr>
        <w:t>Rohkaise nuoria opiskelemaan tieteellisiä aiheita.</w:t>
      </w:r>
    </w:p>
    <w:p>
      <w:pPr>
        <w:pStyle w:val="P68B1DB1Normal85"/>
        <w:widowControl w:val="false"/>
        <w:spacing w:lineRule="exact" w:line="460"/>
        <w:ind w:left="0" w:right="0" w:hanging="0"/>
        <w:jc w:val="left"/>
        <w:rPr>
          <w:rFonts w:ascii="Arial" w:hAnsi="Arial"/>
          <w:color w:val="FFFFFF"/>
          <w:sz w:val="28"/>
        </w:rPr>
      </w:pPr>
      <w:r>
        <w:rPr/>
        <w:t xml:space="preserve"> </w:t>
      </w:r>
    </w:p>
    <w:p>
      <w:pPr>
        <w:pStyle w:val="P68B1DB1Titre481"/>
        <w:numPr>
          <w:ilvl w:val="0"/>
          <w:numId w:val="2"/>
        </w:numPr>
        <w:rPr>
          <w:color w:val="0066B3"/>
        </w:rPr>
      </w:pPr>
      <w:bookmarkStart w:id="223" w:name="__RefHeading___Toc300430_1346298689"/>
      <w:bookmarkEnd w:id="223"/>
      <w:r>
        <w:rPr/>
        <w:t xml:space="preserve">2. Generatiiviset ja osallistavat tuotantomääräykset </w:t>
      </w:r>
    </w:p>
    <w:p>
      <w:pPr>
        <w:pStyle w:val="P68B1DB1Normal76"/>
        <w:widowControl w:val="false"/>
        <w:spacing w:lineRule="auto" w:line="240" w:before="91" w:after="0"/>
        <w:ind w:left="0" w:right="2" w:hanging="0"/>
        <w:jc w:val="both"/>
        <w:rPr/>
      </w:pPr>
      <w:r>
        <w:rPr/>
        <w:t xml:space="preserve">Viime vuosisadan taloudellisen logiikan voittamiseksi on myös tarpeen tarkistaa liiketoimintaa ohjaavia sääntöjä ja menettelyjä. Tässä mielessä on neljä suositusta, jotka kaikki vastaavat yhteiseen logiikkaan: toisaalta sääntöjen yksinkertaistaminen ja toisaalta väärinkäytösten (erityisesti väärennösten ja vilpillisen kilpailun) korkean valppauden säilyttäminen. </w:t>
      </w:r>
    </w:p>
    <w:p>
      <w:pPr>
        <w:pStyle w:val="P68B1DB1Normal76"/>
        <w:widowControl w:val="false"/>
        <w:spacing w:lineRule="auto" w:line="240" w:before="15" w:after="0"/>
        <w:ind w:left="0" w:right="2" w:hanging="0"/>
        <w:jc w:val="both"/>
        <w:rPr/>
      </w:pPr>
      <w:r>
        <w:rPr/>
        <w:t xml:space="preserve">Erityistä huomiota kiinnitetään siihen, että tarvitaan taloudellisia sääntöjä, jotka ovat ensisijaisesti tuottavia ja jotka vähentävät mahdollisimman paljon valintoja, jotka edellyttävät tuotantoprosessien standardointia (vaaralliset paikalliset tuotannot, joilla on syvät kulttuuriset juuret), mutta myös maataloustuotteiden tuhoaminen, koska on tarpeen säilyttää ennalta määritetyt tuotantomäärät. </w:t>
      </w:r>
    </w:p>
    <w:p>
      <w:pPr>
        <w:pStyle w:val="P68B1DB1Normal83"/>
        <w:widowControl w:val="false"/>
        <w:spacing w:lineRule="auto" w:line="240" w:before="6" w:after="0"/>
        <w:ind w:left="4819" w:right="0" w:hanging="0"/>
        <w:jc w:val="left"/>
        <w:rPr>
          <w:rFonts w:ascii="Arial" w:hAnsi="Arial"/>
          <w:b/>
          <w:b/>
          <w:color w:val="2E74B5"/>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SUOSITUKSET LYHYESTI </w:t>
      </w:r>
    </w:p>
    <w:p>
      <w:pPr>
        <w:pStyle w:val="P68B1DB1Normal84"/>
        <w:widowControl w:val="false"/>
        <w:spacing w:lineRule="auto" w:line="240" w:before="72" w:after="0"/>
        <w:ind w:left="142" w:right="0" w:hanging="0"/>
        <w:jc w:val="left"/>
        <w:rPr/>
      </w:pPr>
      <w:r>
        <w:rPr>
          <w:color w:val="BD1271"/>
        </w:rPr>
        <w:t xml:space="preserve">1. </w:t>
      </w:r>
      <w:r>
        <w:rPr>
          <w:color w:val="000000"/>
        </w:rPr>
        <w:t>Byrokratian vähentäminen (valtuutukset, sertifioinnit).</w:t>
      </w:r>
    </w:p>
    <w:p>
      <w:pPr>
        <w:pStyle w:val="P68B1DB1Normal84"/>
        <w:widowControl w:val="false"/>
        <w:spacing w:lineRule="auto" w:line="240"/>
        <w:ind w:left="142" w:right="0" w:hanging="0"/>
        <w:jc w:val="left"/>
        <w:rPr/>
      </w:pPr>
      <w:r>
        <w:rPr>
          <w:color w:val="BD1271"/>
        </w:rPr>
        <w:t xml:space="preserve">2. </w:t>
      </w:r>
      <w:r>
        <w:rPr>
          <w:color w:val="000000"/>
        </w:rPr>
        <w:t>Vähennetään tuotteiden standardointia ja tunnustetaan kulttuuriin ja tuotantoon liittyvät paikalliset ja alueelliset erityispiirteet (tuotantoperinteiden kunnioittaminen).</w:t>
      </w:r>
    </w:p>
    <w:p>
      <w:pPr>
        <w:pStyle w:val="P68B1DB1Normal84"/>
        <w:widowControl w:val="false"/>
        <w:spacing w:lineRule="auto" w:line="240"/>
        <w:ind w:left="142" w:right="417" w:hanging="0"/>
        <w:jc w:val="left"/>
        <w:rPr/>
      </w:pPr>
      <w:r>
        <w:rPr>
          <w:color w:val="BD1271"/>
        </w:rPr>
        <w:t xml:space="preserve">3. </w:t>
      </w:r>
      <w:r>
        <w:rPr>
          <w:color w:val="000000"/>
        </w:rPr>
        <w:t>Ylittää maataloustuotannon kiintiöiden logiikan ja siitä johtuvan ylijäämätuotannon tuhoutumisen.</w:t>
      </w:r>
    </w:p>
    <w:p>
      <w:pPr>
        <w:pStyle w:val="P68B1DB1Normal84"/>
        <w:widowControl w:val="false"/>
        <w:spacing w:lineRule="auto" w:line="240"/>
        <w:ind w:left="142" w:right="0" w:hanging="0"/>
        <w:jc w:val="left"/>
        <w:rPr/>
      </w:pPr>
      <w:r>
        <w:rPr>
          <w:color w:val="BD1271"/>
        </w:rPr>
        <w:t xml:space="preserve">4. </w:t>
      </w:r>
      <w:r>
        <w:rPr>
          <w:color w:val="000000"/>
        </w:rPr>
        <w:t>Väärennösten ja vilpillisen kilpailun torjunta.</w:t>
      </w:r>
    </w:p>
    <w:p>
      <w:pPr>
        <w:pStyle w:val="P68B1DB1Normal86"/>
        <w:widowControl w:val="false"/>
        <w:spacing w:lineRule="auto" w:line="240"/>
        <w:ind w:left="0" w:right="0" w:hanging="0"/>
        <w:jc w:val="left"/>
        <w:rPr>
          <w:rFonts w:ascii="Arial" w:hAnsi="Arial"/>
          <w:color w:val="2E74B5"/>
          <w:sz w:val="28"/>
        </w:rPr>
      </w:pPr>
      <w:r>
        <w:rPr/>
        <w:t xml:space="preserve"> </w:t>
      </w:r>
    </w:p>
    <w:p>
      <w:pPr>
        <w:pStyle w:val="P68B1DB1Titre487"/>
        <w:numPr>
          <w:ilvl w:val="0"/>
          <w:numId w:val="2"/>
        </w:numPr>
        <w:rPr>
          <w:sz w:val="24"/>
        </w:rPr>
      </w:pPr>
      <w:bookmarkStart w:id="224" w:name="__RefHeading___Toc300432_1346298689"/>
      <w:bookmarkEnd w:id="224"/>
      <w:r>
        <w:rPr/>
        <w:t xml:space="preserve">3. Kasvun mittaaminen onnellisuutta vastaan populaatiossa tuotteiden määrän sijaan </w:t>
      </w:r>
    </w:p>
    <w:p>
      <w:pPr>
        <w:pStyle w:val="P68B1DB1Normal76"/>
        <w:widowControl w:val="false"/>
        <w:spacing w:lineRule="auto" w:line="240" w:before="88" w:after="0"/>
        <w:ind w:left="0" w:right="0" w:hanging="0"/>
        <w:jc w:val="both"/>
        <w:rPr/>
      </w:pPr>
      <w:r>
        <w:rPr/>
        <w:t xml:space="preserve">Viimeisen vuosisadan tuotantomallia pidemmälle meneminen ei tarkoita ainoastaan tuotantomenetelmien muuttamista vaan myös uuden kulttuurin kehittämistä, jossa kasvuindikaattorit eivät keskity ainoastaan tuotettujen tuotteiden määrään vaan myös kykyyn taata kansalaisille onnellisuuden tavoite. Tässä uudessa taloudessa hyödykkeet eivät voi olla vaikuttavuus- ja investointinäkökohtien keskipiste, mutta tämän paikan on palattava ihmisille. Tämä tarkoittaa siirtymistä tuotetun tavaran määrään (BKT) perustuvasta indikaattorijärjestelmästä järjestelmään, jolla voidaan mitata ihmisten hyvinvointia (BKT) (bruttokansallinen onnellisuus). </w:t>
      </w:r>
    </w:p>
    <w:p>
      <w:pPr>
        <w:pStyle w:val="P68B1DB1Normal83"/>
        <w:widowControl w:val="false"/>
        <w:spacing w:lineRule="auto" w:line="240" w:before="8" w:after="0"/>
        <w:ind w:left="4819" w:right="0" w:hanging="0"/>
        <w:jc w:val="left"/>
        <w:rPr>
          <w:rFonts w:ascii="Arial" w:hAnsi="Arial"/>
          <w:b/>
          <w:b/>
          <w:color w:val="2E74B5"/>
          <w:sz w:val="24"/>
        </w:rPr>
      </w:pPr>
      <w:r>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t xml:space="preserve">SUOSITUS LYHYESTI </w:t>
      </w:r>
    </w:p>
    <w:p>
      <w:pPr>
        <w:pStyle w:val="P68B1DB1Normal84"/>
        <w:widowControl w:val="false"/>
        <w:spacing w:lineRule="auto" w:line="240" w:before="69" w:after="0"/>
        <w:ind w:left="142" w:right="0" w:hanging="0"/>
        <w:jc w:val="left"/>
        <w:rPr/>
      </w:pPr>
      <w:r>
        <w:rPr>
          <w:color w:val="BD1271"/>
        </w:rPr>
        <w:t xml:space="preserve">1. </w:t>
      </w:r>
      <w:r>
        <w:rPr>
          <w:color w:val="000000"/>
        </w:rPr>
        <w:t>Kehitetään taloutta, joka keskittyy enemmän onnen tuotantoon (bruttokotimainen onnellisuus) kuin tavaroihin (bruttokotimainen tuote).</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color w:val="0066B3"/>
        </w:rPr>
      </w:pPr>
      <w:bookmarkStart w:id="225" w:name="__RefHeading___Toc300434_1346298689"/>
      <w:bookmarkEnd w:id="225"/>
      <w:r>
        <w:rPr/>
        <w:t xml:space="preserve">4. Valtioiden tiiviimpi yhdentyminen </w:t>
      </w:r>
    </w:p>
    <w:p>
      <w:pPr>
        <w:pStyle w:val="P68B1DB1Normal76"/>
        <w:widowControl w:val="false"/>
        <w:spacing w:lineRule="auto" w:line="240" w:before="49" w:after="0"/>
        <w:ind w:left="0" w:right="0" w:hanging="0"/>
        <w:jc w:val="both"/>
        <w:rPr/>
      </w:pPr>
      <w:r>
        <w:rPr/>
        <w:t xml:space="preserve">Kaikille, jopa niille, jotka ovat vähemmän tyytyväisiä nykyiseen organisaatioon ja Euroopan unionin tähänastisiin tuloksiin, on selvää, että rahaliitto ei riitä ja että Euroopan on kyettävä kehittymään yhä vahvemmin johdonmukaisena poliittisena kokonaisuutena, joka kykenee neuvottelemaan yhdellä äänellä ulkopuolelta ja toimimaan yhteisvastuullisesti sisäisesti. Vahvempi unioni on olennainen tekijä Euroopan unionin poliittisen, kaupallisen ja tuotantovoiman vahvistamisessa: peruslakien yhtenäisyys sekä yritysten ja kansalaisten yhdennetty ja johdonmukainen verotusjärjestelmä, jossa kansalaisille maksettavat palkat ja palvelut sovitetaan yhteen. Vain tällä tavoin meillä on Eurooppa, joka voi vähentää sosiaalisia eroja ja edistää elämänlaatua. </w:t>
      </w:r>
    </w:p>
    <w:p>
      <w:pPr>
        <w:pStyle w:val="P68B1DB1Normal76"/>
        <w:widowControl w:val="false"/>
        <w:spacing w:lineRule="auto" w:line="240" w:before="1" w:after="0"/>
        <w:ind w:left="0" w:right="2" w:hanging="0"/>
        <w:jc w:val="both"/>
        <w:rPr/>
      </w:pPr>
      <w:r>
        <w:rPr/>
        <w:t xml:space="preserve">Tämä tarkoittaa sitä, ettei palata viime vuosien saavutuksiin ja säilyttää hyvinvointivaltion käsite, jonka paneelin osallistujat ovat määritelleet maailman edistyneimmiksi ja huolestuneimmiksi kansalaisten yhtäläisten mahdollisuuksien ja sosiaalisen oikeudenmukaisuuden varmistamisesta. </w:t>
      </w:r>
    </w:p>
    <w:p>
      <w:pPr>
        <w:pStyle w:val="P68B1DB1Normal83"/>
        <w:widowControl w:val="false"/>
        <w:spacing w:lineRule="auto" w:line="240" w:before="72" w:after="0"/>
        <w:ind w:left="3000" w:right="0" w:hanging="0"/>
        <w:jc w:val="left"/>
        <w:rPr>
          <w:rFonts w:ascii="Arial" w:hAnsi="Arial"/>
          <w:b/>
          <w:b/>
          <w:color w:val="2E74B5"/>
          <w:sz w:val="24"/>
        </w:rPr>
      </w:pPr>
      <w:r>
        <w:rPr/>
        <w:t xml:space="preserve">SUOSITUKSET LYHYESTI </w:t>
      </w:r>
    </w:p>
    <w:p>
      <w:pPr>
        <w:pStyle w:val="P68B1DB1Normal84"/>
        <w:widowControl w:val="false"/>
        <w:spacing w:lineRule="auto" w:line="240" w:before="69" w:after="0"/>
        <w:ind w:left="283" w:right="0" w:hanging="0"/>
        <w:jc w:val="left"/>
        <w:rPr/>
      </w:pPr>
      <w:r>
        <w:rPr>
          <w:color w:val="BD1271"/>
        </w:rPr>
        <w:t xml:space="preserve">1. </w:t>
      </w:r>
      <w:r>
        <w:rPr>
          <w:color w:val="000000"/>
        </w:rPr>
        <w:t>Älä tee kompromisseja sosiaalisista oikeuksista (kansanterveys, julkinen koulutus, työvoimapolitiikka).</w:t>
      </w:r>
    </w:p>
    <w:p>
      <w:pPr>
        <w:pStyle w:val="P68B1DB1Normal84"/>
        <w:widowControl w:val="false"/>
        <w:spacing w:lineRule="auto" w:line="240"/>
        <w:ind w:left="283" w:right="0" w:hanging="0"/>
        <w:jc w:val="left"/>
        <w:rPr/>
      </w:pPr>
      <w:r>
        <w:rPr>
          <w:color w:val="BD1271"/>
        </w:rPr>
        <w:t xml:space="preserve">2. </w:t>
      </w:r>
      <w:r>
        <w:rPr>
          <w:color w:val="000000"/>
        </w:rPr>
        <w:t>Vahvistaa yhtenäisvaluutan sekä maksujärjestelmien ja televiestinnän yhteenliittämisen alalla tehtyjä toimia.</w:t>
      </w:r>
    </w:p>
    <w:p>
      <w:pPr>
        <w:pStyle w:val="P68B1DB1Normal88"/>
        <w:widowControl w:val="false"/>
        <w:spacing w:lineRule="auto" w:line="240"/>
        <w:ind w:left="0" w:right="0" w:hanging="0"/>
        <w:jc w:val="left"/>
        <w:rPr>
          <w:rFonts w:ascii="Arial" w:hAnsi="Arial"/>
          <w:color w:val="000000"/>
          <w:sz w:val="18"/>
        </w:rPr>
      </w:pPr>
      <w:r>
        <w:rPr/>
        <w:t xml:space="preserve"> </w:t>
      </w:r>
    </w:p>
    <w:p>
      <w:pPr>
        <w:pStyle w:val="P68B1DB1Normal76"/>
        <w:widowControl w:val="false"/>
        <w:spacing w:lineRule="auto" w:line="240" w:before="57" w:after="0"/>
        <w:ind w:left="0" w:right="0" w:hanging="0"/>
        <w:jc w:val="both"/>
        <w:rPr/>
      </w:pPr>
      <w:r>
        <w:rPr/>
        <w:t xml:space="preserve">Nyt kaikki, mitä on tehty aiemmin, ei kuitenkaan enää näytä riittävältä, ja tulevaisuuden Euroopan on otettava ratkaiseva askel eteenpäin jäsenvaltioiden välisen yhdentymisen osalta sellaisen sisäisen vision mukaan, joka ei enää perustu kilpailuun vaan yhteistyöhön, jolla varmistetaan, että kaikilla Euroopan kansalaisilla on samat takeet ja mahdollisuudet kaikissa unionin jäsenvaltioissa. </w:t>
      </w:r>
    </w:p>
    <w:p>
      <w:pPr>
        <w:pStyle w:val="P68B1DB1Normal34"/>
        <w:widowControl w:val="false"/>
        <w:spacing w:lineRule="auto" w:line="240" w:before="3" w:after="0"/>
        <w:ind w:left="0" w:right="0" w:hanging="0"/>
        <w:jc w:val="left"/>
        <w:rPr>
          <w:rFonts w:ascii="Arial" w:hAnsi="Arial"/>
          <w:color w:val="000000"/>
          <w:sz w:val="24"/>
        </w:rPr>
      </w:pPr>
      <w:r>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t xml:space="preserve">SUOSITUKSET LYHYESTI </w:t>
      </w:r>
    </w:p>
    <w:p>
      <w:pPr>
        <w:pStyle w:val="P68B1DB1Normal84"/>
        <w:widowControl w:val="false"/>
        <w:spacing w:lineRule="auto" w:line="240" w:before="72" w:after="0"/>
        <w:ind w:left="283" w:right="0" w:hanging="0"/>
        <w:jc w:val="left"/>
        <w:rPr/>
      </w:pPr>
      <w:r>
        <w:rPr>
          <w:color w:val="BD1271"/>
        </w:rPr>
        <w:t xml:space="preserve">1. </w:t>
      </w:r>
      <w:r>
        <w:rPr>
          <w:color w:val="000000"/>
        </w:rPr>
        <w:t>Mene valtioiden itsekkyyttä ja taipumusta etsiä yksilöllisiä etuja toisten kustannuksella.</w:t>
      </w:r>
    </w:p>
    <w:p>
      <w:pPr>
        <w:pStyle w:val="P68B1DB1Normal84"/>
        <w:widowControl w:val="false"/>
        <w:spacing w:lineRule="auto" w:line="240"/>
        <w:ind w:left="283" w:right="0" w:hanging="0"/>
        <w:jc w:val="left"/>
        <w:rPr/>
      </w:pPr>
      <w:r>
        <w:rPr>
          <w:color w:val="BD1271"/>
        </w:rPr>
        <w:t xml:space="preserve">2. </w:t>
      </w:r>
      <w:r>
        <w:rPr>
          <w:color w:val="000000"/>
        </w:rPr>
        <w:t>Luodaan järjestelmä, jossa on samat lait, verojärjestelmät, oikeudet ja velvollisuudet kaikissa maissa.</w:t>
      </w:r>
    </w:p>
    <w:p>
      <w:pPr>
        <w:pStyle w:val="P68B1DB1Normal84"/>
        <w:widowControl w:val="false"/>
        <w:spacing w:lineRule="auto" w:line="240"/>
        <w:ind w:left="283" w:right="0" w:hanging="0"/>
        <w:jc w:val="left"/>
        <w:rPr/>
      </w:pPr>
      <w:r>
        <w:rPr>
          <w:color w:val="BD1271"/>
        </w:rPr>
        <w:t xml:space="preserve">3. </w:t>
      </w:r>
      <w:r>
        <w:rPr>
          <w:color w:val="000000"/>
        </w:rPr>
        <w:t>Eri valtioiden väliset yhteensovitetut verojärjestelmät, erityisesti yritysten osalta (ei vapaa-alueita tai matalaa verotusta).</w:t>
      </w:r>
    </w:p>
    <w:p>
      <w:pPr>
        <w:pStyle w:val="P68B1DB1Normal84"/>
        <w:widowControl w:val="false"/>
        <w:spacing w:lineRule="auto" w:line="240"/>
        <w:ind w:left="283" w:right="416" w:hanging="0"/>
        <w:jc w:val="left"/>
        <w:rPr/>
      </w:pPr>
      <w:r>
        <w:rPr>
          <w:color w:val="BD1271"/>
        </w:rPr>
        <w:t xml:space="preserve">4. </w:t>
      </w:r>
      <w:r>
        <w:rPr>
          <w:color w:val="000000"/>
        </w:rPr>
        <w:t>Tuotteiden yhdenmukaiset hinnat ja yhtäläisen ostovoiman takaaminen eri valtioiden välillä.</w:t>
      </w:r>
    </w:p>
    <w:p>
      <w:pPr>
        <w:pStyle w:val="P68B1DB1Normal84"/>
        <w:widowControl w:val="false"/>
        <w:spacing w:lineRule="auto" w:line="240"/>
        <w:ind w:left="283" w:right="416" w:hanging="0"/>
        <w:jc w:val="left"/>
        <w:rPr/>
      </w:pPr>
      <w:r>
        <w:rPr>
          <w:color w:val="BD1271"/>
        </w:rPr>
        <w:t xml:space="preserve">5. </w:t>
      </w:r>
      <w:r>
        <w:rPr>
          <w:color w:val="000000"/>
        </w:rPr>
        <w:t>Vähentää palkkaeroja saman maan eri maiden ja maantieteellisten alueiden välillä.</w:t>
      </w:r>
    </w:p>
    <w:p>
      <w:pPr>
        <w:pStyle w:val="P68B1DB1Normal84"/>
        <w:widowControl w:val="false"/>
        <w:spacing w:lineRule="auto" w:line="240"/>
        <w:ind w:left="283" w:right="416" w:hanging="0"/>
        <w:jc w:val="left"/>
        <w:rPr/>
      </w:pPr>
      <w:r>
        <w:rPr>
          <w:color w:val="BD1271"/>
        </w:rPr>
        <w:t xml:space="preserve">6. </w:t>
      </w:r>
      <w:r>
        <w:rPr>
          <w:color w:val="000000"/>
        </w:rPr>
        <w:t>Tehdään useiden jäsenvaltioiden julkisesta velasta yhteinen vastuu.</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color w:val="0066B3"/>
        </w:rPr>
      </w:pPr>
      <w:bookmarkStart w:id="226" w:name="__RefHeading___Toc300436_1346298689"/>
      <w:bookmarkEnd w:id="226"/>
      <w:r>
        <w:rPr/>
        <w:t xml:space="preserve">5. Osallisuutta edistävät politiikat </w:t>
      </w:r>
    </w:p>
    <w:p>
      <w:pPr>
        <w:pStyle w:val="P68B1DB1Normal76"/>
        <w:widowControl w:val="false"/>
        <w:spacing w:lineRule="auto" w:line="240" w:before="88" w:after="0"/>
        <w:ind w:left="0" w:right="0" w:hanging="0"/>
        <w:jc w:val="both"/>
        <w:rPr/>
      </w:pPr>
      <w:r>
        <w:rPr/>
        <w:t xml:space="preserve">Oikeudenmukainen Eurooppa, joka pystyy tarjoamaan onnea kansalaisilleen, on osallistava Eurooppa, jossa kiinnitetään aina suurta huomiota eriarvoisuuden torjuntaan. Suosituksissa esitetään tietä pitkän aikavälin tavoitteiden (kuten sukupuolten tasa-arvon) saavuttamiseksi ja asetetaan uusia vaatimuksia, jotka liittyvät nyky-yhteiskuntien kulttuurisiin muutoksiin (digitaalinen eriarvoisuus ja oikeus elää terveellisessä ympäristössä). </w:t>
      </w:r>
    </w:p>
    <w:p>
      <w:pPr>
        <w:pStyle w:val="P68B1DB1Normal89"/>
        <w:widowControl w:val="false"/>
        <w:spacing w:lineRule="auto" w:line="240" w:before="74" w:after="0"/>
        <w:ind w:left="4819" w:right="0" w:hanging="0"/>
        <w:jc w:val="left"/>
        <w:rPr>
          <w:rFonts w:ascii="Arial" w:hAnsi="Arial"/>
          <w:b/>
          <w:b/>
          <w:color w:val="BD1271"/>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SUOSITUKSET LYHYESTI </w:t>
      </w:r>
    </w:p>
    <w:p>
      <w:pPr>
        <w:pStyle w:val="P68B1DB1Normal84"/>
        <w:widowControl w:val="false"/>
        <w:spacing w:lineRule="auto" w:line="240" w:before="69" w:after="0"/>
        <w:ind w:left="283" w:right="0" w:hanging="0"/>
        <w:jc w:val="left"/>
        <w:rPr/>
      </w:pPr>
      <w:r>
        <w:rPr>
          <w:color w:val="BD1271"/>
        </w:rPr>
        <w:t xml:space="preserve">1. </w:t>
      </w:r>
      <w:r>
        <w:rPr>
          <w:color w:val="000000"/>
        </w:rPr>
        <w:t>Sukupuolten täysimääräisen tasa-arvon saavuttaminen muun muassa vahvistamalla vanhempainvapaata ja lastenhoitopalveluja.</w:t>
      </w:r>
    </w:p>
    <w:p>
      <w:pPr>
        <w:pStyle w:val="P68B1DB1Normal84"/>
        <w:widowControl w:val="false"/>
        <w:spacing w:lineRule="auto" w:line="240"/>
        <w:ind w:left="283" w:right="0" w:hanging="0"/>
        <w:jc w:val="left"/>
        <w:rPr/>
      </w:pPr>
      <w:r>
        <w:rPr>
          <w:color w:val="BD1271"/>
        </w:rPr>
        <w:t xml:space="preserve">2. </w:t>
      </w:r>
      <w:r>
        <w:rPr>
          <w:color w:val="000000"/>
        </w:rPr>
        <w:t>Digitaalisen eriarvoisuuden torjuminen.</w:t>
      </w:r>
    </w:p>
    <w:p>
      <w:pPr>
        <w:pStyle w:val="P68B1DB1Normal84"/>
        <w:widowControl w:val="false"/>
        <w:spacing w:lineRule="auto" w:line="240"/>
        <w:ind w:left="283" w:right="0" w:hanging="0"/>
        <w:jc w:val="left"/>
        <w:rPr/>
      </w:pPr>
      <w:r>
        <w:rPr>
          <w:color w:val="BD1271"/>
        </w:rPr>
        <w:t xml:space="preserve">3. </w:t>
      </w:r>
      <w:r>
        <w:rPr>
          <w:color w:val="000000"/>
        </w:rPr>
        <w:t>Varmistetaan, että kaikki Euroopan kansalaiset voivat elää terveellisessä ja kestävässä ympäristössä.</w:t>
      </w:r>
    </w:p>
    <w:p>
      <w:pPr>
        <w:pStyle w:val="P68B1DB1Normal84"/>
        <w:widowControl w:val="false"/>
        <w:spacing w:lineRule="auto" w:line="240"/>
        <w:ind w:left="283" w:right="0" w:hanging="0"/>
        <w:jc w:val="left"/>
        <w:rPr/>
      </w:pPr>
      <w:r>
        <w:rPr>
          <w:color w:val="BD1271"/>
        </w:rPr>
        <w:t xml:space="preserve">4. </w:t>
      </w:r>
      <w:r>
        <w:rPr>
          <w:color w:val="000000"/>
        </w:rPr>
        <w:t>Varmistaa sosiaalisen liikkuvuuden mahdollisuudet ja näin ollen tarjota kaikki mahdollisuudet henkilökohtaiseen kehitykseen ja itsemääräämisoikeuteen</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Edistää sukupolvien uudistumista kaikilla tasoilla</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Hallita pakolaisten ja maahanmuuttajien vastaanottoa tasapainoisella tavalla eri valtioiden välillä.</w:t>
      </w:r>
    </w:p>
    <w:p>
      <w:pPr>
        <w:pStyle w:val="P68B1DB1Normal76"/>
        <w:widowControl w:val="false"/>
        <w:spacing w:lineRule="auto" w:line="240" w:before="106" w:after="0"/>
        <w:ind w:left="0" w:right="0" w:hanging="0"/>
        <w:jc w:val="both"/>
        <w:rPr/>
      </w:pPr>
      <w:r>
        <w:rPr/>
        <w:t xml:space="preserve">Koulujen ja koulutuspolitiikan rooli näyttää jälleen olevan keskeinen, jotta nuoret saavat työmarkkinoille pääsyyn tarvittavat taidot, mutta myös eurooppalaisen kulttuurin rakentamisessa. Toimielinten Euroopan rakentamisen jälkeen on olennaisen tärkeää rakentaa kansojen Eurooppa. Tässä yhteydessä painotetaan yhteisen kielen keskeistä merkitystä, jotta eri maiden kansalaisten välinen vuoropuhelu ja palvelujen yhdenvertainen saatavuus voidaan mahdollistaa. Kun esperanton unelma romahti, Yhdistyneen kuningaskunnan ero Euroopan unionista herätti epäilyksiä mahdollisuudesta omaksua englanti yhteisenä kielenä, kansainvälisten suhteiden keskeisenä kielenä sekä tieteellisessä ja taloudellisessa järjestelmässä. </w:t>
      </w:r>
    </w:p>
    <w:p>
      <w:pPr>
        <w:pStyle w:val="P68B1DB1Normal90"/>
        <w:widowControl w:val="false"/>
        <w:spacing w:lineRule="auto" w:line="240" w:before="86" w:after="0"/>
        <w:ind w:left="0" w:right="0" w:hanging="0"/>
        <w:jc w:val="left"/>
        <w:rPr>
          <w:rFonts w:ascii="Arial" w:hAnsi="Arial"/>
          <w:color w:val="000000"/>
          <w:sz w:val="16"/>
        </w:rPr>
      </w:pPr>
      <w:r>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t xml:space="preserve">SUOSITUKSET LYHYESTI </w:t>
      </w:r>
    </w:p>
    <w:p>
      <w:pPr>
        <w:pStyle w:val="P68B1DB1Normal84"/>
        <w:widowControl w:val="false"/>
        <w:spacing w:lineRule="auto" w:line="240" w:before="72" w:after="0"/>
        <w:ind w:left="283" w:right="0" w:hanging="0"/>
        <w:jc w:val="left"/>
        <w:rPr/>
      </w:pPr>
      <w:r>
        <w:rPr>
          <w:color w:val="BD1271"/>
        </w:rPr>
        <w:t xml:space="preserve">1. </w:t>
      </w:r>
      <w:r>
        <w:rPr>
          <w:color w:val="000000"/>
        </w:rPr>
        <w:t>Edistää yhteisen kielen omaksumista.</w:t>
      </w:r>
    </w:p>
    <w:p>
      <w:pPr>
        <w:pStyle w:val="P68B1DB1Normal84"/>
        <w:widowControl w:val="false"/>
        <w:spacing w:lineRule="auto" w:line="240"/>
        <w:ind w:left="283" w:right="0" w:hanging="0"/>
        <w:jc w:val="left"/>
        <w:rPr/>
      </w:pPr>
      <w:r>
        <w:rPr>
          <w:color w:val="BD1271"/>
        </w:rPr>
        <w:t xml:space="preserve">2. </w:t>
      </w:r>
      <w:r>
        <w:rPr>
          <w:color w:val="000000"/>
        </w:rPr>
        <w:t>Investoidaan kouluihin ja Euroopan historian opetukseen eikä kuhunkin kansakuntaan, samoin kuin poliittisen talouden ja kansalaiskasvatuksen opetukseen.</w:t>
      </w:r>
    </w:p>
    <w:p>
      <w:pPr>
        <w:pStyle w:val="P68B1DB1Normal84"/>
        <w:widowControl w:val="false"/>
        <w:spacing w:lineRule="auto" w:line="240"/>
        <w:ind w:left="283" w:right="417" w:hanging="0"/>
        <w:jc w:val="left"/>
        <w:rPr/>
      </w:pPr>
      <w:r>
        <w:rPr>
          <w:color w:val="BD1271"/>
        </w:rPr>
        <w:t xml:space="preserve">3. </w:t>
      </w:r>
      <w:r>
        <w:rPr>
          <w:color w:val="000000"/>
        </w:rPr>
        <w:t>Kulttuurin, koulutuksen ja vaihdon saatavuus eri jäsenvaltioiden opiskelijoiden ja kansalaisten välillä.</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Osallistamispolitiikalla on keskeinen rooli varmistettaessa, että kansalaisilla on mahdollisuuksia. Tältä osin paneelin osallistujat korostivat, että Italia ei useinkaan pysty käyttämään tähän tarkoitukseen myönnettyjä EU:n varoja. Osallisuus ja saavutettavuus merkitsevät sitä, että EU:n toimielinten on oltava lähempänä kansalaisiaan, ja nämä käsitteet kulkevat käsi kädessä tiedon ja tietoisuuden lisäämisestä Euroopan kansalaisten oikeuksista sellaisinaan. Tästä näkökulmasta EU:n toimielinten ja kansalaisten välisen suoran suhteen merkitys on noussut esiin ilman, että jäsenvaltioiden on välttämättä toimittava välittäjänä.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SUOSITUKSET LYHYESTI</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Edistetään EU:n varojen käyttöä eriarvoisuuden vähentämiseen</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EU:n toimielinten saavutettavuus ja läheisyys kansalaisten kanssa.</w:t>
      </w:r>
    </w:p>
    <w:p>
      <w:pPr>
        <w:pStyle w:val="P68B1DB1Normal84"/>
        <w:widowControl w:val="false"/>
        <w:spacing w:lineRule="auto" w:line="240"/>
        <w:ind w:left="283" w:right="416" w:hanging="0"/>
        <w:jc w:val="left"/>
        <w:rPr/>
      </w:pPr>
      <w:r>
        <w:rPr>
          <w:color w:val="BD1271"/>
        </w:rPr>
        <w:t xml:space="preserve">3. </w:t>
      </w:r>
      <w:r>
        <w:rPr>
          <w:color w:val="000000"/>
        </w:rPr>
        <w:t>Tiedotetaan selkeästi kansalaisille heidän oikeuksistaan ja mahdollisuuksistaan ja edistetään kansalaisten suoraa pääsyä niihin.</w:t>
      </w:r>
    </w:p>
    <w:p>
      <w:pPr>
        <w:pStyle w:val="P68B1DB1Normal91"/>
        <w:widowControl w:val="false"/>
        <w:spacing w:lineRule="auto" w:line="240"/>
        <w:ind w:left="0" w:right="0" w:hanging="0"/>
        <w:jc w:val="left"/>
        <w:rPr>
          <w:rFonts w:ascii="Arial" w:hAnsi="Arial"/>
          <w:color w:val="000000"/>
          <w:sz w:val="28"/>
        </w:rPr>
      </w:pPr>
      <w:r>
        <w:rPr/>
        <w:t xml:space="preserve"> </w:t>
      </w:r>
    </w:p>
    <w:p>
      <w:pPr>
        <w:pStyle w:val="P68B1DB1Titre481"/>
        <w:numPr>
          <w:ilvl w:val="0"/>
          <w:numId w:val="2"/>
        </w:numPr>
        <w:rPr>
          <w:color w:val="0066B3"/>
        </w:rPr>
      </w:pPr>
      <w:bookmarkStart w:id="227" w:name="__RefHeading___Toc300438_1346298689"/>
      <w:bookmarkEnd w:id="227"/>
      <w:r>
        <w:rPr/>
        <w:t xml:space="preserve">6. Työllisyys </w:t>
      </w:r>
    </w:p>
    <w:p>
      <w:pPr>
        <w:pStyle w:val="Normal"/>
        <w:widowControl w:val="false"/>
        <w:spacing w:lineRule="auto" w:line="240" w:before="97" w:after="0"/>
        <w:ind w:left="0" w:right="1" w:hanging="0"/>
        <w:jc w:val="both"/>
        <w:rPr/>
      </w:pPr>
      <w:r>
        <w:rPr>
          <w:color w:val="000000"/>
        </w:rPr>
        <w:t xml:space="preserve">Työllisyyskysymys on noussut jatkuvasti esiin monialaisena tekijänä ja suorana vaikutuksena Euroopan unionin kykyyn vastata sen suosituksiin. Osallistujien </w:t>
      </w:r>
      <w:r>
        <w:rPr>
          <w:color w:val="FF0000"/>
        </w:rPr>
        <w:t>välisen</w:t>
      </w:r>
      <w:r>
        <w:rPr>
          <w:color w:val="000000"/>
        </w:rPr>
        <w:t xml:space="preserve"> keskustelun aikana oli selvää, että työllisyyskysymys on kansalaisten elämän keskiössä, mutta että se kulkee käsi kädessä taloudellisen ja sosiaalisen oikeudenmukaisuuden vahvistamisen kanssa. Euroopan unioni, jossa aktiivinen työvoimapolitiikka pysyy keskeisenä ja yhä koordinoidumpana, on erittäin odotettavissa. </w:t>
      </w:r>
    </w:p>
    <w:p>
      <w:pPr>
        <w:pStyle w:val="P68B1DB1Normal34"/>
        <w:widowControl w:val="false"/>
        <w:spacing w:lineRule="auto" w:line="240" w:before="77"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SUOSITUKSET LYHYESTI</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Edistetään työntekijöiden välistä kauppaa Euroopassa Euroopan työllisyyskeskuksen kautta.</w:t>
      </w:r>
    </w:p>
    <w:p>
      <w:pPr>
        <w:pStyle w:val="P68B1DB1Normal84"/>
        <w:widowControl w:val="false"/>
        <w:spacing w:lineRule="auto" w:line="240"/>
        <w:ind w:left="283" w:right="0" w:hanging="0"/>
        <w:jc w:val="left"/>
        <w:rPr/>
      </w:pPr>
      <w:r>
        <w:rPr>
          <w:color w:val="BD1271"/>
        </w:rPr>
        <w:t xml:space="preserve">2. </w:t>
      </w:r>
      <w:r>
        <w:rPr>
          <w:color w:val="000000"/>
        </w:rPr>
        <w:t>Yhdennetyt työllisyyspolitiikat EU:n tasolla.</w:t>
      </w:r>
    </w:p>
    <w:p>
      <w:pPr>
        <w:pStyle w:val="P68B1DB1Normal84"/>
        <w:widowControl w:val="false"/>
        <w:spacing w:lineRule="auto" w:line="240"/>
        <w:ind w:left="283" w:right="0" w:hanging="0"/>
        <w:jc w:val="left"/>
        <w:rPr/>
      </w:pPr>
      <w:r>
        <w:rPr>
          <w:color w:val="BD1271"/>
        </w:rPr>
        <w:t xml:space="preserve">3. </w:t>
      </w:r>
      <w:r>
        <w:rPr>
          <w:color w:val="000000"/>
        </w:rPr>
        <w:t>Tarjota kannustimia yrityksille, jotka tarjoavat työpaikkoja.</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color w:val="FFFFFF"/>
          <w:highlight w:val="darkCyan"/>
        </w:rPr>
      </w:pPr>
      <w:bookmarkStart w:id="228" w:name="__RefHeading___Toc300320_1346298689"/>
      <w:bookmarkEnd w:id="228"/>
      <w:r>
        <w:rPr/>
        <w:t xml:space="preserve"> </w:t>
      </w:r>
      <w:r>
        <w:rPr/>
        <w:t xml:space="preserve">Eurooppa maailmassa </w:t>
      </w:r>
    </w:p>
    <w:p>
      <w:pPr>
        <w:pStyle w:val="P68B1DB1Normal76"/>
        <w:widowControl w:val="false"/>
        <w:spacing w:lineRule="exact" w:line="380" w:before="143" w:after="0"/>
        <w:ind w:left="74" w:right="0" w:hanging="0"/>
        <w:jc w:val="both"/>
        <w:rPr/>
      </w:pPr>
      <w:r>
        <w:rPr/>
        <w:t xml:space="preserve">Viimeaikaiset kansainväliset tapahtumat ja erityisesti Venäjän ja Ukrainan välinen sota ovat vaikuttaneet merkittävästi käsitykseen siitä, millainen rooli Euroopalla on kansainvälisellä tasolla. Kerätyissä suosituksissa keskityttiin pääasiassa EU:n vahvistamiseen (sekä identiteetin että taloudellisen vallan osalta) ja sen asettamiseen vertailu- ja elpymismalliksi suhteissaan muihin maihin.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Lomake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08"/>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Eurooppalaisen identiteetin vahvistaminen</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Talouden ja instituutioiden vahvistaminen</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Yhteistyö ja kumppanuudet</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Poliittinen ja kulttuurinen viitekohta</w:t>
                              </w:r>
                            </w:p>
                          </w:txbxContent>
                        </wps:txbx>
                        <wps:bodyPr lIns="90000" rIns="90000" tIns="45000" bIns="45000">
                          <a:noAutofit/>
                        </wps:bodyPr>
                      </wps:wsp>
                    </wpg:wgp>
                  </a:graphicData>
                </a:graphic>
              </wp:anchor>
            </w:drawing>
          </mc:Choice>
          <mc:Fallback>
            <w:pict>
              <v:group id="shape_0" alt="Lomake7" style="position:absolute;margin-left:-13.1pt;margin-top:5.35pt;width:508.1pt;height:71.15pt" coordorigin="-262,107" coordsize="10162,1423">
                <v:shape id="shape_0" stroked="f" style="position:absolute;left:438;top:982;width:8699;height:548;rotation:180" type="shapetype_75">
                  <v:imagedata r:id="rId109"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Eurooppalaisen identiteetin vahvistaminen</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Talouden ja instituutioiden vahvistaminen</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Yhteistyö ja kumppanuudet</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Poliittinen ja kulttuurinen viitekohta</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t>1. Eurooppalaisen identiteetin vahvistaminen</w:t>
      </w:r>
    </w:p>
    <w:p>
      <w:pPr>
        <w:pStyle w:val="P68B1DB1Normal76"/>
        <w:widowControl w:val="false"/>
        <w:spacing w:lineRule="auto" w:line="240" w:before="106" w:after="0"/>
        <w:ind w:left="74" w:right="0" w:hanging="0"/>
        <w:jc w:val="both"/>
        <w:rPr/>
      </w:pPr>
      <w:r>
        <w:rPr/>
        <w:t xml:space="preserve">Jotta Euroopan unionin tunnustettaisiin rajojensa ulkopuolella, sen on ensin osoitettava yhteenkuuluvuutta sisäisesti, ei ainoastaan taloudellisesti ja rahoituksellisesti, vaan myös identiteetin ja arvojen osalta. Identiteettiä ei synny hyväksynnällä vaan paikallisten erityispiirteiden hyödyntämisellä yhteisten olennaisten arvojen puitteissa. </w:t>
      </w:r>
    </w:p>
    <w:p>
      <w:pPr>
        <w:pStyle w:val="P68B1DB1Normal76"/>
        <w:widowControl w:val="false"/>
        <w:spacing w:lineRule="auto" w:line="240" w:before="78" w:after="0"/>
        <w:ind w:left="74" w:right="1" w:hanging="0"/>
        <w:jc w:val="both"/>
        <w:rPr/>
      </w:pPr>
      <w:r>
        <w:rPr/>
        <w:t xml:space="preserve">Tätä silmällä pitäen pohdittiin myös unionin soveltamisalan mahdollista laajentamista: joidenkin paneelin osallistujien mukaan se ei saisi tapahtua erottelemattomasti vaan pikemminkin kulttuurin ja arvojen vastavuoroiseen tunnustamiseen kuin taloudellisiin normeihin. </w:t>
      </w:r>
    </w:p>
    <w:p>
      <w:pPr>
        <w:pStyle w:val="P68B1DB1Normal83"/>
        <w:widowControl w:val="false"/>
        <w:spacing w:lineRule="auto" w:line="240" w:before="74" w:after="0"/>
        <w:ind w:left="4894" w:right="0" w:hanging="0"/>
        <w:jc w:val="left"/>
        <w:rPr>
          <w:rFonts w:ascii="Arial" w:hAnsi="Arial"/>
          <w:b/>
          <w:b/>
          <w:color w:val="2E74B5"/>
          <w:sz w:val="24"/>
        </w:rPr>
      </w:pPr>
      <w:r>
        <w:rPr/>
        <w:t xml:space="preserve"> </w:t>
      </w:r>
    </w:p>
    <w:p>
      <w:pPr>
        <w:pStyle w:val="P68B1DB1Normal74"/>
        <w:widowControl w:val="false"/>
        <w:spacing w:lineRule="auto" w:line="240" w:before="33" w:after="0"/>
        <w:ind w:left="3074" w:right="0" w:hanging="0"/>
        <w:jc w:val="left"/>
        <w:rPr/>
      </w:pPr>
      <w:r>
        <w:rPr>
          <w:b/>
          <w:sz w:val="24"/>
        </w:rPr>
        <w:t>SUOSITUKSET LYHYESTI</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Eurooppalaisten kulttuuriarvojen ja -ominaisuuksien sekä alueellisten erityispiirteiden vahvistaminen.</w:t>
      </w:r>
    </w:p>
    <w:p>
      <w:pPr>
        <w:pStyle w:val="P68B1DB1Normal84"/>
        <w:widowControl w:val="false"/>
        <w:spacing w:lineRule="auto" w:line="240"/>
        <w:ind w:left="358" w:right="0" w:hanging="0"/>
        <w:jc w:val="left"/>
        <w:rPr/>
      </w:pPr>
      <w:r>
        <w:rPr>
          <w:color w:val="BD1271"/>
        </w:rPr>
        <w:t xml:space="preserve">2. </w:t>
      </w:r>
      <w:r>
        <w:rPr>
          <w:color w:val="000000"/>
        </w:rPr>
        <w:t>Eurooppalaisen kulttuurin instituutin perustaminen edistämään kunnioituksen ja keskinäisen rikastumisen kulttuuria eri valtioiden kansalaisten välillä.</w:t>
      </w:r>
    </w:p>
    <w:p>
      <w:pPr>
        <w:pStyle w:val="P68B1DB1Normal84"/>
        <w:widowControl w:val="false"/>
        <w:spacing w:lineRule="auto" w:line="240"/>
        <w:ind w:left="418" w:right="418" w:hanging="0"/>
        <w:jc w:val="both"/>
        <w:rPr/>
      </w:pPr>
      <w:r>
        <w:rPr>
          <w:color w:val="BD1271"/>
        </w:rPr>
        <w:t xml:space="preserve">3. </w:t>
      </w:r>
      <w:r>
        <w:rPr>
          <w:color w:val="000000"/>
        </w:rPr>
        <w:t>Uusien ehdokasvaltioiden kuulumisen periaatteiden uudelleenmäärittely siten, että vahvistetaan kulttuuri-identiteetin ja -arvojen kaltaisia tekijöitä.</w:t>
      </w:r>
    </w:p>
    <w:p>
      <w:pPr>
        <w:pStyle w:val="P68B1DB1Normal34"/>
        <w:widowControl w:val="false"/>
        <w:spacing w:lineRule="auto" w:line="240"/>
        <w:ind w:left="74" w:right="0" w:hanging="0"/>
        <w:jc w:val="left"/>
        <w:rPr>
          <w:rFonts w:ascii="Arial" w:hAnsi="Arial"/>
          <w:color w:val="000000"/>
          <w:sz w:val="24"/>
        </w:rPr>
      </w:pPr>
      <w:r>
        <w:rPr/>
        <w:t xml:space="preserve"> </w:t>
      </w:r>
    </w:p>
    <w:p>
      <w:pPr>
        <w:pStyle w:val="P68B1DB1Titre481"/>
        <w:numPr>
          <w:ilvl w:val="0"/>
          <w:numId w:val="2"/>
        </w:numPr>
        <w:rPr>
          <w:color w:val="0066B3"/>
        </w:rPr>
      </w:pPr>
      <w:bookmarkStart w:id="230" w:name="__RefHeading___Toc300442_1346298689"/>
      <w:bookmarkEnd w:id="230"/>
      <w:r>
        <w:rPr/>
        <w:t xml:space="preserve">2. Talouden ja instituutioiden vahvistaminen </w:t>
      </w:r>
    </w:p>
    <w:p>
      <w:pPr>
        <w:pStyle w:val="P68B1DB1Normal76"/>
        <w:widowControl w:val="false"/>
        <w:spacing w:lineRule="auto" w:line="240" w:before="109" w:after="0"/>
        <w:ind w:left="0" w:right="0" w:hanging="0"/>
        <w:jc w:val="both"/>
        <w:rPr/>
      </w:pPr>
      <w:r>
        <w:rPr/>
        <w:t xml:space="preserve">Huomisen Euroopan odotetaan olevan johtavassa asemassa kansainvälisellä tasolla, mikä voidaan olettaa vain vahvan ja riippumattoman unionin ansiosta muista maista. Yleisesti tunnustetaan, että EU-maat ovat köyhiä raaka-aineiden suhteen, mutta vaikuttaa välttämättömältä, että EU pystyy varmistamaan energiahuollon, maatalouden ja teknologisten tuotteiden suuremman riippumattomuuden. </w:t>
      </w:r>
    </w:p>
    <w:p>
      <w:pPr>
        <w:pStyle w:val="P68B1DB1Normal76"/>
        <w:widowControl w:val="false"/>
        <w:spacing w:lineRule="auto" w:line="240" w:before="78" w:after="0"/>
        <w:ind w:left="0" w:right="1" w:hanging="0"/>
        <w:jc w:val="both"/>
        <w:rPr/>
      </w:pPr>
      <w:r>
        <w:rPr/>
        <w:t xml:space="preserve">Tämä edellyttää erityisiä investointeja, jotta voidaan kuroa umpeen esimerkiksi teknologia (joilla Euroopan unionilla ei näytä olevan tällä hetkellä johtava asema) mutta myös elintarvike- ja energia-alalla. </w:t>
      </w:r>
    </w:p>
    <w:p>
      <w:pPr>
        <w:pStyle w:val="P68B1DB1Normal76"/>
        <w:widowControl w:val="false"/>
        <w:spacing w:lineRule="auto" w:line="240" w:before="78" w:after="0"/>
        <w:ind w:left="0" w:right="2" w:hanging="0"/>
        <w:jc w:val="both"/>
        <w:rPr/>
      </w:pPr>
      <w:r>
        <w:rPr/>
        <w:t xml:space="preserve">Venäjän ja Ukrainan välinen sota on myös asettanut keskustelun keskiöön yhtenäisen eurooppalaisen puolustuspolitiikan tärkeyden, jolla on erityinen identiteetti ja suurempi riippumattomuus Natosta, kyseenalaistamatta sen jäsenyyttä. </w:t>
      </w:r>
    </w:p>
    <w:p>
      <w:pPr>
        <w:pStyle w:val="P68B1DB1Normal76"/>
        <w:widowControl w:val="false"/>
        <w:spacing w:lineRule="auto" w:line="240" w:before="78" w:after="0"/>
        <w:ind w:left="0" w:right="1" w:hanging="0"/>
        <w:jc w:val="left"/>
        <w:rPr/>
      </w:pPr>
      <w:r>
        <w:rPr/>
        <w:t xml:space="preserve">Tämä edellyttää myös selkeitä tulevaisuuden valintoja ja merkittäviä investointeja tieteeseen ja tutkimukseen nuorten eurooppalaisten taitojen parantamiseksi.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SUOSITUKSET LYHYESTI</w:t>
      </w:r>
      <w:r>
        <w:rPr>
          <w:sz w:val="28"/>
        </w:rPr>
        <w:t xml:space="preserve"> </w:t>
      </w:r>
    </w:p>
    <w:p>
      <w:pPr>
        <w:pStyle w:val="P68B1DB1Normal84"/>
        <w:widowControl w:val="false"/>
        <w:spacing w:lineRule="auto" w:line="240" w:before="70" w:after="0"/>
        <w:ind w:left="283" w:right="0" w:hanging="0"/>
        <w:jc w:val="left"/>
        <w:rPr/>
      </w:pPr>
      <w:r>
        <w:rPr>
          <w:color w:val="BD1271"/>
        </w:rPr>
        <w:t xml:space="preserve">1. </w:t>
      </w:r>
      <w:r>
        <w:rPr>
          <w:color w:val="000000"/>
        </w:rPr>
        <w:t xml:space="preserve">Sisäisen tuotantokapasiteetin vahvistaminen: elintarvikeketju (erityisesti vehnä) ja teknologia (mikrojalostimet). </w:t>
      </w:r>
    </w:p>
    <w:p>
      <w:pPr>
        <w:pStyle w:val="P68B1DB1Normal84"/>
        <w:widowControl w:val="false"/>
        <w:spacing w:lineRule="auto" w:line="240"/>
        <w:ind w:left="283" w:right="0" w:hanging="0"/>
        <w:jc w:val="left"/>
        <w:rPr/>
      </w:pPr>
      <w:r>
        <w:rPr>
          <w:color w:val="BD1271"/>
        </w:rPr>
        <w:t xml:space="preserve">2. </w:t>
      </w:r>
      <w:r>
        <w:rPr>
          <w:color w:val="000000"/>
        </w:rPr>
        <w:t>Edistää tyypillisiä alueellisia ja eurooppalaisia tuotantoja.</w:t>
      </w:r>
    </w:p>
    <w:p>
      <w:pPr>
        <w:pStyle w:val="P68B1DB1Normal84"/>
        <w:widowControl w:val="false"/>
        <w:spacing w:lineRule="auto" w:line="240"/>
        <w:ind w:left="283" w:right="0" w:hanging="0"/>
        <w:jc w:val="left"/>
        <w:rPr/>
      </w:pPr>
      <w:r>
        <w:rPr>
          <w:color w:val="BD1271"/>
        </w:rPr>
        <w:t xml:space="preserve">3. </w:t>
      </w:r>
      <w:r>
        <w:rPr>
          <w:color w:val="000000"/>
        </w:rPr>
        <w:t>Vahvistetaan eurooppalaisia teollisuusklustereita (esim. teräs).</w:t>
      </w:r>
    </w:p>
    <w:p>
      <w:pPr>
        <w:pStyle w:val="P68B1DB1Normal84"/>
        <w:widowControl w:val="false"/>
        <w:spacing w:lineRule="auto" w:line="240"/>
        <w:ind w:left="283" w:right="0" w:hanging="0"/>
        <w:jc w:val="left"/>
        <w:rPr/>
      </w:pPr>
      <w:r>
        <w:rPr>
          <w:color w:val="BD1271"/>
        </w:rPr>
        <w:t xml:space="preserve">4. </w:t>
      </w:r>
      <w:r>
        <w:rPr>
          <w:color w:val="000000"/>
        </w:rPr>
        <w:t>Vahvistaa paikallista energiantuotantoa ekologisesta näkökulmasta (kaasu, aurinko, tuuli).</w:t>
      </w:r>
    </w:p>
    <w:p>
      <w:pPr>
        <w:pStyle w:val="P68B1DB1Normal84"/>
        <w:widowControl w:val="false"/>
        <w:spacing w:lineRule="auto" w:line="240"/>
        <w:ind w:left="283" w:right="0" w:hanging="0"/>
        <w:jc w:val="left"/>
        <w:rPr/>
      </w:pPr>
      <w:r>
        <w:rPr>
          <w:color w:val="BD1271"/>
        </w:rPr>
        <w:t xml:space="preserve">5. </w:t>
      </w:r>
      <w:r>
        <w:rPr>
          <w:color w:val="000000"/>
        </w:rPr>
        <w:t>Kehittää ilmailu- ja avaruusteknologiaa.</w:t>
      </w:r>
    </w:p>
    <w:p>
      <w:pPr>
        <w:pStyle w:val="P68B1DB1Normal84"/>
        <w:widowControl w:val="false"/>
        <w:spacing w:lineRule="auto" w:line="240"/>
        <w:ind w:left="283" w:right="417" w:hanging="0"/>
        <w:jc w:val="left"/>
        <w:rPr/>
      </w:pPr>
      <w:r>
        <w:rPr>
          <w:color w:val="BD1271"/>
        </w:rPr>
        <w:t xml:space="preserve">6. </w:t>
      </w:r>
      <w:r>
        <w:rPr>
          <w:color w:val="000000"/>
        </w:rPr>
        <w:t>Eurooppalaisten tieteellisten laboratorioiden (eurooppalaisen viruspankin) perustaminen.</w:t>
      </w:r>
    </w:p>
    <w:p>
      <w:pPr>
        <w:pStyle w:val="P68B1DB1Normal84"/>
        <w:widowControl w:val="false"/>
        <w:spacing w:lineRule="auto" w:line="240"/>
        <w:ind w:left="283" w:right="417" w:hanging="0"/>
        <w:jc w:val="left"/>
        <w:rPr/>
      </w:pPr>
      <w:r>
        <w:rPr>
          <w:color w:val="BD1271"/>
        </w:rPr>
        <w:t xml:space="preserve">7. </w:t>
      </w:r>
      <w:r>
        <w:rPr>
          <w:color w:val="000000"/>
        </w:rPr>
        <w:t>Luodaan yhteinen eurooppalainen armeija, joka toimii Naton puitteissa, mutta auttaa myös menemään pidemmälle.</w:t>
      </w:r>
    </w:p>
    <w:p>
      <w:pPr>
        <w:pStyle w:val="P68B1DB1Normal84"/>
        <w:widowControl w:val="false"/>
        <w:spacing w:lineRule="auto" w:line="240"/>
        <w:ind w:left="283" w:right="417" w:hanging="0"/>
        <w:jc w:val="left"/>
        <w:rPr/>
      </w:pPr>
      <w:r>
        <w:rPr>
          <w:color w:val="BD1271"/>
        </w:rPr>
        <w:t xml:space="preserve">8. </w:t>
      </w:r>
      <w:r>
        <w:rPr>
          <w:color w:val="000000"/>
        </w:rPr>
        <w:t>Investoidaan kouluttajien koulutukseen (eurooppalainen opettajavaihto, Erasmus opettajille).</w:t>
      </w:r>
    </w:p>
    <w:p>
      <w:pPr>
        <w:pStyle w:val="P68B1DB1Normal84"/>
        <w:widowControl w:val="false"/>
        <w:spacing w:lineRule="auto" w:line="240"/>
        <w:ind w:left="283" w:right="416" w:hanging="0"/>
        <w:jc w:val="left"/>
        <w:rPr/>
      </w:pPr>
      <w:r>
        <w:rPr>
          <w:color w:val="BD1271"/>
        </w:rPr>
        <w:t xml:space="preserve">9. </w:t>
      </w:r>
      <w:r>
        <w:rPr>
          <w:color w:val="000000"/>
        </w:rPr>
        <w:t>Lisätään eurooppalaisten tutkijoiden liikkuvuutta kehittämällä uusia eurooppalaisia tiedelaitoksia</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Edistää innovatiivisten startup-yritysten syntymistä.</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1" w:name="__RefHeading___Toc300444_1346298689"/>
      <w:bookmarkEnd w:id="231"/>
      <w:r>
        <w:rPr/>
        <w:t xml:space="preserve">3. Yhteistyö ja kumppanuudet </w:t>
      </w:r>
    </w:p>
    <w:p>
      <w:pPr>
        <w:pStyle w:val="P68B1DB1Normal76"/>
        <w:widowControl w:val="false"/>
        <w:spacing w:lineRule="auto" w:line="240" w:before="109" w:after="0"/>
        <w:ind w:left="0" w:right="2" w:hanging="0"/>
        <w:jc w:val="both"/>
        <w:rPr/>
      </w:pPr>
      <w:r>
        <w:rPr/>
        <w:t xml:space="preserve">Tulevaisuuden Euroopan visio ei ole sen vaurautta puolustava linnoitus, vaan kansainvälisellä näyttämöllä toimiva päähenkilö, joka kykenee käymään vuoropuhelua kaikkien maailman maiden kanssa. Vuoropuhelu, joka alkaa kauppavallasta ja jonka pitäisi tähdätä taloudelliseen johtajuuteen ja jota voidaan vahvistaa perustamalla laajamittaisia kansainvälisiä kumppanuuksia ja hankkeita. </w:t>
      </w:r>
    </w:p>
    <w:p>
      <w:pPr>
        <w:pStyle w:val="P68B1DB1Normal76"/>
        <w:widowControl w:val="false"/>
        <w:spacing w:lineRule="auto" w:line="240" w:before="78" w:after="0"/>
        <w:ind w:left="0" w:right="0" w:hanging="0"/>
        <w:jc w:val="both"/>
        <w:rPr/>
      </w:pPr>
      <w:r>
        <w:rPr/>
        <w:t xml:space="preserve">Kaikki tämä yhteistyön ja huomion kiinnittämiseksi maailman hauraimpiin alueisiin sekä tilapäisiin hankkeisiin, joilla pyritään tuomaan esiin köyhimpiä maita, sekä kulttuuriseen ja taloudelliseen vaihtoon itäisten maiden kanssa. </w:t>
      </w:r>
    </w:p>
    <w:p>
      <w:pPr>
        <w:pStyle w:val="P68B1DB1Normal76"/>
        <w:widowControl w:val="false"/>
        <w:spacing w:lineRule="auto" w:line="240" w:before="78" w:after="0"/>
        <w:ind w:left="0" w:right="3" w:hanging="0"/>
        <w:jc w:val="both"/>
        <w:rPr/>
      </w:pPr>
      <w:r>
        <w:rPr/>
        <w:t xml:space="preserve">Erityistä huomiota kiinnitetään myös muuttoliikkeeseen, jossa parannetaan maiden välistä koordinointia ja käytetään yhteisiä menettelyjä hakemusten ja yksityishenkilöiden hallinnoimiseksi.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SUOSITUKSET LYHYESTI</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Viennin lisääminen.</w:t>
      </w:r>
    </w:p>
    <w:p>
      <w:pPr>
        <w:pStyle w:val="P68B1DB1Normal84"/>
        <w:widowControl w:val="false"/>
        <w:spacing w:lineRule="auto" w:line="240"/>
        <w:ind w:left="283" w:right="0" w:hanging="0"/>
        <w:jc w:val="left"/>
        <w:rPr/>
      </w:pPr>
      <w:r>
        <w:rPr>
          <w:color w:val="BD1271"/>
        </w:rPr>
        <w:t xml:space="preserve">2. </w:t>
      </w:r>
      <w:r>
        <w:rPr>
          <w:color w:val="000000"/>
        </w:rPr>
        <w:t>Edistetään kansainvälisiä eurooppalaisia matkailureittejä.</w:t>
      </w:r>
    </w:p>
    <w:p>
      <w:pPr>
        <w:pStyle w:val="P68B1DB1Normal84"/>
        <w:widowControl w:val="false"/>
        <w:spacing w:lineRule="auto" w:line="240"/>
        <w:ind w:left="283" w:right="0" w:hanging="0"/>
        <w:jc w:val="left"/>
        <w:rPr/>
      </w:pPr>
      <w:r>
        <w:rPr>
          <w:color w:val="BD1271"/>
        </w:rPr>
        <w:t xml:space="preserve">3. </w:t>
      </w:r>
      <w:r>
        <w:rPr>
          <w:color w:val="000000"/>
        </w:rPr>
        <w:t>Kehitetään EU:n tasolla (ei yksittäisinä valtioina tai yrityksinä, vaan unionina) käytävää neuvottelujärjestelmää, jolla on suurempi neuvotteluvoima mutta johon liittyy ihmisoikeuksien kunnioittamiseen liittyviä rajoitteita.</w:t>
      </w:r>
    </w:p>
    <w:p>
      <w:pPr>
        <w:pStyle w:val="P68B1DB1Normal84"/>
        <w:widowControl w:val="false"/>
        <w:spacing w:lineRule="auto" w:line="240"/>
        <w:ind w:left="283" w:right="417" w:hanging="0"/>
        <w:jc w:val="left"/>
        <w:rPr/>
      </w:pPr>
      <w:r>
        <w:rPr>
          <w:color w:val="BD1271"/>
        </w:rPr>
        <w:t xml:space="preserve">4. </w:t>
      </w:r>
      <w:r>
        <w:rPr>
          <w:color w:val="000000"/>
        </w:rPr>
        <w:t>Johtaa suuria kansainvälisiä hankkeita, kuten kansainvälinen avaruusasema.</w:t>
      </w:r>
    </w:p>
    <w:p>
      <w:pPr>
        <w:pStyle w:val="P68B1DB1Normal84"/>
        <w:widowControl w:val="false"/>
        <w:spacing w:lineRule="auto" w:line="240"/>
        <w:ind w:left="283" w:right="417" w:hanging="0"/>
        <w:jc w:val="left"/>
        <w:rPr/>
      </w:pPr>
      <w:r>
        <w:rPr>
          <w:color w:val="BD1271"/>
        </w:rPr>
        <w:t xml:space="preserve">5. </w:t>
      </w:r>
      <w:r>
        <w:rPr>
          <w:color w:val="000000"/>
        </w:rPr>
        <w:t>Rahoittaa hankkeita Afrikassa koulujen ja sairaaloiden rakentamiseksi ottamatta käyttöön siirtomaatyylistä asennetta mutta keskittyen eurooppalaisten arvojen ja oikeuksien kunnioittamiseen.</w:t>
      </w:r>
    </w:p>
    <w:p>
      <w:pPr>
        <w:pStyle w:val="P68B1DB1Normal84"/>
        <w:widowControl w:val="false"/>
        <w:spacing w:lineRule="auto" w:line="240"/>
        <w:ind w:left="283" w:right="417" w:hanging="0"/>
        <w:jc w:val="left"/>
        <w:rPr/>
      </w:pPr>
      <w:r>
        <w:rPr>
          <w:color w:val="BD1271"/>
        </w:rPr>
        <w:t xml:space="preserve">6. </w:t>
      </w:r>
      <w:r>
        <w:rPr>
          <w:color w:val="000000"/>
        </w:rPr>
        <w:t>Investoidaan paikan päällä tapahtuvaan koulutukseen (erityisesti naisille) köyhimmissä maissa.</w:t>
      </w:r>
    </w:p>
    <w:p>
      <w:pPr>
        <w:pStyle w:val="P68B1DB1Normal84"/>
        <w:widowControl w:val="false"/>
        <w:spacing w:lineRule="auto" w:line="240"/>
        <w:ind w:left="283" w:right="0" w:hanging="0"/>
        <w:jc w:val="left"/>
        <w:rPr/>
      </w:pPr>
      <w:r>
        <w:rPr>
          <w:color w:val="BD1271"/>
        </w:rPr>
        <w:t xml:space="preserve">7. </w:t>
      </w:r>
      <w:r>
        <w:rPr>
          <w:color w:val="000000"/>
        </w:rPr>
        <w:t>Edistetään teknikoiden ja kouluttajien vaihtoa.</w:t>
      </w:r>
    </w:p>
    <w:p>
      <w:pPr>
        <w:pStyle w:val="P68B1DB1Normal84"/>
        <w:widowControl w:val="false"/>
        <w:spacing w:lineRule="auto" w:line="240"/>
        <w:ind w:left="283" w:right="0" w:hanging="0"/>
        <w:jc w:val="left"/>
        <w:rPr/>
      </w:pPr>
      <w:r>
        <w:rPr>
          <w:color w:val="BD1271"/>
        </w:rPr>
        <w:t xml:space="preserve">8. </w:t>
      </w:r>
      <w:r>
        <w:rPr>
          <w:color w:val="000000"/>
        </w:rPr>
        <w:t>Luodaan maahanmuuttajien pääsyä koskevia yhteisiä sääntöjä koskeva järjestelmä, jossa humanitaarisen ja taloudellisen muuttoliikkeen välillä on erilaisia prosesseja ja joka jakautuu tasapuolisesti eri valtioiden kesken mutta jossa on yhteiset säännöt (senssi sekä käyttäytymisen ja työllisyyden valvonta).</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2" w:name="__RefHeading___Toc300446_1346298689"/>
      <w:bookmarkEnd w:id="232"/>
      <w:r>
        <w:rPr/>
        <w:t xml:space="preserve">4. Poliittinen ja kulttuurinen referenssi </w:t>
      </w:r>
    </w:p>
    <w:p>
      <w:pPr>
        <w:pStyle w:val="P68B1DB1Normal76"/>
        <w:widowControl w:val="false"/>
        <w:spacing w:lineRule="auto" w:line="240" w:before="106" w:after="0"/>
        <w:ind w:left="0" w:right="145" w:hanging="0"/>
        <w:jc w:val="both"/>
        <w:rPr/>
      </w:pPr>
      <w:r>
        <w:rPr/>
        <w:t xml:space="preserve">Edellä kuvatussa skenaariossa Euroopan odotetaan tarjoavan maailmanlaajuisesti selkeän poliittisen ja kulttuurisen viitekehyksen oikeuksien ja etiikan näkökulmasta ja näyttävän esimerkkiä päätöksenteossa, jolla varmistetaan terveellinen ympäristö, ihmisten oikeuksien kunnioittaminen sekä idän ja lännen välinen vuoropuhelu. </w:t>
      </w:r>
    </w:p>
    <w:p>
      <w:pPr>
        <w:pStyle w:val="P68B1DB1Normal83"/>
        <w:widowControl w:val="false"/>
        <w:spacing w:lineRule="auto" w:line="240" w:before="73" w:after="0"/>
        <w:ind w:left="4819" w:right="0" w:hanging="0"/>
        <w:jc w:val="left"/>
        <w:rPr>
          <w:rFonts w:ascii="Arial" w:hAnsi="Arial"/>
          <w:b/>
          <w:b/>
          <w:color w:val="2E74B5"/>
          <w:sz w:val="24"/>
        </w:rPr>
      </w:pPr>
      <w:r>
        <w:rPr/>
        <w:t xml:space="preserve"> </w:t>
      </w:r>
    </w:p>
    <w:p>
      <w:pPr>
        <w:pStyle w:val="P68B1DB1Normal75"/>
        <w:widowControl w:val="false"/>
        <w:spacing w:lineRule="auto" w:line="240" w:before="72" w:after="0"/>
        <w:ind w:left="3000" w:right="0" w:hanging="0"/>
        <w:jc w:val="left"/>
        <w:rPr/>
      </w:pPr>
      <w:r>
        <w:rPr>
          <w:b/>
          <w:color w:val="2E74B5"/>
        </w:rPr>
        <w:t>SUOSITUKSET LYHYESTI</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Johda tietä vihreänä maanosana, saavuta nollapäästöt ennen muita ja lisää puhtaan energian tuotantoa (tuuli ja aurinko).</w:t>
      </w:r>
    </w:p>
    <w:p>
      <w:pPr>
        <w:pStyle w:val="P68B1DB1Normal84"/>
        <w:widowControl w:val="false"/>
        <w:spacing w:lineRule="auto" w:line="240"/>
        <w:ind w:left="283" w:right="0" w:hanging="0"/>
        <w:jc w:val="left"/>
        <w:rPr/>
      </w:pPr>
      <w:r>
        <w:rPr>
          <w:color w:val="BD1271"/>
        </w:rPr>
        <w:t xml:space="preserve">2. </w:t>
      </w:r>
      <w:r>
        <w:rPr>
          <w:color w:val="000000"/>
        </w:rPr>
        <w:t>Vientiteknologiat vaikutuksettomien tuotteiden tuottamiseksi.</w:t>
      </w:r>
    </w:p>
    <w:p>
      <w:pPr>
        <w:pStyle w:val="P68B1DB1Normal84"/>
        <w:widowControl w:val="false"/>
        <w:spacing w:lineRule="auto" w:line="240"/>
        <w:ind w:left="283" w:right="0" w:hanging="0"/>
        <w:jc w:val="left"/>
        <w:rPr/>
      </w:pPr>
      <w:r>
        <w:rPr>
          <w:color w:val="BD1271"/>
        </w:rPr>
        <w:t xml:space="preserve">3. </w:t>
      </w:r>
      <w:r>
        <w:rPr>
          <w:color w:val="000000"/>
        </w:rPr>
        <w:t>Toimii idän ja lännen välisenä yhtymäkohtana (julkisena paikkana, agorana) ja edistää kulttuurivaihtoa ja yhteisiä kulttuurialoitteita (kuten Maailman taidepäiviä, jotka järjestetään vuorotellen Euroopan eri pääkaupungeissa ja joissa on taiteellinen ohjelma, johon kuuluu läntisiä ja itäisiä taiteilijoita).</w:t>
      </w:r>
    </w:p>
    <w:p>
      <w:pPr>
        <w:pStyle w:val="P68B1DB1Normal84"/>
        <w:widowControl w:val="false"/>
        <w:spacing w:lineRule="auto" w:line="240"/>
        <w:ind w:left="283" w:right="560" w:hanging="0"/>
        <w:jc w:val="left"/>
        <w:rPr/>
      </w:pPr>
      <w:r>
        <w:rPr>
          <w:color w:val="BD1271"/>
        </w:rPr>
        <w:t xml:space="preserve">4. </w:t>
      </w:r>
      <w:r>
        <w:rPr>
          <w:color w:val="000000"/>
        </w:rPr>
        <w:t>Luodaan eurooppalainen eettinen malli muuttoprosessien hallitsemiseksi, joita voidaan jakaa kansainvälisesti.</w:t>
      </w:r>
    </w:p>
    <w:p>
      <w:pPr>
        <w:pStyle w:val="P68B1DB1Normal32"/>
        <w:widowControl w:val="false"/>
        <w:spacing w:lineRule="auto" w:line="240"/>
        <w:ind w:left="283" w:right="0" w:hanging="0"/>
        <w:jc w:val="left"/>
        <w:rPr>
          <w:rFonts w:ascii="Arial" w:hAnsi="Arial"/>
          <w:b/>
          <w:b/>
          <w:color w:val="000000"/>
          <w:sz w:val="24"/>
        </w:rPr>
      </w:pPr>
      <w:r>
        <w:rPr/>
        <w:t xml:space="preserve"> </w:t>
      </w:r>
    </w:p>
    <w:p>
      <w:pPr>
        <w:pStyle w:val="Titre2"/>
        <w:numPr>
          <w:ilvl w:val="1"/>
          <w:numId w:val="2"/>
        </w:numPr>
        <w:rPr/>
      </w:pPr>
      <w:bookmarkStart w:id="233" w:name="__RefHeading___Toc300322_1346298689"/>
      <w:bookmarkEnd w:id="233"/>
      <w:r>
        <w:rPr/>
        <w:t xml:space="preserve">6. Osallistujien suorittama loppuarviointi </w:t>
      </w:r>
    </w:p>
    <w:p>
      <w:pPr>
        <w:pStyle w:val="P68B1DB1Normal76"/>
        <w:widowControl w:val="false"/>
        <w:spacing w:lineRule="auto" w:line="240" w:before="106" w:after="0"/>
        <w:ind w:left="0" w:right="0" w:hanging="0"/>
        <w:jc w:val="both"/>
        <w:rPr/>
      </w:pPr>
      <w:r>
        <w:rPr/>
        <w:t xml:space="preserve">Näiden kahden työpäivän päätteeksi kaikkia osallistujia pyydettiin täyttämään lyhyt kysely heidän kokemuksensa arvioimiseksi. Arviointilomake lähetettiin kaksi päivää paneelin päättymisen jälkeen, jotta kaikilla osallistujilla olisi aikaa ottaa askel taaksepäin kokemuksista ja vastata puolueettomammin. </w:t>
      </w:r>
    </w:p>
    <w:p>
      <w:pPr>
        <w:pStyle w:val="Normal"/>
        <w:widowControl w:val="false"/>
        <w:spacing w:lineRule="auto" w:line="240" w:before="78" w:after="0"/>
        <w:ind w:left="0" w:right="2" w:hanging="0"/>
        <w:jc w:val="left"/>
        <w:rPr/>
      </w:pPr>
      <w:r>
        <w:rPr>
          <w:color w:val="000000"/>
        </w:rPr>
        <w:t xml:space="preserve">Kerätyt tulokset osoittavat erityisen suurta tyytyväisyyttä sekä kiinnostuksen ja osallistumisen helppouden että kuuntelun ja osallisuuden tunteen suhteen.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Lomake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0"/>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Tyytyväisyys paneeliin osallistumiseen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Yleinen tyytyväisyys kokemukseen</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Osallistujien panosten laatu</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Annettujen suositusten ja keskustelun johdonmukaisuus</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Alustan helppokäyttöisyys</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Mielipiteiden moninaisuuden kunnioittaminen</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Moderaattoreiden kyky antaa ääni osallistujille ja kuunnella heidän toimiaan</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Kiinnostus käsiteltäviin aiheisiin</w:t>
                              </w:r>
                            </w:p>
                          </w:txbxContent>
                        </wps:txbx>
                        <wps:bodyPr lIns="90000" rIns="90000" tIns="45000" bIns="45000">
                          <a:noAutofit/>
                        </wps:bodyPr>
                      </wps:wsp>
                    </wpg:wgp>
                  </a:graphicData>
                </a:graphic>
              </wp:anchor>
            </w:drawing>
          </mc:Choice>
          <mc:Fallback>
            <w:pict>
              <v:group id="shape_0" alt="Lomake8" style="position:absolute;margin-left:0.05pt;margin-top:3.95pt;width:472.1pt;height:238.2pt" coordorigin="1,79" coordsize="9442,4764">
                <v:shape id="shape_0" stroked="f" style="position:absolute;left:3991;top:846;width:5321;height:3996" type="shapetype_75">
                  <v:imagedata r:id="rId110"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Tyytyväisyys paneeliin osallistumiseen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Yleinen tyytyväisyys kokemukseen</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Osallistujien panosten laatu</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Annettujen suositusten ja keskustelun johdonmukaisuus</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Alustan helppokäyttöisyys</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Mielipiteiden moninaisuuden kunnioittaminen</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Moderaattoreiden kyky antaa ääni osallistujille ja kuunnella heidän toimiaan</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Kiinnostus käsiteltäviin aiheisiin</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Vaikka osallistujilla oli aluksi erilaisia kokemuksia, taitoja ja motivaatioita, he tunsivat olevansa vahvasti mukana: Arviointikyselyyn vastanneista 98 prosenttia koki osallistuneensa aktiivisesti keskusteluun ja osallistuneensa siihen myönteisesti.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Yleisesti ottaen tämän kokemuksen hyödyllisyys, jota on ennen kaikkea pidetty mahdollisuutena osallistua aktiivisesti ja joka on antanut tunteen siitä, että EU:n toimielimet ovat läheisempiä, on tuntunut erittäin vahvasti. Tämän vuoksi lähes kaikki vastaajat pyysivät, että tämäntyyppinen aloite toistettaisiin ajan mittaan. </w:t>
      </w:r>
    </w:p>
    <w:p>
      <w:pPr>
        <w:pStyle w:val="Normal"/>
        <w:widowControl w:val="false"/>
        <w:spacing w:lineRule="exact" w:line="202" w:before="4966" w:after="0"/>
        <w:ind w:left="0" w:right="0" w:hanging="0"/>
        <w:jc w:val="both"/>
        <w:rPr/>
      </w:pPr>
      <w:r>
        <mc:AlternateContent>
          <mc:Choice Requires="wpg">
            <w:drawing>
              <wp:anchor behindDoc="0" distT="0" distB="0" distL="0" distR="0" simplePos="0" locked="0" layoutInCell="1" allowOverlap="1" relativeHeight="62">
                <wp:simplePos x="0" y="0"/>
                <wp:positionH relativeFrom="column">
                  <wp:posOffset>0</wp:posOffset>
                </wp:positionH>
                <wp:positionV relativeFrom="paragraph">
                  <wp:posOffset>71120</wp:posOffset>
                </wp:positionV>
                <wp:extent cx="6047740" cy="3154045"/>
                <wp:effectExtent l="0" t="0" r="0" b="0"/>
                <wp:wrapTopAndBottom/>
                <wp:docPr id="108" name="Lomake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1"/>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EUROOPAN TULEVAISUUTTA KÄSITTELEVÄN KONFERENSSIN ITALIALAISEN PANEELIN KIINNOSTUKSEN ARVIOINTI</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Pitäisi tapahtua useammin</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On hyödyllistä saada kansalaisten ääni kuuluviin EU:n toimielimissä.</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Voi vaikuttaa myönteisesti Euroopan tulevaisuuden parantamiseen</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EU:n toimielinten tuominen lähemmäs kansalaisia</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Oli ajanhukkaa</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Täysin samaa mieltä</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Olen mieluummin samaa mieltä.</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Ei sopimusta eikä sopimusta</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 ole samaa mieltä.</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 ole lainkaan samaa mieltä.</w:t>
                              </w:r>
                            </w:p>
                          </w:txbxContent>
                        </wps:txbx>
                        <wps:bodyPr lIns="90000" rIns="90000" tIns="45000" bIns="45000">
                          <a:noAutofit/>
                        </wps:bodyPr>
                      </wps:wsp>
                    </wpg:wgp>
                  </a:graphicData>
                </a:graphic>
              </wp:anchor>
            </w:drawing>
          </mc:Choice>
          <mc:Fallback>
            <w:pict>
              <v:group id="shape_0" alt="Lomake9" style="position:absolute;margin-left:0pt;margin-top:5.6pt;width:476.15pt;height:248.3pt" coordorigin="0,112" coordsize="9523,4966">
                <v:shape id="shape_0" stroked="f" style="position:absolute;left:430;top:675;width:9092;height:4095" type="shapetype_75">
                  <v:imagedata r:id="rId111"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EUROOPAN TULEVAISUUTTA KÄSITTELEVÄN KONFERENSSIN ITALIALAISEN PANEELIN KIINNOSTUKSEN ARVIOINTI</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Pitäisi tapahtua useammin</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On hyödyllistä saada kansalaisten ääni kuuluviin EU:n toimielimissä.</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Voi vaikuttaa myönteisesti Euroopan tulevaisuuden parantamiseen</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EU:n toimielinten tuominen lähemmäs kansalaisia</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Oli ajanhukkaa</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Täysin samaa mieltä</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Olen mieluummin samaa mieltä.</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Ei sopimusta eikä sopimusta</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 ole samaa mieltä.</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 ole lainkaan samaa mieltä.</w:t>
                        </w:r>
                      </w:p>
                    </w:txbxContent>
                  </v:textbox>
                  <w10:wrap type="square"/>
                  <v:fill o:detectmouseclick="t" on="false"/>
                  <v:stroke color="#3465a4" joinstyle="round" endcap="flat"/>
                </v:rect>
              </v:group>
            </w:pict>
          </mc:Fallback>
        </mc:AlternateContent>
      </w:r>
      <w:r>
        <w:rPr>
          <w:color w:val="000000"/>
        </w:rPr>
        <w:t>Kaikki osallistujat ilmoittivat, että jos tällainen aloite järjestetään uudelleen, he eivät ainoastaan olisi halukkaita osallistumaan, vaan suosittelisivat myös ystävilleen osallistumista.</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E Kansalliset paneelit: Liettua</w:t>
      </w:r>
    </w:p>
    <w:p>
      <w:pPr>
        <w:pStyle w:val="P68B1DB1Normal95"/>
        <w:widowControl w:val="false"/>
        <w:spacing w:lineRule="exact" w:line="393"/>
        <w:ind w:left="0" w:right="0" w:hanging="0"/>
        <w:jc w:val="left"/>
        <w:rPr>
          <w:rFonts w:ascii="Arial" w:hAnsi="Arial"/>
          <w:color w:val="5A5A5A"/>
          <w:sz w:val="28"/>
        </w:rPr>
      </w:pPr>
      <w:r>
        <w:rPr/>
        <w:t xml:space="preserve">Liettuan kansalaispaneeli Euroopan tulevaisuudesta </w:t>
      </w:r>
    </w:p>
    <w:p>
      <w:pPr>
        <w:pStyle w:val="P68B1DB1Normal95"/>
        <w:widowControl w:val="false"/>
        <w:spacing w:lineRule="exact" w:line="460"/>
        <w:ind w:left="4320" w:right="0" w:hanging="0"/>
        <w:jc w:val="left"/>
        <w:rPr>
          <w:rFonts w:ascii="Arial" w:hAnsi="Arial"/>
          <w:color w:val="5A5A5A"/>
          <w:sz w:val="28"/>
        </w:rPr>
      </w:pPr>
      <w:r>
        <w:rPr/>
        <w:t xml:space="preserve">Raportti </w:t>
      </w:r>
    </w:p>
    <w:p>
      <w:pPr>
        <w:pStyle w:val="P68B1DB1Normal76"/>
        <w:widowControl w:val="false"/>
        <w:spacing w:lineRule="exact" w:line="227" w:before="87" w:after="0"/>
        <w:ind w:left="0" w:right="2" w:hanging="0"/>
        <w:jc w:val="both"/>
        <w:rPr/>
      </w:pPr>
      <w:r>
        <w:rPr/>
        <w:t xml:space="preserve">Tämä kertomus koostuu neljästä osasta. Ensimmäisessä esitellään lyhyesti tapahtuman etenemistä. Toisessa esitetään EU:n ja Liettuan politiikkaa käsittelevän kansalaispaneelin osallistujien antamat suositukset. Kolmannessa esitetään lyhyt analyysi ryhmissä käydyistä keskusteluista ja foorumin tärkeimmistä tuloksista. Neljännessä verrataan kansalaispaneelin tuloksia Liettuan kansalaisten Euroopan tilaa ja tulevaisuutta koskevien kyselytutkimusten tuloksiin.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Kansallisen kansalaispaneelin toiminta</w:t>
      </w:r>
    </w:p>
    <w:p>
      <w:pPr>
        <w:pStyle w:val="Normal"/>
        <w:widowControl w:val="false"/>
        <w:spacing w:lineRule="exact" w:line="253" w:before="95" w:after="0"/>
        <w:ind w:left="0" w:right="0" w:hanging="0"/>
        <w:jc w:val="both"/>
        <w:rPr/>
      </w:pPr>
      <w:r>
        <w:rPr>
          <w:color w:val="000000"/>
        </w:rPr>
        <w:t>Kantar TNS LT -tutkimuslaitos kehitti joulukuussa 2021 ulkoasiainministeriön (MAE) pyynnöstä Euroopan tulevaisuutta käsittelevän konferenssin puitteissa kansallisten kansalaispaneelien järjestämistä koskevien ohjeiden mukaisesti ositetun satunnaisvalintamenetelmän Liettuan väestöstä poimitusta edustavasta otoksesta, jonka perusteella Kantar TNS valitsi 25 18–65-vuotiasta Liettuan kansalaista, jotka edustivat eri sosioekonomisia ryhmiä ja kaikkia Liettuan maantieteellisiä alueita</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Valitut kansalaiset kutsuttiin 4. tammikuuta virtuaaliseen johdantoistuntoon, jossa esiteltiin ajatus kansallisesta kansalaispaneelista ja vaihdettiin Euroopan tulevaisuuden kannalta merkittävimpiä aiheita. Tapahtuman päätteeksi osallistujat saivat tausta-asiakirjan, jossa oli yksityiskohtainen kuvaus käsiteltävistä aiheista ja tietolähteistä. </w:t>
      </w:r>
    </w:p>
    <w:p>
      <w:pPr>
        <w:pStyle w:val="P68B1DB1Normal76"/>
        <w:widowControl w:val="false"/>
        <w:spacing w:lineRule="exact" w:line="253"/>
        <w:ind w:left="0" w:right="2" w:hanging="0"/>
        <w:jc w:val="both"/>
        <w:rPr/>
      </w:pPr>
      <w:r>
        <w:rPr/>
        <w:t xml:space="preserve">Eurooppalaisen pidätysmääräyksen yhteydessä järjestettiin 15. tammikuuta Euroopan tulevaisuutta käsittelevä kansallisten kansalaisten paneeli, jonka järjestivät eurooppalaisen pidätysmääräyksen Itä-Euroopan tutkimuskeskus (RESC) ja Kantar TNS LT -kyselyinstituutti, johon osallistui suoraan 25 valittua kansalaista. </w:t>
      </w:r>
    </w:p>
    <w:p>
      <w:pPr>
        <w:pStyle w:val="P68B1DB1Normal76"/>
        <w:widowControl w:val="false"/>
        <w:spacing w:lineRule="exact" w:line="362"/>
        <w:ind w:left="0" w:right="0" w:hanging="0"/>
        <w:jc w:val="left"/>
        <w:rPr>
          <w:rFonts w:ascii="Arial" w:hAnsi="Arial"/>
          <w:color w:val="000000"/>
          <w:sz w:val="22"/>
        </w:rPr>
      </w:pPr>
      <w:r>
        <w:rPr/>
        <w:t xml:space="preserve"> </w:t>
      </w:r>
    </w:p>
    <w:p>
      <w:pPr>
        <w:pStyle w:val="P68B1DB1Normal76"/>
        <w:widowControl w:val="false"/>
        <w:spacing w:lineRule="exact" w:line="253"/>
        <w:ind w:left="0" w:right="0" w:hanging="0"/>
        <w:jc w:val="both"/>
        <w:rPr/>
      </w:pPr>
      <w:r>
        <w:rPr/>
        <w:t xml:space="preserve">Osallistujat keskustelivat kahdesta EU:n politiikkaan liittyvästä kysymyksestä: </w:t>
      </w:r>
      <w:r>
        <w:rPr>
          <w:b/>
        </w:rPr>
        <w:t>EU:n rooli ja toimivalta ulkopolitiikassa</w:t>
      </w:r>
      <w:r>
        <w:rPr/>
        <w:t xml:space="preserve"> sekä </w:t>
      </w:r>
      <w:r>
        <w:rPr>
          <w:b/>
        </w:rPr>
        <w:t>EU:n taloudellinen rooli</w:t>
      </w:r>
      <w:r>
        <w:rPr/>
        <w:t>.</w:t>
      </w:r>
      <w:r>
        <w:rPr>
          <w:b/>
        </w:rPr>
        <w:t xml:space="preserve"> </w:t>
      </w:r>
      <w:r>
        <w:rPr/>
        <w:t xml:space="preserve">Tässä tapahtumassa kustakin aiheesta järjestettiin erillinen istunto, jonka alussa EU:n politiikan asiantuntijat Linas Kojala (RESC) ja Ramūnas Vilpišauskas (Vilnan yliopiston professori) esittelivät kansalaisille lyhyesti istunnon ajankohtaisuutta ja aiheita. Keskustelun aikana kansalaiset pystyivät esittämään kysymyksiä ja jakamaan näkemyksiään. Asiantuntijaesitysten jälkeen osallistujat jaettiin kolmeen pienempään edustusryhmään, joista kukin pohtii istunnon teemaan liittyvää eri asiaa. Ulkopoliittiset kysymykset olivat seuraavat: </w:t>
      </w:r>
    </w:p>
    <w:p>
      <w:pPr>
        <w:pStyle w:val="P68B1DB1Normal76"/>
        <w:widowControl w:val="false"/>
        <w:spacing w:lineRule="exact" w:line="253"/>
        <w:ind w:left="720" w:right="1" w:hanging="0"/>
        <w:jc w:val="left"/>
        <w:rPr/>
      </w:pPr>
      <w:r>
        <w:rPr>
          <w:b/>
        </w:rPr>
        <w:t>1.1.</w:t>
      </w:r>
      <w:r>
        <w:rPr/>
        <w:t xml:space="preserve"> Tarvitaanko EU:n itsenäistä puolustus- ja ulkopolitiikkaa?</w:t>
      </w:r>
    </w:p>
    <w:p>
      <w:pPr>
        <w:pStyle w:val="P68B1DB1Normal76"/>
        <w:widowControl w:val="false"/>
        <w:spacing w:lineRule="exact" w:line="253"/>
        <w:ind w:left="720" w:right="1" w:hanging="0"/>
        <w:jc w:val="left"/>
        <w:rPr/>
      </w:pPr>
      <w:r>
        <w:rPr>
          <w:b/>
        </w:rPr>
        <w:t>1.2.</w:t>
      </w:r>
      <w:r>
        <w:rPr/>
        <w:t xml:space="preserve"> Mitkä ovat EU:n suhteet sen itäeurooppalaisiin naapureihin, Pohjois-Afrikkaan ja Turkkiin? </w:t>
      </w:r>
    </w:p>
    <w:p>
      <w:pPr>
        <w:pStyle w:val="P68B1DB1Normal76"/>
        <w:widowControl w:val="false"/>
        <w:spacing w:lineRule="exact" w:line="379"/>
        <w:ind w:left="720" w:right="0" w:hanging="0"/>
        <w:jc w:val="left"/>
        <w:rPr/>
      </w:pPr>
      <w:r>
        <w:rPr>
          <w:b/>
        </w:rPr>
        <w:t>1.3.</w:t>
      </w:r>
      <w:r>
        <w:rPr/>
        <w:t xml:space="preserve"> Mitä EU:n maahanmuuttopolitiikan pitäisi olla? </w:t>
      </w:r>
    </w:p>
    <w:p>
      <w:pPr>
        <w:pStyle w:val="P68B1DB1Normal76"/>
        <w:widowControl w:val="false"/>
        <w:spacing w:lineRule="exact" w:line="254"/>
        <w:ind w:left="0" w:right="0" w:hanging="0"/>
        <w:jc w:val="left"/>
        <w:rPr/>
      </w:pPr>
      <w:r>
        <w:rPr/>
        <w:t xml:space="preserve">EU:n taloudellista roolia käsitelleessä istunnossa pohdittiin seuraavia kysymyksiä: </w:t>
      </w:r>
    </w:p>
    <w:p>
      <w:pPr>
        <w:pStyle w:val="P68B1DB1Normal76"/>
        <w:widowControl w:val="false"/>
        <w:spacing w:lineRule="exact" w:line="254"/>
        <w:ind w:left="720" w:right="0" w:hanging="0"/>
        <w:jc w:val="left"/>
        <w:rPr/>
      </w:pPr>
      <w:r>
        <w:rPr>
          <w:b/>
        </w:rPr>
        <w:t xml:space="preserve">2.1. </w:t>
      </w:r>
      <w:r>
        <w:rPr/>
        <w:t xml:space="preserve">Onko EU:n talousarviosta ja EU:n yhteisestä velasta osoitettava enemmän varoja uudelleen? </w:t>
      </w:r>
    </w:p>
    <w:p>
      <w:pPr>
        <w:pStyle w:val="P68B1DB1Normal76"/>
        <w:widowControl w:val="false"/>
        <w:spacing w:lineRule="exact" w:line="379"/>
        <w:ind w:left="720" w:right="0" w:hanging="0"/>
        <w:jc w:val="left"/>
        <w:rPr/>
      </w:pPr>
      <w:r>
        <w:rPr>
          <w:b/>
        </w:rPr>
        <w:t xml:space="preserve">2.2. </w:t>
      </w:r>
      <w:r>
        <w:rPr/>
        <w:t>Pitäisikö sosiaalisia normeja säännellä EU:n tasolla?</w:t>
      </w:r>
      <w:r>
        <w:rPr>
          <w:b/>
        </w:rPr>
        <w:t xml:space="preserve"> </w:t>
      </w:r>
    </w:p>
    <w:p>
      <w:pPr>
        <w:pStyle w:val="P68B1DB1Normal76"/>
        <w:widowControl w:val="false"/>
        <w:spacing w:lineRule="exact" w:line="379"/>
        <w:ind w:left="720" w:right="0" w:hanging="0"/>
        <w:jc w:val="left"/>
        <w:rPr/>
      </w:pPr>
      <w:r>
        <w:rPr>
          <w:b/>
        </w:rPr>
        <w:t>2.3.</w:t>
      </w:r>
      <w:r>
        <w:rPr/>
        <w:t xml:space="preserve"> Miten EU:n taloutta voidaan vahvistaa? </w:t>
      </w:r>
    </w:p>
    <w:p>
      <w:pPr>
        <w:pStyle w:val="P68B1DB1Normal76"/>
        <w:widowControl w:val="false"/>
        <w:spacing w:lineRule="auto" w:line="240"/>
        <w:ind w:left="0" w:right="0" w:hanging="0"/>
        <w:jc w:val="both"/>
        <w:rPr/>
      </w:pPr>
      <w:r>
        <w:rPr/>
        <w:t xml:space="preserve">Istunnon päätteeksi kunkin ryhmän oli laadittava keskustelun tärkeimmät päätelmät, esitettävä periaatelausumia tai konkreettisia ehdotuksia EU:n poliittisista huolenaiheista. Koko paneelin kanssa käydyn keskustelun aikana kunkin ryhmän edustaja esitteli havainnot muille osallistujille. Ne, jotka olivat olleet muissa ryhmissä, pystyivät esittämään kysymyksiä ja täydentämään ehdotuksia ideoillaan. Esitelmien ja keskustelujen jälkeen kansalaiset äänestivät kahdesta johtopäätöksestä ja äänestivät tärkeimmän ehdotuksen tai julistuksen puolesta, joka koskee Liettuan roolia EU:n ja EU:n menestyksen vahvistamisessa kaikkialla Euroopassa; ja toinen äänestys julkilausuman tai ehdotuksen puolesta he vaikuttavat tärkeimmiltä yksityishenkilön ominaisuudessaan, heidän etujensa vuoksi EU:n asukkaana. Tämän äänestyksen jälkeen paneelissa käytiin keskustelu ja keskusteltiin keskustelujen pääajatuksista. </w:t>
      </w:r>
    </w:p>
    <w:p>
      <w:pPr>
        <w:pStyle w:val="P68B1DB1Normal76"/>
        <w:widowControl w:val="false"/>
        <w:spacing w:lineRule="auto" w:line="240"/>
        <w:ind w:left="0" w:right="0" w:hanging="0"/>
        <w:jc w:val="both"/>
        <w:rPr/>
      </w:pPr>
      <w:r>
        <w:rPr/>
        <w:t xml:space="preserve">Tapahtuman jälkeisellä viikolla asiantuntijat tarkastelivat keskustelujen sisältöä ja paljastivat kansalaisten ehdottamien ideoiden ytimen. Tammikuun 25. päivänä pidettiin virtuaalinen yhteenvetotilaisuus, jossa kansalaisten kanssa jaettiin suosituksia keskustelujen sisällöstä. Kansalaisille annettiin mahdollisuus sanoa, hyväksyivätkö he suositukset, täydentää niitä asiasisällöstä ja arvioida niitä. Kaikilla osallistujilla oli tämä tilaisuus jälleen viikon kuluttua yhteenvetoistunnosta, ja he lähettivät mielipiteensä ja kommenttinsa kirjallisesti paneelin järjestäjille.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P68B1DB1Normal98"/>
        <w:widowControl w:val="false"/>
        <w:spacing w:lineRule="auto" w:line="240" w:before="82" w:after="0"/>
        <w:ind w:left="0" w:right="0" w:hanging="0"/>
        <w:jc w:val="left"/>
        <w:rPr/>
      </w:pPr>
      <w:r>
        <w:rPr/>
        <w:t xml:space="preserve">2. </w:t>
      </w:r>
      <w:r>
        <w:rPr>
          <w:i/>
        </w:rPr>
        <w:t>Kansallisen kansalaispaneelin tulokset</w:t>
      </w:r>
      <w:r>
        <w:rPr/>
        <w:t xml:space="preserve"> </w:t>
      </w:r>
    </w:p>
    <w:p>
      <w:pPr>
        <w:pStyle w:val="P68B1DB1Normal76"/>
        <w:widowControl w:val="false"/>
        <w:spacing w:lineRule="auto" w:line="240" w:before="70" w:after="0"/>
        <w:ind w:left="0" w:right="1" w:hanging="0"/>
        <w:jc w:val="both"/>
        <w:rPr/>
      </w:pPr>
      <w:r>
        <w:rPr/>
        <w:t xml:space="preserve">Kertomuksen tässä osassa esitetään kansalaispaneelin tulokset sekä työryhmien osallistujien antamat suositukset ja heidän kantansa EU:n roolista ulkopolitiikassa ja taloudessa.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left"/>
        <w:rPr/>
      </w:pPr>
      <w:r>
        <w:rPr>
          <w:b/>
        </w:rPr>
        <w:t>Ensimmäinen istunto:</w:t>
      </w:r>
      <w:r>
        <w:rPr/>
        <w:t xml:space="preserve"> </w:t>
      </w:r>
      <w:r>
        <w:rPr>
          <w:b/>
        </w:rPr>
        <w:t>EU:n rooli ja toimivalta ulkopolitiikassa</w:t>
      </w:r>
    </w:p>
    <w:p>
      <w:pPr>
        <w:pStyle w:val="P68B1DB1Normal99"/>
        <w:widowControl w:val="false"/>
        <w:spacing w:lineRule="auto" w:line="240" w:before="39" w:after="0"/>
        <w:ind w:left="468" w:right="0" w:hanging="0"/>
        <w:jc w:val="left"/>
        <w:rPr/>
      </w:pPr>
      <w:r>
        <w:rPr/>
        <w:t xml:space="preserve">1. Kehotamme EU:ta kehittämään tehokkaampaa politiikkaa Kiinaa kohtaan. Liettuaa on tuettava päättäväisemmin, mutta sen olisi myös sovitettava paremmin kantaansa EU:n kumppaneiden kantaan. Jotta voidaan varmistaa, että edut ovat paremmin tasapainossa EU:n sisällä ja että Kiinaan ja muihin ulkopoliittisiin kysymyksiin sovelletaan vain yhtä politiikkaa, suosittelemme harkitsemaan mahdollisuutta perustaa EU:n ulkoministeri. </w:t>
      </w:r>
    </w:p>
    <w:p>
      <w:pPr>
        <w:pStyle w:val="P68B1DB1Normal99"/>
        <w:widowControl w:val="false"/>
        <w:spacing w:lineRule="auto" w:line="240" w:before="78" w:after="0"/>
        <w:ind w:left="468" w:right="341" w:hanging="0"/>
        <w:jc w:val="left"/>
        <w:rPr/>
      </w:pPr>
      <w:r>
        <w:rPr/>
        <w:t xml:space="preserve">2. Komitea suosittaa, että EU:n tasolla otetaan esityslistalle siirtolaiskiintiöitä koskeva kysymys. </w:t>
      </w:r>
    </w:p>
    <w:p>
      <w:pPr>
        <w:pStyle w:val="P68B1DB1Normal99"/>
        <w:widowControl w:val="false"/>
        <w:spacing w:lineRule="auto" w:line="240" w:before="78" w:after="0"/>
        <w:ind w:left="468" w:right="0" w:hanging="0"/>
        <w:jc w:val="left"/>
        <w:rPr/>
      </w:pPr>
      <w:r>
        <w:rPr/>
        <w:t>3. Tilintarkastustuomioistuin suosittaa, että perustetaan EU:n tasolla erityinen komitea käsittelemään muuttoliikekysymyksiä, mikä varmistaisi nopeamman reagoinnin muuttoliikekriiseihin ja jäsenvaltioiden oikeuden selittää ja puolustaa kansallisia etujaan sekä kehittää ja panna täytäntöön muuttoliikkeen hallintaa koskevat yhteiset suuntaviivat.</w:t>
      </w:r>
    </w:p>
    <w:p>
      <w:pPr>
        <w:pStyle w:val="P68B1DB1Normal99"/>
        <w:widowControl w:val="false"/>
        <w:spacing w:lineRule="auto" w:line="240" w:before="78" w:after="0"/>
        <w:ind w:left="468" w:right="0" w:hanging="0"/>
        <w:jc w:val="left"/>
        <w:rPr/>
      </w:pPr>
      <w:r>
        <w:rPr/>
        <w:t xml:space="preserve">4. Suositamme taloudellisten ja humanitaaristen suhteiden vahvistamista Pohjois-Afrikan maiden kanssa unohtamatta poliittisia realiteetteja, erityisesti Kiinan, Venäjän ja muiden alueen valtioiden vaikutusvallan vähentämiseksi. </w:t>
      </w:r>
    </w:p>
    <w:p>
      <w:pPr>
        <w:pStyle w:val="P68B1DB1Normal99"/>
        <w:widowControl w:val="false"/>
        <w:spacing w:lineRule="auto" w:line="240" w:before="78" w:after="0"/>
        <w:ind w:left="468" w:right="466" w:hanging="0"/>
        <w:jc w:val="left"/>
        <w:rPr/>
      </w:pPr>
      <w:r>
        <w:rPr/>
        <w:t xml:space="preserve">5. Suosittelemme suhteiden vahvistamista Itä-Euroopan kanssa ja taloudellisten toimenpiteiden edistämistä henkilökohtaisella tasolla. </w:t>
      </w:r>
    </w:p>
    <w:p>
      <w:pPr>
        <w:pStyle w:val="P68B1DB1Normal99"/>
        <w:widowControl w:val="false"/>
        <w:spacing w:lineRule="auto" w:line="240" w:before="78" w:after="0"/>
        <w:ind w:left="468" w:right="286" w:hanging="0"/>
        <w:jc w:val="left"/>
        <w:rPr/>
      </w:pPr>
      <w:r>
        <w:rPr/>
        <w:t xml:space="preserve">6. Vaadimme, että EU:n ulkomaisille toimijoille määräämät pakotteet ovat tiukempia, kohdennetumpia ja että ne koskevat pakotteiden kohteena olevan valtion tärkeitä henkilöitä (esim. poliittisia johtajia). </w:t>
      </w:r>
    </w:p>
    <w:p>
      <w:pPr>
        <w:pStyle w:val="P68B1DB1Normal99"/>
        <w:widowControl w:val="false"/>
        <w:spacing w:lineRule="auto" w:line="240" w:before="78" w:after="0"/>
        <w:ind w:left="466" w:right="295" w:hanging="0"/>
        <w:jc w:val="left"/>
        <w:rPr/>
      </w:pPr>
      <w:r>
        <w:rPr/>
        <w:t>7. Vaadimme, että EU:n yhteinen ulko- ja turvallisuuspolitiikka perustuu EU:n eri jäsenvaltioiden sekä Euroopan eri alueiden ja yhteiskuntien välisen solidaarisuuden perusperiaatteeseen.</w:t>
      </w:r>
    </w:p>
    <w:p>
      <w:pPr>
        <w:pStyle w:val="P68B1DB1Normal99"/>
        <w:widowControl w:val="false"/>
        <w:spacing w:lineRule="auto" w:line="240" w:before="78" w:after="0"/>
        <w:ind w:left="466" w:right="295" w:hanging="0"/>
        <w:jc w:val="left"/>
        <w:rPr/>
      </w:pPr>
      <w:r>
        <w:rPr/>
        <w:t xml:space="preserve">8. Komitea suosittaa, että EU tarkistaa tähän mennessä maahanmuuttoa koskevaa avoimuuspolitiikkaa, joka aiheuttaa turvallisuusongelmia, lisää rikollisuutta ja lisää kommunitarismia yhteiskunnassa. </w:t>
      </w:r>
    </w:p>
    <w:p>
      <w:pPr>
        <w:pStyle w:val="P68B1DB1Normal99"/>
        <w:widowControl w:val="false"/>
        <w:spacing w:lineRule="auto" w:line="240" w:before="78" w:after="0"/>
        <w:ind w:left="468" w:right="0" w:hanging="0"/>
        <w:jc w:val="left"/>
        <w:rPr/>
      </w:pPr>
      <w:r>
        <w:rPr/>
        <w:t xml:space="preserve">9. Kehotamme Liettuaa puhumaan aktiivisemmin muuttoliikepoliittisista kysymyksistä ja käynnistämään keskustelut muuttoliikkeeseen liittyvistä kysymyksistä. </w:t>
      </w:r>
    </w:p>
    <w:p>
      <w:pPr>
        <w:pStyle w:val="P68B1DB1Normal99"/>
        <w:widowControl w:val="false"/>
        <w:spacing w:lineRule="auto" w:line="240" w:before="78" w:after="0"/>
        <w:ind w:left="468" w:right="0" w:hanging="0"/>
        <w:jc w:val="left"/>
        <w:rPr>
          <w:rFonts w:ascii="Arial" w:hAnsi="Arial"/>
          <w:color w:val="000000"/>
          <w:sz w:val="20"/>
        </w:rPr>
      </w:pPr>
      <w:r>
        <w:rPr/>
        <w:t xml:space="preserve">10. Tilintarkastustuomioistuin suosittaa, että EU noudattaa aktiivista ja tiukkaa politiikkaa sellaisia valtioita kohtaan, jotka käyttävät muuttovirtoja aseena hybridihyökkäyksissä: toisaalta tiukentamalla pakotteita ja toisaalta käymällä vuoropuhelua niiden kanssa tilanteen rauhoittamiseksi. </w:t>
      </w:r>
    </w:p>
    <w:p>
      <w:pPr>
        <w:pStyle w:val="P68B1DB1Normal100"/>
        <w:widowControl w:val="false"/>
        <w:spacing w:lineRule="auto" w:line="240" w:before="111" w:after="0"/>
        <w:ind w:left="0" w:right="0" w:hanging="0"/>
        <w:jc w:val="left"/>
        <w:rPr>
          <w:rFonts w:ascii="Arial" w:hAnsi="Arial"/>
          <w:b/>
          <w:b/>
          <w:i/>
          <w:i/>
          <w:color w:val="000000"/>
          <w:sz w:val="22"/>
        </w:rPr>
      </w:pPr>
      <w:r>
        <w:rPr/>
        <w:t xml:space="preserve"> </w:t>
      </w:r>
    </w:p>
    <w:p>
      <w:pPr>
        <w:pStyle w:val="P68B1DB1Normal100"/>
        <w:widowControl w:val="false"/>
        <w:spacing w:lineRule="auto" w:line="240"/>
        <w:ind w:left="0" w:right="0" w:hanging="0"/>
        <w:jc w:val="left"/>
        <w:rPr>
          <w:rFonts w:ascii="Arial" w:hAnsi="Arial"/>
          <w:b/>
          <w:b/>
          <w:i/>
          <w:i/>
          <w:color w:val="000000"/>
          <w:sz w:val="22"/>
        </w:rPr>
      </w:pPr>
      <w:r>
        <w:rPr/>
        <w:t xml:space="preserve">Toinen istunto: EU:n taloudellinen rooli </w:t>
      </w:r>
    </w:p>
    <w:p>
      <w:pPr>
        <w:pStyle w:val="P68B1DB1Normal99"/>
        <w:widowControl w:val="false"/>
        <w:spacing w:lineRule="auto" w:line="240"/>
        <w:ind w:left="828" w:right="142" w:hanging="359"/>
        <w:jc w:val="both"/>
        <w:rPr/>
      </w:pPr>
      <w:r>
        <w:rPr/>
        <w:t xml:space="preserve">1. Tilintarkastustuomioistuin suosittaa, että EU vahvistaa perushyödykkeiden toimitusvarmuutta eri tavoin: asetetaan etusijalle EU:n sisäinen kauppa, edistetään kehittyneiden teknologioiden tuotantoa ja monipuolistetaan tuontilähteitä. Suosittelemme myös uusien vientimarkkinoiden tutkimista. </w:t>
      </w:r>
    </w:p>
    <w:p>
      <w:pPr>
        <w:pStyle w:val="P68B1DB1Normal99"/>
        <w:widowControl w:val="false"/>
        <w:spacing w:lineRule="auto" w:line="240" w:before="83" w:after="0"/>
        <w:ind w:left="828" w:right="143" w:hanging="359"/>
        <w:jc w:val="both"/>
        <w:rPr/>
      </w:pPr>
      <w:r>
        <w:rPr/>
        <w:t xml:space="preserve">2. Suosittelemme maakaasusopimusten neuvottelukäytäntöjen tarkistamista sekä lyhyt- että pitkäaikaisten sopimusten osalta. Suosittelemme energialähteiden monipuolistamista entisestään. </w:t>
      </w:r>
    </w:p>
    <w:p>
      <w:pPr>
        <w:pStyle w:val="P68B1DB1Normal99"/>
        <w:widowControl w:val="false"/>
        <w:spacing w:lineRule="auto" w:line="240" w:before="83" w:after="0"/>
        <w:ind w:left="828" w:right="143" w:hanging="359"/>
        <w:jc w:val="both"/>
        <w:rPr/>
      </w:pPr>
      <w:r>
        <w:rPr/>
        <w:t xml:space="preserve">3. Tilintarkastustuomioistuin suosittaa, että vihreän kehityksen ohjelman toimenpiteitä ja niiden täytäntöönpanoa arvioidaan ottaen huomioon mahdolliset kielteiset sosioekonomiset vaikutukset. Vihreän kehityksen ohjelman tavoitteiden toteuttamiseksi suosittelemme käyttämään ydinenergiaa ja maakaasua uusiutuvien energialähteiden käytön lisäksi. </w:t>
      </w:r>
    </w:p>
    <w:p>
      <w:pPr>
        <w:pStyle w:val="P68B1DB1Normal99"/>
        <w:widowControl w:val="false"/>
        <w:spacing w:lineRule="auto" w:line="240" w:before="83" w:after="0"/>
        <w:ind w:left="828" w:right="143" w:hanging="359"/>
        <w:jc w:val="both"/>
        <w:rPr/>
      </w:pPr>
      <w:r>
        <w:rPr/>
        <w:t xml:space="preserve">4. Korostamme, että on erityisen tärkeää, että kaikki jäsenvaltiot noudattavat EU:n lainsäädännön ensisijaisuuden periaatetta. Pyydämme esimerkiksi, että Liettualla on selkeä periaatteellinen kanta tähän kysymykseen. </w:t>
      </w:r>
    </w:p>
    <w:p>
      <w:pPr>
        <w:pStyle w:val="P68B1DB1Normal99"/>
        <w:widowControl w:val="false"/>
        <w:spacing w:lineRule="auto" w:line="240" w:before="83" w:after="0"/>
        <w:ind w:left="828" w:right="142" w:hanging="359"/>
        <w:jc w:val="both"/>
        <w:rPr/>
      </w:pPr>
      <w:r>
        <w:rPr/>
        <w:t>5. Tilintarkastustuomioistuin suosittaa, että Liettua hyödyntää aktiivisemmin EU-maiden hyviä käytäntöjä sosiaalisten normien tiukentamiseksi, talouden laajentumiseksi sekä tasapainoiseksi ja kestäväksi kehitykseksi.</w:t>
      </w:r>
    </w:p>
    <w:p>
      <w:pPr>
        <w:pStyle w:val="P68B1DB1Normal99"/>
        <w:widowControl w:val="false"/>
        <w:spacing w:lineRule="auto" w:line="240" w:before="83" w:after="0"/>
        <w:ind w:left="828" w:right="142" w:hanging="359"/>
        <w:jc w:val="both"/>
        <w:rPr/>
      </w:pPr>
      <w:r>
        <w:rPr/>
        <w:t xml:space="preserve">6. Suosittelemme kiinnittämään enemmän huomiota kyberturvallisuuden vahvistamiseen sekä tietosuojan ja infrastruktuurin suojaamiseen. </w:t>
      </w:r>
    </w:p>
    <w:p>
      <w:pPr>
        <w:pStyle w:val="P68B1DB1Normal99"/>
        <w:widowControl w:val="false"/>
        <w:spacing w:lineRule="auto" w:line="240" w:before="83" w:after="0"/>
        <w:ind w:left="821" w:right="143" w:hanging="354"/>
        <w:jc w:val="both"/>
        <w:rPr/>
      </w:pPr>
      <w:r>
        <w:rPr/>
        <w:t xml:space="preserve">7. Tilintarkastustuomioistuin suosittaa, että EU ja jäsenvaltiot asettavat etusijalle kansalaisten taloudellisen perustiedon kehittämisen, koulutuksen ja tiedon levittämisen. </w:t>
      </w:r>
    </w:p>
    <w:p>
      <w:pPr>
        <w:pStyle w:val="P68B1DB1Normal99"/>
        <w:widowControl w:val="false"/>
        <w:spacing w:lineRule="auto" w:line="240" w:before="45" w:after="0"/>
        <w:ind w:left="821" w:right="143" w:hanging="354"/>
        <w:jc w:val="both"/>
        <w:rPr/>
      </w:pPr>
      <w:r>
        <w:rPr/>
        <w:t xml:space="preserve">8. Tilintarkastustuomioistuin suosittaa, että EU:n uusiin kauppasopimuksiin sisällytetään kunnianhimoiset sosiaali-, työ- ja terveysnormit. Suosittelemme, että EU:n tasolla laaditaan suuntaviivat siitä, mitä tehdä, eikä sillä ole oikeutta käyttää sosiaalisen median alustoja, jotka hallinnoivat kuluttajien henkilötietoja ja heitä koskevia tietoja. </w:t>
      </w:r>
    </w:p>
    <w:p>
      <w:pPr>
        <w:pStyle w:val="P68B1DB1Normal99"/>
        <w:widowControl w:val="false"/>
        <w:spacing w:lineRule="auto" w:line="240" w:before="42" w:after="0"/>
        <w:ind w:left="821" w:right="143" w:hanging="354"/>
        <w:jc w:val="both"/>
        <w:rPr/>
      </w:pPr>
      <w:r>
        <w:rPr/>
        <w:t>9. Tilintarkastustuomioistuin suosittaa, että pohditaan edelleen mahdollisuutta ottaa yhteistä lainaa EU:n tasolla parhaiden mahdollisten lainaehtojen saavuttamiseksi. Tilintarkastustuomioistuin suosittaa myös, että kehitetään taloudellisesti tervettä ja vastuullista politiikkaa, jolla vähennetään jäsenvaltioiden velkaantumistarvetta.</w:t>
      </w:r>
    </w:p>
    <w:p>
      <w:pPr>
        <w:pStyle w:val="P68B1DB1Normal99"/>
        <w:widowControl w:val="false"/>
        <w:spacing w:lineRule="auto" w:line="240" w:before="42" w:after="0"/>
        <w:ind w:left="821" w:right="143" w:hanging="354"/>
        <w:jc w:val="both"/>
        <w:rPr/>
      </w:pPr>
      <w:r>
        <w:rPr/>
        <w:t>10. Tilintarkastustuomioistuin suosittaa, että tehostetaan EU:n varojen käytön ja käytön seurantaa ja autetaan paikallisviranomaisia luomaan todellinen käytäntö varojen käytön mukauttamiseksi. Koska EU:n varojen saajien objektiivinen tilanne voi muuttua, avoimuus- ja joustavuusvaatimusten niveltäminen toisiinsa on erityisen tärkeää.</w:t>
      </w:r>
    </w:p>
    <w:p>
      <w:pPr>
        <w:pStyle w:val="P68B1DB1Normal99"/>
        <w:widowControl w:val="false"/>
        <w:spacing w:lineRule="auto" w:line="240" w:before="42" w:after="0"/>
        <w:ind w:left="821" w:right="143" w:hanging="354"/>
        <w:jc w:val="both"/>
        <w:rPr/>
      </w:pPr>
      <w:r>
        <w:rPr/>
        <w:t xml:space="preserve">11. Suosittelemme, että Liettua edistää edelleen aktiivisesti talouskehitystä ja -investointeja maan alueilla. </w:t>
      </w:r>
    </w:p>
    <w:p>
      <w:pPr>
        <w:pStyle w:val="P68B1DB1Normal35"/>
        <w:widowControl w:val="false"/>
        <w:spacing w:lineRule="auto" w:line="240" w:before="62" w:after="0"/>
        <w:ind w:left="0" w:right="0" w:hanging="0"/>
        <w:jc w:val="left"/>
        <w:rPr>
          <w:rFonts w:ascii="Arial" w:hAnsi="Arial"/>
          <w:b/>
          <w:b/>
          <w:color w:val="000000"/>
          <w:sz w:val="22"/>
        </w:rPr>
      </w:pPr>
      <w:r>
        <w:rPr/>
        <w:t xml:space="preserve"> </w:t>
      </w:r>
    </w:p>
    <w:p>
      <w:pPr>
        <w:pStyle w:val="P68B1DB1Normal96"/>
        <w:widowControl w:val="false"/>
        <w:spacing w:lineRule="auto" w:line="240" w:before="16" w:after="0"/>
        <w:ind w:left="720" w:right="0" w:hanging="0"/>
        <w:jc w:val="left"/>
        <w:rPr/>
      </w:pPr>
      <w:r>
        <w:rPr/>
        <w:t xml:space="preserve">3. Keskustelut kansallisessa kansalaispaneelissa ja tulosten analysointi </w:t>
      </w:r>
    </w:p>
    <w:p>
      <w:pPr>
        <w:pStyle w:val="P68B1DB1Normal76"/>
        <w:widowControl w:val="false"/>
        <w:spacing w:lineRule="auto" w:line="240" w:before="46" w:after="0"/>
        <w:ind w:left="0" w:right="29" w:hanging="0"/>
        <w:jc w:val="both"/>
        <w:rPr/>
      </w:pPr>
      <w:r>
        <w:rPr/>
        <w:t xml:space="preserve">Kansallisen kansalaispaneelin osallistujat keskustelivat Liettuan tärkeimmistä ajankohtaisista kysymyksistä (yleisesti keskusteltiin kansallisella tasolla poliittisella ja media-alalla) ja siitä, miten niitä käsitellään. Yleisäänestyksessä paneelin tärkeimmistä päätelmistä kävi ilmi, että lähes 45 prosenttia molempien istuntojen aikana annetuista äänistä koski ehdotuksia kahdesta aiheesta: suhteet Kiinaan ja muuttovirtojen valvonta (ks. taulukko jäljempänä). Myös energiapolitiikan teema on herättänyt paljon huomiota. Se oli vain yksi ehdotus, mutta se sai äänet lähes 10 prosenttia osallistujista. Näiden äänestysten tulokset viittaavat siihen, että kansalaisten käsitys Euroopan tulevaisuudesta voisi olla ratkaiseva tämän päivän poliittisten kysymysten ja uutisten kannalta (kansallisella tasolla). </w:t>
      </w:r>
    </w:p>
    <w:p>
      <w:pPr>
        <w:pStyle w:val="P68B1DB1Normal76"/>
        <w:widowControl w:val="false"/>
        <w:spacing w:lineRule="auto" w:line="240"/>
        <w:ind w:left="0" w:right="0" w:hanging="0"/>
        <w:jc w:val="left"/>
        <w:rPr>
          <w:rFonts w:ascii="Arial" w:hAnsi="Arial"/>
          <w:color w:val="000000"/>
          <w:sz w:val="22"/>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Suositus</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Äänestys</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Ensimmäinen istunto: EU:n rooli ja toimivalta ulkopolitiikassa</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Kehotamme EU:ta kehittämään tehokkaampaa politiikkaa Kiinaa kohtaan. Liettuan nykyinen tuki ei ole riittävä, mutta Liettua ei ole myöskään riittävästi yhdenmukaistanut kantaansa EU:n kumppaneiden kannan kanssa. Jotta voidaan varmistaa, että edut ovat paremmin tasapainossa EU:n sisällä ja että Kiinaan ja muihin ulkopoliittisiin kysymyksiin sovelletaan vain yhtä politiikkaa, suosittelemme harkitsemaan mahdollisuutta perustaa EU:n ulkoministeri.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11 (22,9 %) tärkeää koko Euroopalle: 8; henkilökohtaisessa ominaisuudessa: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Komitea suosittaa, että EU:n tasolla otetaan esityslistalle siirtolaiskiintiöitä koskeva kysymys.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(18,8 %) tärkeää koko Euroopalle: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t xml:space="preserve">3. Tilintarkastustuomioistuin suosittaa, että perustetaan EU:n tasolla erityinen komitea käsittelemään muuttoliikekysymyksiä, mikä varmistaisi nopeamman reagoinnin muuttoliikekriiseihin ja jäsenvaltioiden oikeuden selittää ja puolustaa kansallisia etujaan sekä laatia ja panna täytäntöön muuttoliikkeen hallintaa koskevat yhteiset suuntaviivat.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7 (14,6 %) tärkeää koko Euroopalle: 3; henkilökohtaisessa ominaisuudessa: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Suositamme taloudellisten ja humanitaaristen suhteiden vahvistamista Pohjois-Afrikan maiden kanssa unohtamatta poliittisia realiteetteja, erityisesti Kiinan, Venäjän ja muiden alueen valtioiden vaikutusvallan vähentämiseksi.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(12,5 %) tärkeää yksityishenkilön ominaisuudessa: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Suosittelemme vahvistamaan suhteita Itä-Eurooppaan ja soveltamaan taloudellisia toimenpiteitä ihmisten tasolla.</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(10,4 %) tärkeää henkilökohtaisesti: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 xml:space="preserve">Toinen istunto: EU:n taloudellinen rooli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Tilintarkastustuomioistuin suosittaa, että EU ryhtyy erilaisiin toimiin keskeisten tuotteiden toimitusvarmuuden parantamiseksi: asetetaan etusijalle EU:n sisäinen kauppa, edistetään kehittyneiden teknologioiden tuotantoa ja monipuolistetaan tuontilähteitä entisestään. Suosittelemme myös uusien vientimarkkinoiden tutkimista.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(19,6 %) tärkeää koko Euroopalle: 3; henkilökohtaisesti: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Suosittelemme maakaasusopimusten neuvottelukäytäntöjen tarkistamista sekä lyhyt- että pitkäaikaisten sopimusten osalta. Suosittelemme energialähteiden monipuolistamista entisestään.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9 (19,6 %) tärkeää koko Euroopalle: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3. Tilintarkastustuomioistuin suosittaa, että vihreän kehityksen ohjelman toimenpiteitä ja niiden täytäntöönpanoa arvioidaan ottaen huomioon mahdolliset kielteiset sosioekonomiset vaikutukset. Vihreän kehityksen ohjelman tavoitteiden toteuttamiseksi suosittelemme käyttämään ydinenergiaa ja maakaasua uusiutuvien energialähteiden käytön lisäksi.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(13 %) tärkeää yksityishenkilön ominaisuudessa: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Korostamme, että on tärkeää, että kaikki jäsenvaltiot noudattavat EU:n lainsäädännön ensisijaisuuden periaatetta. Pyydämme esimerkiksi, että Liettualla on selkeä periaatteellinen kanta tähän kysymykseen.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4 (8,7 %) tärkeää koko Euroopalle: 2; henkilökohtaisessa ominaisuudessa: 2</w:t>
            </w:r>
          </w:p>
        </w:tc>
      </w:tr>
    </w:tbl>
    <w:p>
      <w:pPr>
        <w:pStyle w:val="P68B1DB1Normal97"/>
        <w:spacing w:lineRule="auto" w:line="240"/>
        <w:rPr>
          <w:rFonts w:ascii="Garamond" w:hAnsi="Garamond"/>
          <w:color w:val="000000"/>
          <w:sz w:val="22"/>
        </w:rPr>
      </w:pPr>
      <w:r>
        <w:rPr/>
        <w:t xml:space="preserve"> </w:t>
      </w:r>
    </w:p>
    <w:p>
      <w:pPr>
        <w:pStyle w:val="P68B1DB1Normal76"/>
        <w:widowControl w:val="false"/>
        <w:spacing w:lineRule="auto" w:line="240" w:before="48" w:after="0"/>
        <w:ind w:left="0" w:right="0" w:hanging="0"/>
        <w:jc w:val="both"/>
        <w:rPr/>
      </w:pPr>
      <w:r>
        <w:rPr/>
        <w:t xml:space="preserve">Lisäksi kansalaisten kannalta tärkeimmät kysymykset, kuten suhteet Kiinaan, muuttoliike tai energia, ovat väliaikaisia: niiden päätöslauselmalla on perustavanlaatuinen vaikutus Euroopan pitkän aikavälin tulevaisuuteen. Siksi ei ole ongelmallista, että kansalaiset suhtautuvat tulevaisuuteen priorisoimalla sitä, mikä on tällä hetkellä tärkeää. Koska tulevaisuuden rakentaminen alkaa nykyään useilla pienillä askelilla, kansalaisten odotukset lyhyellä aikavälillä ovat olennainen edellytys prosessien ja ongelmanratkaisun vahvalle pitkäaikaiselle valvonnalle. Jäljempänä oleva analyysi kansallisten kansalaisten paneelin tärkeimmistä tuloksista perustuu tähän havaintoon.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rPr/>
      </w:pPr>
      <w:r>
        <w:rPr/>
        <w:t>Eniten ääniä saava päätöslauselma (11 tai lähes 12 prosenttia) on</w:t>
      </w:r>
      <w:r>
        <w:rPr>
          <w:b/>
        </w:rPr>
        <w:t xml:space="preserve"> se, että EU tarvitsee tehokkaampaa politiikkaa Kiinaa kohtaan</w:t>
      </w:r>
      <w:r>
        <w:rPr/>
        <w:t xml:space="preserve">. Tämä yleinen päätelmä koski useita konkreettisempia lausuntoja. Ensinnäkin osallistujat korostivat, että tässä vaiheessa EU:n tuki Liettualle Kiinan aiheuttaman taloudellisen paineen vuoksi ei ollut riittävä. Toiseksi ryhmän edustajat, jotka ilmoittivat päätelmästä, korostivat, että Liettuan olisi itse ponnisteltava Kiinaa koskevan politiikkansa yhdenmukaistamiseksi EU:n kumppaneiden kanssa erityisesti siksi, että koko EU:n on tärkeää jatkaa kauppaa Kiinan kanssa. Kolmanneksi kansalaiset toivat esiin ajatuksen, että erityisesti Kiinaa koskevan yhteisen politiikan koordinointi ja yhteisen politiikan kehittäminen voisivat olla tehokkaampia, jos perustetaan EU:n ulkoministeri. Kahdeksan osallistujaa piti tätä päätelmää erityisen tärkeänä koko Euroopalle, ja kolme muuta totesi sen olevan heille tärkeä heidän henkilökohtaisessa ominaisuudessaan.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Kysymys suhteista Kiinaan liittyy läheisesti kahteen muuhun ehdotukseen, joilla on suuri määrä kansalaisia. Yhdeksän osallistujaa äänesti toisessa istunnossa tehdyn päätelmän puolesta, jonka mukaan </w:t>
      </w:r>
      <w:r>
        <w:rPr>
          <w:b/>
        </w:rPr>
        <w:t>EU:n on vahvistettava toimitusvarmuutta</w:t>
      </w:r>
      <w:r>
        <w:rPr/>
        <w:t xml:space="preserve"> (kolme osallistujaa totesi, että tämä on erityisen tärkeää koko Euroopalle ja kuusi muuta, että tämä on heille henkilökohtaista ominaisuutta). Tähän päätelmään sisältyi myös useita näkökohtia. Ensinnäkin kansalaiset korostivat tarvetta asettaa etusijalle EU:n markkinat, joille on ominaista luotettavat toimittajat ja tuotteet, jotka täyttävät tiukat standardit. Toiseksi osallistujat korostivat tarvetta edistää korkean teknologian tuotantokapasiteettia Euroopassa. Kolmanneksi kansalaiset ilmaisivat kannattavansa tuontilähteiden monipuolistamista. Näitä suosituksia laatiessaan keskustelun osallistujat viittasivat johdonmukaisesti Kiinan tekijään: turvallisuusuhat liittyvät kiinalaisiin tuotteisiin, riippuvuus kiinalaisista raaka-aineista, joita tarvitaan kehittyneiden teknologioiden valmistuksessa, sekä Kiinan käytännöt kopioida ja varastaa teknologioita sen markkinoilla toimivilta länsimaisilta yrityksiltä. Ehdotus</w:t>
      </w:r>
      <w:r>
        <w:rPr>
          <w:b/>
        </w:rPr>
        <w:t xml:space="preserve"> EU:n taloudellisen ja humanitaarisen yhteistyön kehittämisestä Pohjois-Afrikan maiden kanssa</w:t>
      </w:r>
      <w:r>
        <w:rPr/>
        <w:t xml:space="preserve"> sai myös kuusi ääntä (tärkeä yksityishenkilönä), koska tällä alueella on tärkeää vähentää Kiinan sekä Venäjän ja muiden ystävällisten valtioiden vaikutusvaltaa.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Äänestyksen tulokset heijastivat myös kansalaisten huolia maahanmuuttokysymyksistä. Kaksi ulkopolitiikan kolmesta äänekkäimmästä tuloksesta kohdistui muuttoliikkeeseen. Yhdeksän osallistujaa äänesti ehdotuksen puolesta, </w:t>
      </w:r>
      <w:r>
        <w:rPr>
          <w:b/>
        </w:rPr>
        <w:t>jonka mukaan EU:n olisi palautettava järjestelmä, jossa jäsenvaltioille asetetaan pakolliset maahanmuuttajien vastaanottokiintiöt</w:t>
      </w:r>
      <w:r>
        <w:rPr/>
        <w:t xml:space="preserve"> (kaikki korostivat, että tämä ehdotus on erityisen tärkeä koko Euroopalle). Tämän päätelmän tehneet osallistujat kannattivat kansallisia kiintiöitä, jotka vahvistetaan asukasmäärän mukaan, ja EU:n yhteisrahoitusta maahanmuuttajien tarpeiden tyydyttämiseksi näiden kiintiöiden mukaisesti. Seitsemän osallistujaa kannatti edelleen ehdotusta </w:t>
      </w:r>
      <w:r>
        <w:rPr>
          <w:b/>
        </w:rPr>
        <w:t>perustaa pysyvä tekninen toimikunta EU:n tasolla käsittelemään muuttoliikkeeseen liittyviä kysymyksiä. Siihen osallistuisi jäsenvaltioiden edustajia (</w:t>
      </w:r>
      <w:r>
        <w:rPr/>
        <w:t xml:space="preserve"> kolme osallistujaa pitää ehdotusta erityisen tärkeänä koko Euroopalle, neljä pitää sitä tärkeänä heidän henkilökohtaisessa ominaisuudessaan). Osallistujat korostivat, että tällainen elin voisi auttaa EU:ta reagoimaan nopeammin muuttoliikekriiseihin varmistaen samalla tasapainon EU:n yleisten periaatteiden asianmukaisen kunnioittamisen ja jäsenvaltioiden oikeuden puolustaa kansallisia etujaan ja turvallisuuttaan välillä.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Muuttoliikepolitiikasta käydyn keskustelun aikana osallistujat keskustelivat kahdesta erillisestä kriiseistä muuttovirtojen hallinnassa: vuonna 2016 Välimeren muuttoliikekriisi ja vuonna 2012 Valko-Venäjän hybridihyökkäys Liettuaan, Latviaan ja Puolaan, joiden aikana Minsk käytti Lähi-idästä ja Afrikasta tulevia muuttovirtoja. Useat paneelin osanottajat totesivat, että vuoden 2016 kriisi vaikutti kaukaiselta ja merkityksettömältä sekä Liettualle kokonaisuudessaan että heille henkilökohtaisesti. Osallistujien mukaan hybridihyökkäyksestä saatu kokemus lähensi muuttoliikettä Itä-Euroopassa, ja sen oli pakko lähestyä kiintiöitä mukautettuna, tehokkaana ja solidaarisuuteen perustuvana muuttoliikepolitiikan välineenä. Jotkut osallistujat huomauttivat, että vuoden 2021 kriisin keskellä oli tullut vaikea erottaa toisistaan maan alueella asuvat, pakolaiset, maahanmuuttajat ja uhkatekijät. Kaikki keskusteluun osallistuneet olivat yhtä mieltä siitä, että EU:n nykyisessä ”avoimessa” muuttoliikepolitiikassa ei oteta riittävästi huomioon muuttoliikkeen aiheuttamia uhkia, jäsenvaltioiden kansallisia etuja, niiden kykyä kotouttaa maahanmuuttajia jne. Kansalaiset arvostelivat myös EU:ta sen hitaudesta tai siitä, ettei se vastannut Liettuan tarpeisiin, eikä se ole kieltäytynyt rahoittamasta muurin rakentamista ulkorajoille.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jc w:val="both"/>
        <w:rPr/>
      </w:pPr>
      <w:r>
        <w:rPr/>
        <w:t xml:space="preserve">Yhteenvetona voidaan todeta, että Liettuan vuoden 2021 kuumimman uutisen kaksi osatekijää – suhteet Kiinaan ja muuttovirtojen hallinta – kannustavat Liettuan kansalaisia vaatimaan, että EU puuttuu asiaan enemmän ja että sillä on tehokkaampi yhteinen politiikka. Kansalaiset ovat huolissaan Kiinan politiikasta ja sen kasvavasta vaikutusvallasta Euroopassa ja EU:n naapurustossa. On tunnustettava, että Kiinan taloudellinen vaikutus pakottaa Euroopan pyrkimään asianmukaisiin ja tasapainoisiin poliittisiin toimenpiteisiin. Kansalaisten mielestä tärkein ratkaisu on vahvistaa EU:n yhteisen ulkopolitiikan välineitä, teollisuuspolitiikkaa ja yhteistyötä naapurimaiden kanssa. Samoin kansalaiset katsoivat, että EU:n tasolla toteutettavat yksittäiset toimet sekä mahdollinen uusi muuttoliikekiintiöjärjestelmä ovat luultavasti sopivin tapa välttää muuttoliikkeen aiheuttamat turvallisuusuhat ja hallita Eurooppaan suuntautuvia muuttovirtoja nopeasti ja tehokkaasti. Paneelin mielestä paras vastaus Kiinan kasvaviin paineisiin ja Valko-Venäjän hybridihyökkäykseen olisi syvällinen ja vahvistettu EU:n yhteinen politiikka.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Käsiteltävänä olevia kriisejä koskevaa lausuntoa voidaan verrata paneelin osallistujien energia- ja ilmastokysymyksiin esittämiin ehdotuksiin. Vuoden 2021 lopussa monien Liettuan kansalaisten oli käsiteltävä suoraan lämmityshintojen nousua, ja energian hintakriisi osoittautui nopeasti yhdeksi Liettuan tärkeimmistä uutisista. Huoli energian hinnoista näkyy myös osallistujien äänestyksessä: yhdeksän kansalaista äänesti jopa sen päätelmän puolesta, että tämä kysymys on tärkein koko Euroopalle. Osallistujien tärkein suositus oli</w:t>
      </w:r>
      <w:r>
        <w:rPr>
          <w:b/>
        </w:rPr>
        <w:t xml:space="preserve"> tarkastella jäsenvaltioiden nykyistä käytäntöä tekemällä energiantoimitussopimuksia eri toimittajien kanssa ja pyrkimällä tekemään ne sekä lyhyellä että pitkällä aikavälillä.</w:t>
      </w:r>
      <w:r>
        <w:rPr/>
        <w:t xml:space="preserve"> Toisin sanoen kansalaiset kannattivat energialähteiden monipuolistamista koskevaa politiikkaa, mutta eivät antaneet suosituksia EU:n yleisistä politiikoista eivätkä suositelleet energiapolitiikkojen tiiviimpää integrointia.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Ilmastopolitiikan osalta kansalaiset suosittelivat </w:t>
      </w:r>
      <w:r>
        <w:rPr>
          <w:b/>
        </w:rPr>
        <w:t>vihreän kehityksen ohjelman toimenpiteiden arviointia ottaen huomioon odotetut sosioekonomiset vaikutukset ja tavoitteet.</w:t>
      </w:r>
      <w:r>
        <w:rPr/>
        <w:t xml:space="preserve"> Ehdotus sai äänensä kuuluviin kuudella osallistujalla, joista jokainen piti sitä tärkeänä yksityishenkilönä. Jotkut osallistujat ilmaisivat huolensa niin kutsutun ”vihreän siirtymän” liian nopeasta tahdista ja totesivat, että Liettuan olisi arvioitava tarkemmin, heikentäisikö tällainen politiikka maan ja sen kansalaisten etuja. Jotkut osallistujat myös elvyttivät tarvetta käyttää uusiutuvan energian lisäksi myös ydinenergiaa ja maakaasua. Tämän kannan tueksi ne viittasivat Saksan päätökseen jatkaa maakaasun käyttöä sekä uuden sukupolven ”modulaaristen” ydinreaktorien potentiaaliin. Ilmastopolitiikan osalta paneeli asetti näin ollen etusijalle jäsenvaltioiden politiikat kansallisten tarpeiden mukaisesti, ei kunnianhimoista EU:n yhteistä ilmastohallintopolitiikkaa.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Kun otetaan huomioon paneeliin osallistuvien suhteellisen pieni määrä ja kansalaisten vastausten epäyhtenäisyys (enemmän toiminnan yhtenäisyyttä tai joustavuutta) eri kriiseihin, olisi väärin harkita tässä yhteydessä yhteenvetotoimenpiteitä ja laajasti sovellettavia toimenpiteitä. Tämä mielipiteiden ilmaisemisen dynamiikka voi kuitenkin johtaa siihen, että Liettuan kansalaisten tulevissa mielipidetutkimuksissa EU:n kotouttamiskysymyksistä ehdotetaan kiinnostavia aiheita, joissa olisi otettava huomioon, mitä kansalaiset sanovat EU:n autonomisista politiikoista, institutionaalisten järjestelyjen muutoksista ja eroista.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96"/>
        <w:spacing w:lineRule="auto" w:line="240"/>
        <w:jc w:val="both"/>
        <w:rPr>
          <w:rFonts w:ascii="Arial" w:hAnsi="Arial"/>
          <w:i/>
          <w:i/>
          <w:color w:val="404040"/>
          <w:sz w:val="32"/>
        </w:rPr>
      </w:pPr>
      <w:r>
        <w:rPr/>
        <w:t xml:space="preserve">4. Kansalaispaneelin tulokset laajemmassa yleisen mielipiteen kontekstissa Liettuassa </w:t>
      </w:r>
    </w:p>
    <w:p>
      <w:pPr>
        <w:pStyle w:val="Normal"/>
        <w:widowControl w:val="false"/>
        <w:spacing w:lineRule="auto" w:line="240"/>
        <w:ind w:left="0" w:right="1" w:hanging="0"/>
        <w:jc w:val="both"/>
        <w:rPr/>
      </w:pPr>
      <w:r>
        <w:rPr>
          <w:color w:val="000000"/>
        </w:rPr>
        <w:t xml:space="preserve">Kansallisen kansalaispaneelin tulosten kontekstualisoidakseen niitä verrataan lyhyesti viimeisessä osassa kahden meneillään olevan mielipidetutkimuksen tuloksiin sekä Euroopan tulevaisuutta käsittelevän konferenssin valmistelutyön välituloksiin. Tämän mietinnön ensimmäinen osa koskee Euroopan tulevaisuutta käsittelevää konferenssia koskevaa kansalaisten </w:t>
      </w:r>
      <w:hyperlink r:id="rId112">
        <w:r>
          <w:rPr>
            <w:rStyle w:val="LienInternet"/>
            <w:color w:val="0563C1"/>
          </w:rPr>
          <w:t>Eu</w:t>
        </w:r>
      </w:hyperlink>
      <w:hyperlink r:id="rId113">
        <w:r>
          <w:rPr>
            <w:color w:val="000000"/>
          </w:rPr>
          <w:t xml:space="preserve"> </w:t>
        </w:r>
      </w:hyperlink>
      <w:hyperlink r:id="rId114">
        <w:r>
          <w:rPr>
            <w:rStyle w:val="LienInternet"/>
            <w:color w:val="0563C1"/>
          </w:rPr>
          <w:t>r</w:t>
        </w:r>
      </w:hyperlink>
      <w:r>
        <w:rPr>
          <w:color w:val="000000"/>
        </w:rPr>
        <w:t xml:space="preserve">-obarometritutkimusta, joka toteutettiin loka- ja marraskuussa 2020. toinen viimeisimmästä kesällä 2021 tehdystä standardoidusta </w:t>
      </w:r>
      <w:hyperlink r:id="rId115">
        <w:r>
          <w:rPr>
            <w:rStyle w:val="LienInternet"/>
            <w:color w:val="0563C1"/>
          </w:rPr>
          <w:t>Eurobarometri</w:t>
        </w:r>
      </w:hyperlink>
      <w:r>
        <w:rPr>
          <w:color w:val="000000"/>
        </w:rPr>
        <w:t xml:space="preserve"> -tutkimuksesta. Siltä osin kuin joissakin näissä tutkimuksissa esitetyissä kysymyksissä keskityttiin muihin poliittisiin teemoihin ja kansalaisten itse konferenssia koskeviin odotuksiin, seuraavassa verrataan aiheita, joita paneelissa todella käsiteltiin. Euroopan tulevaisuutta käsittelevän konferenssin valmistelutyön tulosten tarkastelu perustui RESC:n laatimaan alustavaan raporttiin, johon sisältyi EU:n eri poliittisia kysymyksiä koskevaan työhön osallistuneiden kansalaisten lausuntoja.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Eurobarometri-kyselyjen tulokset viittaavat siihen, että kansalaispaneelin osallistujien keskustelut ja äänet heijastavat melko hyvin Liettuan yhteiskunnassa vallitsevia näkemyksiä. Paneelin osallistujien suositukset yhteisen ulko- ja muuttoliikepolitiikan vahvistamisesta osallistumalla EU:n tason päätöksiin vastaavat laajempien mielipidetutkimusten tuloksia: </w:t>
      </w:r>
    </w:p>
    <w:p>
      <w:pPr>
        <w:pStyle w:val="P68B1DB1Normal76"/>
        <w:widowControl w:val="false"/>
        <w:spacing w:lineRule="auto" w:line="240"/>
        <w:ind w:left="361" w:right="1" w:hanging="0"/>
        <w:jc w:val="left"/>
        <w:rPr/>
      </w:pPr>
      <w:r>
        <w:rPr>
          <w:rFonts w:ascii="Garamond" w:hAnsi="Garamond"/>
        </w:rPr>
        <w:t>Liettuan</w:t>
      </w:r>
      <w:r>
        <w:rPr/>
        <w:t xml:space="preserve"> kansalaiset kannattavat EU:n yhteistä puolustuspolitiikkaa enemmän kuin EU:n keskiarvo (90 % vs. 78 %); </w:t>
      </w:r>
    </w:p>
    <w:p>
      <w:pPr>
        <w:pStyle w:val="P68B1DB1Normal76"/>
        <w:widowControl w:val="false"/>
        <w:spacing w:lineRule="auto" w:line="240"/>
        <w:ind w:left="361" w:right="3" w:hanging="0"/>
        <w:jc w:val="left"/>
        <w:rPr/>
      </w:pPr>
      <w:r>
        <w:rPr>
          <w:rFonts w:ascii="Garamond" w:hAnsi="Garamond"/>
        </w:rPr>
        <w:t>Liettuan</w:t>
      </w:r>
      <w:r>
        <w:rPr/>
        <w:t xml:space="preserve"> kansalaiset kannattavat EU:n yhteistä maahanmuuttopolitiikkaa enemmän kuin EU:n keskiarvo (76 % vs. 71 %; tämä ero on virhemarginaalin sisällä); </w:t>
      </w:r>
    </w:p>
    <w:p>
      <w:pPr>
        <w:pStyle w:val="P68B1DB1Normal76"/>
        <w:widowControl w:val="false"/>
        <w:spacing w:lineRule="auto" w:line="240"/>
        <w:ind w:left="360" w:right="2" w:hanging="0"/>
        <w:jc w:val="left"/>
        <w:rPr/>
      </w:pPr>
      <w:r>
        <w:rPr>
          <w:rFonts w:ascii="Garamond" w:hAnsi="Garamond"/>
        </w:rPr>
        <w:t>Liettuan</w:t>
      </w:r>
      <w:r>
        <w:rPr/>
        <w:t xml:space="preserve"> kansalaiset pitävät muuttoliikettä yhtenä EU:n kahdesta tärkeimmästä ongelmasta; </w:t>
      </w:r>
    </w:p>
    <w:p>
      <w:pPr>
        <w:pStyle w:val="P68B1DB1Normal76"/>
        <w:widowControl w:val="false"/>
        <w:spacing w:lineRule="auto" w:line="240"/>
        <w:ind w:left="360" w:right="3" w:hanging="0"/>
        <w:jc w:val="left"/>
        <w:rPr/>
      </w:pPr>
      <w:r>
        <w:rPr>
          <w:rFonts w:ascii="Garamond" w:hAnsi="Garamond"/>
        </w:rPr>
        <w:t>Liettuan</w:t>
      </w:r>
      <w:r>
        <w:rPr/>
        <w:t xml:space="preserve"> kansalaiset haluavat, että EU:n tasolla ratkaistaan enemmän ongelmia (49 % vs. 42 %). </w:t>
      </w:r>
    </w:p>
    <w:p>
      <w:pPr>
        <w:pStyle w:val="P68B1DB1Normal76"/>
        <w:widowControl w:val="false"/>
        <w:spacing w:lineRule="auto" w:line="240" w:before="83" w:after="0"/>
        <w:ind w:left="0" w:right="3" w:hanging="0"/>
        <w:jc w:val="both"/>
        <w:rPr/>
      </w:pPr>
      <w:r>
        <w:rPr/>
        <w:t xml:space="preserve">Liettuan kansalaiset, jotka osallistuivat Euroopan tulevaisuutta käsittelevän konferenssin valmistelutilaisuuksiin, korostivat myös yhteistyön merkitystä puolustuksen alalla ja sitä, että EU:n yhteinen muuttoliikepolitiikka ja EU:n ulkopolitiikka ovat aloja, joilla Liettua hyötyisi EU:n voimakkaammista toimista.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Eurobarometri-tiedot voisivat valaista paneelin osallistujien näkemyksiä suhteista Kiinaan ja energian hinnoista: Liettualaiset ovat EU:n keskiarvoa huolestuneempia maiden välisten suhteiden jakautumisesta eri puolilla maailmaa ja siitä johtuvista kasvavista geopoliittisista jännitteistä (33 % vs. 18 %). Paneelin päätelmät Kiinaa koskevan kunnianhimoisemman politiikan tarpeesta ovat myös päällekkäisiä näiden tietojen kanssa sekä edellä mainittu kanta EU:n tason päätöksenteon ja EU:n yhteisen puolustuspolitiikan puolesta. Toisaalta paneelin osallistujien huoli energian hintojen alentamista koskevista päätöksistä saattaa johtua siitä, että liettualaiset ovat EU:n keskiarvoa huolestuneempia inflaation noususta ja hintojen noususta (53 % vs. 23 %). Inflaation kiihtymisen herkkyys johtuu siitä, että hinnankorotusten valvonta vaikuttaa tärkeämmältä kuin EU:n yleinen päätöksenteko tai muut poliittiset tavoitteet.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Eurobarometrin tiedot viittaavat myös siihen, että liettualaiset suhtautuvat myönteisesti maahanmuuttokysymykseen poliittisesta näkökulmasta. Vuoden 2020 tutkimuksessa liettualaiset pitivät muuttoliikettä tärkeänä haasteena EU:n tulevaisuudelle (16 prosenttia verrattuna 27 prosenttiin verrattuna EU:n keskiarvoon). Vuoden 2021 kyselyssä 32 prosenttia Liettuan vastaajista piti muuttoliikettä yhtenä EU:n suurimmista ongelmista (keskimäärin 25 prosenttia koko). Vaikka tämä näkemysten muutos voi johtua eroista kysymyksen muotoilussa, se on päällekkäinen sen kanssa, mitä paneelin osallistujat sanoivat keskusteluissa heidän näkemystensä kehityksestä muuttoliikkeeseen liittyvissä kysymyksissä.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before="220" w:after="0"/>
        <w:ind w:left="0" w:right="0" w:hanging="0"/>
        <w:jc w:val="both"/>
        <w:rPr/>
      </w:pPr>
      <w:r>
        <w:rPr/>
        <w:t xml:space="preserve">Lisäksi kansalaispaneelin tulosten ja Eurobarometri-tutkimuksen tulosten vertailu osoittaa, että paneelin osallistujien suhteellisen varovainen näkemys EU:n politiikasta ja Liettuan kansalaisten huoli ilmastonmuutoskysymyksistä ovat erossa toisistaan. Vaikka paneelin osanottajat kannustivat arvioimaan, onko vihreän kehityksen ohjelma liian kunnianhimoinen eikä vahingoittaisi Liettuan etuja, liettualaiset pitivät Eurobarometri-tutkimusten mukaan johdonmukaisesti ilmastonmuutosta yhtenä EU:n suurimmista haasteista. Vuoden 2020 tutkimuksessa 47 prosenttia liettualaisista vastaajista piti ilmastoa yhtenä tärkeimmistä haasteista Euroopan tulevaisuuden kannalta (keskimäärin 45 prosenttia koko); Vuoden 2021 tutkimuksessa tämä koski 28:ta prosenttia liettualaisista vastaajista (keskimäärin 25 prosenttia koko). On huomattava, että kansalaiset, jotka osallistuivat muihin Euroopan tulevaisuutta käsittelevän konferenssin valmistelutilaisuuksiin, mainitsivat myös ilmastopolitiikan olevan yksi niistä aloista, joilla Liettua olisi eniten kiinnostunut tehostamaan EU:n toimia. Tämä ristiriita selittyy todennäköisesti paneelin osallistujien äänestyksen motivaatiolla: kaikki ne, jotka äänestivät vihreän kehityksen ohjelman toimenpiteiden uudelleenarviointia koskevan suosituksen puolesta, pitivät tätä tärkeänä heille henkilökohtaisesta näkökulmasta. Toisin sanoen henkilökohtainen vastustus ei olisi ristiriidassa sen toteamuksen kanssa, että ilmastonmuutos on yksi EU:n politiikan tärkeimmistä haasteista.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F Kansalliset paneelit: Alankomaat</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3098800" cy="3129280"/>
            <wp:effectExtent l="0" t="0" r="0" b="0"/>
            <wp:wrapTopAndBottom/>
            <wp:docPr id="109" name="Kuva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Kuva46" descr=""/>
                    <pic:cNvPicPr>
                      <a:picLocks noChangeAspect="1" noChangeArrowheads="1"/>
                    </pic:cNvPicPr>
                  </pic:nvPicPr>
                  <pic:blipFill>
                    <a:blip r:embed="rId116"/>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V</w:t>
      </w:r>
      <w:r>
        <w:rPr>
          <w:rFonts w:ascii="Calibri" w:hAnsi="Calibri"/>
          <w:b/>
          <w:i/>
          <w:color w:val="000000"/>
          <w:sz w:val="48"/>
        </w:rPr>
        <w:t>isiomme Euroopasta</w:t>
      </w:r>
    </w:p>
    <w:p>
      <w:pPr>
        <w:pStyle w:val="P68B1DB1Normal103"/>
        <w:widowControl w:val="false"/>
        <w:spacing w:lineRule="exact" w:line="499" w:before="100" w:after="0"/>
        <w:ind w:left="0" w:right="0" w:hanging="0"/>
        <w:jc w:val="left"/>
        <w:rPr>
          <w:rFonts w:ascii="Calibri" w:hAnsi="Calibri"/>
          <w:i/>
          <w:i/>
          <w:color w:val="000000"/>
          <w:sz w:val="32"/>
        </w:rPr>
      </w:pPr>
      <w:r>
        <w:rPr/>
        <w:t xml:space="preserve">Mielipiteet, ideat ja suositukset </w:t>
      </w:r>
    </w:p>
    <w:p>
      <w:pPr>
        <w:pStyle w:val="P68B1DB1Normal104"/>
        <w:widowControl w:val="false"/>
        <w:spacing w:lineRule="exact" w:line="339" w:before="101" w:after="0"/>
        <w:ind w:left="0" w:right="0" w:hanging="0"/>
        <w:jc w:val="left"/>
        <w:rPr>
          <w:rFonts w:ascii="Calibri" w:hAnsi="Calibri"/>
          <w:color w:val="000000"/>
          <w:sz w:val="21"/>
        </w:rPr>
      </w:pPr>
      <w:r>
        <w:rPr/>
        <w:t xml:space="preserve">Teemat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Arvot ja oikeudet, oikeusvaltio ja turvallisuus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Vahvempi talous, sosiaalinen oikeudenmukaisuus ja työllisyys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Eurooppalainen demokratia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Digitaalinen muutos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Koulutus, kulttuuri, nuoriso ja urheilu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Titre4"/>
        <w:numPr>
          <w:ilvl w:val="3"/>
          <w:numId w:val="2"/>
        </w:numPr>
        <w:rPr/>
      </w:pPr>
      <w:bookmarkStart w:id="236" w:name="__RefHeading___Toc298384_1346298689"/>
      <w:bookmarkEnd w:id="236"/>
      <w:r>
        <w:rPr/>
        <w:t xml:space="preserve">Joulukuuta 2021 </w:t>
      </w:r>
    </w:p>
    <w:p>
      <w:pPr>
        <w:pStyle w:val="Normal"/>
        <w:widowControl w:val="false"/>
        <w:spacing w:lineRule="exact" w:line="282" w:before="1" w:after="0"/>
        <w:ind w:left="0" w:right="37" w:hanging="0"/>
        <w:jc w:val="left"/>
        <w:rPr/>
      </w:pPr>
      <w:r>
        <w:rPr>
          <w:rFonts w:ascii="Calibri" w:hAnsi="Calibri"/>
          <w:color w:val="000000"/>
          <w:sz w:val="21"/>
        </w:rPr>
        <w:t xml:space="preserve">Tämä asiakirja on käännös raportista ”Eleven kijk op Europa; Meningen, ideeën en Aanbevelingen(EU:n visio Euroopasta: lausunnot, ideat ja suositukset”, joka julkaistiin hollannin kielellä 3. joulukuuta 2021 osoitteessa www.kijkopeuropa.nl. Tämä käännös on yksinkertaistettu versio kertomuksesta, jossa alkuperäistä esitystapaa (piirroksia ja muita graafisia elementtejä) on muutettu käännöstarkoituksia varten. </w:t>
      </w:r>
      <w:r>
        <w:rPr>
          <w:rFonts w:ascii="Times New Roman" w:hAnsi="Times New Roman"/>
          <w:color w:val="000000"/>
          <w:sz w:val="24"/>
        </w:rPr>
        <w:t xml:space="preserve"> </w:t>
      </w:r>
      <w:r>
        <w:br w:type="page"/>
      </w:r>
    </w:p>
    <w:p>
      <w:pPr>
        <w:pStyle w:val="P68B1DB1Normal106"/>
        <w:rPr>
          <w:rFonts w:ascii="Calibri" w:hAnsi="Calibri"/>
          <w:b/>
          <w:b/>
          <w:i/>
          <w:i/>
          <w:color w:val="000000"/>
          <w:sz w:val="36"/>
        </w:rPr>
      </w:pPr>
      <w:r>
        <w:rPr/>
        <w:t xml:space="preserve">Visiomme... </w:t>
      </w:r>
    </w:p>
    <w:p>
      <w:pPr>
        <w:pStyle w:val="P68B1DB1Normal107"/>
        <w:widowControl w:val="false"/>
        <w:spacing w:lineRule="exact" w:line="375" w:before="248" w:after="0"/>
        <w:ind w:left="0" w:right="0" w:hanging="0"/>
        <w:jc w:val="left"/>
        <w:rPr>
          <w:rFonts w:ascii="Calibri" w:hAnsi="Calibri"/>
          <w:i/>
          <w:i/>
          <w:color w:val="000000"/>
          <w:sz w:val="24"/>
        </w:rPr>
      </w:pPr>
      <w:r>
        <w:rPr/>
        <w:t xml:space="preserve">Tiivistelmä raportista: kaikki suositukset lyhyesti </w:t>
      </w:r>
    </w:p>
    <w:p>
      <w:pPr>
        <w:pStyle w:val="P68B1DB1Normal104"/>
        <w:widowControl w:val="false"/>
        <w:spacing w:lineRule="exact" w:line="282" w:before="185" w:after="0"/>
        <w:ind w:left="0" w:right="25" w:hanging="0"/>
        <w:jc w:val="left"/>
        <w:rPr/>
      </w:pPr>
      <w:r>
        <w:rPr/>
        <w:t>”</w:t>
      </w:r>
      <w:r>
        <w:rPr/>
        <w:t xml:space="preserve">Euroopan visio” -aiheesta järjestetyn kansalaisvuoropuhelun kautta olemme keränneet Alankomaiden kansalaisten näkemyksiä ja ajatuksia Euroopan tulevaisuudesta. Tämän johdosta Euroopan unionille annettiin seuraavat suositukset viidestä ensimmäisestä aihepiiristä.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Arvot ja oikeudet, oikeusvaltio ja turvallisuus </w:t>
      </w:r>
    </w:p>
    <w:p>
      <w:pPr>
        <w:pStyle w:val="P68B1DB1Normal104"/>
        <w:widowControl w:val="false"/>
        <w:spacing w:lineRule="exact" w:line="282" w:before="178" w:after="0"/>
        <w:ind w:left="0" w:right="105" w:hanging="0"/>
        <w:jc w:val="left"/>
        <w:rPr/>
      </w:pPr>
      <w:r>
        <w:rPr/>
        <w:t xml:space="preserve">On tärkeää, että EU suojelee oikeusvaltioperiaatetta. Samalla hollantilaiset katsovat, että olisi kiinnitettävä huomiota Euroopassa olemassa olevien perinteiden ja kulttuurien moninaisuuteen. EU:n sisäinen yhteistyö voi tuottaa monia etuja eri muodoissa, mutta sen on tuotava lisäarvoa kaikille sidosryhmille. Tämä koskee myös turvallisuustietojen jakamista. Kaiken tiedon jakaminen tekee yhteistyöstä nopeasti tehotonta. </w:t>
      </w:r>
    </w:p>
    <w:p>
      <w:pPr>
        <w:pStyle w:val="P68B1DB1Normal19"/>
        <w:widowControl w:val="false"/>
        <w:spacing w:lineRule="exact" w:line="388" w:before="47" w:after="0"/>
        <w:ind w:left="0" w:right="0" w:hanging="0"/>
        <w:jc w:val="left"/>
        <w:rPr>
          <w:rFonts w:ascii="Times New Roman" w:hAnsi="Times New Roman"/>
          <w:color w:val="000000"/>
          <w:sz w:val="24"/>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Varmista, että jokainen voi tuntea olonsa vapaaksi ja turvalliseksi</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EU:n laajentuminen vain, jos se tuo lisäarvoa</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Yhteistyö pääasiassa kansainvälisen rikollisuuden ja terrorismin torjunnassa</w:t>
      </w:r>
    </w:p>
    <w:p>
      <w:pPr>
        <w:pStyle w:val="P68B1DB1Normal104"/>
        <w:widowControl w:val="false"/>
        <w:spacing w:lineRule="exact" w:line="339"/>
        <w:ind w:left="283"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Vahvempi talous, sosiaalinen oikeudenmukaisuus ja työllisyys </w:t>
      </w:r>
    </w:p>
    <w:p>
      <w:pPr>
        <w:pStyle w:val="P68B1DB1Normal104"/>
        <w:widowControl w:val="false"/>
        <w:spacing w:lineRule="exact" w:line="282" w:before="178" w:after="0"/>
        <w:ind w:left="0" w:right="18" w:hanging="0"/>
        <w:jc w:val="left"/>
        <w:rPr/>
      </w:pPr>
      <w:r>
        <w:rPr/>
        <w:t xml:space="preserve">Hollantilaiset uskovat, että Euroopan talouden vahvistamiseen on monia mahdollisuuksia. Maita ei aina voi verrata toisiinsa. Erityisesti verojärjestelmän olisi oltava oikeudenmukaisempi ja selkeämpi. Euroopassa meidän olisi myös keskityttävä enemmän vahvuuksiimme, kuten laatuun ja monimuotoisuuteen. Lisäksi EU-maat voivat tehdä yhteistyötä varmistaakseen yhtäläiset mahdollisuudet Euroopan työmarkkinoilla. </w:t>
      </w:r>
    </w:p>
    <w:p>
      <w:pPr>
        <w:pStyle w:val="P68B1DB1Normal104"/>
        <w:widowControl w:val="false"/>
        <w:spacing w:lineRule="exact" w:line="339" w:before="58" w:after="0"/>
        <w:ind w:left="0" w:right="0" w:hanging="0"/>
        <w:jc w:val="left"/>
        <w:rPr>
          <w:rFonts w:ascii="Calibri" w:hAnsi="Calibri"/>
          <w:color w:val="000000"/>
          <w:sz w:val="21"/>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Ottaa huomioon yhteneväisuudet ja erot</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Euroopan vahvuuksien parempi hyödyntäminen</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Oikeudenmukaisen ja selkeän verojärjestelmän kehittäminen</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Varmistetaan, että kaikki voivat osallistua </w:t>
      </w:r>
      <w:r>
        <w:rPr>
          <w:rFonts w:ascii="Calibri" w:hAnsi="Calibri"/>
          <w:b/>
          <w:i/>
          <w:sz w:val="24"/>
        </w:rPr>
        <w:t xml:space="preserve">eurooppalaiseen demokratiaan </w:t>
      </w:r>
    </w:p>
    <w:p>
      <w:pPr>
        <w:pStyle w:val="P68B1DB1Normal104"/>
        <w:widowControl w:val="false"/>
        <w:spacing w:lineRule="exact" w:line="282" w:before="178" w:after="0"/>
        <w:ind w:left="0" w:right="323" w:hanging="0"/>
        <w:jc w:val="both"/>
        <w:rPr/>
      </w:pPr>
      <w:r>
        <w:rPr/>
        <w:t xml:space="preserve">Hollantilaisten ei tarvitse tietää kaikkea Euroopan unionista, vaan haluavat lisää avoimuutta ja enemmän tietoa. Esimerkiksi muiden EU-maiden näkemysten tunteminen voi auttaa saamaan paremman yleiskuvan. Lisäksi hollantilaiset katsovat, että EU:n olisi tehtävä useammin ja mieluiten pysyvämpää yhteistyötä kansalaisten kanssa. Tässä yhteydessä on tärkeää paitsi ottaa huomioon erilaiset edut myös tehdä päätöksiä nykyistä nopeammin.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Antaa paremman yleiskuvan Euroopasta</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Löydä uusia tapoja kuunnella kansalaisia jatkuvasti</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Tehtyjen päätösten läpinäkyvyyden ja selkeyden lisääminen</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Varmistaa, että hankalia kysymyksiä voidaan ratkaista nopeammin</w:t>
      </w:r>
    </w:p>
    <w:p>
      <w:pPr>
        <w:pStyle w:val="P68B1DB1Normal104"/>
        <w:widowControl w:val="false"/>
        <w:spacing w:lineRule="exact" w:line="339" w:before="60" w:after="0"/>
        <w:ind w:left="0"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Digitaalinen muutos </w:t>
      </w:r>
    </w:p>
    <w:p>
      <w:pPr>
        <w:pStyle w:val="P68B1DB1Normal104"/>
        <w:widowControl w:val="false"/>
        <w:spacing w:lineRule="exact" w:line="282" w:before="178" w:after="0"/>
        <w:ind w:left="0" w:right="54" w:hanging="0"/>
        <w:jc w:val="left"/>
        <w:rPr/>
      </w:pPr>
      <w:r>
        <w:rPr/>
        <w:t xml:space="preserve">Yhteiskunta on yhä riippuvaisempi internetistä, ja suuret teknologiayritykset ovat yhä voimakkaampia. Tämä huolestuttaa usein hollantilaisia. Siksi EU:n on hyödyllistä kehittää eurooppalaisia (yksityisyyden) sääntöjä ja standardeja. On kuitenkin tärkeää, että kaikki ymmärtävät ja soveltavat näitä sääntöjä ja normeja. Hollantilaiset saavat mieluummin tukea ja tietoa kansallisilta viranomaisilta omalla kielellään.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Nopea, turvallinen ja vakaa internet kaikkialla</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Selkeiden sääntöjen ja standardien asettaminen Internet-yrityksille</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Täytäntöönpanon ja käytännön selitysten lisääminen yksityisyyden suojaa koskeviin sääntöihin</w:t>
      </w:r>
    </w:p>
    <w:p>
      <w:pPr>
        <w:pStyle w:val="P68B1DB1Normal19"/>
        <w:widowControl w:val="false"/>
        <w:spacing w:lineRule="exact" w:line="388"/>
        <w:ind w:left="284" w:right="0" w:hanging="0"/>
        <w:jc w:val="left"/>
        <w:rPr>
          <w:rFonts w:ascii="Times New Roman" w:hAnsi="Times New Roman"/>
          <w:color w:val="000000"/>
          <w:sz w:val="24"/>
        </w:rPr>
      </w:pPr>
      <w:r>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t xml:space="preserve">Koulutus, kulttuuri, nuoriso ja urheilu </w:t>
      </w:r>
    </w:p>
    <w:p>
      <w:pPr>
        <w:pStyle w:val="P68B1DB1Normal104"/>
        <w:widowControl w:val="false"/>
        <w:spacing w:lineRule="exact" w:line="282" w:before="178" w:after="0"/>
        <w:ind w:left="0" w:right="166" w:hanging="0"/>
        <w:jc w:val="left"/>
        <w:rPr/>
      </w:pPr>
      <w:r>
        <w:rPr/>
        <w:t>Ulkomailla opiskelevien nuorten pitäisi pystyä oppimaan vastaanottavasta maasta enemmän kuin</w:t>
      </w:r>
      <w:r>
        <w:rPr/>
        <w:commentReference w:id="21"/>
      </w:r>
      <w:r>
        <w:rPr/>
        <w:t xml:space="preserve"> nykyään. Maat, joiden tietämyksen taso on alhaisempi, eivät saa menettää kaikkia kykyjään, jotka menevät ulkomaille. Alankomaalaiset katsovat, että kulttuurin ja urheilun väärinkäytön kaltaiset aiheet ovat kysymyksiä, joiden pitäisi olla pikemminkin jäsenvaltioiden vastuulla. Heidän mielestään on erittäin tärkeää, että heillä on oma kansallinen kieli. Yleisesti ottaen Euroopassa jokaisen ihmisen on ennen kaikkea oltava vapaa ja voitava olla oma itsensä.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Oppilaiden kannustaminen opiskelemaan ulkomailla älykkäästi</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Annetaan jäsenvaltioille mahdollisuus keskittyä esimerkiksi kulttuuriin ja urheiluun.</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w:t>
      </w:r>
      <w:r>
        <w:rPr>
          <w:rFonts w:ascii="Calibri" w:hAnsi="Calibri"/>
          <w:color w:val="000000"/>
          <w:sz w:val="21"/>
        </w:rPr>
        <w:t>Varmistetaan, että eurooppalaiset tuntevat toisensa paremmin ja kunnioittavat toisiaan</w:t>
      </w:r>
      <w:r>
        <w:rPr>
          <w:color w:val="000000"/>
          <w:sz w:val="21"/>
        </w:rPr>
        <w:t xml:space="preserve"> </w:t>
      </w:r>
      <w:r>
        <w:br w:type="page"/>
      </w:r>
    </w:p>
    <w:p>
      <w:pPr>
        <w:pStyle w:val="P68B1DB1Normal109"/>
        <w:rPr>
          <w:rFonts w:ascii="Calibri" w:hAnsi="Calibri"/>
          <w:b/>
          <w:b/>
          <w:i/>
          <w:i/>
          <w:color w:val="000000"/>
          <w:sz w:val="32"/>
        </w:rPr>
      </w:pPr>
      <w:r>
        <w:rPr/>
        <w:t xml:space="preserve">Esittely </w:t>
      </w:r>
    </w:p>
    <w:p>
      <w:pPr>
        <w:pStyle w:val="P68B1DB1Normal110"/>
        <w:widowControl w:val="false"/>
        <w:spacing w:lineRule="exact" w:line="274" w:before="31" w:after="0"/>
        <w:ind w:left="0" w:right="113" w:hanging="0"/>
        <w:jc w:val="left"/>
        <w:rPr/>
      </w:pPr>
      <w:r>
        <w:rPr>
          <w:sz w:val="21"/>
        </w:rPr>
        <w:t xml:space="preserve">Syyskuun 1. päivän ja marraskuun puolivälin välisenä aikana järjestetyn kansalaiskeskustelun ”Vision of Europe” ansiosta kaikki hollantilaiset voivat ilmaista mielipiteensä ja ajatuksiaan Euroopan tulevaisuudesta. Alankomaiden on esitettävä Euroopan unionille (EU) suositukset, joiden pohjalta vuoropuhelu on johtanut, sekä esitetyt ajatukset ja näkemykset. Tässä mietinnössä keskitymme viiteen ensimmäiseen teemaan. Muita neljää aihetta käsitellään tulevassa kertomuksessa vuoden 2022 alussa. </w:t>
      </w:r>
      <w:r>
        <w:rPr>
          <w:b/>
          <w:i/>
          <w:sz w:val="24"/>
        </w:rPr>
        <w:t>Euroopan visiosta</w:t>
      </w:r>
    </w:p>
    <w:p>
      <w:pPr>
        <w:pStyle w:val="P68B1DB1Normal104"/>
        <w:widowControl w:val="false"/>
        <w:spacing w:lineRule="exact" w:line="257" w:before="34" w:after="0"/>
        <w:ind w:left="0" w:right="200" w:hanging="0"/>
        <w:jc w:val="left"/>
        <w:rPr/>
      </w:pPr>
      <w:r>
        <w:rPr/>
        <w:t xml:space="preserve">Euroopan unioni haluaa kansalaistensa kertovan mielipiteensä Euroopasta. Siksi EU järjestää Euroopan tulevaisuutta käsittelevän konferenssin. Euroopan unionin kansalaisten mielipiteet ja ajatukset otetaan tällöin huomioon Euroopan tulevaisuutta koskevissa suunnitelmissa. Alankomaat järjesti konferenssin yhteydessä kansalaiskeskustelun ”Vision of Europe” kansallisella tasolla.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P68B1DB1Normal104"/>
        <w:widowControl w:val="false"/>
        <w:spacing w:lineRule="exact" w:line="257" w:before="32" w:after="0"/>
        <w:ind w:left="0" w:right="109" w:hanging="0"/>
        <w:jc w:val="left"/>
        <w:rPr/>
      </w:pPr>
      <w:r>
        <w:rPr/>
        <w:t xml:space="preserve">Euroopan visiota koskeva vuoropuhelu alkoi 1. syyskuuta, kun mielipiteet ja ideat kerättiin verkossa edustavan paneelin avulla. Paneelikyselyn alustavien tulosten syventämiseksi ja konkreettisten suositusten tekemiseksi järjestimme temaattisia verkkokeskusteluja. Kaikki, jotka haluavat osallistua, voivat osallistua. Matkustimme myös käymään keskusteluja nuorten ja muiden ryhmien kanssa (vaikeat tavoittaa). </w:t>
      </w:r>
    </w:p>
    <w:p>
      <w:pPr>
        <w:pStyle w:val="P68B1DB1Normal111"/>
        <w:widowControl w:val="false"/>
        <w:spacing w:lineRule="exact" w:line="269" w:before="28" w:after="0"/>
        <w:ind w:left="0" w:right="113" w:hanging="0"/>
        <w:jc w:val="left"/>
        <w:rPr/>
      </w:pPr>
      <w:r>
        <w:rPr/>
        <w:t xml:space="preserve">Koululaisista, ammattikoulun oppilaista ja opiskelijoista ministeriin, maanviljelijöihin ja maahanmuuttajiin </w:t>
      </w:r>
    </w:p>
    <w:p>
      <w:pPr>
        <w:pStyle w:val="P68B1DB1Normal104"/>
        <w:widowControl w:val="false"/>
        <w:spacing w:lineRule="exact" w:line="257" w:before="26" w:after="0"/>
        <w:ind w:left="0" w:right="44" w:hanging="0"/>
        <w:jc w:val="left"/>
        <w:rPr/>
      </w:pPr>
      <w:r>
        <w:rPr/>
        <w:t xml:space="preserve">Loka- ja marraskuussa järjestettiin yhteensä kahdeksan verkossa käytävää aihekohtaista vuoropuhelua, joihin osallistui keskimäärin 30 osallistujaa kokousta kohden. Järjestimme myös verkossa käytävän aihekohtaisen vuoropuhelun ja seitsemän paikan päällä käytävää aihekohtaista vuoropuhelua Alankomaiden eri kansalaisryhmien kanssa. Puhuimme turkkilaisen yhteisön kanssa Schiedamissa, ja Piëzo-säätiön vapaaehtoiset kutsuivat meidät Zoetermeeriin. Jälkimmäisessä yhteydessä myös ulkoministeri Ben Knapen oli läsnä vuoropuhelun päätteeksi. Ministeri keskusteli osallistujien kanssa vuoropuhelusta ja Euroopan tulevaisuudesta esitetyistä näkemyksistä. Lopuksi järjestimme kuusi tapaamista eri nuorisoryhmien kanssa. Esimerkiksi olimme tervetulleita lukioon Helmondiin, ammatilliseen lukioon Doetinchemissa ja Leidenin yliopistoon. </w:t>
      </w:r>
    </w:p>
    <w:p>
      <w:pPr>
        <w:pStyle w:val="P68B1DB1Normal112"/>
        <w:widowControl w:val="false"/>
        <w:spacing w:lineRule="exact" w:line="260" w:before="31" w:after="0"/>
        <w:ind w:left="0" w:right="0" w:hanging="0"/>
        <w:jc w:val="left"/>
        <w:rPr>
          <w:rFonts w:ascii="Times New Roman" w:hAnsi="Times New Roman"/>
          <w:color w:val="000000"/>
          <w:sz w:val="16"/>
        </w:rPr>
      </w:pPr>
      <w:r>
        <w:rPr/>
        <w:t xml:space="preserve"> </w:t>
      </w:r>
    </w:p>
    <w:p>
      <w:pPr>
        <w:pStyle w:val="P68B1DB1Normal113"/>
        <w:widowControl w:val="false"/>
        <w:spacing w:lineRule="exact" w:line="319" w:before="28" w:after="0"/>
        <w:ind w:left="883" w:right="888" w:hanging="0"/>
        <w:jc w:val="center"/>
        <w:rPr/>
      </w:pPr>
      <w:r>
        <w:rPr/>
        <w:t xml:space="preserve">Haluan aina ilmaista mielipiteeni kahvinkeittimen edessä. Siksi luulin, että minun on osallistuttava. </w:t>
      </w:r>
    </w:p>
    <w:p>
      <w:pPr>
        <w:pStyle w:val="P68B1DB1Normal110"/>
        <w:widowControl w:val="false"/>
        <w:spacing w:lineRule="exact" w:line="346" w:before="41" w:after="0"/>
        <w:ind w:left="0" w:right="6639" w:hanging="0"/>
        <w:jc w:val="left"/>
        <w:rPr/>
      </w:pPr>
      <w:r>
        <w:rPr>
          <w:sz w:val="21"/>
        </w:rPr>
        <w:t xml:space="preserve">Aihekohtaiseen </w:t>
      </w:r>
      <w:r>
        <w:rPr>
          <w:b/>
          <w:i/>
          <w:sz w:val="24"/>
        </w:rPr>
        <w:t xml:space="preserve">vuoropuheluun osallistuminen Tietoa tästä raportista </w:t>
      </w:r>
    </w:p>
    <w:p>
      <w:pPr>
        <w:pStyle w:val="P68B1DB1Normal104"/>
        <w:widowControl w:val="false"/>
        <w:spacing w:lineRule="exact" w:line="257" w:before="178" w:after="0"/>
        <w:ind w:left="0" w:right="56" w:hanging="0"/>
        <w:jc w:val="left"/>
        <w:rPr/>
      </w:pPr>
      <w:r>
        <w:rPr/>
        <w:t xml:space="preserve">Olemme laatineet viime kuukausina keräämiemme ajatusten ja mielipiteiden pohjalta joukon suosituksia, joita Alankomaiden kansalaiset antavat Euroopan unionille. Alankomaiden kansalaisten välisissä keskusteluissa käytiin mielenkiintoisia keskusteluja ja esitettiin innovatiivisia ideoita. Ehdotuksia tehtiin myös paneelin ja julkisen tutkimuksen kautta. Osa näistä ajatuksista on sisällytetty tähän mietintöön. Tämän mietinnön sisältö on näin ollen Alankomaiden ääni: visiomme Euroopasta.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Normal"/>
        <w:widowControl w:val="false"/>
        <w:spacing w:lineRule="exact" w:line="256" w:before="32" w:after="0"/>
        <w:ind w:left="0" w:right="16" w:hanging="0"/>
        <w:jc w:val="left"/>
        <w:rPr/>
      </w:pPr>
      <w:r>
        <w:rPr>
          <w:rFonts w:ascii="Calibri" w:hAnsi="Calibri"/>
          <w:color w:val="000000"/>
          <w:sz w:val="21"/>
        </w:rPr>
        <w:t xml:space="preserve">Aivan kuten eri maiden ja Euroopan kansalaisten välillä on erimielisyyksiä, emme myöskään aina ole samaa mieltä Alankomaiden sisällä. Nämä näkemyserot ovat nimenomaan arvokkaita: ne ovat demokratian tärkeä piirre. Suositukset perustuvat Vision of Europe -kyselyyn osallistuneiden useimmin ilmaisemiin ajatuksiin ja mielipiteisiin. Kuvailemme myös huolia, ideoita ja tunteita, jotka saattavat olla harvinaisempia, mutta jotka ovat kiinnittäneet huomiomme vuoropuheluissa ja verkkokyselyssä. </w:t>
      </w:r>
      <w:r>
        <w:br w:type="page"/>
      </w:r>
    </w:p>
    <w:p>
      <w:pPr>
        <w:pStyle w:val="P68B1DB1Normal113"/>
        <w:spacing w:lineRule="auto" w:line="240"/>
        <w:rPr/>
      </w:pPr>
      <w:r>
        <w:rPr/>
        <w:t xml:space="preserve">Oli hienoa pystyä puhumaan pienissä ryhmissä kannattajien ja vastustajien kanssa. Se on hyvin erilainen kuin se, miten keskustelut yleensä käydään sosiaalisessa mediassa. </w:t>
      </w:r>
    </w:p>
    <w:p>
      <w:pPr>
        <w:pStyle w:val="P68B1DB1Normal76"/>
        <w:widowControl w:val="false"/>
        <w:spacing w:lineRule="auto" w:line="240" w:before="267" w:after="0"/>
        <w:ind w:left="0" w:right="0" w:hanging="0"/>
        <w:jc w:val="left"/>
        <w:rPr/>
      </w:pPr>
      <w:r>
        <w:rPr>
          <w:rFonts w:ascii="Calibri" w:hAnsi="Calibri"/>
          <w:sz w:val="21"/>
        </w:rPr>
        <w:t>Aihekohtaiseen vuoropuheluun osallistuminen</w:t>
      </w:r>
      <w:r>
        <w:rPr>
          <w:rFonts w:ascii="Times New Roman" w:hAnsi="Times New Roman"/>
          <w:sz w:val="24"/>
        </w:rPr>
        <w:t xml:space="preserv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4"/>
        <w:widowControl w:val="false"/>
        <w:spacing w:lineRule="auto" w:line="240"/>
        <w:ind w:left="0" w:right="54" w:hanging="0"/>
        <w:jc w:val="left"/>
        <w:rPr/>
      </w:pPr>
      <w:r>
        <w:rPr/>
        <w:t xml:space="preserve">Euroopan tulevaisuutta käsittelevää konferenssia varten määriteltiin yhdeksän teemaa. Nämä aiheet ovat myös keskeisellä sijalla Euroopan visiossa Alankomaiden kansalaisten kanssa käytävässä vuoropuhelussa. Lokakuussa julkaisimme väliraportin, jossa esitetään alustava katsaus paneelikyselyyn perustuviin tuloksiin ja täydentäviin kysymyksiin. Tässä toisessa raportissa esittelemme Euroopan tulevaisuutta käsittelevän konferenssin joulukuussa pidettävän täysistunnon viisi ensimmäistä aihetta koskevat lausunnot, ideat ja suositukset. Seuraava raportti, jossa käsitellään neljää jäljellä olevaa aihetta, julkaistaan tammikuun puolivälissä. </w:t>
      </w:r>
    </w:p>
    <w:p>
      <w:pPr>
        <w:pStyle w:val="Normal"/>
        <w:rPr/>
      </w:pPr>
      <w:r>
        <w:rPr/>
        <w:t xml:space="preserve">Tämä kertomus – joulukuu 2021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Arvot ja oikeudet, oikeusvaltio ja turvallisuus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Vahvempi talous, sosiaalinen oikeudenmukaisuus ja työllisyys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Eurooppalainen demokratia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Digitaalinen muutos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Koulutus, kulttuuri, nuoriso ja urheilu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69"/>
        <w:widowControl w:val="false"/>
        <w:spacing w:lineRule="auto" w:line="240"/>
        <w:ind w:left="0" w:right="0" w:hanging="0"/>
        <w:jc w:val="left"/>
        <w:rPr>
          <w:rFonts w:ascii="Calibri" w:hAnsi="Calibri"/>
          <w:b/>
          <w:b/>
          <w:color w:val="000000"/>
          <w:sz w:val="20"/>
        </w:rPr>
      </w:pPr>
      <w:r>
        <w:rPr/>
        <w:t xml:space="preserve">Seuraava raportti – tammikuu 2022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Ilmastonmuutos ja ympäristö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Muuttoliike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Terveys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 maailmassa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Seuraavat vaiheet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Euroopan tulevaisuutta käsittelevä konferenssi kokoaa yhteen kaikkien EU:n kansalaisten ajatukset, lausunnot ja suositukset. Kokouksissa käsitellään paitsi kaikkien kansalaisvuoropuhelujen tuloksia kansallisella tasolla myös muiden konferenssin yhteydessä käynnistettyjen aloitteiden tuloksia. Esimerkiksi on olemassa Euroopan kansalaisten paneelit, ja kaikki EU:n kansalaiset (myös Alankomaiden kansalaiset) voivat käyttää eurooppalaista digitaalista alustaa. </w:t>
      </w:r>
    </w:p>
    <w:p>
      <w:pPr>
        <w:pStyle w:val="P68B1DB1Normal113"/>
        <w:widowControl w:val="false"/>
        <w:spacing w:lineRule="auto" w:line="240" w:before="203" w:after="0"/>
        <w:ind w:left="1080" w:right="1083" w:hanging="0"/>
        <w:jc w:val="center"/>
        <w:rPr/>
      </w:pPr>
      <w:r>
        <w:rPr/>
        <w:t>”</w:t>
      </w:r>
      <w:r>
        <w:rPr/>
        <w:t xml:space="preserve">On hyvä, että EU tekee tämän aloitteen. Toivon, että tulokset todella otetaan huomioon. </w:t>
      </w:r>
    </w:p>
    <w:p>
      <w:pPr>
        <w:pStyle w:val="P68B1DB1Normal104"/>
        <w:widowControl w:val="false"/>
        <w:spacing w:lineRule="auto" w:line="240" w:before="307" w:after="0"/>
        <w:ind w:left="0" w:right="0" w:hanging="0"/>
        <w:jc w:val="left"/>
        <w:rPr>
          <w:rFonts w:ascii="Calibri" w:hAnsi="Calibri"/>
          <w:color w:val="000000"/>
          <w:sz w:val="21"/>
        </w:rPr>
      </w:pPr>
      <w:r>
        <w:rPr/>
        <w:t xml:space="preserve">Aihekohtaiseen vuoropuheluun osallistuminen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Konferenssi päättyy keväällä 2022. Tämän jälkeen Alankomaat laatii loppuraportin kansalaisvuoropuhelusta: yhteenveto tästä kertomuksesta ja seuraavasta kertomuksesta (mukaan lukien muut aiheet). Konferenssin jälkeen annetaan suosituksia konferenssin puheenjohtajalle: Euroopan parlamentin puhemiehet, ministerineuvoston puheenjohtajat ja Euroopan komission puheenjohtajat. He sitoutuivat tutkimaan tapoja ja keinoja suositusten täytäntöönpanoon. Alankomaiden hallitukselle tulokset ovat myös arvokas panos Alankomaiden eurooppalaisen politiikan kehittämiseen.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Yhteenvetona voidaan todeta, että kevään 2022 prosessi järjestetään seuraavasti: </w:t>
      </w:r>
      <w:r>
        <w:br w:type="page"/>
      </w:r>
    </w:p>
    <w:p>
      <w:pPr>
        <w:pStyle w:val="P68B1DB1Normal107"/>
        <w:spacing w:lineRule="auto" w:line="240"/>
        <w:rPr/>
      </w:pPr>
      <w:r>
        <w:rPr/>
        <w:t xml:space="preserve">Kronologia </w:t>
      </w:r>
    </w:p>
    <w:p>
      <w:pPr>
        <w:pStyle w:val="P68B1DB1Normal114"/>
        <w:spacing w:lineRule="auto" w:line="240"/>
        <w:rPr/>
      </w:pPr>
      <w:r>
        <w:rPr/>
        <w:t xml:space="preserve">Visio Euroopasta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Seitsemän ensimmäistä.</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12. lokakuuta</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22.–23. lokakuuta</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15. marraskuuta.</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17/18 joulukuu</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21/22 tammikuu</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22/24 huhtikuu</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Ideoiden kerääminen verkossa</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Temaattiset vuoropuhelut</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Välitulokset (väliraportti)</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w:t>
            </w:r>
            <w:r>
              <w:rPr/>
              <w:t>Taloustiede” ja ”demokratia”</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Väliraportti ”Ilmasto” ja ”EU maailmassa”</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Loppuraportti ”Visio Euroopalle”</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SUOMI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SUOMI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SUOMI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SUOMI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Konferenssin kokous</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Konferenssin kokous</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Konferenssin kokous</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Konferenssin päättäminen</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 xml:space="preserve">Suositukset puheenjohtajille </w:t>
              <w:br/>
              <w:t xml:space="preserve">• Euroopan parlamentti </w:t>
              <w:br/>
              <w:t xml:space="preserve">• Euroopan komissio </w:t>
              <w:br/>
              <w:t>• Ministerineuvosto</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Lisää mielipiteitä ja ajatuksia Euroopan tulevaisuudesta:</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Vuoropuhelu kansalaisten kanssa</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Eurooppalaiset kansalaispaneelit</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Eurooppalainen digitaalinen foorumi (myös Alankomaiden kansalaisille)</w:t>
            </w:r>
          </w:p>
        </w:tc>
      </w:tr>
    </w:tbl>
    <w:p>
      <w:pPr>
        <w:pStyle w:val="Normal"/>
        <w:spacing w:lineRule="auto" w:line="240"/>
        <w:rPr/>
      </w:pPr>
      <w:r>
        <w:rPr/>
      </w:r>
    </w:p>
    <w:p>
      <w:pPr>
        <w:pStyle w:val="P68B1DB1Normal107"/>
        <w:spacing w:lineRule="auto" w:line="240"/>
        <w:ind w:left="0" w:right="0" w:hanging="0"/>
        <w:rPr>
          <w:rFonts w:ascii="Calibri" w:hAnsi="Calibri"/>
          <w:i/>
          <w:i/>
          <w:color w:val="000000"/>
          <w:sz w:val="24"/>
        </w:rPr>
      </w:pPr>
      <w:r>
        <w:rPr/>
        <w:t xml:space="preserve">Selitykset lukemisen helpottamiseksi </w:t>
      </w:r>
    </w:p>
    <w:p>
      <w:pPr>
        <w:pStyle w:val="P68B1DB1Normal104"/>
        <w:widowControl w:val="false"/>
        <w:spacing w:lineRule="auto" w:line="240" w:before="125" w:after="0"/>
        <w:ind w:left="0" w:right="0" w:hanging="0"/>
        <w:jc w:val="left"/>
        <w:rPr/>
      </w:pPr>
      <w:r>
        <w:rPr/>
        <w:t xml:space="preserve">Tässä raportissa käsiteltiin viittä aihetta. Jokaiseen teemaan olemme sisällyttäneet peräkkäin: </w:t>
      </w:r>
    </w:p>
    <w:p>
      <w:pPr>
        <w:pStyle w:val="P68B1DB1Normal104"/>
        <w:widowControl w:val="false"/>
        <w:spacing w:lineRule="auto" w:line="240"/>
        <w:ind w:left="0" w:right="0" w:hanging="0"/>
        <w:jc w:val="left"/>
        <w:rPr>
          <w:rFonts w:ascii="Calibri" w:hAnsi="Calibri"/>
          <w:color w:val="000000"/>
          <w:sz w:val="21"/>
        </w:rPr>
      </w:pPr>
      <w:r>
        <w:rPr/>
        <w:t xml:space="preserve">kansalaisvuoropuhelun kaikkiin näkökohtiin perustuvat suositukset; </w:t>
      </w:r>
    </w:p>
    <w:p>
      <w:pPr>
        <w:pStyle w:val="P68B1DB1Normal104"/>
        <w:widowControl w:val="false"/>
        <w:spacing w:lineRule="auto" w:line="240" w:before="1" w:after="0"/>
        <w:ind w:left="0" w:right="0" w:hanging="0"/>
        <w:jc w:val="left"/>
        <w:rPr/>
      </w:pPr>
      <w:r>
        <w:rPr/>
        <w:t xml:space="preserve">yleiskatsaus (verkossa ja fyysisessä läsnäolossa) vaihdetuista mielipiteistä, ideoista ja näkemyksistä verkkokyselyn aihekohtaisissa vuoropuheluissa ja ehdotuksissa sanoina ja kuvina.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Tämän raportin lopussa on kuvaus tutkimuksessa käytetyistä menetelmistä. </w:t>
      </w:r>
    </w:p>
    <w:p>
      <w:pPr>
        <w:pStyle w:val="P68B1DB1Normal19"/>
        <w:widowControl w:val="false"/>
        <w:spacing w:lineRule="exact" w:line="388"/>
        <w:ind w:left="0" w:right="0" w:hanging="0"/>
        <w:jc w:val="left"/>
        <w:rPr>
          <w:rFonts w:ascii="Times New Roman" w:hAnsi="Times New Roman"/>
          <w:color w:val="000000"/>
          <w:sz w:val="24"/>
        </w:rPr>
      </w:pPr>
      <w:r>
        <w:rPr/>
        <w:t xml:space="preserve"> </w:t>
      </w:r>
    </w:p>
    <w:p>
      <w:pPr>
        <w:pStyle w:val="Normal"/>
        <w:spacing w:lineRule="auto" w:line="240"/>
        <w:rPr/>
      </w:pPr>
      <w:r>
        <w:rPr/>
      </w:r>
      <w:r>
        <w:br w:type="page"/>
      </w:r>
    </w:p>
    <w:p>
      <w:pPr>
        <w:pStyle w:val="P68B1DB1Normal117"/>
        <w:spacing w:lineRule="auto" w:line="240"/>
        <w:ind w:left="0" w:right="0" w:hanging="0"/>
        <w:rPr>
          <w:rFonts w:ascii="Calibri" w:hAnsi="Calibri"/>
          <w:b/>
          <w:b/>
          <w:i/>
          <w:i/>
          <w:color w:val="000000"/>
          <w:sz w:val="28"/>
        </w:rPr>
      </w:pPr>
      <w:r>
        <w:rPr/>
        <w:t xml:space="preserve">Arvot ja oikeudet, oikeusvaltio ja turvallisuus </w:t>
      </w:r>
    </w:p>
    <w:p>
      <w:pPr>
        <w:pStyle w:val="P68B1DB1Normal104"/>
        <w:widowControl w:val="false"/>
        <w:spacing w:lineRule="auto" w:line="240" w:before="36" w:after="0"/>
        <w:ind w:left="0" w:right="0" w:hanging="0"/>
        <w:jc w:val="both"/>
        <w:rPr/>
      </w:pPr>
      <w:r>
        <w:rPr/>
        <w:t xml:space="preserve">EU seuraa oikeusvaltioperiaatetta kaikissa EU-maissa ja pyrkii vähentämään eriarvoisuutta EU:n sisällä. EU haluaa myös suojella kaikkia eurooppalaisia terrorismilta ja rikollisuudelta. Tämän saavuttamiseksi EU ottaa käyttöön toimenpiteitä ja sääntöjä, ja EU-maat tekevät tiivistä yhteistyötä. </w:t>
      </w:r>
    </w:p>
    <w:p>
      <w:pPr>
        <w:pStyle w:val="P68B1DB1Normal104"/>
        <w:widowControl w:val="false"/>
        <w:spacing w:lineRule="auto" w:line="240" w:before="32" w:after="0"/>
        <w:ind w:left="0" w:right="0" w:hanging="0"/>
        <w:jc w:val="left"/>
        <w:rPr>
          <w:rFonts w:ascii="Calibri" w:hAnsi="Calibri"/>
          <w:color w:val="000000"/>
          <w:sz w:val="21"/>
        </w:rPr>
      </w:pPr>
      <w:r>
        <w:rPr/>
        <w:t xml:space="preserve"> </w:t>
      </w:r>
      <w:r>
        <w:rPr/>
        <w:t xml:space="preserve">Mikä on Alankomaiden näkemys tästä? </w:t>
      </w:r>
    </w:p>
    <w:p>
      <w:pPr>
        <w:pStyle w:val="P68B1DB1Normal19"/>
        <w:widowControl w:val="false"/>
        <w:spacing w:lineRule="auto" w:line="240" w:before="23"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Suositukset – Visio turvallisuudesta ja oikeusvaltioperiaatteesta </w:t>
      </w:r>
    </w:p>
    <w:p>
      <w:pPr>
        <w:pStyle w:val="P68B1DB1Normal69"/>
        <w:widowControl w:val="false"/>
        <w:spacing w:lineRule="auto" w:line="240" w:before="41" w:after="0"/>
        <w:ind w:left="0" w:right="0" w:hanging="0"/>
        <w:jc w:val="left"/>
        <w:rPr/>
      </w:pPr>
      <w:r>
        <w:rPr/>
        <w:t xml:space="preserve">68 prosenttia alankomaalaisista pitää turvallisuutta ja oikeusvaltioperiaatetta tärkeänä asiana ja että EU:n on puututtava asiaan. </w:t>
      </w:r>
    </w:p>
    <w:p>
      <w:pPr>
        <w:pStyle w:val="P68B1DB1Normal111"/>
        <w:widowControl w:val="false"/>
        <w:spacing w:lineRule="auto" w:line="240" w:before="16" w:after="0"/>
        <w:ind w:left="0" w:right="0" w:hanging="0"/>
        <w:jc w:val="left"/>
        <w:rPr>
          <w:rFonts w:ascii="Calibri" w:hAnsi="Calibri"/>
          <w:b/>
          <w:b/>
          <w:color w:val="000000"/>
          <w:sz w:val="22"/>
        </w:rPr>
      </w:pPr>
      <w:r>
        <w:rPr/>
        <w:t xml:space="preserve">1. Varmista, että jokainen voi tuntea olonsa vapaaksi ja turvalliseksi </w:t>
      </w:r>
    </w:p>
    <w:p>
      <w:pPr>
        <w:pStyle w:val="P68B1DB1Normal104"/>
        <w:widowControl w:val="false"/>
        <w:spacing w:lineRule="auto" w:line="240" w:before="25" w:after="0"/>
        <w:ind w:left="0" w:right="0" w:hanging="0"/>
        <w:jc w:val="left"/>
        <w:rPr/>
      </w:pPr>
      <w:r>
        <w:rPr/>
        <w:t xml:space="preserve">78 prosenttia alankomaalaisista pitää tärkeänä, että EU suojelee oikeusvaltioperiaatetta ja perusoikeuksiamme ja -vapauksiamme. Kiinnitämme huomiota myös kuluttajansuojaan: valtaosa kansalaisista katsoo, että on hyvä, että EU vaatii valmistajia sisällyttämään merkintöihin samat tiedot kaikissa maissa. Monet hollantilaiset ovat kuitenkin sitä mieltä, että EU:n on kiinnitettävä huomiota (hallinnollisten) perinteiden ja kulttuurien eroihin Euroopassa. Ja tämä muun muassa siksi, että muuten olisi vaikeaa tehdä tehokasta yhteistyötä. Mielestämme on erityisen tärkeää, että kaikki tuntevat olonsa vapaaksi ja turvalliseksi Euroopassa. Tähän kuuluu katto pään päällä, mutta myös koulutus ja hoito. Ja tämä koskee myös sitä, että Euroopan myymälöissä olevat tuotteet ovat </w:t>
      </w:r>
    </w:p>
    <w:p>
      <w:pPr>
        <w:pStyle w:val="P68B1DB1Normal104"/>
        <w:widowControl w:val="false"/>
        <w:spacing w:lineRule="auto" w:line="240"/>
        <w:ind w:left="0" w:right="0" w:hanging="0"/>
        <w:jc w:val="left"/>
        <w:rPr>
          <w:rFonts w:ascii="Calibri" w:hAnsi="Calibri"/>
          <w:color w:val="000000"/>
          <w:sz w:val="21"/>
        </w:rPr>
      </w:pPr>
      <w:r>
        <w:rPr/>
        <w:t xml:space="preserve">olen aina varma. </w:t>
      </w:r>
    </w:p>
    <w:p>
      <w:pPr>
        <w:pStyle w:val="P68B1DB1Normal111"/>
        <w:widowControl w:val="false"/>
        <w:spacing w:lineRule="auto" w:line="240" w:before="29" w:after="0"/>
        <w:ind w:left="0" w:right="0" w:hanging="0"/>
        <w:jc w:val="left"/>
        <w:rPr>
          <w:rFonts w:ascii="Calibri" w:hAnsi="Calibri"/>
          <w:b/>
          <w:b/>
          <w:color w:val="000000"/>
          <w:sz w:val="22"/>
        </w:rPr>
      </w:pPr>
      <w:r>
        <w:rPr/>
        <w:t xml:space="preserve">2. EU:n laajentuminen vain, jos se tuo lisäarvoa </w:t>
      </w:r>
    </w:p>
    <w:p>
      <w:pPr>
        <w:pStyle w:val="P68B1DB1Normal104"/>
        <w:widowControl w:val="false"/>
        <w:spacing w:lineRule="auto" w:line="240" w:before="25" w:after="0"/>
        <w:ind w:left="0" w:right="0" w:hanging="0"/>
        <w:jc w:val="left"/>
        <w:rPr/>
      </w:pPr>
      <w:r>
        <w:rPr/>
        <w:t xml:space="preserve">44 prosenttia Alankomaista ei ole sitä mieltä, että EU:n pitäisi laajentua useampiin maihin. Toisaalta 25 prosenttia kannattaa laajentumista. Panemme merkille, että nykyisten jäsenvaltioiden välillä on jo paljon keskustelua. Monet hollantilaiset ovat sitä mieltä, että meidän on ensin keskityttävä tähän asiaan. Ja jos unioniin liittyy uusia maita, niiden on todella pystyttävä täyttämään ehdot. Tänään ja tulevaisuudessa. Monet alankomaalaiset katsovat, että nykyisten jäsenvaltioiden on myös ymmärrettävä laajentumisen tuoma lisäarvo. Uskomme myös, että on olemassa muita mahdollisuuksia tehdä yhteistyötä turvallisuuden ja vakauden maana. Olemme esimerkiksi joskus huolissamme Venäjän vaikutuksesta EU:n itärajan maihin. On tärkeää, että EU kiinnittää huomiota. </w:t>
      </w:r>
    </w:p>
    <w:p>
      <w:pPr>
        <w:pStyle w:val="P68B1DB1Normal19"/>
        <w:widowControl w:val="false"/>
        <w:spacing w:lineRule="auto" w:line="240" w:before="21" w:after="0"/>
        <w:ind w:left="0" w:right="0" w:hanging="0"/>
        <w:jc w:val="left"/>
        <w:rPr>
          <w:rFonts w:ascii="Times New Roman" w:hAnsi="Times New Roman"/>
          <w:color w:val="000000"/>
          <w:sz w:val="24"/>
        </w:rPr>
      </w:pPr>
      <w:r>
        <w:rPr/>
        <w:t xml:space="preserve"> </w:t>
      </w:r>
    </w:p>
    <w:p>
      <w:pPr>
        <w:pStyle w:val="P68B1DB1Normal113"/>
        <w:widowControl w:val="false"/>
        <w:spacing w:lineRule="auto" w:line="240" w:before="28" w:after="0"/>
        <w:ind w:left="0" w:right="0" w:hanging="0"/>
        <w:jc w:val="center"/>
        <w:rPr/>
      </w:pPr>
      <w:r>
        <w:rPr/>
        <w:t>”</w:t>
      </w:r>
      <w:r>
        <w:rPr/>
        <w:t xml:space="preserve">Laajentumisessa ei pitäisi keskittyä kustannuksiin ja hyötyihin, vaan visioon vakaudesta.” </w:t>
      </w:r>
    </w:p>
    <w:p>
      <w:pPr>
        <w:pStyle w:val="P68B1DB1Normal111"/>
        <w:widowControl w:val="false"/>
        <w:spacing w:lineRule="auto" w:line="240" w:before="40" w:after="0"/>
        <w:ind w:left="0" w:right="0" w:hanging="0"/>
        <w:jc w:val="left"/>
        <w:rPr/>
      </w:pPr>
      <w:r>
        <w:rPr/>
        <w:t xml:space="preserve">3. Yhteistyö pääasiassa kansainvälisen rikollisuuden ja terrorismin torjunnassa </w:t>
      </w:r>
    </w:p>
    <w:p>
      <w:pPr>
        <w:pStyle w:val="P68B1DB1Normal104"/>
        <w:widowControl w:val="false"/>
        <w:spacing w:lineRule="auto" w:line="240" w:before="26" w:after="0"/>
        <w:ind w:left="0" w:right="0" w:hanging="0"/>
        <w:jc w:val="left"/>
        <w:rPr/>
      </w:pPr>
      <w:r>
        <w:rPr/>
        <w:t xml:space="preserve">68 prosenttia alankomaalaisista katsoo, että EU:n turvallisuuspalvelujen olisi jaettava tietojaan. Mielestämme on kuitenkin tärkeää, että myös maat voivat itse päättää osittain, mitä tietoja ne haluavat antaa tai eivät. Kaiken tiedon jakaminen tekee yhteistyöstä nopeasti tehotonta. EU on tänään niin suuri, että meidän on edelleen tutkittava kriittisesti, mihin arkaluonteisia tietoja saapuu tai tapahtuu todennäköisesti. Haluamme jatkossakin luottaa siihen, että yksityisyytemme on suojattu. Mielestämme on järkevää tehdä yhteistyötä vakavan kansainvälisen rikollisuuden, kuten tietoverkkorikollisuuden, huumekaupan ja terrorismin torjunnassa. </w:t>
      </w:r>
    </w:p>
    <w:p>
      <w:pPr>
        <w:pStyle w:val="P68B1DB1Normal113"/>
        <w:widowControl w:val="false"/>
        <w:spacing w:lineRule="auto" w:line="240" w:before="28" w:after="0"/>
        <w:ind w:left="0" w:right="0" w:hanging="0"/>
        <w:jc w:val="center"/>
        <w:rPr/>
      </w:pPr>
      <w:r>
        <w:rPr/>
        <w:t xml:space="preserve">Jos poltat kerran punaista valoa Hollannissa, ei ole oikeastaan mitään syytä tuntea sitä Espanjassa. </w:t>
      </w:r>
    </w:p>
    <w:p>
      <w:pPr>
        <w:pStyle w:val="P68B1DB1Normal19"/>
        <w:widowControl w:val="false"/>
        <w:spacing w:lineRule="auto" w:line="240" w:before="44" w:after="0"/>
        <w:ind w:left="0" w:right="0" w:hanging="0"/>
        <w:jc w:val="left"/>
        <w:rPr>
          <w:rFonts w:ascii="Times New Roman" w:hAnsi="Times New Roman"/>
          <w:color w:val="000000"/>
          <w:sz w:val="24"/>
        </w:rPr>
      </w:pPr>
      <w:r>
        <w:rPr/>
        <w:t xml:space="preserve"> </w:t>
      </w:r>
    </w:p>
    <w:p>
      <w:pPr>
        <w:pStyle w:val="P68B1DB1Normal108"/>
        <w:spacing w:lineRule="auto" w:line="240"/>
        <w:ind w:left="0" w:right="0" w:hanging="0"/>
        <w:rPr>
          <w:rFonts w:ascii="Calibri" w:hAnsi="Calibri"/>
          <w:b/>
          <w:b/>
          <w:i/>
          <w:i/>
          <w:color w:val="000000"/>
          <w:sz w:val="24"/>
        </w:rPr>
      </w:pPr>
      <w:r>
        <w:rPr/>
        <w:t xml:space="preserve">Verkossa ja paikan päällä käytävät keskustelut ja ideat </w:t>
      </w:r>
    </w:p>
    <w:p>
      <w:pPr>
        <w:pStyle w:val="P68B1DB1Normal118"/>
        <w:widowControl w:val="false"/>
        <w:spacing w:lineRule="auto" w:line="240" w:before="118" w:after="0"/>
        <w:ind w:left="0" w:right="0" w:hanging="0"/>
        <w:jc w:val="left"/>
        <w:rPr>
          <w:rFonts w:ascii="Calibri" w:hAnsi="Calibri"/>
          <w:i/>
          <w:i/>
          <w:color w:val="000000"/>
          <w:sz w:val="21"/>
        </w:rPr>
      </w:pPr>
      <w:r>
        <w:rPr/>
        <w:t xml:space="preserve">Jos rankaiset maata, joka ei noudata sääntöjä, maan köyhimmät asukkaat ovat ensimmäisiä uhreja. Siksi minusta on parempi puhua kuin sanktio. </w:t>
      </w:r>
    </w:p>
    <w:p>
      <w:pPr>
        <w:pStyle w:val="P68B1DB1Normal118"/>
        <w:widowControl w:val="false"/>
        <w:spacing w:lineRule="auto" w:line="240" w:before="87" w:after="0"/>
        <w:ind w:left="0" w:right="0" w:hanging="0"/>
        <w:jc w:val="left"/>
        <w:rPr>
          <w:rFonts w:ascii="Calibri" w:hAnsi="Calibri"/>
          <w:i/>
          <w:i/>
          <w:color w:val="000000"/>
          <w:sz w:val="21"/>
        </w:rPr>
      </w:pPr>
      <w:r>
        <w:rPr/>
        <w:t xml:space="preserve">Meidän on ensin varmistettava vakaus nykyisessä seurassa. Ja sitten ajatellaan vain laajentumista. </w:t>
      </w:r>
    </w:p>
    <w:p>
      <w:pPr>
        <w:pStyle w:val="P68B1DB1Normal118"/>
        <w:widowControl w:val="false"/>
        <w:spacing w:lineRule="auto" w:line="240" w:before="85" w:after="0"/>
        <w:ind w:left="0" w:right="392" w:hanging="0"/>
        <w:jc w:val="left"/>
        <w:rPr/>
      </w:pPr>
      <w:r>
        <w:rPr/>
        <w:t xml:space="preserve">Meidän on myös tarkasteltava kriittisesti omaa oikeusvaltioperiaatettamme. On varmasti yksi tai toinen toimintahäiriö. </w:t>
      </w:r>
    </w:p>
    <w:p>
      <w:pPr>
        <w:pStyle w:val="P68B1DB1Normal118"/>
        <w:widowControl w:val="false"/>
        <w:spacing w:lineRule="auto" w:line="240" w:before="85" w:after="0"/>
        <w:ind w:left="0" w:right="244" w:hanging="0"/>
        <w:jc w:val="left"/>
        <w:rPr/>
      </w:pPr>
      <w:r>
        <w:rPr/>
        <w:t xml:space="preserve">IDEA: ”Luoda poliitikoille tiukat rehellisyyssäännöt eri puolilla Eurooppaa, jotta he eivät voi vaikuttaa heihin liian helposti.” </w:t>
      </w:r>
    </w:p>
    <w:p>
      <w:pPr>
        <w:pStyle w:val="P68B1DB1Normal118"/>
        <w:widowControl w:val="false"/>
        <w:spacing w:lineRule="auto" w:line="240" w:before="85" w:after="0"/>
        <w:ind w:left="0" w:right="0" w:hanging="0"/>
        <w:jc w:val="left"/>
        <w:rPr>
          <w:rFonts w:ascii="Calibri" w:hAnsi="Calibri"/>
          <w:i/>
          <w:i/>
          <w:color w:val="000000"/>
          <w:sz w:val="21"/>
        </w:rPr>
      </w:pPr>
      <w:r>
        <w:rPr/>
        <w:t xml:space="preserve">IDEA: ”Poliisin ja oikeuslaitoksen välisen yhteistyön vahvistaminen EU-maissa.” </w:t>
      </w:r>
    </w:p>
    <w:p>
      <w:pPr>
        <w:pStyle w:val="P68B1DB1Normal111"/>
        <w:widowControl w:val="false"/>
        <w:spacing w:lineRule="auto" w:line="240" w:before="84" w:after="0"/>
        <w:ind w:left="0" w:right="67" w:hanging="0"/>
        <w:jc w:val="left"/>
        <w:rPr/>
      </w:pPr>
      <w:r>
        <w:rPr/>
        <w:t xml:space="preserve">Doetinchem Ammatillisen lukion opiskelijat: Niiden, jotka haluavat olla osa EU:ta, on noudatettava sääntöjä. </w:t>
      </w:r>
    </w:p>
    <w:p>
      <w:pPr>
        <w:pStyle w:val="P68B1DB1Normal104"/>
        <w:widowControl w:val="false"/>
        <w:spacing w:lineRule="auto" w:line="240" w:before="100" w:after="0"/>
        <w:ind w:left="0" w:right="0" w:hanging="0"/>
        <w:jc w:val="left"/>
        <w:rPr/>
      </w:pPr>
      <w:r>
        <w:rPr/>
        <w:t xml:space="preserve">Graafschap Collegessa Doetinchemissa noin 20 hoitotyön opiskelijaa keskusteli siitä, mitkä olivat heidän mielestään EU:n suurimmat edut: vapaat markkinat, euro yhteisenä valuuttana ja se, että eurooppalaisena voi helposti asettua ja työskennellä muissa EU-maissa. Ja se, että EU-maat voivat tukea toisiaan. Liitto on vahvuus”, sanoi yksi läsnäolevista opiskelijoista. Myös sääntöjen tärkeydestä keskusteltiin. Jos maat eivät kunnioita niitä, niitä on usein vaikea rangaista ankarasti. Opiskelijoiden mukaan tästä voisi olla hyötyä, jos siitä tulee hieman helpompaa. Yksi heistä mainitsi myös ehkäisevän vaikutuksen. Jos määräät vakavia seuraamuksia, muut maat näkevät, mitä voi tapahtua, kun et noudata sääntöjä. </w:t>
      </w:r>
    </w:p>
    <w:p>
      <w:pPr>
        <w:pStyle w:val="P68B1DB1Normal111"/>
        <w:widowControl w:val="false"/>
        <w:spacing w:lineRule="auto" w:line="240" w:before="88" w:after="0"/>
        <w:ind w:left="0" w:right="0" w:hanging="0"/>
        <w:jc w:val="left"/>
        <w:rPr>
          <w:rFonts w:ascii="Calibri" w:hAnsi="Calibri"/>
          <w:b/>
          <w:b/>
          <w:color w:val="000000"/>
          <w:sz w:val="22"/>
        </w:rPr>
      </w:pPr>
      <w:r>
        <w:rPr/>
        <w:t xml:space="preserve">Hindutanis Surinamesta Utrechtiin: Luottamus oikeusvaltioon on joskus puutteellista. </w:t>
      </w:r>
    </w:p>
    <w:p>
      <w:pPr>
        <w:pStyle w:val="Normal"/>
        <w:widowControl w:val="false"/>
        <w:spacing w:lineRule="auto" w:line="240" w:before="97" w:after="0"/>
        <w:ind w:left="0" w:right="34" w:hanging="0"/>
        <w:jc w:val="left"/>
        <w:rPr/>
      </w:pPr>
      <w:r>
        <w:rPr/>
        <w:t>Asha</w:t>
      </w:r>
      <w:r>
        <w:rPr>
          <w:rFonts w:ascii="Calibri" w:hAnsi="Calibri"/>
          <w:color w:val="000000"/>
          <w:sz w:val="21"/>
        </w:rPr>
        <w:t xml:space="preserve">-säätiö on Utrechtin kunnassa Surinamen kunnassa toimivien hindustanilaisten vapaaehtoisten järjestö. Aihekohtaiseen vuoropuheluun osallistuneet keskustelivat erityisesti kansalaisten oikeuksien merkityksestä: oikeus kattoon pään yläpuolella, mutta myös esimerkiksi oikeus syrjimättömyyteen. Paikalla olevien vapaaehtoisten mukaan on oltava säännöt, joilla suojellaan näitä oikeuksia kaikille Euroopan kansalaisille. Aina ei tiedetä, mitä tällä hetkellä säännellään Alankomaissa ja mitä tällä hetkellä säännellään Euroopan tasolla. Tämän seurauksena on joskus vaikeaa luottaa viranomaisiin. Varsinkin kun viranomaisissa on toisinaan toimintahäiriöitä. ”Voit sanoa, että viranomaisten on puolustettava minua, mutta joskus he onnistuvat kylvämään meloa, kuten avustustapauksessa”, sanoi yksi osallistujista. ”EU:n olisi varmistettava, että sääntöjä todella noudatetaan”, toinen osallistuja sanoi. </w:t>
      </w:r>
      <w:r>
        <w:br w:type="page"/>
      </w:r>
    </w:p>
    <w:p>
      <w:pPr>
        <w:pStyle w:val="P68B1DB1Normal117"/>
        <w:spacing w:lineRule="auto" w:line="240"/>
        <w:ind w:left="0" w:right="0" w:hanging="0"/>
        <w:rPr>
          <w:rFonts w:ascii="Calibri" w:hAnsi="Calibri"/>
          <w:b/>
          <w:b/>
          <w:i/>
          <w:i/>
          <w:color w:val="000000"/>
          <w:sz w:val="28"/>
        </w:rPr>
      </w:pPr>
      <w:r>
        <w:rPr/>
        <w:t xml:space="preserve">Vahvempi talous, sosiaalinen oikeudenmukaisuus ja työllisyys </w:t>
      </w:r>
    </w:p>
    <w:p>
      <w:pPr>
        <w:pStyle w:val="P68B1DB1Normal104"/>
        <w:widowControl w:val="false"/>
        <w:spacing w:lineRule="auto" w:line="240" w:before="139" w:after="0"/>
        <w:ind w:left="0" w:right="0" w:hanging="0"/>
        <w:jc w:val="left"/>
        <w:rPr/>
      </w:pPr>
      <w:r>
        <w:rPr/>
        <w:t xml:space="preserve">Pienet ja keskisuuret yritykset ovat Euroopan talouden selkäranka. EU haluaa siksi, että EU-maat tekevät yhteistyötä elpymissuunnitelmien laatimiseksi, jotta covid-19-kriisistä tulee taloudellisesti vahvempi. Pitkällä aikavälillä EU:n tavoitteena on tehdä Euroopan taloudesta terveempi, vihreämpi ja digitaalinen. Mikä on Alankomaiden näkemys tästä?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Suositukset – Visiomme taloudesta ja työllisyydestä </w:t>
      </w:r>
    </w:p>
    <w:p>
      <w:pPr>
        <w:pStyle w:val="P68B1DB1Normal35"/>
        <w:widowControl w:val="false"/>
        <w:spacing w:lineRule="auto" w:line="240" w:before="123" w:after="0"/>
        <w:ind w:left="0" w:right="0" w:hanging="0"/>
        <w:jc w:val="left"/>
        <w:rPr/>
      </w:pPr>
      <w:r>
        <w:rPr>
          <w:rFonts w:ascii="Calibri" w:hAnsi="Calibri"/>
          <w:sz w:val="20"/>
        </w:rPr>
        <w:t>61 prosenttia hollantilaisista katsoo, että talous ja työllisyys ovat tärkeä aihe ja että EU:n on puututtava asiaan.</w:t>
      </w:r>
      <w:r>
        <w:rPr>
          <w:rFonts w:ascii="Times New Roman" w:hAnsi="Times New Roman"/>
          <w:sz w:val="24"/>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t xml:space="preserve">1. Ottaa huomioon yhteneväisuudet ja erot </w:t>
      </w:r>
    </w:p>
    <w:p>
      <w:pPr>
        <w:pStyle w:val="P68B1DB1Normal104"/>
        <w:widowControl w:val="false"/>
        <w:spacing w:lineRule="auto" w:line="240" w:before="97" w:after="0"/>
        <w:ind w:left="0" w:right="0" w:hanging="0"/>
        <w:jc w:val="left"/>
        <w:rPr/>
      </w:pPr>
      <w:r>
        <w:rPr/>
        <w:t xml:space="preserve">Alankomaista 71 prosenttia katsoo, että EU:n olisi varmistettava, että yritykset tekevät enemmän yhteistyötä, mikä vahvistaa Euroopan taloutta. Näistä ihmisistä vain pieni osa katsoo, että EU:n on maksettava enemmän rahaa yrityksille. Uskomme ennen kaikkea, että yhteistyö voi olla tehokkaampaa. Nykyään näemme, että eri yritykset investoivat samaan uuteen teknologiaan, joskus jopa julkisilla varoilla. Jos meillä olisi eurooppalainen näkemys taloudesta, voisimme käyttää tätä rahaa tehokkaammin. Tässä yhteydessä olisi kuitenkin kiinnitettävä erityistä huomiota maiden välisiin eroihin. </w:t>
      </w:r>
    </w:p>
    <w:p>
      <w:pPr>
        <w:pStyle w:val="P68B1DB1Normal113"/>
        <w:widowControl w:val="false"/>
        <w:spacing w:lineRule="auto" w:line="240" w:before="306" w:after="0"/>
        <w:ind w:left="0" w:right="0" w:hanging="0"/>
        <w:jc w:val="center"/>
        <w:rPr/>
      </w:pPr>
      <w:r>
        <w:rPr/>
        <w:t xml:space="preserve">Alankomaiden maatalousala on niin moderni. Sitä ei ole aina mahdollista verrata muiden maiden tilanteeseen. </w:t>
      </w:r>
    </w:p>
    <w:p>
      <w:pPr>
        <w:pStyle w:val="P68B1DB1Normal111"/>
        <w:widowControl w:val="false"/>
        <w:spacing w:lineRule="auto" w:line="240" w:before="297" w:after="0"/>
        <w:ind w:left="0" w:right="0" w:hanging="0"/>
        <w:jc w:val="left"/>
        <w:rPr>
          <w:rFonts w:ascii="Calibri" w:hAnsi="Calibri"/>
          <w:b/>
          <w:b/>
          <w:color w:val="000000"/>
          <w:sz w:val="22"/>
        </w:rPr>
      </w:pPr>
      <w:r>
        <w:rPr/>
        <w:t xml:space="preserve">2. Euroopan vahvuuksien parempi hyödyntäminen </w:t>
      </w:r>
    </w:p>
    <w:p>
      <w:pPr>
        <w:pStyle w:val="P68B1DB1Normal104"/>
        <w:widowControl w:val="false"/>
        <w:spacing w:lineRule="auto" w:line="240" w:before="97" w:after="0"/>
        <w:ind w:left="0" w:right="0" w:hanging="0"/>
        <w:jc w:val="left"/>
        <w:rPr/>
      </w:pPr>
      <w:r>
        <w:rPr/>
        <w:t>Hollantilaiset uskovat, että Euroopan talouden vahvistamiseen on monia mahdollisuuksia, mutta valintoja on tehtävä. Siksi katsomme, että EU:n olisi keskityttävä ennen kaikkea vahvuuksiinsa. Olemme esimerkiksi sitä mieltä, että Eurooppa on hyvä</w:t>
      </w:r>
    </w:p>
    <w:p>
      <w:pPr>
        <w:pStyle w:val="P68B1DB1Normal104"/>
        <w:widowControl w:val="false"/>
        <w:spacing w:lineRule="auto" w:line="240"/>
        <w:ind w:left="0" w:right="0" w:hanging="0"/>
        <w:jc w:val="left"/>
        <w:rPr/>
      </w:pPr>
      <w:r>
        <w:rPr/>
        <w:t xml:space="preserve"> </w:t>
      </w:r>
      <w:r>
        <w:rPr/>
        <w:t xml:space="preserve">digitaalisen siirtymän, kestävyyden ja infrastruktuurin kaltaiset alat. Ja mikä on ehkä tärkeämpää: puolustamme laatua ja monimuotoisuutta. Meidän on hyödynnettävä paljon enemmän taloudellisena etuna maanosamme monimuotoisuutta, jolla on erilaisia mielipiteitä ja ajatuksia. Tämä voi auttaa Eurooppaa erottumaan esimerkiksi Kiinan taloudesta. </w:t>
      </w:r>
    </w:p>
    <w:p>
      <w:pPr>
        <w:pStyle w:val="P68B1DB1Normal111"/>
        <w:widowControl w:val="false"/>
        <w:spacing w:lineRule="auto" w:line="240" w:before="40" w:after="0"/>
        <w:ind w:left="0" w:right="0" w:hanging="0"/>
        <w:jc w:val="left"/>
        <w:rPr>
          <w:rFonts w:ascii="Calibri" w:hAnsi="Calibri"/>
          <w:b/>
          <w:b/>
          <w:color w:val="000000"/>
          <w:sz w:val="22"/>
        </w:rPr>
      </w:pPr>
      <w:r>
        <w:rPr/>
        <w:t xml:space="preserve">3. Oikeudenmukaisen ja selkeän verojärjestelmän kehittäminen </w:t>
      </w:r>
    </w:p>
    <w:p>
      <w:pPr>
        <w:pStyle w:val="P68B1DB1Normal104"/>
        <w:widowControl w:val="false"/>
        <w:spacing w:lineRule="auto" w:line="240" w:before="95" w:after="0"/>
        <w:ind w:left="0" w:right="0" w:hanging="0"/>
        <w:jc w:val="left"/>
        <w:rPr/>
      </w:pPr>
      <w:r>
        <w:rPr/>
        <w:t xml:space="preserve">82 prosenttia alankomaalaisista katsoo, että EU-maiden on yhdessä varmistettava, että kaikki EU:n yritykset maksavat oikeudenmukaiset verot. Tämä koskee myös erittäin suuria yrityksiä. Nykyään he asettuvat joskus muihin maihin yksinkertaisesta syystä, että he maksavat vähemmän veroja. EU:n olisi torjuttava tätä ilmiötä esimerkiksi asettamalla vähimmäisverokanta kaikille maille. Toisaalta uskomme, että verotus kuuluu valtioille, joilla on omat tavoitteensa ja kontekstinsa. Olemme sitä mieltä, että verotus on yleensä monimutkainen kysymys. Juuri tästä syystä haluaisimme paremman verojärjestelmän, joka on oikeudenmukainen ja selkeä kaikille Euroopassa. </w:t>
      </w:r>
    </w:p>
    <w:p>
      <w:pPr>
        <w:pStyle w:val="P68B1DB1Normal113"/>
        <w:widowControl w:val="false"/>
        <w:spacing w:lineRule="auto" w:line="240" w:before="256" w:after="0"/>
        <w:ind w:left="0" w:right="0" w:hanging="0"/>
        <w:jc w:val="center"/>
        <w:rPr/>
      </w:pPr>
      <w:r>
        <w:rPr/>
        <w:t xml:space="preserve">Kurkuilla on oltava sama muoto kaikkialla, mutta verosäännöt ovat erilaiset. Eikö olekin hullua? </w:t>
      </w:r>
    </w:p>
    <w:p>
      <w:pPr>
        <w:pStyle w:val="P68B1DB1Normal111"/>
        <w:widowControl w:val="false"/>
        <w:spacing w:lineRule="auto" w:line="240" w:before="297" w:after="0"/>
        <w:ind w:left="0" w:right="0" w:hanging="0"/>
        <w:jc w:val="left"/>
        <w:rPr>
          <w:rFonts w:ascii="Calibri" w:hAnsi="Calibri"/>
          <w:b/>
          <w:b/>
          <w:color w:val="000000"/>
          <w:sz w:val="22"/>
        </w:rPr>
      </w:pPr>
      <w:r>
        <w:rPr/>
        <w:t xml:space="preserve">4. Varmista, että kaikki voivat osallistua </w:t>
      </w:r>
    </w:p>
    <w:p>
      <w:pPr>
        <w:pStyle w:val="P68B1DB1Normal104"/>
        <w:widowControl w:val="false"/>
        <w:spacing w:lineRule="auto" w:line="240" w:before="97" w:after="0"/>
        <w:ind w:left="0" w:right="0" w:hanging="0"/>
        <w:jc w:val="left"/>
        <w:rPr/>
      </w:pPr>
      <w:r>
        <w:rPr/>
        <w:t xml:space="preserve">Alankomaista 71 prosenttia katsoo, että EU:n pitäisi edistää työllisyyttä. Tältä osin katsomme, että erityistä huomiota olisi kiinnitettävä tiettyihin ryhmiin, kuten nuoriin ja työmarkkinoiden ulkopuolella oleviin ihmisiin. Tämä voidaan toteuttaa säännöillä tai avustuksilla yrityksille, mutta myös antamalla erityistä tukea työnantajille ja työntekijöille. Ajattelemme esimerkiksi tiedotustoimia tai hyvin käytännön asioita. On mahdollista, että joissakin tapauksissa tällainen tuki voidaan järjestää tehokkaammin EU:n tasolla ja toisissa se voi olla pikemminkin tehtävä kuin jäsenvaltioille itselleen. EU-maiden olisi viime kädessä tehtävä yhteistyötä yhdenvertaisten mahdollisuuksien varmistamiseksi Euroopan työmarkkinoilla. </w:t>
      </w:r>
    </w:p>
    <w:p>
      <w:pPr>
        <w:pStyle w:val="P68B1DB1Normal108"/>
        <w:widowControl w:val="false"/>
        <w:spacing w:lineRule="auto" w:line="240" w:before="40" w:after="0"/>
        <w:ind w:left="0" w:right="0" w:hanging="0"/>
        <w:jc w:val="left"/>
        <w:rPr>
          <w:rFonts w:ascii="Calibri" w:hAnsi="Calibri"/>
          <w:b/>
          <w:b/>
          <w:i/>
          <w:i/>
          <w:color w:val="000000"/>
          <w:sz w:val="24"/>
        </w:rPr>
      </w:pPr>
      <w:r>
        <w:rPr/>
        <w:t xml:space="preserve">Verkossa ja paikan päällä käytävät keskustelut ja ideat </w:t>
      </w:r>
    </w:p>
    <w:p>
      <w:pPr>
        <w:pStyle w:val="P68B1DB1Normal118"/>
        <w:widowControl w:val="false"/>
        <w:spacing w:lineRule="auto" w:line="240" w:before="115" w:after="0"/>
        <w:ind w:left="0" w:right="0" w:hanging="0"/>
        <w:jc w:val="left"/>
        <w:rPr>
          <w:rFonts w:ascii="Calibri" w:hAnsi="Calibri"/>
          <w:i/>
          <w:i/>
          <w:color w:val="000000"/>
          <w:sz w:val="21"/>
        </w:rPr>
      </w:pPr>
      <w:r>
        <w:rPr/>
        <w:t xml:space="preserve">Nopeuta automaatiota Euroopassa niin, että tällä hetkellä Kiinasta tulevat tuotteet valmistetaan jälleen täällä. </w:t>
      </w:r>
    </w:p>
    <w:p>
      <w:pPr>
        <w:pStyle w:val="P68B1DB1Normal118"/>
        <w:widowControl w:val="false"/>
        <w:spacing w:lineRule="auto" w:line="240" w:before="85" w:after="0"/>
        <w:ind w:left="0" w:right="0" w:hanging="0"/>
        <w:jc w:val="left"/>
        <w:rPr/>
      </w:pPr>
      <w:r>
        <w:rPr/>
        <w:t xml:space="preserve">Ota bitcoinien ja muiden kryptovaluuttojen vallankumous vakavasti. Siitä kiinnostuneita kohdellaan veropetosten tekijöinä, kun taas tämäntyyppinen lohkoketjuteknologia on tulevaisuutta. </w:t>
      </w:r>
    </w:p>
    <w:p>
      <w:pPr>
        <w:pStyle w:val="P68B1DB1Normal118"/>
        <w:widowControl w:val="false"/>
        <w:spacing w:lineRule="auto" w:line="240" w:before="87" w:after="0"/>
        <w:ind w:left="0" w:right="0" w:hanging="0"/>
        <w:jc w:val="left"/>
        <w:rPr/>
      </w:pPr>
      <w:r>
        <w:rPr/>
        <w:t xml:space="preserve">Osakkeenomistajat eivät ole Euroopan talouden ainoita toimijoita. Mikään ei ole mahdollista ilman työntekijöitä.” ”Euroopan on tehtävä enemmän vammaisten hyväksi. Heille on aivan liian vaikeaa löytää sopivaa työtä tänään. </w:t>
      </w:r>
    </w:p>
    <w:p>
      <w:pPr>
        <w:pStyle w:val="P68B1DB1Normal118"/>
        <w:widowControl w:val="false"/>
        <w:spacing w:lineRule="auto" w:line="240" w:before="85" w:after="0"/>
        <w:ind w:left="0" w:right="0" w:hanging="0"/>
        <w:jc w:val="left"/>
        <w:rPr/>
      </w:pPr>
      <w:r>
        <w:rPr/>
        <w:t xml:space="preserve">Monet EU:n säännöt ovat monimutkaisia ja muuttuvat säännöllisesti. Siksi yritysten on vaikea innovoida. </w:t>
      </w:r>
    </w:p>
    <w:p>
      <w:pPr>
        <w:pStyle w:val="P68B1DB1Normal118"/>
        <w:widowControl w:val="false"/>
        <w:spacing w:lineRule="auto" w:line="240" w:before="85" w:after="0"/>
        <w:ind w:left="0" w:right="0" w:hanging="0"/>
        <w:jc w:val="both"/>
        <w:rPr/>
      </w:pPr>
      <w:r>
        <w:rPr/>
        <w:t xml:space="preserve">Kun kyseessä on muutostyö yrityksessäni, paikallinen urakoitsijani olisi voinut aloittaa jo kauan sitten. Ensin minun oli kuitenkin käynnistettävä eurooppalainen tarjouskilpailu. Se on sääli. </w:t>
      </w:r>
    </w:p>
    <w:p>
      <w:pPr>
        <w:pStyle w:val="P68B1DB1Normal111"/>
        <w:widowControl w:val="false"/>
        <w:spacing w:lineRule="auto" w:line="240" w:before="85" w:after="0"/>
        <w:ind w:left="0" w:right="0" w:hanging="0"/>
        <w:jc w:val="both"/>
        <w:rPr>
          <w:rFonts w:ascii="Calibri" w:hAnsi="Calibri"/>
          <w:b/>
          <w:b/>
          <w:color w:val="000000"/>
          <w:sz w:val="22"/>
        </w:rPr>
      </w:pPr>
      <w:r>
        <w:rPr/>
        <w:t xml:space="preserve">Verkkovuoropuhelun osallistujat: ”Yhteistä ajattelua suurten yritysten osalta” </w:t>
      </w:r>
    </w:p>
    <w:p>
      <w:pPr>
        <w:pStyle w:val="P68B1DB1Normal104"/>
        <w:widowControl w:val="false"/>
        <w:spacing w:lineRule="auto" w:line="240" w:before="97" w:after="0"/>
        <w:ind w:left="0" w:right="0" w:hanging="0"/>
        <w:jc w:val="left"/>
        <w:rPr/>
      </w:pPr>
      <w:r>
        <w:rPr/>
        <w:t>Erään verkkoaiheisen vuoropuhelun aikana syntyi keskustelu suuryritysten kasvavasta voimasta. Jotkut osallistujat haluaisivat EU:n</w:t>
      </w:r>
      <w:r>
        <w:rPr/>
        <w:commentReference w:id="22"/>
      </w:r>
      <w:r>
        <w:rPr/>
        <w:t xml:space="preserve"> ryhtyvän voimakkaampiin toimiin tässä asiassa. Jotkut yritykset saavat toisinaan merkittäviä voittoja, joista ne maksavat vähän veroja kehittyneiden järjestelyjen ansiosta. Muut osallistujat halusivat tarkastella asioita kokonaisuutena: nämä yritykset luovat korkean työllisyystason ja hyödyttävät kansantaloutta. ”Sinun ei pitäisi jahdata heitä”, joku sanoi. Toinen osallistuja piti joka tapauksessa tärkeänä, että EU-maat pohtivat tätä kysymystä yhdessä. Suuret yritykset voivat tällä hetkellä kilpailla maiden välillä. Siksi meidän on esitettävä yhtenäisempi rintama EU:na. </w:t>
      </w:r>
    </w:p>
    <w:p>
      <w:pPr>
        <w:pStyle w:val="P68B1DB1Normal111"/>
        <w:widowControl w:val="false"/>
        <w:spacing w:lineRule="auto" w:line="240" w:before="97" w:after="0"/>
        <w:ind w:left="0" w:right="0" w:hanging="0"/>
        <w:jc w:val="left"/>
        <w:rPr>
          <w:rFonts w:ascii="Calibri" w:hAnsi="Calibri"/>
          <w:b/>
          <w:b/>
          <w:color w:val="000000"/>
          <w:sz w:val="22"/>
        </w:rPr>
      </w:pPr>
      <w:r>
        <w:rPr/>
        <w:t xml:space="preserve">Viljelijät, jotka ottavat huomioon luonnon: ”Asetetaan tavoitteet kiintiöiden sijaan” </w:t>
      </w:r>
    </w:p>
    <w:p>
      <w:pPr>
        <w:pStyle w:val="P68B1DB1Normal104"/>
        <w:widowControl w:val="false"/>
        <w:spacing w:lineRule="auto" w:line="240" w:before="95" w:after="0"/>
        <w:ind w:left="0" w:right="0" w:hanging="0"/>
        <w:jc w:val="left"/>
        <w:rPr/>
      </w:pPr>
      <w:r>
        <w:rPr/>
        <w:t xml:space="preserve">BoerenNatuur on maatalousryhmittymien yhdistys. Pieni ryhmä jäseniä keskusteli muun muassa EU:n viljelijöitä koskevista säännöistä. Toisaalta he uskovat, että EU tuo mukanaan paljon myönteisiä asioita, kuten muihin maihin suuntautuvan viennin helppouden. Toisaalta he katsovat, että politiikat voivat usein olla vieläkin selkeämpiä. ”Mutta kaikki työskentelevät jo enemmän ja enemmän samaan suuntaan”, joku sanoi siitä. Erityisesti menettelyihin voidaan tehdä parannuksia: ne ovat usein hyvin hallinnollisia ja aikaa vieviä. Yhden osallistujan mielestä säännöt eivät saisi olla liian yksityiskohtaisia. Suositaan selkeitä tavoitteita, kuten puhdasta vettä. Voimme sitten päättää itsemme ojan leveydestä.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rFonts w:ascii="Calibri" w:hAnsi="Calibri"/>
          <w:b/>
          <w:b/>
          <w:i/>
          <w:i/>
          <w:color w:val="000000"/>
          <w:sz w:val="28"/>
        </w:rPr>
      </w:pPr>
      <w:r>
        <w:rPr/>
        <w:t xml:space="preserve">Eurooppalainen demokratia </w:t>
      </w:r>
    </w:p>
    <w:p>
      <w:pPr>
        <w:pStyle w:val="P68B1DB1Normal104"/>
        <w:widowControl w:val="false"/>
        <w:spacing w:lineRule="auto" w:line="240"/>
        <w:ind w:left="0" w:right="0" w:hanging="0"/>
        <w:jc w:val="left"/>
        <w:rPr/>
      </w:pPr>
      <w:r>
        <w:rPr/>
        <w:t xml:space="preserve">EU kannustaa eurooppalaisia äänestämään ja haluaa myös ottaa heidät mukaan EU:n päätöksentekoon ja politiikkaan vaalikauden ulkopuolella. EU tekee myös aloitteita demokratian vahvistamiseksi esimerkiksi laatimalla toimintasuunnitelman, jossa keskitytään vapaisiin ja rehellisiin vaaleihin ja lehdistönvapauteen. Mikä on Alankomaiden näkemys tästä?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t xml:space="preserve">Suositukset – Visiomme eurooppalaisesta demokratiasta </w:t>
      </w:r>
    </w:p>
    <w:p>
      <w:pPr>
        <w:pStyle w:val="P68B1DB1Normal69"/>
        <w:widowControl w:val="false"/>
        <w:spacing w:lineRule="auto" w:line="240"/>
        <w:ind w:left="0" w:right="0" w:hanging="0"/>
        <w:jc w:val="left"/>
        <w:rPr/>
      </w:pPr>
      <w:r>
        <w:rPr/>
        <w:t xml:space="preserve">Hollantilaisista 60 prosenttia katsoo, että eurooppalainen demokratia on tärkeä kysymys ja että EU:n on puututtava asiaan. </w:t>
      </w:r>
    </w:p>
    <w:p>
      <w:pPr>
        <w:pStyle w:val="P68B1DB1Normal111"/>
        <w:widowControl w:val="false"/>
        <w:spacing w:lineRule="auto" w:line="240" w:before="13" w:after="0"/>
        <w:ind w:left="0" w:right="0" w:hanging="0"/>
        <w:jc w:val="left"/>
        <w:rPr>
          <w:rFonts w:ascii="Calibri" w:hAnsi="Calibri"/>
          <w:b/>
          <w:b/>
          <w:color w:val="000000"/>
          <w:sz w:val="22"/>
        </w:rPr>
      </w:pPr>
      <w:r>
        <w:rPr/>
        <w:t xml:space="preserve">1. Antaa paremman yleiskuvan Euroopasta </w:t>
      </w:r>
    </w:p>
    <w:p>
      <w:pPr>
        <w:pStyle w:val="P68B1DB1Normal104"/>
        <w:widowControl w:val="false"/>
        <w:spacing w:lineRule="auto" w:line="240"/>
        <w:ind w:left="0" w:right="0" w:hanging="0"/>
        <w:jc w:val="left"/>
        <w:rPr/>
      </w:pPr>
      <w:r>
        <w:rPr/>
        <w:t xml:space="preserve">Alankomaalaiset huomauttavat, että Euroopan mediassa esiintyy usein kriisitilanteessa. Toisaalta meillä on vain vähän tietoa päivittäisistä päätöksistä. Kansalaisina meidän ei tarvitse tietää kaikkea, mutta jotta voisimme muodostaa hyvän mielipiteen, olisi hyvä saada parempi yleiskuva. Olisi esimerkiksi mielenkiintoista kuulla useammin muiden maiden näkemyksiä. Tiedotusvälineillä ja koulutuksella voi olla tässä tärkeä rooli. Median on kuitenkin pystyttävä tekemään omat valintansa. Koska hollantilaiset pitävät lehdistönvapautta erittäin tärkeänä demokratiassamme. </w:t>
      </w:r>
    </w:p>
    <w:p>
      <w:pPr>
        <w:pStyle w:val="P68B1DB1Normal113"/>
        <w:widowControl w:val="false"/>
        <w:spacing w:lineRule="auto" w:line="240" w:before="184" w:after="0"/>
        <w:ind w:left="0" w:right="0" w:hanging="0"/>
        <w:jc w:val="center"/>
        <w:rPr/>
      </w:pPr>
      <w:r>
        <w:rPr/>
        <w:t>”</w:t>
      </w:r>
      <w:r>
        <w:rPr/>
        <w:t xml:space="preserve">Suurimmaksi osaksi kuulemme vain kriisin sattuessa. Tästä syystä tunteet Eurooppaa kohtaan ovat edelleen negatiivisia. </w:t>
      </w:r>
    </w:p>
    <w:p>
      <w:pPr>
        <w:pStyle w:val="P68B1DB1Normal111"/>
        <w:widowControl w:val="false"/>
        <w:spacing w:lineRule="auto" w:line="240" w:before="153" w:after="0"/>
        <w:ind w:left="0" w:right="0" w:hanging="0"/>
        <w:jc w:val="left"/>
        <w:rPr>
          <w:rFonts w:ascii="Calibri" w:hAnsi="Calibri"/>
          <w:b/>
          <w:b/>
          <w:color w:val="000000"/>
          <w:sz w:val="22"/>
        </w:rPr>
      </w:pPr>
      <w:r>
        <w:rPr/>
        <w:t xml:space="preserve">2. Löydä uusia tapoja kuunnella kansalaisia jatkuvasti </w:t>
      </w:r>
    </w:p>
    <w:p>
      <w:pPr>
        <w:pStyle w:val="P68B1DB1Normal104"/>
        <w:widowControl w:val="false"/>
        <w:spacing w:lineRule="auto" w:line="240"/>
        <w:ind w:left="0" w:right="0" w:hanging="0"/>
        <w:jc w:val="left"/>
        <w:rPr/>
      </w:pPr>
      <w:r>
        <w:rPr/>
        <w:t xml:space="preserve">Hollantilaisista 51 prosenttia katsoo, että EU ei ole riittävän tietoinen siitä, mitä yhteiskunnassa tapahtuu. Tilanteen parantamiseksi EU:n olisi osallistuttava useammin ja mieluiten pysyvästi vuoropuheluun kansalaisten kanssa. Monet hollantilaiset pitävät siksi Euroopan tulevaisuutta käsittelevää konferenssia hyvänä aloitteena. Kansanäänestykset voivat olla myös arvokas väline, mutta hollantilaisilla on asiasta eriäviä näkemyksiä. Tietyissä asioissa on myös joskus tarpeen saada erityisosaamista. Kansalaisten kanssa puhumisen ei missään tapauksessa pitäisi olla pelkkä muodollisuus. Mielestämme on tärkeää, että meidät otetaan vakavasti. </w:t>
      </w:r>
    </w:p>
    <w:p>
      <w:pPr>
        <w:pStyle w:val="P68B1DB1Normal111"/>
        <w:widowControl w:val="false"/>
        <w:spacing w:lineRule="auto" w:line="240" w:before="21" w:after="0"/>
        <w:ind w:left="0" w:right="0" w:hanging="0"/>
        <w:jc w:val="left"/>
        <w:rPr>
          <w:rFonts w:ascii="Calibri" w:hAnsi="Calibri"/>
          <w:b/>
          <w:b/>
          <w:color w:val="000000"/>
          <w:sz w:val="22"/>
        </w:rPr>
      </w:pPr>
      <w:r>
        <w:rPr/>
        <w:t xml:space="preserve">3. Tehtyjen päätösten läpinäkyvyyden ja selkeyden lisääminen </w:t>
      </w:r>
    </w:p>
    <w:p>
      <w:pPr>
        <w:pStyle w:val="P68B1DB1Normal104"/>
        <w:widowControl w:val="false"/>
        <w:spacing w:lineRule="auto" w:line="240"/>
        <w:ind w:left="0" w:right="0" w:hanging="0"/>
        <w:jc w:val="left"/>
        <w:rPr/>
      </w:pPr>
      <w:r>
        <w:rPr/>
        <w:t xml:space="preserve">Hollantilaiset pitävät Eurooppaa joskus melko monimutkaisena. Kaikilla ei ole samantasoista perustietoa. EU:n on otettava tämä paremmin huomioon. Haluamme, että tulee avoimempi ja että sen pitäminen ajan tasalla on helpompaa. Alankomaiden viranomaisilla on tässäkin asiassa oma roolinsa. Monet hollantilaiset ovat kiinnostuneita EU:n päätöksistä, mutta kokevat, että virallisia kanavia on liian vaikea löytää tai ne ovat liian monimutkaisia. Lisäksi jokaisella on erilaiset intressit ja tarpeet. Siksi olisi voitava valita aiheet, joista haluaisimme oppia lisää. Nuoret ovat usein kiinnostuneita Euroopasta, mutta he näkevät siitä vain vähän tietoa esimerkiksi sosiaalisissa verkostoissaan. </w:t>
      </w:r>
    </w:p>
    <w:p>
      <w:pPr>
        <w:pStyle w:val="P68B1DB1Normal113"/>
        <w:widowControl w:val="false"/>
        <w:spacing w:lineRule="auto" w:line="240" w:before="184" w:after="0"/>
        <w:ind w:left="0" w:right="0" w:hanging="0"/>
        <w:jc w:val="center"/>
        <w:rPr/>
      </w:pPr>
      <w:r>
        <w:rPr/>
        <w:t xml:space="preserve">Kun olin lomalla Unkarissa, näin suuren kyltin lähellä uutta metsäviljelmää, jossa todettiin: ”Tämä istutus oli mahdollista EU:n ansiosta.” Vaikka suhtaudunkin epäilevästi Eurooppaan, olin silti ylpeä. </w:t>
      </w:r>
    </w:p>
    <w:p>
      <w:pPr>
        <w:pStyle w:val="P68B1DB1Normal19"/>
        <w:widowControl w:val="false"/>
        <w:spacing w:lineRule="auto" w:line="240" w:before="155" w:after="0"/>
        <w:ind w:left="0" w:right="0" w:hanging="0"/>
        <w:jc w:val="left"/>
        <w:rPr>
          <w:rFonts w:ascii="Times New Roman" w:hAnsi="Times New Roman"/>
          <w:color w:val="000000"/>
          <w:sz w:val="24"/>
        </w:rPr>
      </w:pPr>
      <w:r>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t xml:space="preserve">4. Varmistaa, että hankalia kysymyksiä voidaan ratkaista nopeammin </w:t>
      </w:r>
    </w:p>
    <w:p>
      <w:pPr>
        <w:pStyle w:val="P68B1DB1Normal104"/>
        <w:widowControl w:val="false"/>
        <w:spacing w:lineRule="auto" w:line="240"/>
        <w:ind w:left="0" w:right="0" w:hanging="0"/>
        <w:jc w:val="left"/>
        <w:rPr/>
      </w:pPr>
      <w:r>
        <w:rPr/>
        <w:t>Alankomaiden on vaikea ymmärtää, miten eurooppalainen demokratia toimii, mutta vaikuttaa siltä, että päätöksenteko on usein hyvin hidasta. Euroopan parlamentin vaaleissa näemme ennen kaikkea</w:t>
      </w:r>
      <w:r>
        <w:rPr/>
        <w:commentReference w:id="23"/>
      </w:r>
      <w:r>
        <w:rPr/>
        <w:t xml:space="preserve"> kansallisten puolueiden välisiä liittoumia. On myös muita tapoja puuttua Euroopan etuihin. Noin kolmannes alankomaalaisista katsoo, että Euroopan parlamentin vaaleissa olisi oltava mahdollista äänestää ulkomaisia ehdokkaita. Suurin osa kansalaisista on sitä mieltä, että tämän ei pitäisi olla mahdollista. Tärkeintä on, että eri intressit otetaan riittävästi huomioon. Samalla on mahdollista ratkaista hankalia kysymyksiä nopeammin kuin nykyään. </w:t>
      </w:r>
    </w:p>
    <w:p>
      <w:pPr>
        <w:pStyle w:val="P68B1DB1Normal113"/>
        <w:widowControl w:val="false"/>
        <w:spacing w:lineRule="auto" w:line="240" w:before="201" w:after="0"/>
        <w:ind w:left="0" w:right="0" w:hanging="0"/>
        <w:jc w:val="center"/>
        <w:rPr/>
      </w:pPr>
      <w:r>
        <w:rPr/>
        <w:t xml:space="preserve">Vaaleissa toivon, että voisin samaistua jonkun kanssa ja tietää, mitä hän puolustaa. Sen ei välttämättä tarvitse olla maanmies. </w:t>
      </w:r>
    </w:p>
    <w:p>
      <w:pPr>
        <w:pStyle w:val="P68B1DB1Normal108"/>
        <w:widowControl w:val="false"/>
        <w:spacing w:lineRule="auto" w:line="240" w:before="171" w:after="0"/>
        <w:ind w:left="0" w:right="0" w:hanging="0"/>
        <w:jc w:val="left"/>
        <w:rPr>
          <w:rFonts w:ascii="Calibri" w:hAnsi="Calibri"/>
          <w:b/>
          <w:b/>
          <w:i/>
          <w:i/>
          <w:color w:val="000000"/>
          <w:sz w:val="24"/>
        </w:rPr>
      </w:pPr>
      <w:r>
        <w:rPr/>
        <w:t xml:space="preserve">Verkossa ja paikan päällä käytävät keskustelut ja ideat </w:t>
      </w:r>
    </w:p>
    <w:p>
      <w:pPr>
        <w:pStyle w:val="P68B1DB1Normal118"/>
        <w:widowControl w:val="false"/>
        <w:spacing w:lineRule="auto" w:line="240" w:before="3" w:after="0"/>
        <w:ind w:left="0" w:right="0" w:hanging="0"/>
        <w:jc w:val="left"/>
        <w:rPr>
          <w:rFonts w:ascii="Calibri" w:hAnsi="Calibri"/>
          <w:i/>
          <w:i/>
          <w:color w:val="000000"/>
          <w:sz w:val="21"/>
        </w:rPr>
      </w:pPr>
      <w:r>
        <w:rPr/>
        <w:t xml:space="preserve">Poistetaan maiden veto-oikeus. Enemmistön on päätettävä. </w:t>
      </w:r>
    </w:p>
    <w:p>
      <w:pPr>
        <w:pStyle w:val="Normal"/>
        <w:widowControl w:val="false"/>
        <w:spacing w:lineRule="auto" w:line="240" w:before="85" w:after="0"/>
        <w:ind w:left="0" w:right="0" w:hanging="0"/>
        <w:jc w:val="left"/>
        <w:rPr/>
      </w:pPr>
      <w:r>
        <w:rPr>
          <w:rFonts w:ascii="Calibri" w:hAnsi="Calibri"/>
          <w:i/>
          <w:color w:val="000000"/>
          <w:sz w:val="21"/>
        </w:rPr>
        <w:t xml:space="preserve">Tärkeille päätöksille perustetaan kansalaisista </w:t>
      </w:r>
      <w:commentRangeStart w:id="24"/>
      <w:r>
        <w:rPr>
          <w:rFonts w:ascii="Calibri" w:hAnsi="Calibri"/>
          <w:i/>
          <w:color w:val="000000"/>
          <w:sz w:val="21"/>
        </w:rPr>
        <w:t xml:space="preserve"> </w:t>
      </w:r>
      <w:r>
        <w:rPr>
          <w:rFonts w:ascii="Calibri" w:hAnsi="Calibri"/>
          <w:i/>
          <w:color w:val="000000"/>
          <w:sz w:val="21"/>
        </w:rPr>
      </w:r>
      <w:commentRangeEnd w:id="24"/>
      <w:r>
        <w:commentReference w:id="24"/>
      </w:r>
      <w:r>
        <w:rPr>
          <w:rFonts w:ascii="Calibri" w:hAnsi="Calibri"/>
          <w:i/>
          <w:color w:val="000000"/>
          <w:sz w:val="21"/>
        </w:rPr>
        <w:t>koostuvia keskusteluryhmiä, ehkä (puoli)pakollisin perustein, kuten Yhdysvaltojen valamiehistöille tehdään.</w:t>
      </w:r>
    </w:p>
    <w:p>
      <w:pPr>
        <w:pStyle w:val="P68B1DB1Normal118"/>
        <w:widowControl w:val="false"/>
        <w:spacing w:lineRule="auto" w:line="240" w:before="85" w:after="0"/>
        <w:ind w:left="0" w:right="0" w:hanging="0"/>
        <w:jc w:val="left"/>
        <w:rPr/>
      </w:pPr>
      <w:r>
        <w:rPr/>
        <w:t>”</w:t>
      </w:r>
      <w:r>
        <w:rPr/>
        <w:t xml:space="preserve">Varmistaa, että EU:n poliitikot ja virkamiehet vierailevat säännöllisesti sisämaassa” eivätkä jää täysin Brysselin kuplaan. </w:t>
      </w:r>
    </w:p>
    <w:p>
      <w:pPr>
        <w:pStyle w:val="P68B1DB1Normal118"/>
        <w:widowControl w:val="false"/>
        <w:spacing w:lineRule="auto" w:line="240" w:before="85" w:after="0"/>
        <w:ind w:left="0" w:right="0" w:hanging="0"/>
        <w:jc w:val="left"/>
        <w:rPr/>
      </w:pPr>
      <w:r>
        <w:rPr/>
        <w:t xml:space="preserve">IDEA: Itse asiassa TV-uutisten pitäisi omistaa muutama minuutti Euroopalle jokaisessa sen julkaisussa. Tai voisimme julkaista päivittäisen tai viikoittaisen sanomalehden, joka on omistettu Euroopalle. </w:t>
      </w:r>
    </w:p>
    <w:p>
      <w:pPr>
        <w:pStyle w:val="P68B1DB1Normal118"/>
        <w:widowControl w:val="false"/>
        <w:spacing w:lineRule="auto" w:line="240" w:before="85" w:after="0"/>
        <w:ind w:left="0" w:right="0" w:hanging="0"/>
        <w:jc w:val="left"/>
        <w:rPr/>
      </w:pPr>
      <w:r>
        <w:rPr/>
        <w:t xml:space="preserve">IDEA: Eurooppalaisten poliitikkojen pitäisi ehkä osallistua useammin televisio-ohjelmiin. </w:t>
      </w:r>
    </w:p>
    <w:p>
      <w:pPr>
        <w:pStyle w:val="P68B1DB1Normal118"/>
        <w:widowControl w:val="false"/>
        <w:spacing w:lineRule="auto" w:line="240" w:before="85" w:after="0"/>
        <w:ind w:left="0" w:right="0" w:hanging="0"/>
        <w:jc w:val="left"/>
        <w:rPr/>
      </w:pPr>
      <w:r>
        <w:rPr/>
        <w:t xml:space="preserve">Nuorena en juuri koskaan lukenut mitään Euroopasta. Olen kuitenkin utelias tietämään enemmän, mutta ei tarvitse liikaa vaivaa saada tietoa. </w:t>
      </w:r>
    </w:p>
    <w:p>
      <w:pPr>
        <w:pStyle w:val="P68B1DB1Normal111"/>
        <w:widowControl w:val="false"/>
        <w:spacing w:lineRule="auto" w:line="240" w:before="84" w:after="0"/>
        <w:ind w:left="0" w:right="0" w:hanging="0"/>
        <w:jc w:val="left"/>
        <w:rPr>
          <w:rFonts w:ascii="Calibri" w:hAnsi="Calibri"/>
          <w:b/>
          <w:b/>
          <w:color w:val="000000"/>
          <w:sz w:val="22"/>
        </w:rPr>
      </w:pPr>
      <w:r>
        <w:rPr/>
        <w:t xml:space="preserve">Coalitie-Y:n nuoret jäsenet Utrechtissa: keskustelu kansanäänestysten käytöstä </w:t>
      </w:r>
    </w:p>
    <w:p>
      <w:pPr>
        <w:pStyle w:val="P68B1DB1Normal104"/>
        <w:widowControl w:val="false"/>
        <w:spacing w:lineRule="auto" w:line="240"/>
        <w:ind w:left="0" w:right="0" w:hanging="0"/>
        <w:jc w:val="left"/>
        <w:rPr/>
      </w:pPr>
      <w:r>
        <w:rPr/>
        <w:t xml:space="preserve">Eri nuorisojärjestöjen yhteistyönä toimivan Coalitie-Y:n jäsenet kävivät vilkkaan keskustelun kansanäänestysten käytöstä. Vastustajat mainitsivat riskin käydä keskusteluja, joissa kaikki on mustaa tai valkoista, kun taas aiheet ovat usein paljon monimutkaisempia. Yksi osallistujista totesi lisäksi seuraavaa: Voimme äänestää EU:ta ja asettua ehdolle. Kansanäänestykset todella heikentävät tätä periaatetta.” kansanäänestyksen kannattajat katsoivat, että poliittisten päättäjien on hyödyllistä tietää, mitä kansalaiset ajattelevat tietystä aiheesta: tämä voisi auttaa antamaan ohjausta. Kansanäänestyksillä voitaisiin myös lisätä yleistä tietoisuutta koko: mitkä ovat esityslistalla olevat aiheet ja mitkä ovat valinnat? </w:t>
      </w:r>
    </w:p>
    <w:p>
      <w:pPr>
        <w:pStyle w:val="P68B1DB1Normal111"/>
        <w:widowControl w:val="false"/>
        <w:spacing w:lineRule="auto" w:line="240" w:before="38" w:after="0"/>
        <w:ind w:left="0" w:right="0" w:hanging="0"/>
        <w:jc w:val="left"/>
        <w:rPr>
          <w:rFonts w:ascii="Calibri" w:hAnsi="Calibri"/>
          <w:b/>
          <w:b/>
          <w:color w:val="000000"/>
          <w:sz w:val="22"/>
        </w:rPr>
      </w:pPr>
      <w:r>
        <w:rPr/>
        <w:t xml:space="preserve">Yhteiskunnalliset vapaaehtoiset: Maiden välistä yhteisymmärrystä on parannettava. </w:t>
      </w:r>
    </w:p>
    <w:p>
      <w:pPr>
        <w:pStyle w:val="Normal"/>
        <w:widowControl w:val="false"/>
        <w:spacing w:lineRule="auto" w:line="240"/>
        <w:ind w:left="0" w:right="0" w:hanging="0"/>
        <w:jc w:val="left"/>
        <w:rPr/>
      </w:pPr>
      <w:r>
        <w:rPr>
          <w:rFonts w:ascii="Calibri" w:hAnsi="Calibri"/>
          <w:color w:val="000000"/>
          <w:sz w:val="21"/>
        </w:rPr>
        <w:t xml:space="preserve">Zoetermeerin Piëzo-säätiö koostuu vapaaehtoisista, jotka toimivat eri tavoin yhteiskunnallisen osallistumisen alalla. Aihekohtaisen vuoropuhelun osallistujat ilmaisivat huolensa kasvavasta kuilusta Euroopassa. Nämä ovat esimerkiksi maiden näkemyksiä hlbtiq-yhteisöstä. Jos maat eivät ymmärrä omia näkemyksiään, on vaikea tehdä yhteistyötä. ”Tästä syystä on tärkeää tutustua toisiinsa paremmin”, sanoi yksi osallistuja. Tänään emme vain tiedä, mitä ihmiset ajattelevat muissa maissa. Emme ymmärrä riittävästi maidemme kulttuuria ja kontekstia. Tämä on tärkeää, jos haluamme tehdä hyviä päätöksiä yhdessä. </w:t>
      </w:r>
      <w:r>
        <w:br w:type="page"/>
      </w:r>
    </w:p>
    <w:p>
      <w:pPr>
        <w:pStyle w:val="P68B1DB1Normal117"/>
        <w:spacing w:lineRule="auto" w:line="240"/>
        <w:ind w:left="0" w:right="0" w:hanging="0"/>
        <w:rPr>
          <w:rFonts w:ascii="Calibri" w:hAnsi="Calibri"/>
          <w:b/>
          <w:b/>
          <w:i/>
          <w:i/>
          <w:color w:val="000000"/>
          <w:sz w:val="28"/>
        </w:rPr>
      </w:pPr>
      <w:r>
        <w:rPr/>
        <w:t xml:space="preserve">Digitaalinen muutos </w:t>
      </w:r>
    </w:p>
    <w:p>
      <w:pPr>
        <w:pStyle w:val="P68B1DB1Normal104"/>
        <w:widowControl w:val="false"/>
        <w:spacing w:lineRule="auto" w:line="240" w:before="62" w:after="0"/>
        <w:ind w:left="0" w:right="0" w:hanging="0"/>
        <w:jc w:val="left"/>
        <w:rPr/>
      </w:pPr>
      <w:r>
        <w:rPr/>
        <w:t xml:space="preserve">Virtuaalimaailmassa internetyhteyksien, turvallisuuden ja yksityisyyden vaatimukset kasvavat. EU tuntee olevansa tästä vastuussa ja on sitoutunut varmistamaan, että ketään ei jätetä jälkeen digitaaliyhteiskunnassa. Lisäksi EU investoi digitaalisiin ratkaisuihin yhteiskunnallisiin haasteisiin. Mikä on Alankomaiden näkemys tästä? </w:t>
      </w:r>
    </w:p>
    <w:p>
      <w:pPr>
        <w:pStyle w:val="P68B1DB1Normal108"/>
        <w:widowControl w:val="false"/>
        <w:spacing w:lineRule="auto" w:line="240" w:before="57" w:after="0"/>
        <w:ind w:left="0" w:right="0" w:hanging="0"/>
        <w:jc w:val="left"/>
        <w:rPr>
          <w:rFonts w:ascii="Calibri" w:hAnsi="Calibri"/>
          <w:b/>
          <w:b/>
          <w:i/>
          <w:i/>
          <w:color w:val="000000"/>
          <w:sz w:val="24"/>
        </w:rPr>
      </w:pPr>
      <w:r>
        <w:rPr/>
        <w:t xml:space="preserve">Suositukset – virtuaalinen maailmankuvamme </w:t>
      </w:r>
    </w:p>
    <w:p>
      <w:pPr>
        <w:pStyle w:val="P68B1DB1Normal69"/>
        <w:widowControl w:val="false"/>
        <w:spacing w:lineRule="auto" w:line="240" w:before="65" w:after="0"/>
        <w:ind w:left="0" w:right="0" w:hanging="0"/>
        <w:jc w:val="left"/>
        <w:rPr/>
      </w:pPr>
      <w:r>
        <w:rPr/>
        <w:t xml:space="preserve">Hollantilaisista 45 prosenttia katsoo, että virtuaalimaailma on tärkeä aihe ja että EU:n on puututtava asiaan. </w:t>
      </w:r>
    </w:p>
    <w:p>
      <w:pPr>
        <w:pStyle w:val="P68B1DB1Normal111"/>
        <w:widowControl w:val="false"/>
        <w:spacing w:lineRule="auto" w:line="240" w:before="47" w:after="0"/>
        <w:ind w:left="0" w:right="0" w:hanging="0"/>
        <w:jc w:val="left"/>
        <w:rPr>
          <w:rFonts w:ascii="Calibri" w:hAnsi="Calibri"/>
          <w:b/>
          <w:b/>
          <w:color w:val="000000"/>
          <w:sz w:val="22"/>
        </w:rPr>
      </w:pPr>
      <w:r>
        <w:rPr/>
        <w:t xml:space="preserve">1. Nopea, turvallinen ja vakaa internet kaikkialla </w:t>
      </w:r>
    </w:p>
    <w:p>
      <w:pPr>
        <w:pStyle w:val="P68B1DB1Normal104"/>
        <w:widowControl w:val="false"/>
        <w:spacing w:lineRule="auto" w:line="240" w:before="49" w:after="0"/>
        <w:ind w:left="0" w:right="0" w:hanging="0"/>
        <w:jc w:val="left"/>
        <w:rPr/>
      </w:pPr>
      <w:r>
        <w:rPr/>
        <w:t xml:space="preserve">61 prosenttia alankomaalaisista katsoo, että EU:n olisi varmistettava, että kaikilla eurooppalaisilla on mahdollisuus käyttää nopeaa ja vakaata internetiä. Me kaikki näemme, että internetillä on yhä tärkeämpi rooli elämässämme. Lapsemme kasvavat digitaalisen koulutuksen avulla. Kommunikaatio etenee yhä enemmän internetin kautta sekä kansallisesti että kansainvälisesti. Olemme joskus huolissamme Internetin suuresta riippuvuudesta. Monet hollantilaiset katsovat näin ollen, että on parhaat edellytykset osoittaa sille varoja edellyttäen, että niitä käytetään tehokkaasti. Verkkorikollisuuden torjunta on mielestämme tärkein asia, johon on puututtava Euroopan tasolla. Huomiota olisi kuitenkin kiinnitettävä myös Internet-rikollisuuden torjuntaan kansallisella tasolla. </w:t>
      </w:r>
    </w:p>
    <w:p>
      <w:pPr>
        <w:pStyle w:val="P68B1DB1Normal113"/>
        <w:widowControl w:val="false"/>
        <w:spacing w:lineRule="auto" w:line="240" w:before="54" w:after="0"/>
        <w:ind w:left="0" w:right="0" w:hanging="0"/>
        <w:jc w:val="center"/>
        <w:rPr/>
      </w:pPr>
      <w:r>
        <w:rPr/>
        <w:t xml:space="preserve">Ajatus kyberhyökkäyksestä vesiensuojelujärjestelmäämme kohtaan saa minut tuntemaan itseni haavoittuvaksi. </w:t>
      </w:r>
    </w:p>
    <w:p>
      <w:pPr>
        <w:pStyle w:val="P68B1DB1Normal111"/>
        <w:widowControl w:val="false"/>
        <w:spacing w:lineRule="auto" w:line="240" w:before="71" w:after="0"/>
        <w:ind w:left="0" w:right="0" w:hanging="0"/>
        <w:jc w:val="left"/>
        <w:rPr>
          <w:rFonts w:ascii="Calibri" w:hAnsi="Calibri"/>
          <w:b/>
          <w:b/>
          <w:color w:val="000000"/>
          <w:sz w:val="22"/>
        </w:rPr>
      </w:pPr>
      <w:r>
        <w:rPr/>
        <w:t xml:space="preserve">2. Selkeiden sääntöjen ja standardien asettaminen Internet-yrityksille </w:t>
      </w:r>
    </w:p>
    <w:p>
      <w:pPr>
        <w:pStyle w:val="P68B1DB1Normal104"/>
        <w:widowControl w:val="false"/>
        <w:spacing w:lineRule="auto" w:line="240" w:before="49" w:after="0"/>
        <w:ind w:left="0" w:right="0" w:hanging="0"/>
        <w:jc w:val="left"/>
        <w:rPr/>
      </w:pPr>
      <w:r>
        <w:rPr/>
        <w:t xml:space="preserve">Hollantilaisista 75 prosenttia katsoo, että EU:n olisi varmistettava, että verkko-ostokset voidaan tehdä samantasoisesti kaikissa EU-maissa. Me kaikki ostamme yhä enemmän ulkomailta ja jaamme arkaluonteisia henkilötietoja tällä tavalla. Tämä tuntuu joskus vaaralliselta. On vaikea määrittää, mitkä sivustot ovat luotettavia. On hyvä, että EU kehittää eurooppalaisia yksityisyyden suojaa koskevia sääntöjä ja standardeja, jotka kaikki voivat ymmärtää. Suurten Internet-yritysten voima on myös säännöllinen huolenaihe meille. Uskomme, että velvollisuutemme on noudattaa varovaisuutta tietojemme käytössä. Uskomme kuitenkin myös, että voi olla tässä asiassa oma roolinsa. EU-maiden on tehtävä yhteistyötä sen varmistamiseksi, että Googlen ja Facebookin kaltaisilla yrityksillä ei ole liikaa valtaa. </w:t>
      </w:r>
    </w:p>
    <w:p>
      <w:pPr>
        <w:pStyle w:val="P68B1DB1Normal113"/>
        <w:widowControl w:val="false"/>
        <w:spacing w:lineRule="auto" w:line="240" w:before="54" w:after="0"/>
        <w:ind w:left="0" w:right="0" w:hanging="0"/>
        <w:jc w:val="center"/>
        <w:rPr/>
      </w:pPr>
      <w:r>
        <w:rPr/>
        <w:t xml:space="preserve">Facebookin kaltaisen globaalin toimijan edessä olemme suhteellisen köyhiä kuin pieni maa. </w:t>
      </w:r>
    </w:p>
    <w:p>
      <w:pPr>
        <w:pStyle w:val="P68B1DB1Normal111"/>
        <w:widowControl w:val="false"/>
        <w:spacing w:lineRule="auto" w:line="240" w:before="71" w:after="0"/>
        <w:ind w:left="0" w:right="0" w:hanging="0"/>
        <w:jc w:val="left"/>
        <w:rPr/>
      </w:pPr>
      <w:r>
        <w:rPr/>
        <w:t xml:space="preserve">3. Täytäntöönpanon ja käytännön selitysten lisääminen yksityisyyden suojaa koskeviin sääntöihin </w:t>
      </w:r>
    </w:p>
    <w:p>
      <w:pPr>
        <w:pStyle w:val="Normal"/>
        <w:widowControl w:val="false"/>
        <w:spacing w:lineRule="auto" w:line="240" w:before="49" w:after="0"/>
        <w:ind w:left="0" w:right="0" w:hanging="0"/>
        <w:jc w:val="left"/>
        <w:rPr/>
      </w:pPr>
      <w:r>
        <w:rPr/>
        <w:t>Yleisen tietosuoja-asetuksen (GDPR) käyttöönoton</w:t>
      </w:r>
      <w:r>
        <w:rPr>
          <w:rFonts w:ascii="Calibri" w:hAnsi="Calibri"/>
          <w:color w:val="000000"/>
          <w:sz w:val="21"/>
        </w:rPr>
        <w:t xml:space="preserve">myötä hollantilaiset tietävät, että kaikkien maiden on noudatettava samoja tietosuojalakeja ja -määräyksiä. Mielestämme on hyvä, että voimme luottaa siihen, koska yksityisyys on tärkeä asia. Jotkut hollantilaiset kuitenkin katsovat, että yksityisyyssäännöt ovat joskus liioiteltuja tai epäloogisia. Lisäksi tämä lainsäädäntö voi tuottaa paljon työtä yrittäjille. Siksi katsomme, että yksityisyyden suojaa koskevan lainsäädännön käytännön täytäntöönpanoon olisi kiinnitettävä enemmän huomiota: tuki ja tiedotus sekä kansalaisille että yrityksille. Uskomme erityisesti, että jäsenvaltioilla on oma roolinsa. Kansalliset viranomaiset hallinnoivat parhaiten yksityisyyteen liittyviä kysymyksiä omalla kielellämme. </w:t>
      </w:r>
      <w:r>
        <w:br w:type="page"/>
      </w:r>
    </w:p>
    <w:p>
      <w:pPr>
        <w:pStyle w:val="P68B1DB1Normal108"/>
        <w:spacing w:lineRule="auto" w:line="240"/>
        <w:ind w:left="0" w:right="0" w:hanging="0"/>
        <w:rPr>
          <w:rFonts w:ascii="Calibri" w:hAnsi="Calibri"/>
          <w:b/>
          <w:b/>
          <w:i/>
          <w:i/>
          <w:color w:val="000000"/>
          <w:sz w:val="24"/>
        </w:rPr>
      </w:pPr>
      <w:r>
        <w:rPr/>
        <w:t xml:space="preserve">Verkossa ja paikan päällä käytävät keskustelut ja ideat </w:t>
      </w:r>
    </w:p>
    <w:p>
      <w:pPr>
        <w:pStyle w:val="P68B1DB1Normal118"/>
        <w:widowControl w:val="false"/>
        <w:spacing w:lineRule="auto" w:line="240" w:before="120" w:after="0"/>
        <w:ind w:left="0" w:right="889" w:hanging="0"/>
        <w:jc w:val="left"/>
        <w:rPr/>
      </w:pPr>
      <w:r>
        <w:rPr/>
        <w:t xml:space="preserve">IDEA: Asettaa ohjelmoijille ja yrityksille tiukemmat kriteerit kieltämällä vaaralliset ohjelmointikielet. </w:t>
      </w:r>
    </w:p>
    <w:p>
      <w:pPr>
        <w:pStyle w:val="P68B1DB1Normal118"/>
        <w:widowControl w:val="false"/>
        <w:spacing w:lineRule="auto" w:line="240" w:before="87" w:after="0"/>
        <w:ind w:left="0" w:right="0" w:hanging="0"/>
        <w:jc w:val="left"/>
        <w:rPr>
          <w:rFonts w:ascii="Calibri" w:hAnsi="Calibri"/>
          <w:i/>
          <w:i/>
          <w:color w:val="000000"/>
          <w:sz w:val="21"/>
        </w:rPr>
      </w:pPr>
      <w:r>
        <w:rPr/>
        <w:t xml:space="preserve">Ehdota ilmaista eurooppalaista virustorjuntaohjelmistoa eurooppalaisen palomuurin luomiseksi. </w:t>
      </w:r>
    </w:p>
    <w:p>
      <w:pPr>
        <w:pStyle w:val="P68B1DB1Normal118"/>
        <w:widowControl w:val="false"/>
        <w:spacing w:lineRule="auto" w:line="240" w:before="85" w:after="0"/>
        <w:ind w:left="0" w:right="42" w:hanging="0"/>
        <w:jc w:val="left"/>
        <w:rPr/>
      </w:pPr>
      <w:r>
        <w:rPr/>
        <w:t xml:space="preserve">Kun ylitän rajan Saksaan, yhtäkkiä minulla ei ole enää verkkoa matkapuhelimessani. Sen ei pitäisi tapahtua enää, eikö? </w:t>
      </w:r>
    </w:p>
    <w:p>
      <w:pPr>
        <w:pStyle w:val="P68B1DB1Normal118"/>
        <w:widowControl w:val="false"/>
        <w:spacing w:lineRule="auto" w:line="240" w:before="85" w:after="0"/>
        <w:ind w:left="0" w:right="959" w:hanging="0"/>
        <w:jc w:val="left"/>
        <w:rPr/>
      </w:pPr>
      <w:r>
        <w:rPr/>
        <w:t xml:space="preserve">IPhonen avulla voimme seurata kaikkia matkojamme. Meillä on myös oma vastuumme. </w:t>
      </w:r>
    </w:p>
    <w:p>
      <w:pPr>
        <w:pStyle w:val="P68B1DB1Normal118"/>
        <w:widowControl w:val="false"/>
        <w:spacing w:lineRule="auto" w:line="240" w:before="83" w:after="0"/>
        <w:ind w:left="0" w:right="0" w:hanging="0"/>
        <w:jc w:val="left"/>
        <w:rPr/>
      </w:pPr>
      <w:r>
        <w:rPr/>
        <w:t xml:space="preserve">Ei ole kätevää täyttää erityyppistä tietosuojalomaketta kussakin maassa. </w:t>
      </w:r>
    </w:p>
    <w:p>
      <w:pPr>
        <w:pStyle w:val="P68B1DB1Normal118"/>
        <w:widowControl w:val="false"/>
        <w:spacing w:lineRule="auto" w:line="240" w:before="87" w:after="0"/>
        <w:ind w:left="0" w:right="0" w:hanging="0"/>
        <w:jc w:val="left"/>
        <w:rPr>
          <w:rFonts w:ascii="Calibri" w:hAnsi="Calibri"/>
          <w:i/>
          <w:i/>
          <w:color w:val="000000"/>
          <w:sz w:val="21"/>
        </w:rPr>
      </w:pPr>
      <w:r>
        <w:rPr/>
        <w:t xml:space="preserve">IDEA: Meidän pitäisi perustaa eurooppalainen kyberpoliisi. Tämä on selvästi EU:n asia. </w:t>
      </w:r>
    </w:p>
    <w:p>
      <w:pPr>
        <w:pStyle w:val="P68B1DB1Normal111"/>
        <w:widowControl w:val="false"/>
        <w:spacing w:lineRule="auto" w:line="240" w:before="84" w:after="0"/>
        <w:ind w:left="0" w:right="823" w:hanging="0"/>
        <w:jc w:val="left"/>
        <w:rPr/>
      </w:pPr>
      <w:r>
        <w:rPr/>
        <w:t xml:space="preserve">Verkkovuoropuhelun osallistujat: Laadukkaan internetyhteyden saaminen kaikkialla on myös oman etumme mukaista. </w:t>
      </w:r>
    </w:p>
    <w:p>
      <w:pPr>
        <w:pStyle w:val="P68B1DB1Normal104"/>
        <w:widowControl w:val="false"/>
        <w:spacing w:lineRule="auto" w:line="240" w:before="97" w:after="0"/>
        <w:ind w:left="0" w:right="236" w:hanging="0"/>
        <w:jc w:val="left"/>
        <w:rPr/>
      </w:pPr>
      <w:r>
        <w:rPr/>
        <w:t xml:space="preserve">Erään verkkoaiheisen vuoropuhelun aikana syntyi mielenkiintoinen keskustelu EU:n roolista virtuaalimaailmassa. Kaikki osallistujat olivat yhtä mieltä siitä, että on hyvä ja tärkeää saada hyvä internet-yhteys kaikkialla Euroopassa. Mutta onko EU:n asia käsitellä sitä? Useat osallistujat totesivat, että tämä oli ensisijaisesti yksittäisten jäsenvaltioiden tehtävä. Toinen osallistuja korosti, että vakaa ja laadukas internet ulkomailla on myös etu Alankomaille: Ansaitsemme miljardeja dollareita muiden EU-maiden kanssa käytävästä kaupasta. Siksi on etumme mukaista, että nämä maat toimivat hyvin. </w:t>
      </w:r>
    </w:p>
    <w:p>
      <w:pPr>
        <w:pStyle w:val="P68B1DB1Normal111"/>
        <w:widowControl w:val="false"/>
        <w:spacing w:lineRule="auto" w:line="240" w:before="40" w:after="0"/>
        <w:ind w:left="0" w:right="0" w:hanging="0"/>
        <w:jc w:val="left"/>
        <w:rPr>
          <w:rFonts w:ascii="Calibri" w:hAnsi="Calibri"/>
          <w:b/>
          <w:b/>
          <w:color w:val="000000"/>
          <w:sz w:val="22"/>
        </w:rPr>
      </w:pPr>
      <w:r>
        <w:rPr/>
        <w:t xml:space="preserve">Opiskelijat Helmondissa: Samat säännöt ja seuraamukset kyberrikollisille </w:t>
      </w:r>
    </w:p>
    <w:p>
      <w:pPr>
        <w:pStyle w:val="Normal"/>
        <w:widowControl w:val="false"/>
        <w:spacing w:lineRule="auto" w:line="240" w:before="95" w:after="0"/>
        <w:ind w:left="0" w:right="32" w:hanging="0"/>
        <w:jc w:val="left"/>
        <w:rPr/>
      </w:pPr>
      <w:r>
        <w:rPr>
          <w:rFonts w:ascii="Calibri" w:hAnsi="Calibri"/>
          <w:color w:val="000000"/>
          <w:sz w:val="21"/>
        </w:rPr>
        <w:t xml:space="preserve">Tri Knippenberg Collegessa Helmondissa 15 ja 16-vuotiaat opiskelijat keskustelivat Internet-rikollisuuden ongelmasta. He kuulevat uutisia säännöllisesti. Esimerkiksi silloin, kun yrityksessä on tapahtunut tietovuoto. Tai kun maa, kuten Venäjä tai Kiina, yrittää varastaa tietoja. Koska verkkorikolliset työskentelevät usein rajojen yli, heidän mielestään on loogista, että Euroopan maat tekevät yhteistyötä. Tässä yhteydessä he harkitsevat sääntöjen kehittämistä mutta myös seuraamusten määrittelyä. Jos venäläiset kyberpiraatit yrittävät murtautua kodeihimme, EU:n on ryhdyttävä voimakkaisiin toimiin niiden ehkäisemiseksi. </w:t>
      </w:r>
      <w:r>
        <w:br w:type="page"/>
      </w:r>
    </w:p>
    <w:p>
      <w:pPr>
        <w:pStyle w:val="P68B1DB1Normal117"/>
        <w:spacing w:lineRule="auto" w:line="240"/>
        <w:ind w:left="0" w:right="0" w:hanging="0"/>
        <w:rPr>
          <w:rFonts w:ascii="Calibri" w:hAnsi="Calibri"/>
          <w:b/>
          <w:b/>
          <w:i/>
          <w:i/>
          <w:color w:val="000000"/>
          <w:sz w:val="28"/>
        </w:rPr>
      </w:pPr>
      <w:r>
        <w:rPr/>
        <w:t xml:space="preserve">Koulutus, kulttuuri, nuoriso ja urheilu </w:t>
      </w:r>
    </w:p>
    <w:p>
      <w:pPr>
        <w:pStyle w:val="P68B1DB1Normal104"/>
        <w:widowControl w:val="false"/>
        <w:spacing w:lineRule="auto" w:line="240" w:before="93" w:after="0"/>
        <w:ind w:left="0" w:right="0" w:hanging="0"/>
        <w:jc w:val="left"/>
        <w:rPr/>
      </w:pPr>
      <w:r>
        <w:rPr/>
        <w:t xml:space="preserve">EU-maat vastaavat suoraan koulutuksesta, kulttuurista, nuorisosta ja urheilusta. EU voi ja haluaisi auttaa niitä tässä asiassa esimerkiksi edistämällä laadukasta koulutusta, monikielisyyttä, kulttuuriperinnön suojelua sekä tukea kulttuuri- ja urheilusektoreille. Mikä on Alankomaiden näkemys tästä? </w:t>
      </w:r>
    </w:p>
    <w:p>
      <w:pPr>
        <w:pStyle w:val="P68B1DB1Normal108"/>
        <w:widowControl w:val="false"/>
        <w:spacing w:lineRule="auto" w:line="240" w:before="90" w:after="0"/>
        <w:ind w:left="0" w:right="0" w:hanging="0"/>
        <w:jc w:val="left"/>
        <w:rPr>
          <w:rFonts w:ascii="Calibri" w:hAnsi="Calibri"/>
          <w:b/>
          <w:b/>
          <w:i/>
          <w:i/>
          <w:color w:val="000000"/>
          <w:sz w:val="24"/>
        </w:rPr>
      </w:pPr>
      <w:r>
        <w:rPr/>
        <w:t xml:space="preserve">Suositukset – Visio koulutuksesta, kulttuurista, nuorisosta ja urheilusta </w:t>
      </w:r>
    </w:p>
    <w:p>
      <w:pPr>
        <w:pStyle w:val="P68B1DB1Normal69"/>
        <w:widowControl w:val="false"/>
        <w:spacing w:lineRule="auto" w:line="240" w:before="123" w:after="0"/>
        <w:ind w:left="0" w:right="0" w:hanging="0"/>
        <w:jc w:val="left"/>
        <w:rPr/>
      </w:pPr>
      <w:r>
        <w:rPr/>
        <w:t xml:space="preserve">Hollantilaisista 45 prosenttia katsoo, että koulutus on tärkeä asia ja että EU:n on puututtava asiaan. Nuorten, kulttuurin ja urheilun osalta luku on 39 prosenttia, 23 prosenttia ja 19 prosenttia. </w:t>
      </w:r>
    </w:p>
    <w:p>
      <w:pPr>
        <w:pStyle w:val="P68B1DB1Normal69"/>
        <w:widowControl w:val="false"/>
        <w:spacing w:lineRule="auto" w:line="240"/>
        <w:ind w:left="0" w:right="0" w:hanging="0"/>
        <w:jc w:val="left"/>
        <w:rPr>
          <w:rFonts w:ascii="Calibri" w:hAnsi="Calibri"/>
          <w:b/>
          <w:b/>
          <w:color w:val="000000"/>
          <w:sz w:val="20"/>
        </w:rPr>
      </w:pPr>
      <w:r>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t xml:space="preserve">1. Oppilaiden kannustaminen opiskelemaan ulkomailla älykkäästi </w:t>
      </w:r>
    </w:p>
    <w:p>
      <w:pPr>
        <w:pStyle w:val="P68B1DB1Normal104"/>
        <w:widowControl w:val="false"/>
        <w:spacing w:lineRule="auto" w:line="240"/>
        <w:ind w:left="0" w:right="0" w:hanging="0"/>
        <w:jc w:val="left"/>
        <w:rPr/>
      </w:pPr>
      <w:r>
        <w:rPr/>
        <w:t xml:space="preserve">Monet hollantilaiset uskovat, että ulkomailla opiskelulla on myönteinen vaikutus nuoriin. Tämä edistää henkilökohtaista kehitystä. Lisäksi ulkomailla opiskelu voi auttaa eurooppalaisia ymmärtämään toisiaan paremmin. Se voi myös edistää integraation parantamista. Monet alankomaalaiset pitävät siksi myönteisenä sitä, että on olemassa Erasmus-ohjelma, joka kannustaa opiskelemaan ulkomailla. Olemme kuitenkin sitä mieltä, että EU:n olisi jatkossakin käsiteltävä tätä kysymystä kriittisesti. Käytännössä esimerkiksi näyttää siltä, ​​että kansainväliset opiskelijat pysyvät enimmäkseen toistensa kanssa eivätkä aina opi paljon maasta, jossa he ovat. EU:n on myös estettävä heikomman tietotason maita ”tyhjentämästä”, koska kaikki lahjakkaat opiskelevat ulkomailla. </w:t>
      </w:r>
    </w:p>
    <w:p>
      <w:pPr>
        <w:pStyle w:val="P68B1DB1Normal113"/>
        <w:widowControl w:val="false"/>
        <w:spacing w:lineRule="auto" w:line="240" w:before="167" w:after="0"/>
        <w:ind w:left="0" w:right="0" w:hanging="0"/>
        <w:jc w:val="center"/>
        <w:rPr/>
      </w:pPr>
      <w:r>
        <w:rPr/>
        <w:t>”</w:t>
      </w:r>
      <w:r>
        <w:rPr/>
        <w:t xml:space="preserve">Kehittää vaihto-ohjelmia myös ammatillisen keskiasteen koulutuksen tasolla.” </w:t>
      </w:r>
    </w:p>
    <w:p>
      <w:pPr>
        <w:pStyle w:val="Normal"/>
        <w:widowControl w:val="false"/>
        <w:spacing w:lineRule="auto" w:line="240" w:before="136" w:after="0"/>
        <w:ind w:left="0" w:right="0" w:hanging="0"/>
        <w:jc w:val="left"/>
        <w:rPr/>
      </w:pPr>
      <w:r>
        <w:rPr>
          <w:rFonts w:ascii="Calibri" w:hAnsi="Calibri"/>
          <w:b/>
          <w:color w:val="000000"/>
        </w:rPr>
        <w:t>2. Annetaan jäsenvaltioille mahdollisuus keskittyä esimerkiksi kulttuuriin ja urheiluun.</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58 prosenttia hollantilaisista katsoo, että EU:n olisi suojeltava paremmin kulttuuriperintöä Euroopassa. Ajattelemme esimerkiksi Kreikan temppeleitä. Toisaalta huomaamme, että paikallinen kulttuuri on ensisijaisesti maiden itsensä vastuulla. Sama koskee esimerkiksi urheilun väärinkäyttöä. Pidämme tätä tärkeänä asiana, mutta ei EU:n päätehtävänä. EU:n on välttämättä asetettava painopisteet, ja muihin kysymyksiin tarvitaan huomattavia taloudellisia resursseja. Joskus voimme antaa taloudellista tukea, mutta joskus voimme tehdä yhteistyötä myös muilla tavoilla, esimerkiksi vaihtamalla tietoa ja ideoita. </w:t>
      </w:r>
    </w:p>
    <w:p>
      <w:pPr>
        <w:pStyle w:val="P68B1DB1Normal113"/>
        <w:widowControl w:val="false"/>
        <w:spacing w:lineRule="auto" w:line="240" w:before="167" w:after="0"/>
        <w:ind w:left="0" w:right="0" w:hanging="0"/>
        <w:jc w:val="center"/>
        <w:rPr/>
      </w:pPr>
      <w:r>
        <w:rPr/>
        <w:t xml:space="preserve">Kulttuurin suojelu kuuluu valtioille itselleen. Mutta jos maailmanperintöä laiminlyödään, EU:n on mielestäni puututtava asiaan.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Varmistetaan, että eurooppalaiset tuntevat toisensa paremmin ja kunnioittavat toisiaan </w:t>
      </w:r>
    </w:p>
    <w:p>
      <w:pPr>
        <w:pStyle w:val="P68B1DB1Normal104"/>
        <w:widowControl w:val="false"/>
        <w:spacing w:lineRule="auto" w:line="240"/>
        <w:ind w:left="0" w:right="0" w:hanging="0"/>
        <w:jc w:val="left"/>
        <w:rPr/>
      </w:pPr>
      <w:r>
        <w:rPr/>
        <w:t xml:space="preserve">Hollantilaiset arvostavat sitä, kun muut eurooppalaiset puhuvat englantia hyvin. Se yksinkertaistaa asioita, kun olemme ulkomailla. Ja kun haluamme esimerkiksi kommunikoida Alankomaiden siirtotyöläisten kanssa. Samalla monet hollantilaiset pitävät erittäin tärkeänä, että puhumme edelleen ja arvostamme omaa kieltämme. Siksi haluamme, että myös muita Euroopan sisäisiä eroja kunnioitetaan. Riippumatta siitä, onko kyse kulttuurista, koulutuksesta tai urheilusta, jokaisen ihmisen on oltava vapaa ja voitava olla oma itsensä. Erot voivat joskus aiheuttaa jännitteitä, mutta ne tekevät myös Euroopan mantereesta rikkaan. Monet hollantilaiset ovat sitä mieltä, että maille pitäisi antaa aikaa tutustua omiin tottumuksiinsa ja ajatuksiinsa. </w:t>
      </w:r>
    </w:p>
    <w:p>
      <w:pPr>
        <w:pStyle w:val="P68B1DB1Normal113"/>
        <w:widowControl w:val="false"/>
        <w:spacing w:lineRule="auto" w:line="240" w:before="167" w:after="0"/>
        <w:ind w:left="0" w:right="0" w:hanging="0"/>
        <w:jc w:val="center"/>
        <w:rPr/>
      </w:pPr>
      <w:r>
        <w:rPr/>
        <w:t xml:space="preserve">EU on minulle kuin ryhmä ystäviä. Kunnioitamme erimielisyyksiämme ja voin pyytää apua, jos tarvitsen niitä. </w:t>
      </w:r>
    </w:p>
    <w:p>
      <w:pPr>
        <w:pStyle w:val="P68B1DB1Normal108"/>
        <w:widowControl w:val="false"/>
        <w:spacing w:lineRule="auto" w:line="240" w:before="135" w:after="0"/>
        <w:ind w:left="0" w:right="0" w:hanging="0"/>
        <w:jc w:val="left"/>
        <w:rPr>
          <w:rFonts w:ascii="Calibri" w:hAnsi="Calibri"/>
          <w:b/>
          <w:b/>
          <w:i/>
          <w:i/>
          <w:color w:val="000000"/>
          <w:sz w:val="24"/>
        </w:rPr>
      </w:pPr>
      <w:r>
        <w:rPr/>
        <w:t xml:space="preserve">Verkossa ja paikan päällä käytävät keskustelut ja ideat </w:t>
      </w:r>
    </w:p>
    <w:p>
      <w:pPr>
        <w:pStyle w:val="P68B1DB1Normal118"/>
        <w:widowControl w:val="false"/>
        <w:spacing w:lineRule="auto" w:line="240" w:before="120" w:after="0"/>
        <w:ind w:left="0" w:right="0" w:hanging="0"/>
        <w:jc w:val="left"/>
        <w:rPr/>
      </w:pPr>
      <w:r>
        <w:rPr/>
        <w:t xml:space="preserve">IDEA: Paikallisen opetussuunnitelman lisäksi olisi otettava käyttöön yhteinen eurooppalainen opetussuunnitelma kaikilla koulutusasteilla. </w:t>
      </w:r>
    </w:p>
    <w:p>
      <w:pPr>
        <w:pStyle w:val="P68B1DB1Normal118"/>
        <w:widowControl w:val="false"/>
        <w:spacing w:lineRule="auto" w:line="240" w:before="254" w:after="0"/>
        <w:ind w:left="0" w:right="0" w:hanging="0"/>
        <w:jc w:val="left"/>
        <w:rPr>
          <w:rFonts w:ascii="Calibri" w:hAnsi="Calibri"/>
          <w:i/>
          <w:i/>
          <w:color w:val="000000"/>
          <w:sz w:val="21"/>
        </w:rPr>
      </w:pPr>
      <w:r>
        <w:rPr/>
        <w:t xml:space="preserve">IDEA: Kulttuuripääkaupungin lisäksi sinun tulisi myös valita vuosittain pääkaupunki (tai maa) koulutuksen, nuorison ja urheilun alalla. </w:t>
      </w:r>
    </w:p>
    <w:p>
      <w:pPr>
        <w:pStyle w:val="P68B1DB1Normal118"/>
        <w:widowControl w:val="false"/>
        <w:spacing w:lineRule="auto" w:line="240" w:before="85" w:after="0"/>
        <w:ind w:left="0" w:right="0" w:hanging="0"/>
        <w:jc w:val="left"/>
        <w:rPr/>
      </w:pPr>
      <w:r>
        <w:rPr/>
        <w:t xml:space="preserve">Meitä yhdistää juuri se, että meillä kaikilla on oma kansallinen kulttuurimme. Ja siksi ei voida kokoontua yhden kulttuurin lipun alle. </w:t>
      </w:r>
    </w:p>
    <w:p>
      <w:pPr>
        <w:pStyle w:val="P68B1DB1Normal118"/>
        <w:widowControl w:val="false"/>
        <w:spacing w:lineRule="auto" w:line="240" w:before="87" w:after="0"/>
        <w:ind w:left="0" w:right="0" w:hanging="0"/>
        <w:jc w:val="left"/>
        <w:rPr>
          <w:rFonts w:ascii="Calibri" w:hAnsi="Calibri"/>
          <w:i/>
          <w:i/>
          <w:color w:val="000000"/>
          <w:sz w:val="21"/>
        </w:rPr>
      </w:pPr>
      <w:r>
        <w:rPr/>
        <w:t xml:space="preserve">Kielteisten asioiden korostamisen sijaan on parempi yrittää edistää urheilua. </w:t>
      </w:r>
    </w:p>
    <w:p>
      <w:pPr>
        <w:pStyle w:val="P68B1DB1Normal118"/>
        <w:widowControl w:val="false"/>
        <w:spacing w:lineRule="auto" w:line="240" w:before="85" w:after="0"/>
        <w:ind w:left="0" w:right="0" w:hanging="0"/>
        <w:jc w:val="left"/>
        <w:rPr/>
      </w:pPr>
      <w:r>
        <w:rPr/>
        <w:t xml:space="preserve">Olen integroitunut tähän, maksan veroja, mutta olen ja pysyn latinalaisamerikkalainen. Rakastan kieltäni, musiikkiani ja ruokaani. Kyse ei ole Euroopasta. </w:t>
      </w:r>
    </w:p>
    <w:p>
      <w:pPr>
        <w:pStyle w:val="P68B1DB1Normal118"/>
        <w:widowControl w:val="false"/>
        <w:spacing w:lineRule="auto" w:line="240" w:before="87" w:after="0"/>
        <w:ind w:left="0" w:right="0" w:hanging="0"/>
        <w:jc w:val="left"/>
        <w:rPr>
          <w:rFonts w:ascii="Calibri" w:hAnsi="Calibri"/>
          <w:i/>
          <w:i/>
          <w:color w:val="000000"/>
          <w:sz w:val="21"/>
        </w:rPr>
      </w:pPr>
      <w:r>
        <w:rPr/>
        <w:t xml:space="preserve">Puhumme liikaa Euroopan taloudesta. Liian vähän hyvinvointia. </w:t>
      </w:r>
    </w:p>
    <w:p>
      <w:pPr>
        <w:pStyle w:val="P68B1DB1Normal111"/>
        <w:widowControl w:val="false"/>
        <w:spacing w:lineRule="auto" w:line="240" w:before="84" w:after="0"/>
        <w:ind w:left="0" w:right="0" w:hanging="0"/>
        <w:jc w:val="left"/>
        <w:rPr>
          <w:rFonts w:ascii="Calibri" w:hAnsi="Calibri"/>
          <w:b/>
          <w:b/>
          <w:color w:val="000000"/>
          <w:sz w:val="22"/>
        </w:rPr>
      </w:pPr>
      <w:r>
        <w:rPr/>
        <w:t xml:space="preserve">Leidenin yliopiston opiskelijat: Kieli on tärkeä, mutta sen on pysyttävä vapaana. </w:t>
      </w:r>
    </w:p>
    <w:p>
      <w:pPr>
        <w:pStyle w:val="P68B1DB1Normal104"/>
        <w:widowControl w:val="false"/>
        <w:spacing w:lineRule="auto" w:line="240" w:before="100" w:after="0"/>
        <w:ind w:left="0" w:right="0" w:hanging="0"/>
        <w:jc w:val="left"/>
        <w:rPr/>
      </w:pPr>
      <w:r>
        <w:rPr/>
        <w:t xml:space="preserve">Leidenin yliopistossa historian opiskelijat keskustelivat keskenään. Heidän mielestään on tärkeää, että ihmiset puhuvat useita kieliä. He uskovat, että useiden kielten hallitseminen on hienoa sen henkilökohtaisen kehityksen ja EU:n sisäisten kauppa- ja poliittisten suhteiden kannalta. He kuitenkin katsovat, että kieliä olisi tarjottava koulussa eikä niistä pitäisi tehdä pakollisia. He uskovat myös, että toisen kielen ei välttämättä tarvitse olla eurooppalainen kieli. ”Jos asut Itä-Euroopassa ja päätät oppia venäjää, se on sinun oikeutesi”, sanoi yksi osallistujista. </w:t>
      </w:r>
    </w:p>
    <w:p>
      <w:pPr>
        <w:pStyle w:val="P68B1DB1Normal110"/>
        <w:widowControl w:val="false"/>
        <w:spacing w:lineRule="auto" w:line="240" w:before="223" w:after="0"/>
        <w:ind w:left="0" w:right="0" w:hanging="0"/>
        <w:jc w:val="left"/>
        <w:rPr/>
      </w:pPr>
      <w:r>
        <w:rPr>
          <w:b/>
        </w:rPr>
        <w:t>Schiedamin turkkilainen yhteisö: Schiedamin Hakder</w:t>
      </w:r>
      <w:r>
        <w:rPr>
          <w:sz w:val="21"/>
        </w:rPr>
        <w:t xml:space="preserve">-säätiössä paikallinen turkkilainen yhteisö keskusteli oikeudenmukaisten työllistymismahdollisuuksien merkityksestä kaikille. Kaikki osallistujat olivat yhtä mieltä siitä, että EU:n olisi velvoitettava yritykset tarjoamaan harjoittelupaikkoja tai työpaikkoja nuorille, joilla on rajalliset mahdollisuudet. He totesivat, että erityisesti nuorten maahanmuuttajien on vaikea löytää työharjoittelua tai työtä. Joskus he eivät edes uskalla mennä GP: lle, koska he pelkäävät, että he joutuvat maksamaan vierailusta itse. Puhumattakaan rohkeudesta hakea harjoittelua tai työpaikkaa”, sanoi yksi osallistujista. ”Yritysten on oltava tarkkaavaisempia, ja EU voi kannustaa niitä tekemään niin.”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Kuvaus tutkimuksessa käytetyistä menetelmistä</w:t>
      </w:r>
      <w:r>
        <w:rPr>
          <w:color w:val="365F91"/>
        </w:rPr>
        <w:t xml:space="preserve"> </w:t>
      </w:r>
    </w:p>
    <w:p>
      <w:pPr>
        <w:pStyle w:val="P68B1DB1Normal104"/>
        <w:widowControl w:val="false"/>
        <w:spacing w:lineRule="auto" w:line="240" w:before="137" w:after="0"/>
        <w:ind w:left="0" w:right="0" w:hanging="0"/>
        <w:jc w:val="left"/>
        <w:rPr/>
      </w:pPr>
      <w:r>
        <w:rPr/>
        <w:t xml:space="preserve">Kysely ”Vision of Europe” koostuu erilaisista asiaan liittyvistä vuoropuheluista, joiden tarkoituksena on kerätä Alankomaiden kansalaisten näkemyksiä ja ajatuksia Euroopan ja EU:n tulevaisuudesta. Tässä luvussa kuvataan menetelmät, joilla varmistetaan, että asiaan liittyvät vuoropuhelun muodot ovat Euroopan tulevaisuutta käsittelevän konferenssin yhteydessä kansallisten kansalaispaneelien suuntaviivojen mukaisia. </w:t>
      </w:r>
    </w:p>
    <w:p>
      <w:pPr>
        <w:pStyle w:val="P68B1DB1Normal110"/>
        <w:widowControl w:val="false"/>
        <w:spacing w:lineRule="auto" w:line="240" w:before="236" w:after="0"/>
        <w:ind w:left="0" w:right="0" w:hanging="0"/>
        <w:jc w:val="both"/>
        <w:rPr/>
      </w:pPr>
      <w:r>
        <w:rPr>
          <w:b/>
          <w:i/>
          <w:sz w:val="24"/>
        </w:rPr>
        <w:t xml:space="preserve">Vuoropuheluun liittyvien muotojen suunnittelu Käytetään </w:t>
      </w:r>
      <w:r>
        <w:rPr>
          <w:sz w:val="21"/>
        </w:rPr>
        <w:t xml:space="preserve">seuraavia vuoropuhelun muotoja: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Paneelin kysely</w:t>
      </w:r>
    </w:p>
    <w:p>
      <w:pPr>
        <w:pStyle w:val="P68B1DB1Normal104"/>
        <w:widowControl w:val="false"/>
        <w:spacing w:lineRule="auto" w:line="240"/>
        <w:ind w:left="0" w:right="0" w:hanging="0"/>
        <w:jc w:val="left"/>
        <w:rPr>
          <w:rFonts w:ascii="Calibri" w:hAnsi="Calibri"/>
          <w:color w:val="000000"/>
          <w:sz w:val="21"/>
        </w:rPr>
      </w:pPr>
      <w:r>
        <w:rPr/>
        <w:t xml:space="preserve">Tutkimus edustavasta otoksesta Alankomaiden väestöstä.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Verkossa käytävät aihekohtaiset vuoropuhelut syventämiseksi</w:t>
      </w:r>
    </w:p>
    <w:p>
      <w:pPr>
        <w:pStyle w:val="P68B1DB1Normal104"/>
        <w:widowControl w:val="false"/>
        <w:spacing w:lineRule="auto" w:line="240"/>
        <w:ind w:left="0" w:right="0" w:hanging="0"/>
        <w:jc w:val="left"/>
        <w:rPr/>
      </w:pPr>
      <w:r>
        <w:rPr/>
        <w:t xml:space="preserve">Hollantilaisen ryhmän kanssa järjestettiin joka kerta vuoropuheluja, joiden tarkoituksena oli syventää ensimmäisen väliraportin ”Our Vision for Europe” (8. lokakuuta 2021) päätelmiä ja antaa alustava katsaus tuloksiin ja täydentäviin kysymyksiin.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Vuoropuhelu tiettyjen ryhmien kanssa</w:t>
      </w:r>
    </w:p>
    <w:p>
      <w:pPr>
        <w:pStyle w:val="P68B1DB1Normal104"/>
        <w:widowControl w:val="false"/>
        <w:spacing w:lineRule="auto" w:line="240"/>
        <w:ind w:left="0" w:right="0" w:hanging="0"/>
        <w:jc w:val="left"/>
        <w:rPr>
          <w:rFonts w:ascii="Calibri" w:hAnsi="Calibri"/>
          <w:color w:val="000000"/>
          <w:sz w:val="21"/>
        </w:rPr>
      </w:pPr>
      <w:r>
        <w:rPr/>
        <w:t xml:space="preserve">Tapaamiset hollantilaisten kanssa, jotka eivät ole tottuneet osallistumaan kyselyihin ja paneeleihin (online).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Vuoropuhelu nuorten kanssa</w:t>
      </w:r>
    </w:p>
    <w:p>
      <w:pPr>
        <w:pStyle w:val="P68B1DB1Normal104"/>
        <w:widowControl w:val="false"/>
        <w:spacing w:lineRule="auto" w:line="240"/>
        <w:ind w:left="0" w:right="0" w:hanging="0"/>
        <w:jc w:val="left"/>
        <w:rPr>
          <w:rFonts w:ascii="Calibri" w:hAnsi="Calibri"/>
          <w:color w:val="000000"/>
          <w:sz w:val="21"/>
        </w:rPr>
      </w:pPr>
      <w:r>
        <w:rPr/>
        <w:t xml:space="preserve">Kokoukset, joissa keskitytään nuorille tärkeimpiin eurooppalaisiin teemoihin.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Julkinen</w:t>
      </w:r>
      <w:r>
        <w:rPr>
          <w:rFonts w:ascii="Calibri" w:hAnsi="Calibri"/>
          <w:b/>
          <w:color w:val="000000"/>
          <w:sz w:val="21"/>
        </w:rPr>
        <w:t>verkkokysely: Kyselylomake ja ”Swipen naar de toekomst”</w:t>
      </w:r>
      <w:commentRangeStart w:id="25"/>
      <w:r>
        <w:rPr>
          <w:rFonts w:ascii="Calibri" w:hAnsi="Calibri"/>
          <w:b/>
          <w:color w:val="000000"/>
          <w:sz w:val="21"/>
        </w:rPr>
        <w:t xml:space="preserve">( </w:t>
      </w:r>
      <w:r>
        <w:rPr>
          <w:rFonts w:ascii="Calibri" w:hAnsi="Calibri"/>
          <w:b/>
          <w:color w:val="000000"/>
          <w:sz w:val="21"/>
        </w:rPr>
      </w:r>
      <w:commentRangeEnd w:id="25"/>
      <w:r>
        <w:commentReference w:id="25"/>
      </w:r>
      <w:r>
        <w:rPr>
          <w:rFonts w:ascii="Calibri" w:hAnsi="Calibri"/>
          <w:b/>
          <w:color w:val="000000"/>
          <w:sz w:val="21"/>
        </w:rPr>
        <w:t xml:space="preserve">Swiper to future) </w:t>
      </w:r>
    </w:p>
    <w:p>
      <w:pPr>
        <w:pStyle w:val="P68B1DB1Normal104"/>
        <w:widowControl w:val="false"/>
        <w:spacing w:lineRule="auto" w:line="240"/>
        <w:ind w:left="0" w:right="0" w:hanging="0"/>
        <w:jc w:val="left"/>
        <w:rPr/>
      </w:pPr>
      <w:r>
        <w:rPr/>
        <w:t xml:space="preserve">Myös kaikki alankomaalaiset, myös ulkomailla asuvat, voisivat täyttää paneelikyselyn. Kyselylomake oli saatavilla 1. syyskuuta 2021–14. marraskuuta 2021. Lisäksi samalla ajanjaksolla jokainen hollantilainen pystyi osallistumaan toimeen ”Swipen naar de toekomst” (Swiper toekomst), joka on verkkotyökalu, jossa esitetään 20 vaatetta. </w:t>
      </w:r>
    </w:p>
    <w:p>
      <w:pPr>
        <w:pStyle w:val="P68B1DB1Normal108"/>
        <w:widowControl w:val="false"/>
        <w:spacing w:lineRule="auto" w:line="240" w:before="229" w:after="0"/>
        <w:ind w:left="0" w:right="0" w:hanging="0"/>
        <w:jc w:val="left"/>
        <w:rPr>
          <w:rFonts w:ascii="Calibri" w:hAnsi="Calibri"/>
          <w:b/>
          <w:b/>
          <w:i/>
          <w:i/>
          <w:color w:val="000000"/>
          <w:sz w:val="24"/>
        </w:rPr>
      </w:pPr>
      <w:r>
        <w:rPr/>
        <w:t xml:space="preserve">1. Paneelin kysely </w:t>
      </w:r>
    </w:p>
    <w:p>
      <w:pPr>
        <w:pStyle w:val="P68B1DB1Normal104"/>
        <w:widowControl w:val="false"/>
        <w:spacing w:lineRule="auto" w:line="240" w:before="118" w:after="0"/>
        <w:ind w:left="0" w:right="0" w:hanging="0"/>
        <w:jc w:val="left"/>
        <w:rPr/>
      </w:pPr>
      <w:r>
        <w:rPr/>
        <w:t xml:space="preserve">Alankomaiden kansalaiskeskustelu ”Vision of Europe” alkoi 1. syyskuuta paneelikyselyllä. Tässä tutkimusmenetelmän kuvauksessa kerromme lyhyesti kyselyn suunnittelusta ja toteutuksesta paneelille. </w:t>
      </w:r>
    </w:p>
    <w:p>
      <w:pPr>
        <w:pStyle w:val="P68B1DB1Normal107"/>
        <w:widowControl w:val="false"/>
        <w:spacing w:lineRule="auto" w:line="240" w:before="43" w:after="0"/>
        <w:ind w:left="0" w:right="0" w:hanging="0"/>
        <w:jc w:val="left"/>
        <w:rPr>
          <w:rFonts w:ascii="Calibri" w:hAnsi="Calibri"/>
          <w:i/>
          <w:i/>
          <w:color w:val="000000"/>
          <w:sz w:val="24"/>
        </w:rPr>
      </w:pPr>
      <w:r>
        <w:rPr/>
        <w:t xml:space="preserve">Kohde- ja kohdeväestö </w:t>
      </w:r>
    </w:p>
    <w:p>
      <w:pPr>
        <w:pStyle w:val="Normal"/>
        <w:widowControl w:val="false"/>
        <w:spacing w:lineRule="auto" w:line="240" w:before="123" w:after="0"/>
        <w:ind w:left="0" w:right="0" w:hanging="0"/>
        <w:jc w:val="left"/>
        <w:rPr/>
      </w:pPr>
      <w:r>
        <w:rPr>
          <w:rFonts w:ascii="Calibri" w:hAnsi="Calibri"/>
          <w:color w:val="000000"/>
          <w:sz w:val="21"/>
        </w:rPr>
        <w:t>Tutkimus ”Vision of Europe” alkoi verkkokyselyllä siitä, miten alankomaalaiset näkevät Euroopan tulevaisuuden. Kyselylomake on toimitettu edustavalle paneelille, ja se on avoin kaikille alankomaalaisille (myös ulkomailla asuville). Lisäksi jokainen henkilö pystyi osallistumaan toimeen ”Swipen naar de toekomst”</w:t>
      </w:r>
      <w:commentRangeStart w:id="26"/>
      <w:r>
        <w:rPr>
          <w:rFonts w:ascii="Calibri" w:hAnsi="Calibri"/>
          <w:color w:val="000000"/>
          <w:sz w:val="21"/>
        </w:rPr>
        <w:t>(Swiper</w:t>
      </w:r>
      <w:r>
        <w:rPr>
          <w:rFonts w:ascii="Calibri" w:hAnsi="Calibri"/>
          <w:color w:val="000000"/>
          <w:sz w:val="21"/>
        </w:rPr>
      </w:r>
      <w:commentRangeEnd w:id="26"/>
      <w:r>
        <w:commentReference w:id="26"/>
      </w:r>
      <w:r>
        <w:rPr>
          <w:rFonts w:ascii="Calibri" w:hAnsi="Calibri"/>
          <w:color w:val="000000"/>
          <w:sz w:val="21"/>
        </w:rPr>
        <w:t xml:space="preserve"> toekomst), verkkotyökalu, joka esittelee 20 vaatetta. Paneelikyselyn tulokset hyödynsivät useita aihekohtaisia vuoropuheluja, jotka järjestettiin kansalaisvuoropuheluprosessin jatkotoimena.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Paneelitutkimuksen kohdeväestöön kuuluvat kaikki 18-vuotiaat tai sitä vanhemmat hollantilaiset, jotka olivat kenttätyön alkaessa väestörekisteriin rekisteröityneitä. Alankomaiden kansallisen tilastoviraston (Centraal Bureau voor de Statistiek – CBS) mukaan tähän kohderyhmään oli 1. tammikuuta 2021 mennessä 14 190 874 henkilöä. 18 vuoden alaraja vastaa vaalienemmistöä. Kutsumme sitä paneelitutkimuksen väestöksi.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rFonts w:ascii="Calibri" w:hAnsi="Calibri"/>
          <w:i/>
          <w:i/>
          <w:color w:val="000000"/>
          <w:sz w:val="24"/>
        </w:rPr>
      </w:pPr>
      <w:r>
        <w:rPr/>
        <w:t xml:space="preserve">Kenttätyöskentely </w:t>
      </w:r>
    </w:p>
    <w:p>
      <w:pPr>
        <w:pStyle w:val="P68B1DB1Normal104"/>
        <w:widowControl w:val="false"/>
        <w:spacing w:lineRule="auto" w:line="240" w:before="127" w:after="0"/>
        <w:ind w:left="0" w:right="0" w:hanging="0"/>
        <w:jc w:val="left"/>
        <w:rPr/>
      </w:pPr>
      <w:r>
        <w:rPr/>
        <w:t xml:space="preserve">Paneelissa oli yli 100 000 osallistujaa eri puolilta maata (ISO-sertifioitu, Research Keurmerk groep, Nederlandse marktonderzoek Associatie) digitaalisen kuvan saamiseksi ”Medium Dutch”. Nämä osallistujat ilmoittautuivat kyselypaneeliin esittämään näkemyksiään useista aiheista säännöllisesti. Sen lisäksi, että he ovat luontevasti motivoituneita osallistumaan kyselyyn, heille maksetaan myös kyselyihin vastaamisesta. Useat tieteelliset tutkimukset osoittavat, että vastaajat, jotka saavat korvausta kyselylomakkeen täyttämisestä, eivät anna merkittävästi erilaisia vastauksia (lähde: Heikentääkö tutkimuskannustimien käyttö tietojen laatua?Cole,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Kenttätyö alkoi 11. elokuuta 2021 ja päättyi 19. syyskuuta 2021. Toteutuksessa käytettiin vain yhtä tiedonkeruumenetelmää eli Internet-kyselyä. Kyselypaneelin jäsenet saivat sähköpostitse henkilökohtaisen linkin verkkokyselyyn. Kahden viikon kuluttua paneelin osallistujat saivat muistutuksen. Osallistumiskutsut lähetettiin erissä ja ositettiin (varmistamalla alaryhmien tasapuolinen jakautuminen), kunnes vaadittu määrä vastaajia on saavutettu. </w:t>
      </w:r>
    </w:p>
    <w:p>
      <w:pPr>
        <w:pStyle w:val="P68B1DB1Normal107"/>
        <w:widowControl w:val="false"/>
        <w:spacing w:lineRule="auto" w:line="240" w:before="42" w:after="0"/>
        <w:ind w:left="0" w:right="0" w:hanging="0"/>
        <w:jc w:val="left"/>
        <w:rPr>
          <w:rFonts w:ascii="Calibri" w:hAnsi="Calibri"/>
          <w:i/>
          <w:i/>
          <w:color w:val="000000"/>
          <w:sz w:val="24"/>
        </w:rPr>
      </w:pPr>
      <w:r>
        <w:rPr/>
        <w:t xml:space="preserve">Näytteenotto ja jakelu </w:t>
      </w:r>
    </w:p>
    <w:p>
      <w:pPr>
        <w:pStyle w:val="P68B1DB1Normal104"/>
        <w:widowControl w:val="false"/>
        <w:spacing w:lineRule="auto" w:line="240" w:before="123" w:after="0"/>
        <w:ind w:left="0" w:right="0" w:hanging="0"/>
        <w:jc w:val="left"/>
        <w:rPr/>
      </w:pPr>
      <w:r>
        <w:rPr/>
        <w:t xml:space="preserve">Kyselyn suunnittelu perustuu periaatteeseen, jonka mukaan kyselyyn on osallistuttava vähintään 3 600 vastaajaa hyvän tilastollisen luotettavuuden varmistamiseksi. Lisäksi tämä luku mahdollistaa hyvän jakautumisen väestön eri yleisominaisuuksien välillä. Ei ole olemassa vain yhdenlaista hollantilaista. Tilintarkastustuomioistuin on näin ollen varmistanut etukäteen, että otos jakautuu hyvin useille ominaisuuksille. Alankomaat on suhteellisen pieni maa, mutta mielipiteet voivat vaihdella alueittain. Teemoille annettu sijainti ja merkitys voidaan (osittain) määrittää sen alueen mukaan, jossa asut. Esimerkiksi maaseudulla asuvat ihmiset voivat ymmärtää esimerkiksi turvallisuuden eri tavalla kuin kaupunkialueilla. Alankomaiden sosiaali- ja kulttuurisuunnittelutoimiston tutkimus osoittaa myös, että henkilöt, joilla on korkeampi opiskelutaso, ovat useammin EU:n tukijoita kuin heikommin opiskelevat ja että nuoret tukevat EU:ta enemmän kuin iäkkäät (lähde: Wat Willen Nederlanders van de Europese Unie?Hollantilainen sosiaali- ja kulttuurivirasto, Haag,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Tämän vuoksi olemme aiemmin jakaneet seuraavat kolme ominaisuutta suhteellisesti otoksen edustavuuden varmistamiseksi: 1) asuminen COROP-alueiden kautta, 2) ikä ja 3) koulutustaso. Otoksen jakautuminen esitettiin myös seuraavien yleisten ominaisuuksien perusteella: sukupuoli, alkuperä, päätoimi, poliittinen suuntautuminen.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COROP-alueet on kehitetty nodal-periaatteen (sydämen, jolla on vetovoima tai alueellinen tehtävä) pohjalta työmatkojen kulkuun perustuen. Joitakin solmuperiaatteen loukkauksia on myönnetty, jotta alueet noudattavat maakunnan rajoja. Kun kuntien uudelleenjärjestely ylitti COROP-rajat, jakoa mukautettiin (lähde: Alankomaiden kansallinen tilastovirasto). COROP-alueilla olemme varmistaneet hyvän jakautumisen ikäryhmien kesken seuraavasti: 18–34-vuotiaat, 35–54-vuotiaat, 55–75-vuotiaat ja yli 75-vuotiaat.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Lopuksi varmistettiin koulutustason edustava jakautuminen. Otoksessa vastaajien jakautuminen vastaa korkeimman koulutustason jakautumista kansallisella tasolla, joka on seuraava: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rFonts w:ascii="Calibri" w:hAnsi="Calibri"/>
          <w:b/>
          <w:b/>
          <w:color w:val="000000"/>
          <w:sz w:val="21"/>
        </w:rPr>
      </w:pPr>
      <w:r>
        <w:rPr/>
        <w:t xml:space="preserve">Korkein koulutustaso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Alhainen: perusasteen koulutus, ammatillinen valmistava koulutus, lukiokoulutuksen 1.-3. luokka/yliopistoa edeltävä koulutus, keskiasteen ammatillinen koulutus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Välituote: lukiokoulutus/yliopistoa edeltävä koulutus, keskiasteen ammatillinen koulutus taso 2–4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Korkea: korkea-asteen ammatillinen koulutus tai yliopistokoulutus</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Tuntematon</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Vastausprosentti </w:t>
      </w:r>
    </w:p>
    <w:p>
      <w:pPr>
        <w:pStyle w:val="P68B1DB1Normal104"/>
        <w:widowControl w:val="false"/>
        <w:spacing w:lineRule="exact" w:line="283" w:before="87" w:after="0"/>
        <w:ind w:left="0" w:right="368" w:hanging="0"/>
        <w:jc w:val="left"/>
        <w:rPr/>
      </w:pPr>
      <w:r>
        <w:rPr/>
        <w:t xml:space="preserve">Kyselyyn osallistui yhteensä 4 086 henkilöä per paneeli. Näin ollen tavoite 3 600 täytetystä kyselylomakkeesta saavutetaan.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t>Vastaukset COROP-alueittain ja ikäryhmittäin</w:t>
            </w:r>
          </w:p>
        </w:tc>
        <w:tc>
          <w:tcPr>
            <w:tcW w:w="1348" w:type="dxa"/>
            <w:tcBorders/>
            <w:shd w:fill="auto" w:val="clear"/>
            <w:vAlign w:val="bottom"/>
          </w:tcPr>
          <w:p>
            <w:pPr>
              <w:pStyle w:val="P68B1DB1Contenudetableau122"/>
              <w:spacing w:before="57" w:after="57"/>
              <w:jc w:val="left"/>
              <w:rPr>
                <w:b/>
                <w:b/>
                <w:color w:val="000000"/>
              </w:rPr>
            </w:pPr>
            <w:r>
              <w:rPr/>
              <w:t>18–34 vuotta</w:t>
            </w:r>
          </w:p>
        </w:tc>
        <w:tc>
          <w:tcPr>
            <w:tcW w:w="1348" w:type="dxa"/>
            <w:tcBorders/>
            <w:shd w:fill="auto" w:val="clear"/>
            <w:vAlign w:val="bottom"/>
          </w:tcPr>
          <w:p>
            <w:pPr>
              <w:pStyle w:val="P68B1DB1Contenudetableau122"/>
              <w:spacing w:before="57" w:after="57"/>
              <w:jc w:val="left"/>
              <w:rPr>
                <w:b/>
                <w:b/>
                <w:color w:val="000000"/>
              </w:rPr>
            </w:pPr>
            <w:r>
              <w:rPr/>
              <w:t>35–54-vuotiaat</w:t>
            </w:r>
          </w:p>
        </w:tc>
        <w:tc>
          <w:tcPr>
            <w:tcW w:w="1574" w:type="dxa"/>
            <w:tcBorders/>
            <w:shd w:fill="auto" w:val="clear"/>
            <w:vAlign w:val="bottom"/>
          </w:tcPr>
          <w:p>
            <w:pPr>
              <w:pStyle w:val="P68B1DB1Contenudetableau122"/>
              <w:spacing w:before="57" w:after="57"/>
              <w:jc w:val="left"/>
              <w:rPr>
                <w:b/>
                <w:b/>
                <w:color w:val="000000"/>
              </w:rPr>
            </w:pPr>
            <w:r>
              <w:rPr/>
              <w:t>55–75 vuotta vanha</w:t>
            </w:r>
          </w:p>
        </w:tc>
        <w:tc>
          <w:tcPr>
            <w:tcW w:w="1352" w:type="dxa"/>
            <w:tcBorders/>
            <w:shd w:fill="auto" w:val="clear"/>
            <w:vAlign w:val="bottom"/>
          </w:tcPr>
          <w:p>
            <w:pPr>
              <w:pStyle w:val="P68B1DB1Contenudetableau122"/>
              <w:spacing w:before="57" w:after="57"/>
              <w:jc w:val="left"/>
              <w:rPr>
                <w:b/>
                <w:b/>
                <w:color w:val="000000"/>
              </w:rPr>
            </w:pPr>
            <w:r>
              <w:rPr/>
              <w:t xml:space="preserve"> </w:t>
            </w:r>
            <w:r>
              <w:rPr/>
              <w:t>yli 75 vuotta vanha</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Pohjoinen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Drenthen kaakkoisosa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Drenthen lounaispuolella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Suomi</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Pohjois-Friesland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Frieslandin kaakkoisosassa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Frieslandin lounaisosa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Suomi</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Gelderlandin lounaisosa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Itäinen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Muu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Keski-Limburg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Pohjois-Limburg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Etelä-Limburg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Pohjois-Brabantin keskusta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t xml:space="preserve">Vastaukset COROP-alueittain ja ikäryhmittäin </w:t>
            </w:r>
          </w:p>
        </w:tc>
        <w:tc>
          <w:tcPr>
            <w:tcW w:w="1393" w:type="dxa"/>
            <w:tcBorders/>
            <w:shd w:fill="auto" w:val="clear"/>
            <w:vAlign w:val="bottom"/>
          </w:tcPr>
          <w:p>
            <w:pPr>
              <w:pStyle w:val="P68B1DB1Contenudetableau122"/>
              <w:spacing w:before="57" w:after="57"/>
              <w:jc w:val="left"/>
              <w:rPr>
                <w:b/>
                <w:b/>
                <w:color w:val="000000"/>
              </w:rPr>
            </w:pPr>
            <w:r>
              <w:rPr/>
              <w:t>18–34 vuotta</w:t>
            </w:r>
          </w:p>
        </w:tc>
        <w:tc>
          <w:tcPr>
            <w:tcW w:w="1393" w:type="dxa"/>
            <w:tcBorders/>
            <w:shd w:fill="auto" w:val="clear"/>
            <w:vAlign w:val="bottom"/>
          </w:tcPr>
          <w:p>
            <w:pPr>
              <w:pStyle w:val="P68B1DB1Contenudetableau122"/>
              <w:spacing w:before="57" w:after="57"/>
              <w:jc w:val="left"/>
              <w:rPr>
                <w:b/>
                <w:b/>
                <w:color w:val="000000"/>
              </w:rPr>
            </w:pPr>
            <w:r>
              <w:rPr/>
              <w:t>35–54-vuotiaat</w:t>
            </w:r>
          </w:p>
        </w:tc>
        <w:tc>
          <w:tcPr>
            <w:tcW w:w="1370" w:type="dxa"/>
            <w:tcBorders/>
            <w:shd w:fill="auto" w:val="clear"/>
            <w:vAlign w:val="bottom"/>
          </w:tcPr>
          <w:p>
            <w:pPr>
              <w:pStyle w:val="P68B1DB1Contenudetableau122"/>
              <w:spacing w:before="57" w:after="57"/>
              <w:jc w:val="left"/>
              <w:rPr>
                <w:b/>
                <w:b/>
                <w:color w:val="000000"/>
              </w:rPr>
            </w:pPr>
            <w:r>
              <w:rPr/>
              <w:t>55–75 vuotta vanha</w:t>
            </w:r>
          </w:p>
        </w:tc>
        <w:tc>
          <w:tcPr>
            <w:tcW w:w="1376" w:type="dxa"/>
            <w:tcBorders/>
            <w:shd w:fill="auto" w:val="clear"/>
            <w:vAlign w:val="bottom"/>
          </w:tcPr>
          <w:p>
            <w:pPr>
              <w:pStyle w:val="P68B1DB1Contenudetableau122"/>
              <w:spacing w:before="57" w:after="57"/>
              <w:jc w:val="left"/>
              <w:rPr>
                <w:b/>
                <w:b/>
                <w:color w:val="000000"/>
              </w:rPr>
            </w:pPr>
            <w:r>
              <w:rPr/>
              <w:t>yli 75 vuotta vanha</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Pohjois-Brabantista koilliseen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Pohjois-Brabantin länsipuolella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Pohjois-Brabantin kaakkoisosassa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Haarlemin taajama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ja sen ympäristö</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Suuri Amsterdam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ja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Pohjois-Hollannin kärki</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Zaanin alue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Pohjoinen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Overijsselin lounaispuolella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Suomi</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Muu Zeeland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Flanders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Leidenin taajama ja sipulialue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Haagin taajama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ja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Etelä-Hollannin itäpuolella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Etelä-Hollannin kaakkoisosa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bl>
    <w:p>
      <w:pPr>
        <w:pStyle w:val="Normal"/>
        <w:spacing w:lineRule="auto" w:line="240"/>
        <w:ind w:left="0" w:right="0" w:hanging="0"/>
        <w:rPr/>
      </w:pPr>
      <w:r>
        <w:rPr/>
      </w:r>
    </w:p>
    <w:p>
      <w:pPr>
        <w:pStyle w:val="P68B1DB1Normal120"/>
        <w:spacing w:lineRule="auto" w:line="240"/>
        <w:ind w:left="0" w:right="0" w:hanging="0"/>
        <w:rPr>
          <w:rFonts w:ascii="Calibri" w:hAnsi="Calibri"/>
          <w:b/>
          <w:b/>
          <w:color w:val="000000"/>
          <w:sz w:val="21"/>
        </w:rPr>
      </w:pPr>
      <w:r>
        <w:rPr/>
        <w:t xml:space="preserve">Vastaukset koulutusasteen mukaan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Matala</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Välittäjä</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Korkea</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Tuntematon</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Luotettavuus ja edustavuus </w:t>
      </w:r>
    </w:p>
    <w:p>
      <w:pPr>
        <w:pStyle w:val="P68B1DB1Normal104"/>
        <w:widowControl w:val="false"/>
        <w:spacing w:lineRule="auto" w:line="240" w:before="87" w:after="0"/>
        <w:ind w:left="0" w:right="0" w:hanging="0"/>
        <w:jc w:val="left"/>
        <w:rPr/>
      </w:pPr>
      <w:r>
        <w:rPr/>
        <w:t xml:space="preserve">Vastaajien lukumäärä 4 086 mahdollistaa havaintojen tekemisen koko perusjoukosta 95 prosentin luottamustasolla ja 1,53 prosentin virhemarginaalilla. Tulosten luotettavuustaso ja virhemarginaali määräytyvät otoksen koon perusteella. Mitä suurempi otos, sitä luotettavampi ja tarkempi tulos voidaan ekstrapoloida koko perusjoukkoon.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Luottamustaso on 1 (100 %) miinus merkitystaso. On tavallista, että se perustuu 5 %: n merkitykseen. Kyse on 95 prosentin luottamustasosta. Toisin sanoen, jos tutkimus toistettaisiin samalla tavalla ja samoin edellytyksin, tulokset olisivat samat 95 prosentissa tapauksista. </w:t>
      </w:r>
    </w:p>
    <w:p>
      <w:pPr>
        <w:pStyle w:val="P68B1DB1Normal104"/>
        <w:widowControl w:val="false"/>
        <w:spacing w:lineRule="auto" w:line="240"/>
        <w:ind w:left="0" w:right="0" w:hanging="0"/>
        <w:jc w:val="left"/>
        <w:rPr/>
      </w:pPr>
      <w:r>
        <w:rPr/>
        <w:t xml:space="preserve">Tarkkuus (ilmaistuna virhemarginaalina) ilmaisee arvojen vaihteluvälin, jonka sisällä perusjoukon todellinen arvo sijaitsee. Toisin sanoen: mikä olisi suurin ero otoksen tulosten ja koko perusjoukosta saatavien tulosten välillä? Jos virhemarginaali on 1,53 prosenttia, todellinen arvo koko perusjoukossa voi olla 1,53 prosenttia suurempi tai pienempi kuin otosarvo. Jos esimerkiksi kyselytutkimuksesta käy ilmi, että 50 prosenttia vastaajista pitää tiettyä teemaa tärkeänä, todellinen prosenttiosuus on 1,53 prosenttia suurempi tai pienempi kuin 50 prosenttia eli 48,47–51,53 prosenttia. Enintään 5 prosentin virhemarginaali on yleinen ja yleisesti hyväksytty kvantitatiivisissa tutkimuksissa (tilastot). </w:t>
      </w:r>
    </w:p>
    <w:p>
      <w:pPr>
        <w:pStyle w:val="P68B1DB1Normal104"/>
        <w:widowControl w:val="false"/>
        <w:spacing w:lineRule="auto" w:line="240"/>
        <w:ind w:left="0" w:right="0" w:hanging="0"/>
        <w:jc w:val="left"/>
        <w:rPr/>
      </w:pPr>
      <w:r>
        <w:rPr/>
        <w:t xml:space="preserve">Luotettavuuden lisäksi näytteen edustavuus on tärkeää. Koska osallistumiskutsut on lähetetty erissä ja ositettu, tulokset ovat edustavia COROP-alueen ominaispiirteiden ja ikäryhmien osalta COROP-alueittain. Vastaukset ovat edustavia myös koulutustason kannalta verrattuna kansallisella tasolla saavutettuun korkeimpaan koulutustasoon. </w:t>
      </w:r>
    </w:p>
    <w:p>
      <w:pPr>
        <w:pStyle w:val="P68B1DB1Normal107"/>
        <w:widowControl w:val="false"/>
        <w:spacing w:lineRule="auto" w:line="240"/>
        <w:ind w:left="0" w:right="0" w:hanging="0"/>
        <w:jc w:val="left"/>
        <w:rPr>
          <w:rFonts w:ascii="Calibri" w:hAnsi="Calibri"/>
          <w:i/>
          <w:i/>
          <w:color w:val="000000"/>
          <w:sz w:val="24"/>
        </w:rPr>
      </w:pPr>
      <w:r>
        <w:rPr/>
        <w:t xml:space="preserve">Muut yleiset ominaisuudet </w:t>
      </w:r>
    </w:p>
    <w:p>
      <w:pPr>
        <w:pStyle w:val="P68B1DB1Normal104"/>
        <w:widowControl w:val="false"/>
        <w:spacing w:lineRule="auto" w:line="240" w:before="5" w:after="0"/>
        <w:ind w:left="0" w:right="0" w:hanging="0"/>
        <w:jc w:val="left"/>
        <w:rPr/>
      </w:pPr>
      <w:r>
        <w:rPr/>
        <w:t xml:space="preserve">Paneeli esitti kyselyyn osallistujille useita asiayhteyteen liittyviä kysymyksiä. Näitä ovat sukupuoli, EU:n asema, alkuperä, pääasiallinen ammatti ja poliittinen puolue, jonka puolesta henkilö äänestäisi vaaleissa. </w:t>
      </w:r>
    </w:p>
    <w:p>
      <w:pPr>
        <w:pStyle w:val="P68B1DB1Normal104"/>
        <w:widowControl w:val="false"/>
        <w:spacing w:lineRule="auto" w:line="240"/>
        <w:ind w:left="0" w:right="0" w:hanging="0"/>
        <w:jc w:val="left"/>
        <w:rPr/>
      </w:pPr>
      <w:r>
        <w:rPr/>
        <w:t xml:space="preserve">Vastaajista 49 prosenttia on miehiä, 50 prosenttia naisia ja yksi prosentti ei halua vastata tähän kysymykseen. </w:t>
      </w:r>
    </w:p>
    <w:p>
      <w:pPr>
        <w:pStyle w:val="Normal"/>
        <w:widowControl w:val="false"/>
        <w:spacing w:lineRule="auto" w:line="240"/>
        <w:ind w:left="0" w:right="0" w:hanging="0"/>
        <w:jc w:val="left"/>
        <w:rPr/>
      </w:pPr>
      <w:r>
        <w:rPr>
          <w:rFonts w:ascii="Calibri" w:hAnsi="Calibri"/>
          <w:color w:val="000000"/>
          <w:sz w:val="21"/>
        </w:rPr>
        <w:t xml:space="preserve">51 prosenttia vastaajista katsoo, että Alankomaiden on hyvä olla EU:n jäsen, 13 prosenttia pitää sitä huonona asiana ja 36 prosenttia on puolueettomia tai ei ole mielipidettä. </w:t>
      </w:r>
      <w:r>
        <w:br w:type="page"/>
      </w:r>
    </w:p>
    <w:p>
      <w:pPr>
        <w:pStyle w:val="P68B1DB1Normal104"/>
        <w:spacing w:lineRule="auto" w:line="240"/>
        <w:ind w:left="0" w:right="0" w:hanging="0"/>
        <w:rPr/>
      </w:pPr>
      <w:r>
        <w:rPr/>
        <w:t xml:space="preserve">Vastaajista 95 prosenttia syntyi Alankomaissa. 89 prosenttia vastaajista ilmoitti, että molemmat vanhemmat ovat syntyneet Alankomaissa. Viisi prosenttia vanhemmista on syntynyt ulkomailla syntyneille vanhemmille.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t xml:space="preserve">Vastaajien nykyinen poliittinen suuntautuminen </w:t>
      </w:r>
    </w:p>
    <w:p>
      <w:pPr>
        <w:pStyle w:val="P68B1DB1Normal120"/>
        <w:widowControl w:val="false"/>
        <w:spacing w:lineRule="exact" w:line="352" w:before="34" w:after="0"/>
        <w:ind w:left="63" w:right="0" w:hanging="0"/>
        <w:jc w:val="left"/>
        <w:rPr>
          <w:rFonts w:ascii="Calibri" w:hAnsi="Calibri"/>
          <w:b/>
          <w:b/>
          <w:color w:val="000000"/>
          <w:sz w:val="21"/>
        </w:rPr>
      </w:pPr>
      <w:r>
        <w:rPr/>
        <w:t xml:space="preserve">Juhlat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(Vapauden ja demokratian kansanpuolue)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(Party for Freedom)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(sosialistinen puolue)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(demokraatit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(kristillisdemokraattinen kutsu)</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(työpuolue)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(eläinpuolue)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(vihreä vasen)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(kristillinen liitto)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(Farmer-kansalaisten liike)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(demokratiafoorumi)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GSP (uudistettu poliittinen puolue)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Suomi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SUOMI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Hotellit lähellä paikkaa 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 Näytä tarkat tiedot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Muu</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Valkoinen äänestys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En halua vastata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En äänestä</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P68B1DB1Normal107"/>
        <w:spacing w:lineRule="auto" w:line="240"/>
        <w:ind w:left="0" w:right="0" w:hanging="0"/>
        <w:rPr>
          <w:rFonts w:ascii="Calibri" w:hAnsi="Calibri"/>
          <w:i/>
          <w:i/>
          <w:color w:val="000000"/>
          <w:sz w:val="24"/>
        </w:rPr>
      </w:pPr>
      <w:r>
        <w:rPr/>
        <w:t xml:space="preserve">Mikä on tällä hetkellä tärkein ammattisi?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t xml:space="preserve">Ammatti </w:t>
            </w:r>
          </w:p>
        </w:tc>
        <w:tc>
          <w:tcPr>
            <w:tcW w:w="3514" w:type="dxa"/>
            <w:tcBorders/>
            <w:shd w:fill="auto" w:val="clear"/>
            <w:vAlign w:val="bottom"/>
          </w:tcPr>
          <w:p>
            <w:pPr>
              <w:pStyle w:val="P68B1DB1Contenudetableau122"/>
              <w:spacing w:before="57" w:after="57"/>
              <w:jc w:val="left"/>
              <w:rPr>
                <w:b/>
                <w:b/>
                <w:color w:val="000000"/>
              </w:rPr>
            </w:pPr>
            <w:r>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Opiskelija/opiskelija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Osa-aikainen työntekijä</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Kokopäiväinen työntekijä</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Itsenäinen urakoitsija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Henkilö kotona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Työnhakija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Vapaaehtoinen</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Työkyvyttömyys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Eläkkeellä</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Muu</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En halua vastata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Kyselylomake</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Kyselyn ja tämän raportin laati ulkoministeriön pyynnöstä riippumaton ulkopuolinen organisaatio. Kyselyssä esitetään modulaarinen rakenne, joka sisältää seuraavat kysymykset Euroopan tulevaisuutta käsittelevää konferenssia varten määritettyjen aiheiden mukaisesti: Tärkeät aiheet ja Euroopan rooli </w:t>
      </w:r>
    </w:p>
    <w:p>
      <w:pPr>
        <w:pStyle w:val="P68B1DB1Normal104"/>
        <w:widowControl w:val="false"/>
        <w:spacing w:lineRule="auto" w:line="240" w:before="1" w:after="0"/>
        <w:ind w:left="0" w:right="0" w:hanging="0"/>
        <w:jc w:val="left"/>
        <w:rPr>
          <w:rFonts w:ascii="Calibri" w:hAnsi="Calibri"/>
          <w:color w:val="000000"/>
          <w:sz w:val="21"/>
        </w:rPr>
      </w:pPr>
      <w:r>
        <w:rPr/>
        <w:t xml:space="preserve">Ilmastonmuutos ja ympäristö </w:t>
      </w:r>
    </w:p>
    <w:p>
      <w:pPr>
        <w:pStyle w:val="P68B1DB1Normal104"/>
        <w:widowControl w:val="false"/>
        <w:spacing w:lineRule="auto" w:line="240"/>
        <w:ind w:left="0" w:right="0" w:hanging="0"/>
        <w:jc w:val="left"/>
        <w:rPr>
          <w:rFonts w:ascii="Calibri" w:hAnsi="Calibri"/>
          <w:color w:val="000000"/>
          <w:sz w:val="21"/>
        </w:rPr>
      </w:pPr>
      <w:r>
        <w:rPr/>
        <w:t xml:space="preserve">Terveys </w:t>
      </w:r>
    </w:p>
    <w:p>
      <w:pPr>
        <w:pStyle w:val="P68B1DB1Normal104"/>
        <w:widowControl w:val="false"/>
        <w:spacing w:lineRule="auto" w:line="240" w:before="1" w:after="0"/>
        <w:ind w:left="0" w:right="0" w:hanging="0"/>
        <w:jc w:val="left"/>
        <w:rPr>
          <w:rFonts w:ascii="Calibri" w:hAnsi="Calibri"/>
          <w:color w:val="000000"/>
          <w:sz w:val="21"/>
        </w:rPr>
      </w:pPr>
      <w:r>
        <w:rPr/>
        <w:t xml:space="preserve">Talous ja työllisyys </w:t>
      </w:r>
    </w:p>
    <w:p>
      <w:pPr>
        <w:pStyle w:val="P68B1DB1Normal104"/>
        <w:widowControl w:val="false"/>
        <w:spacing w:lineRule="auto" w:line="240"/>
        <w:ind w:left="0" w:right="0" w:hanging="0"/>
        <w:jc w:val="left"/>
        <w:rPr>
          <w:rFonts w:ascii="Calibri" w:hAnsi="Calibri"/>
          <w:color w:val="000000"/>
          <w:sz w:val="21"/>
        </w:rPr>
      </w:pPr>
      <w:r>
        <w:rPr/>
        <w:t xml:space="preserve">Euroopan unionin rooli maailmassa </w:t>
      </w:r>
    </w:p>
    <w:p>
      <w:pPr>
        <w:pStyle w:val="P68B1DB1Normal104"/>
        <w:widowControl w:val="false"/>
        <w:spacing w:lineRule="auto" w:line="240" w:before="1" w:after="0"/>
        <w:ind w:left="0" w:right="0" w:hanging="0"/>
        <w:jc w:val="left"/>
        <w:rPr>
          <w:rFonts w:ascii="Calibri" w:hAnsi="Calibri"/>
          <w:color w:val="000000"/>
          <w:sz w:val="21"/>
        </w:rPr>
      </w:pPr>
      <w:r>
        <w:rPr/>
        <w:t xml:space="preserve">Turvallisuus ja oikeusvaltioperiaate </w:t>
      </w:r>
    </w:p>
    <w:p>
      <w:pPr>
        <w:pStyle w:val="P68B1DB1Normal104"/>
        <w:widowControl w:val="false"/>
        <w:spacing w:lineRule="auto" w:line="240"/>
        <w:ind w:left="0" w:right="0" w:hanging="0"/>
        <w:jc w:val="left"/>
        <w:rPr>
          <w:rFonts w:ascii="Calibri" w:hAnsi="Calibri"/>
          <w:color w:val="000000"/>
          <w:sz w:val="21"/>
        </w:rPr>
      </w:pPr>
      <w:r>
        <w:rPr/>
        <w:t xml:space="preserve">Virtuaalimaailma </w:t>
      </w:r>
    </w:p>
    <w:p>
      <w:pPr>
        <w:pStyle w:val="P68B1DB1Normal104"/>
        <w:widowControl w:val="false"/>
        <w:spacing w:lineRule="auto" w:line="240" w:before="1" w:after="0"/>
        <w:ind w:left="0" w:right="0" w:hanging="0"/>
        <w:jc w:val="left"/>
        <w:rPr>
          <w:rFonts w:ascii="Calibri" w:hAnsi="Calibri"/>
          <w:color w:val="000000"/>
          <w:sz w:val="21"/>
        </w:rPr>
      </w:pPr>
      <w:r>
        <w:rPr/>
        <w:t xml:space="preserve">Eurooppalainen demokratia </w:t>
      </w:r>
    </w:p>
    <w:p>
      <w:pPr>
        <w:pStyle w:val="P68B1DB1Normal104"/>
        <w:widowControl w:val="false"/>
        <w:spacing w:lineRule="auto" w:line="240"/>
        <w:ind w:left="0" w:right="0" w:hanging="0"/>
        <w:jc w:val="left"/>
        <w:rPr>
          <w:rFonts w:ascii="Calibri" w:hAnsi="Calibri"/>
          <w:color w:val="000000"/>
          <w:sz w:val="21"/>
        </w:rPr>
      </w:pPr>
      <w:r>
        <w:rPr/>
        <w:t xml:space="preserve">Muuttoliike ja pakolaiset </w:t>
      </w:r>
    </w:p>
    <w:p>
      <w:pPr>
        <w:pStyle w:val="P68B1DB1Normal104"/>
        <w:widowControl w:val="false"/>
        <w:spacing w:lineRule="auto" w:line="240" w:before="1" w:after="0"/>
        <w:ind w:left="0" w:right="0" w:hanging="0"/>
        <w:jc w:val="left"/>
        <w:rPr>
          <w:rFonts w:ascii="Calibri" w:hAnsi="Calibri"/>
          <w:color w:val="000000"/>
          <w:sz w:val="21"/>
        </w:rPr>
      </w:pPr>
      <w:r>
        <w:rPr/>
        <w:t xml:space="preserve">Koulutus/kulttuuri/nuoret/urheilu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Kyselyn valmistelussa kiinnitettiin paljon huomiota kysymysten laatuun, luotettavuuteen ja oikeellisuuteen. Tästä syystä etsittiin kysymysten, väitteiden ja vastausvaihtoehtojen neutraalia, ei-ohjattua muotoilua ja varmistettiin, että kysymykset on muotoiltu ymmärrettävällä kielellä (taso B1).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Kyselyyn tehtiin laatutestejä haastattelemalla kohderyhmään kuuluvia koehenkilöitä kasvokkain. Tämän avulla pystyimme tutkimaan, miten eri vastaajat ymmärtävät kysymyksiä. Jos kysymys näytti edustavan liian suurta (liian monimutkaista) kognitiivista kuormitusta, se oli tarkoituksenmukaista. </w:t>
      </w:r>
      <w:r>
        <w:br w:type="page"/>
      </w:r>
    </w:p>
    <w:p>
      <w:pPr>
        <w:pStyle w:val="P68B1DB1Normal107"/>
        <w:spacing w:lineRule="auto" w:line="240"/>
        <w:ind w:left="0" w:right="0" w:hanging="0"/>
        <w:rPr>
          <w:rFonts w:ascii="Calibri" w:hAnsi="Calibri"/>
          <w:i/>
          <w:i/>
          <w:color w:val="000000"/>
          <w:sz w:val="24"/>
        </w:rPr>
      </w:pPr>
      <w:r>
        <w:rPr/>
        <w:t xml:space="preserve">Analyysimenetelmät </w:t>
      </w:r>
    </w:p>
    <w:p>
      <w:pPr>
        <w:pStyle w:val="P68B1DB1Normal104"/>
        <w:widowControl w:val="false"/>
        <w:spacing w:lineRule="auto" w:line="240" w:before="127" w:after="0"/>
        <w:ind w:left="0" w:right="0" w:hanging="0"/>
        <w:jc w:val="left"/>
        <w:rPr>
          <w:rFonts w:ascii="Calibri" w:hAnsi="Calibri"/>
          <w:color w:val="000000"/>
          <w:sz w:val="21"/>
        </w:rPr>
      </w:pPr>
      <w:r>
        <w:rPr/>
        <w:t xml:space="preserve">Tutkimuksessa käytettiin kahta analyysimenetelmää: </w:t>
      </w:r>
    </w:p>
    <w:p>
      <w:pPr>
        <w:pStyle w:val="P68B1DB1Normal111"/>
        <w:widowControl w:val="false"/>
        <w:spacing w:lineRule="auto" w:line="240" w:before="38" w:after="0"/>
        <w:ind w:left="0" w:right="0" w:hanging="0"/>
        <w:jc w:val="left"/>
        <w:rPr>
          <w:rFonts w:ascii="Calibri" w:hAnsi="Calibri"/>
          <w:b/>
          <w:b/>
          <w:color w:val="000000"/>
          <w:sz w:val="22"/>
        </w:rPr>
      </w:pPr>
      <w:r>
        <w:rPr/>
        <w:t xml:space="preserve">Yksimuuttuja-analyysit </w:t>
      </w:r>
    </w:p>
    <w:p>
      <w:pPr>
        <w:pStyle w:val="P68B1DB1Normal104"/>
        <w:widowControl w:val="false"/>
        <w:spacing w:lineRule="auto" w:line="240" w:before="97" w:after="0"/>
        <w:ind w:left="0" w:right="0" w:hanging="0"/>
        <w:jc w:val="left"/>
        <w:rPr/>
      </w:pPr>
      <w:r>
        <w:rPr/>
        <w:t xml:space="preserve">Kuvailevia tilastoja käytetään kuvaamaan kyselyn muuttujia. Tässä tutkimuksessa käytetään taajuuksia ja keskiarvoja. </w:t>
      </w:r>
    </w:p>
    <w:p>
      <w:pPr>
        <w:pStyle w:val="P68B1DB1Normal111"/>
        <w:widowControl w:val="false"/>
        <w:spacing w:lineRule="auto" w:line="240" w:before="41" w:after="0"/>
        <w:ind w:left="0" w:right="0" w:hanging="0"/>
        <w:jc w:val="left"/>
        <w:rPr>
          <w:rFonts w:ascii="Calibri" w:hAnsi="Calibri"/>
          <w:b/>
          <w:b/>
          <w:color w:val="000000"/>
          <w:sz w:val="22"/>
        </w:rPr>
      </w:pPr>
      <w:r>
        <w:rPr/>
        <w:t xml:space="preserve">Bivariaattianalyysit </w:t>
      </w:r>
    </w:p>
    <w:p>
      <w:pPr>
        <w:pStyle w:val="P68B1DB1Normal104"/>
        <w:widowControl w:val="false"/>
        <w:spacing w:lineRule="auto" w:line="240" w:before="95" w:after="0"/>
        <w:ind w:left="0" w:right="0" w:hanging="0"/>
        <w:jc w:val="left"/>
        <w:rPr/>
      </w:pPr>
      <w:r>
        <w:rPr/>
        <w:t xml:space="preserve">Kahden muuttujan analyysien avulla voidaan tarkastella kahden muuttujan välistä suhdetta, tässä tapauksessa eri teemojen merkityksen ja sen kysymyksen, pitäisikö EU:n puuttua asiaan, ja iän yleisen ominaisuuden välistä suhdetta. Uudelleentarkastelun tarkoituksena oli selvittää, pitävätkö eri ikäryhmät aiheelle eriävää merkitystä ja ovatko näkemykset siitä, missä määrin EU:n olisi osallistuttava näihin kysymyksiin. </w:t>
      </w:r>
    </w:p>
    <w:p>
      <w:pPr>
        <w:pStyle w:val="P68B1DB1Normal107"/>
        <w:widowControl w:val="false"/>
        <w:spacing w:lineRule="auto" w:line="240" w:before="43" w:after="0"/>
        <w:ind w:left="0" w:right="0" w:hanging="0"/>
        <w:jc w:val="left"/>
        <w:rPr>
          <w:rFonts w:ascii="Calibri" w:hAnsi="Calibri"/>
          <w:i/>
          <w:i/>
          <w:color w:val="000000"/>
          <w:sz w:val="24"/>
        </w:rPr>
      </w:pPr>
      <w:r>
        <w:rPr/>
        <w:t xml:space="preserve">Tietojen julkaiseminen ja täydellisyys </w:t>
      </w:r>
    </w:p>
    <w:p>
      <w:pPr>
        <w:pStyle w:val="P68B1DB1Normal104"/>
        <w:widowControl w:val="false"/>
        <w:spacing w:lineRule="auto" w:line="240" w:before="123" w:after="0"/>
        <w:ind w:left="0" w:right="0" w:hanging="0"/>
        <w:jc w:val="left"/>
        <w:rPr/>
      </w:pPr>
      <w:r>
        <w:rPr/>
        <w:t xml:space="preserve">Raportti sisältää (visuaalinen) esitys kaikkien kyselypaneelin vastaajille esitettyjen kysymysten tuloksista. Joissakin kysymyksissä vastaajalle annettiin mahdollisuus antaa ”avoimia” (eli ei ennalta määritettyjä) vastauksia. Avoimet vastaukset luokiteltiin ja sisällytettiin julkaisuun. Vastaajien ilmaisessa kommentissa jakamia ideoita hyödynnetään eri aihekohtaisissa vuoropuheluissa, jotka on järjestetty Euroopan unionin kansalaisvuoropuheluprosessin jatkotoimena.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2. Verkossa käytävät aihekohtaiset vuoropuhelut syventämiseksi </w:t>
      </w:r>
    </w:p>
    <w:p>
      <w:pPr>
        <w:pStyle w:val="P68B1DB1Normal104"/>
        <w:widowControl w:val="false"/>
        <w:spacing w:lineRule="auto" w:line="240" w:before="17" w:after="0"/>
        <w:ind w:left="0" w:right="0" w:hanging="0"/>
        <w:jc w:val="left"/>
        <w:rPr/>
      </w:pPr>
      <w:r>
        <w:rPr/>
        <w:t xml:space="preserve">Euroopan tulevaisuutta käsittelevän konferenssin keskeisiä teemoja on syvennetty kahdeksalla verkossa käytävällä aihekohtaisella vuoropuhelulla. Näiden vuoropuhelujen tarkoituksena oli selvittää ilmaistujen mielipiteiden syyt sekä niiden taustalla olevat motiivit ja tunteet. Mitkä ovat havaitut huolenaiheet ja mahdollisuudet? Keskustelutilaisuudet antoivat osallistujille myös mahdollisuuden laatia ehdotuksia ja ajatuksia näistä aiheista sekä tuoda esiin kysymyksiä, jotka eivät ole osa konferenssia mutta jotka ovat edelleen tärkeitä heille. </w:t>
      </w:r>
    </w:p>
    <w:p>
      <w:pPr>
        <w:pStyle w:val="P68B1DB1Normal24"/>
        <w:widowControl w:val="false"/>
        <w:spacing w:lineRule="auto" w:line="240" w:before="2" w:after="0"/>
        <w:ind w:left="0" w:right="0" w:hanging="0"/>
        <w:jc w:val="left"/>
        <w:rPr>
          <w:rFonts w:ascii="Times New Roman" w:hAnsi="Times New Roman"/>
          <w:color w:val="000000"/>
          <w:sz w:val="22"/>
        </w:rPr>
      </w:pPr>
      <w:r>
        <w:rPr/>
        <w:t xml:space="preserve"> </w:t>
      </w:r>
    </w:p>
    <w:p>
      <w:pPr>
        <w:pStyle w:val="P68B1DB1Normal104"/>
        <w:widowControl w:val="false"/>
        <w:spacing w:lineRule="auto" w:line="240" w:before="8" w:after="0"/>
        <w:ind w:left="0" w:right="0" w:hanging="0"/>
        <w:jc w:val="left"/>
        <w:rPr/>
      </w:pPr>
      <w:r>
        <w:rPr/>
        <w:t xml:space="preserve">Temaattiset vuoropuhelut käytiin 12.–14. lokakuuta ja 9.–11. marraskuuta. Lokakuussa järjestettiin neljä verkkoaiheista aihekohtaista vuoropuhelua aiheista ”talous” ja ”demokratia”. Marraskuussa järjestettiin neljä verkkoaiheista aihekohtaista vuoropuhelua aiheista ”Ilmasto” ja ”EU maailmassa”. Kuhunkin keskusteluun osallistui keskimäärin 29 henkilöä (yhteensä 231 henkilöä). Osallistujat rekrytoitiin paneelin jäsenten keskuudesta (ks. kohta 1) ja sosiaalisen median kautta. </w:t>
      </w:r>
    </w:p>
    <w:p>
      <w:pPr>
        <w:pStyle w:val="P68B1DB1Normal19"/>
        <w:widowControl w:val="false"/>
        <w:spacing w:lineRule="auto" w:line="240" w:before="1"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t xml:space="preserve">3. Vuoropuhelu tiettyjen ryhmien kanssa </w:t>
      </w:r>
    </w:p>
    <w:p>
      <w:pPr>
        <w:pStyle w:val="P68B1DB1Normal104"/>
        <w:widowControl w:val="false"/>
        <w:spacing w:lineRule="auto" w:line="240" w:before="12" w:after="0"/>
        <w:ind w:left="0" w:right="0" w:hanging="0"/>
        <w:jc w:val="left"/>
        <w:rPr/>
      </w:pPr>
      <w:r>
        <w:rPr/>
        <w:t xml:space="preserve">Joidenkin hollantilaisten ryhmien tiedetään olevan vähemmän tottuneet osallistumaan kyselyihin ja paneeleihin (online). Jotta saataisiin edustava kuva ”Alankomaiden äänistä”, oli tärkeää, että myös nämä kansalaiset voivat ilmaista ajatuksiaan ja mielipiteitään. Tämän vuoksi järjestimme myös useita vuoropuheluja Euroopan Vision of Europe -kyselyä varten. Mielipiteitä ja ideoita, joita pystyimme keräämään, käytettiin perustana (muun muassa) suositusten laatimisessa. </w:t>
      </w:r>
    </w:p>
    <w:p>
      <w:pPr>
        <w:pStyle w:val="P68B1DB1Normal24"/>
        <w:widowControl w:val="false"/>
        <w:spacing w:lineRule="auto" w:line="240" w:before="4" w:after="0"/>
        <w:ind w:left="0" w:right="0" w:hanging="0"/>
        <w:jc w:val="left"/>
        <w:rPr>
          <w:rFonts w:ascii="Times New Roman" w:hAnsi="Times New Roman"/>
          <w:color w:val="000000"/>
          <w:sz w:val="22"/>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rFonts w:ascii="Calibri" w:hAnsi="Calibri"/>
          <w:i/>
          <w:i/>
          <w:color w:val="000000"/>
          <w:sz w:val="24"/>
        </w:rPr>
      </w:pPr>
      <w:r>
        <w:rPr/>
        <w:t xml:space="preserve">Kohderyhmät </w:t>
      </w:r>
    </w:p>
    <w:p>
      <w:pPr>
        <w:pStyle w:val="P68B1DB1Normal110"/>
        <w:widowControl w:val="false"/>
        <w:spacing w:lineRule="auto" w:line="240" w:before="22" w:after="0"/>
        <w:ind w:left="0" w:right="0" w:hanging="0"/>
        <w:jc w:val="left"/>
        <w:rPr/>
      </w:pPr>
      <w:r>
        <w:rPr>
          <w:sz w:val="21"/>
        </w:rPr>
        <w:t xml:space="preserve">Vaikeasti tavoitettavia kohderyhmiä ei voida määritellä yksiselitteisesti. Tutkimusten ja kokemusten avulla voimme tietää, että hollantilaiset, joilla </w:t>
      </w:r>
      <w:r>
        <w:rPr>
          <w:b/>
          <w:sz w:val="21"/>
        </w:rPr>
        <w:t>ei ole länsimaista</w:t>
      </w:r>
      <w:r>
        <w:rPr>
          <w:sz w:val="21"/>
        </w:rPr>
        <w:t>alkuperää, osallistuvat huomattavasti vähemmän itseään tutkimuksiin ja keskusteluihin. Koska kyseessä on suuri ryhmä (14 prosenttia Alankomaiden</w:t>
      </w:r>
      <w:r>
        <w:rPr>
          <w:position w:val="6"/>
          <w:sz w:val="14"/>
        </w:rPr>
        <w:t>1</w:t>
      </w:r>
      <w:r>
        <w:rPr>
          <w:sz w:val="21"/>
        </w:rPr>
        <w:t xml:space="preserve">:stä), heidät valittiin osallistumaan vision of Europe -vuoropuheluun. Samaa päättelyä noudatettiin sellaisten </w:t>
      </w:r>
      <w:r>
        <w:rPr>
          <w:b/>
          <w:sz w:val="21"/>
        </w:rPr>
        <w:t>henkilöiden osalta, joilla on vähän koulutusta</w:t>
      </w:r>
      <w:r>
        <w:rPr>
          <w:sz w:val="21"/>
        </w:rPr>
        <w:t>. Se on myös suuri ryhmä (2,5 miljoonaa hollantilaista</w:t>
      </w:r>
      <w:r>
        <w:rPr>
          <w:position w:val="6"/>
          <w:sz w:val="14"/>
        </w:rPr>
        <w:t>2</w:t>
      </w:r>
      <w:r>
        <w:rPr>
          <w:sz w:val="21"/>
        </w:rPr>
        <w:t xml:space="preserve">), joka on osittain päällekkäinen maahanmuuttajaryhmän kanssa (39 prosenttia). Lopuksi on käyty vuoropuhelua sellaisten ihmisten kanssa, joita harvoin tavataan kyselyissä ja keskusteluissa, </w:t>
      </w:r>
      <w:r>
        <w:rPr>
          <w:b/>
          <w:sz w:val="21"/>
        </w:rPr>
        <w:t>jotka suhtautuvat kriittisesti Eurooppaan mutta joiden kannalta Euroopalla on tärkeä rooli ammatillisessa toiminnassa.</w:t>
      </w:r>
      <w:r>
        <w:rPr>
          <w:sz w:val="21"/>
        </w:rPr>
        <w:t xml:space="preserve"> Maatalousalan yrittäjiä valittiin.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pPr>
      <w:r>
        <w:rPr/>
        <w:t xml:space="preserve">Edellä mainittuja ryhmiä on lähestytty organisaatioissa, joiden jäseniä ne ovat, kuten maahanmuuttajajärjestöissä, edunvalvontajärjestöissä ja ammatillisissa järjestöissä. Koska olemme rajoittaneet vuoropuhelujen määrän kahdeksaan, emme voi olla täysin ”tyhjentäviä”. Tämä tekee osallistujien valinnasta jonkin verran mielivaltaista. Tämän valinnan tekemiseksi otimme myös huomioon innostuksen osallistua ja auttaa mobilisoimaan niiden tukikohtaa sekä käytännön kysymyksiä, kuten saatavuutta päivämäärien ja sijainnin mukaan.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rFonts w:ascii="Calibri" w:hAnsi="Calibri"/>
          <w:color w:val="000000"/>
          <w:sz w:val="21"/>
        </w:rPr>
      </w:pPr>
      <w:r>
        <w:rPr/>
        <w:t xml:space="preserve">Paikan päällä käytiin vuoropuhelua seuraavien organisaatioiden jäsenten kanssa: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Hakder-säätiö, Alevi-yhteisö,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Foundation, hinduyhteisö, Utrecht (kaksi keskustelutilaisuutta)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kansalaisyhteiskunnan organisaatio,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vähän koulutettujen ihmisten järjestö,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maatalousryhmien yhdistys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marokkolainen yhteisö,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Women for Freedom, maahanmuuttajataustaisten naisten edunvalvontajärjestö, Haag </w:t>
      </w:r>
    </w:p>
    <w:p>
      <w:pPr>
        <w:pStyle w:val="P68B1DB1Normal104"/>
        <w:widowControl w:val="false"/>
        <w:spacing w:lineRule="auto" w:line="240" w:before="12" w:after="0"/>
        <w:ind w:left="0" w:right="0" w:hanging="0"/>
        <w:jc w:val="left"/>
        <w:rPr>
          <w:rFonts w:ascii="Calibri" w:hAnsi="Calibri"/>
          <w:color w:val="000000"/>
          <w:sz w:val="21"/>
        </w:rPr>
      </w:pPr>
      <w:r>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t xml:space="preserve">Keskusteluihin osallistui yhteensä 110 henkilöä.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t xml:space="preserve">4. Vuoropuhelu nuorten kanssa </w:t>
      </w:r>
    </w:p>
    <w:p>
      <w:pPr>
        <w:pStyle w:val="P68B1DB1Normal104"/>
        <w:widowControl w:val="false"/>
        <w:spacing w:lineRule="auto" w:line="240" w:before="118" w:after="0"/>
        <w:ind w:left="0" w:right="0" w:hanging="0"/>
        <w:jc w:val="both"/>
        <w:rPr/>
      </w:pPr>
      <w:r>
        <w:rPr/>
        <w:t xml:space="preserve">Nuoret ovat Euroopan tulevaisuutta käsittelevän konferenssin ensisijainen kohderyhmä. Erityisesti nuorille järjestettiin viisi fyysistä keskustelutapaamista, jotta voitaisiin aktiivisesti kannustaa heitä osallistumaan kansalaiskeskusteluun ”Euroopan visio” ja saada ryhmän mielipiteet ja ajatukset hyvin kuulluiksi. Kuudetta suunniteltua tapaamista nuorten kanssa ei voitu järjestää koronavirukseen liittyvien rajoittavien toimenpiteiden vuoksi.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rFonts w:ascii="Calibri" w:hAnsi="Calibri"/>
          <w:color w:val="000000"/>
          <w:sz w:val="21"/>
        </w:rPr>
      </w:pPr>
      <w:r>
        <w:rPr/>
        <w:t xml:space="preserve">Kokoukset pidettiin seuraavissa toimielimissä: </w:t>
      </w:r>
    </w:p>
    <w:p>
      <w:pPr>
        <w:pStyle w:val="P68B1DB1Normal104"/>
        <w:widowControl w:val="false"/>
        <w:spacing w:lineRule="auto" w:line="240"/>
        <w:ind w:left="0" w:right="0" w:hanging="0"/>
        <w:jc w:val="both"/>
        <w:rPr>
          <w:rFonts w:ascii="Calibri" w:hAnsi="Calibri"/>
          <w:color w:val="000000"/>
          <w:sz w:val="21"/>
        </w:rPr>
      </w:pPr>
      <w:r>
        <w:rPr/>
        <w:t xml:space="preserve">Historian opiskelijoiden yhdistys, Leidenin yliopisto </w:t>
      </w:r>
    </w:p>
    <w:p>
      <w:pPr>
        <w:pStyle w:val="P68B1DB1Normal104"/>
        <w:widowControl w:val="false"/>
        <w:spacing w:lineRule="auto" w:line="240"/>
        <w:ind w:left="0" w:right="0" w:hanging="0"/>
        <w:jc w:val="both"/>
        <w:rPr>
          <w:rFonts w:ascii="Calibri" w:hAnsi="Calibri"/>
          <w:color w:val="000000"/>
          <w:sz w:val="21"/>
        </w:rPr>
      </w:pPr>
      <w:r>
        <w:rPr/>
        <w:t xml:space="preserve">Tohtori Knippenberg College, Lukio, Helmond </w:t>
      </w:r>
    </w:p>
    <w:p>
      <w:pPr>
        <w:pStyle w:val="P68B1DB1Normal104"/>
        <w:widowControl w:val="false"/>
        <w:spacing w:lineRule="auto" w:line="240" w:before="1" w:after="0"/>
        <w:ind w:left="0" w:right="0" w:hanging="0"/>
        <w:jc w:val="left"/>
        <w:rPr>
          <w:rFonts w:ascii="Calibri" w:hAnsi="Calibri"/>
          <w:color w:val="000000"/>
          <w:sz w:val="21"/>
        </w:rPr>
      </w:pPr>
      <w:r>
        <w:rPr/>
        <w:t xml:space="preserve">Coalitie-Y, talous- ja sosiaalineuvoston nuorisofoorumi </w:t>
      </w:r>
    </w:p>
    <w:p>
      <w:pPr>
        <w:pStyle w:val="P68B1DB1Normal104"/>
        <w:widowControl w:val="false"/>
        <w:spacing w:lineRule="auto" w:line="240"/>
        <w:ind w:left="0" w:right="0" w:hanging="0"/>
        <w:jc w:val="left"/>
        <w:rPr>
          <w:rFonts w:ascii="Calibri" w:hAnsi="Calibri"/>
          <w:color w:val="000000"/>
          <w:sz w:val="21"/>
        </w:rPr>
      </w:pPr>
      <w:r>
        <w:rPr/>
        <w:t xml:space="preserve">Graafschap College, ammatillinen keskiasteen koulutus, Doetinchem </w:t>
      </w:r>
    </w:p>
    <w:p>
      <w:pPr>
        <w:pStyle w:val="P68B1DB1Normal104"/>
        <w:widowControl w:val="false"/>
        <w:spacing w:lineRule="auto" w:line="240" w:before="1" w:after="0"/>
        <w:ind w:left="0" w:right="0" w:hanging="0"/>
        <w:jc w:val="left"/>
        <w:rPr>
          <w:rFonts w:ascii="Calibri" w:hAnsi="Calibri"/>
          <w:color w:val="000000"/>
          <w:sz w:val="21"/>
        </w:rPr>
      </w:pPr>
      <w:r>
        <w:rPr/>
        <w:t xml:space="preserve">CSG Jan Arentsz, teknologia-aiheisiin keskiasteen koulutus, Alkmaar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Keskustelutilaisuuksiin osallistui yhteensä 95 nuorta. </w:t>
      </w:r>
      <w:r>
        <w:br w:type="page"/>
      </w:r>
    </w:p>
    <w:p>
      <w:pPr>
        <w:pStyle w:val="P68B1DB1Normal107"/>
        <w:spacing w:lineRule="auto" w:line="240"/>
        <w:ind w:left="0" w:right="0" w:hanging="0"/>
        <w:rPr>
          <w:rFonts w:ascii="Calibri" w:hAnsi="Calibri"/>
          <w:i/>
          <w:i/>
          <w:color w:val="000000"/>
          <w:sz w:val="24"/>
        </w:rPr>
      </w:pPr>
      <w:r>
        <w:rPr/>
        <w:t xml:space="preserve">Käytetyt huoltotekniikat </w:t>
      </w:r>
    </w:p>
    <w:p>
      <w:pPr>
        <w:pStyle w:val="P68B1DB1Normal104"/>
        <w:widowControl w:val="false"/>
        <w:spacing w:lineRule="auto" w:line="240" w:before="10" w:after="0"/>
        <w:ind w:left="0" w:right="0" w:hanging="0"/>
        <w:jc w:val="left"/>
        <w:rPr/>
      </w:pPr>
      <w:r>
        <w:rPr/>
        <w:t xml:space="preserve">Verkossa käytävät aihekohtaiset vuoropuhelut, vuoropuhelut erityisryhmien kanssa ja vuoropuhelut nuorten kanssa toteutettiin ns. sokraattisella haastattelumenetelmällä. Tätä menetelmää on käytetty useita vuosia dialogipäivänä, jossa ihmiset eri puolilla Alankomaita ovat vuorovaikutuksessa heihin vaikuttavissa kysymyksissä. Valvojan on Sokraattisen ylläpitomenetelmän yhteydessä otettava huomioon seuraavat periaatteet: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5"/>
        <w:widowControl w:val="false"/>
        <w:spacing w:lineRule="auto" w:line="240" w:before="7" w:after="0"/>
        <w:ind w:left="0" w:right="0" w:hanging="0"/>
        <w:jc w:val="left"/>
        <w:rPr/>
      </w:pPr>
      <w:r>
        <w:rPr>
          <w:rFonts w:ascii="Verdana" w:hAnsi="Verdana"/>
        </w:rPr>
        <w:t>•</w:t>
      </w:r>
      <w:r>
        <w:rPr/>
        <w:t xml:space="preserve"> </w:t>
      </w:r>
      <w:r>
        <w:rPr/>
        <w:t xml:space="preserve">Anna toisen kertoa tarinansa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Älä</w:t>
      </w:r>
      <w:r>
        <w:rPr/>
        <w:t xml:space="preserve"> </w:t>
      </w:r>
      <w:r>
        <w:rPr>
          <w:rFonts w:ascii="Calibri" w:hAnsi="Calibri"/>
        </w:rPr>
        <w:t xml:space="preserve">vastaa heti toisella tarinalla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Kohtele itseäsi kunnioittavasti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Puhua omasta näkökulmasta (”löydän” eikä ”he sanovat”)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Pyytää lisäselvityksiä, jos esitetyt näkemykset rajoittuvat yleisluonteisiin kysymyksiin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Välttää tuomioita ja analysoida niitä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Antaa hetkiä hiljaisuutta, jos ihmisten täytyy ajatella hetken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Vuoropuhelujen aikana on käytettävä seuraavaa rytmiä: erilaisuus – lähentyminen – eroavuus. Periaatteena on, että sinun täytyy ensin erota (suoraan ilmaista yksittäisiä tunteita ja mielipiteitä), ennen kuin voit lähentyä (keskustelu mahdollisia väyliä) ja sitten lopulta erota uudelleen (esimerkiksi kerätä yksittäisiä suosituksia). Kokemus ja teoria osoittavat, että tämä rytmi takaa optimaalisen dialogin.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Kaikki vuoropuhelut olivat ammattimaisia fasilitaattoreita.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229" w:after="0"/>
        <w:ind w:left="0" w:right="0" w:hanging="0"/>
        <w:jc w:val="both"/>
        <w:rPr/>
      </w:pPr>
      <w:r>
        <w:rPr/>
        <w:t>5. Julkinen verkkokysely: Kysely ja ”Swipen naar de toekomst” (Swiper to future)</w:t>
      </w:r>
    </w:p>
    <w:p>
      <w:pPr>
        <w:pStyle w:val="P68B1DB1Normal104"/>
        <w:widowControl w:val="false"/>
        <w:spacing w:lineRule="auto" w:line="240" w:before="229" w:after="0"/>
        <w:ind w:left="0" w:right="0" w:hanging="0"/>
        <w:jc w:val="both"/>
        <w:rPr/>
      </w:pPr>
      <w:r>
        <w:rPr/>
        <w:t xml:space="preserve">Paneelikyselylomake oli avoin kaikille hollantilaisille, myös ulkomailla asuville. Kyselylomake oli saatavilla 1. syyskuuta 2021–14. marraskuuta 2021. Lisäksi samalla ajanjaksolla jokainen hollantilainen pystyi osallistumaan toimeen ”Swipen naar de toekomst” (Swiper toekomst), joka on verkkotyökalu, jossa esitetään 20 vaatetta. </w:t>
      </w:r>
    </w:p>
    <w:p>
      <w:pPr>
        <w:pStyle w:val="P68B1DB1Normal107"/>
        <w:widowControl w:val="false"/>
        <w:spacing w:lineRule="auto" w:line="240" w:before="41" w:after="0"/>
        <w:ind w:left="0" w:right="0" w:hanging="0"/>
        <w:jc w:val="left"/>
        <w:rPr>
          <w:rFonts w:ascii="Calibri" w:hAnsi="Calibri"/>
          <w:i/>
          <w:i/>
          <w:color w:val="000000"/>
          <w:sz w:val="24"/>
        </w:rPr>
      </w:pPr>
      <w:r>
        <w:rPr/>
        <w:t xml:space="preserve">Vastaukset ja käyttö </w:t>
      </w:r>
    </w:p>
    <w:p>
      <w:pPr>
        <w:pStyle w:val="P68B1DB1Normal104"/>
        <w:widowControl w:val="false"/>
        <w:spacing w:lineRule="auto" w:line="240" w:before="7" w:after="0"/>
        <w:ind w:left="0" w:right="0" w:hanging="0"/>
        <w:jc w:val="left"/>
        <w:rPr/>
      </w:pPr>
      <w:r>
        <w:rPr/>
        <w:t xml:space="preserve">Kyselyyn vastasi yhteensä 1 967 osallistujaa, ja näytön skannaustyökalun lopussa oli 6 968 osallistujaa. Sekä kyselylomake että näytön skannaustyökalu olivat avoimia kaikille: osallistumiselle ei ollut edellytyksiä tai valintaperusteita. Kyselyssä oli mahdollista välittää kysymyksiä (pakollisia kysymyksiä ei ollut) vastausprosentin maksimoimiseksi. Osallistujat valitsivat ”En halua vastata” paljon useammin kuin edustavassa paneelikyselyssä. </w:t>
      </w:r>
    </w:p>
    <w:p>
      <w:pPr>
        <w:pStyle w:val="P68B1DB1Normal104"/>
        <w:widowControl w:val="false"/>
        <w:spacing w:lineRule="auto" w:line="240"/>
        <w:ind w:left="0" w:right="0" w:hanging="0"/>
        <w:jc w:val="left"/>
        <w:rPr/>
      </w:pPr>
      <w:r>
        <w:rPr/>
        <w:t xml:space="preserve">Avoimen kyselyn ja näytön skannausvälineen osallistujien yleiset ominaisuudet poikkeavat useilta osin edustavan paneelin osallistujista. Toisin kuin paneelikyselyssä, avoimen kyselyn ja näytön skannaustyökalun tulokset eivät ole edustavia. Avoimen verkkokyselyn tuloksia käytettiin paneelitutkimuksen täydentämiseen. Ne antavat yleiskuvan Alankomaissa kiertävistä tunteista ja ideoista. Panoskentissä mainittuja parannusehdotuksia käytettiin kohdassa ”Keskustelut ja ideat verkossa ja paikan päällä”. Näytön skannaustyökalua on käytetty ymmärtämään paremmin joitakin Alankomaissa liikkuvia tunteita. Nämä tulokset otettiin huomioon suositusten valmistelussa. Edustavuutta koskevan vaatimuksen vuoksi verkossa aloitetun tutkimuksen tulokset on otettu vain vähän huomioon tässä kertomuksessa.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Tämän raportin julkaisee ulkoasiainministeriö. </w:t>
      </w:r>
      <w:hyperlink r:id="rId117">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Kuva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Kuva47" descr=""/>
                    <pic:cNvPicPr>
                      <a:picLocks noChangeAspect="1" noChangeArrowheads="1"/>
                    </pic:cNvPicPr>
                  </pic:nvPicPr>
                  <pic:blipFill>
                    <a:blip r:embed="rId118"/>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t xml:space="preserve">Alankomaiden kansallinen hallitus </w:t>
      </w:r>
    </w:p>
    <w:p>
      <w:pPr>
        <w:pStyle w:val="P68B1DB1Normal124"/>
        <w:widowControl w:val="false"/>
        <w:spacing w:lineRule="exact" w:line="1199" w:before="278" w:after="0"/>
        <w:ind w:left="0" w:right="0" w:hanging="0"/>
        <w:jc w:val="left"/>
        <w:rPr>
          <w:rFonts w:ascii="Calibri" w:hAnsi="Calibri"/>
          <w:b/>
          <w:b/>
          <w:color w:val="0070C0"/>
          <w:sz w:val="72"/>
        </w:rPr>
      </w:pPr>
      <w:r>
        <w:rPr/>
        <w:t xml:space="preserve">Visiomme Euroopasta </w:t>
      </w:r>
    </w:p>
    <w:p>
      <w:pPr>
        <w:pStyle w:val="Titre4"/>
        <w:numPr>
          <w:ilvl w:val="3"/>
          <w:numId w:val="2"/>
        </w:numPr>
        <w:rPr/>
      </w:pPr>
      <w:bookmarkStart w:id="237" w:name="__RefHeading___Toc298386_1346298689"/>
      <w:bookmarkEnd w:id="237"/>
      <w:r>
        <w:rPr/>
        <w:t>Tammikuun 2022 raportti</w:t>
      </w:r>
    </w:p>
    <w:p>
      <w:pPr>
        <w:pStyle w:val="P68B1DB1Normal20"/>
        <w:widowControl w:val="false"/>
        <w:spacing w:lineRule="auto" w:line="240" w:before="105" w:after="0"/>
        <w:ind w:left="0" w:right="0" w:hanging="0"/>
        <w:jc w:val="left"/>
        <w:rPr>
          <w:rFonts w:ascii="Calibri" w:hAnsi="Calibri"/>
          <w:color w:val="000000"/>
          <w:sz w:val="24"/>
        </w:rPr>
      </w:pPr>
      <w:r>
        <w:rPr/>
        <w:t xml:space="preserve">Mielipiteet, ideat ja suositukset </w:t>
      </w:r>
    </w:p>
    <w:p>
      <w:pPr>
        <w:pStyle w:val="P68B1DB1Normal104"/>
        <w:widowControl w:val="false"/>
        <w:spacing w:lineRule="auto" w:line="240" w:before="116"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20"/>
        <w:widowControl w:val="false"/>
        <w:spacing w:lineRule="auto" w:line="240"/>
        <w:ind w:left="0" w:right="0" w:hanging="0"/>
        <w:jc w:val="left"/>
        <w:rPr>
          <w:rFonts w:ascii="Calibri" w:hAnsi="Calibri"/>
          <w:b/>
          <w:b/>
          <w:color w:val="000000"/>
          <w:sz w:val="21"/>
        </w:rPr>
      </w:pPr>
      <w:r>
        <w:rPr/>
        <w:t xml:space="preserve">Teemat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Ilmastonmuutos ja ympäristö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Muuttoliike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Terveys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 maailmassa </w:t>
      </w:r>
    </w:p>
    <w:p>
      <w:pPr>
        <w:pStyle w:val="P68B1DB1Normal105"/>
        <w:widowControl w:val="false"/>
        <w:spacing w:lineRule="auto" w:line="240" w:before="7" w:after="0"/>
        <w:ind w:left="0" w:right="0" w:hanging="0"/>
        <w:jc w:val="left"/>
        <w:rPr/>
      </w:pPr>
      <w:r>
        <w:rPr>
          <w:rFonts w:ascii="Verdana" w:hAnsi="Verdana"/>
        </w:rPr>
        <w:t>•</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14. tammikuuta 2022 </w:t>
      </w:r>
    </w:p>
    <w:p>
      <w:pPr>
        <w:pStyle w:val="P68B1DB1Normal105"/>
        <w:widowControl w:val="false"/>
        <w:spacing w:lineRule="auto" w:line="240" w:before="5" w:after="0"/>
        <w:ind w:left="0" w:right="0" w:hanging="0"/>
        <w:jc w:val="left"/>
        <w:rPr/>
      </w:pPr>
      <w:r>
        <w:rPr>
          <w:rFonts w:ascii="Verdana" w:hAnsi="Verdana"/>
        </w:rPr>
        <w:t>•</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Tämä asiakirja on käännös kertomuksesta ”Elze kijk op Europa; Meningen, ideeën en Aanbevelingen(EU:n visio Euroopasta: lausunnot, ideat ja suositukset”, joka julkaistiin hollannin kielellä 14. tammikuuta 2022 osoitteessa www.kijkopeuropa.nl. Tämä käännös on yksinkertaistettu versio kertomuksesta, jossa alkuperäistä esitystapaa (piirroksia ja muita graafisia elementtejä) on muutettu käännöstarkoituksia varten.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rFonts w:ascii="Calibri" w:hAnsi="Calibri"/>
          <w:b/>
          <w:b/>
          <w:color w:val="0070C0"/>
          <w:sz w:val="32"/>
        </w:rPr>
      </w:pPr>
      <w:r>
        <w:rPr/>
        <w:t xml:space="preserve">Visiomme... </w:t>
      </w:r>
    </w:p>
    <w:p>
      <w:pPr>
        <w:pStyle w:val="P68B1DB1Normal126"/>
        <w:widowControl w:val="false"/>
        <w:spacing w:lineRule="auto" w:line="240" w:before="101" w:after="0"/>
        <w:ind w:left="0" w:right="0" w:hanging="0"/>
        <w:jc w:val="left"/>
        <w:rPr>
          <w:rFonts w:ascii="Calibri" w:hAnsi="Calibri"/>
          <w:color w:val="0070C0"/>
          <w:sz w:val="24"/>
        </w:rPr>
      </w:pPr>
      <w:r>
        <w:rPr/>
        <w:t xml:space="preserve">Tiivistelmä raportista: kaikki suositukset lyhyesti </w:t>
      </w:r>
    </w:p>
    <w:p>
      <w:pPr>
        <w:pStyle w:val="P68B1DB1Normal104"/>
        <w:widowControl w:val="false"/>
        <w:spacing w:lineRule="auto" w:line="240" w:before="109" w:after="0"/>
        <w:ind w:left="0" w:right="0" w:hanging="0"/>
        <w:jc w:val="both"/>
        <w:rPr/>
      </w:pPr>
      <w:r>
        <w:rPr/>
        <w:t>”</w:t>
      </w:r>
      <w:r>
        <w:rPr/>
        <w:t xml:space="preserve">Euroopan visio” -aiheesta järjestetyn kansalaisvuoropuhelun kautta olemme keränneet Alankomaiden kansalaisten näkemyksiä ja ajatuksia Euroopan tulevaisuudesta. Tämän tuloksena Euroopan unionille annettiin seuraavat suositukset neljästä viimeisestä teemasta (yhteensä yhdeksästä teemasta). </w:t>
      </w:r>
    </w:p>
    <w:p>
      <w:pPr>
        <w:pStyle w:val="P68B1DB1Normal126"/>
        <w:widowControl w:val="false"/>
        <w:spacing w:lineRule="auto" w:line="240" w:before="108" w:after="0"/>
        <w:ind w:left="0" w:right="0" w:hanging="0"/>
        <w:jc w:val="left"/>
        <w:rPr>
          <w:rFonts w:ascii="Calibri" w:hAnsi="Calibri"/>
          <w:color w:val="0070C0"/>
          <w:sz w:val="24"/>
        </w:rPr>
      </w:pPr>
      <w:r>
        <w:rPr/>
        <w:t xml:space="preserve">Ilmastonmuutos ja ympäristö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Valitse selkeä suunta ilmastonmuutosta koskevalle eurooppalaiselle lähestymistavalle</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Varmistetaan, että maat ja yritykset tekevät tiiviimpää yhteistyötä kohdennettujen ratkaisujen löytämiseksi 3.</w:t>
      </w:r>
      <w:r>
        <w:rPr/>
        <w:t xml:space="preserve"> </w:t>
      </w:r>
      <w:r>
        <w:rPr>
          <w:rFonts w:ascii="Calibri" w:hAnsi="Calibri"/>
        </w:rPr>
        <w:t>Luoda CO2-järjestelmä, joka on oikeudenmukainen ja toteuttamiskelpoinen käytännössä</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Tiedottaminen selkeämmällä ja myönteisemmällä tavalla ilmastolähestymistavasta</w:t>
      </w:r>
    </w:p>
    <w:p>
      <w:pPr>
        <w:pStyle w:val="P68B1DB1Normal104"/>
        <w:widowControl w:val="false"/>
        <w:spacing w:lineRule="auto" w:line="240" w:before="93" w:after="0"/>
        <w:ind w:left="0" w:right="0" w:hanging="0"/>
        <w:jc w:val="left"/>
        <w:rPr/>
      </w:pPr>
      <w:r>
        <w:rPr/>
        <w:t xml:space="preserve">Alankomaat katsoo, että EU:n on oltava johtavassa asemassa ilmastonmuutoksen torjunnassa. Jäsenvaltioiden on voitava tehdä omat valintansa, mutta niiden on kuitenkin tehtävä yhteistyötä samojen tavoitteiden saavuttamiseksi. Sen sijaan, että EU-maat kiinnittäisivät huomiota toisiinsa, niiden olisi käytettävä enemmän energiaa tiedon vaihtoon ja yhteisten ratkaisujen löytämiseen. Hiilidioksidipäästöjen verotusjärjestelmä voi olla tehokas, mutta sen on oltava myös oikeudenmukainen, käytännöllinen ja selkeä. Yleisesti ottaen hollantilaiset katsovat, että EU:n olisi tiedotettava ilmastokysymyksistä tehokkaammin ja myönteisemmin. </w:t>
      </w:r>
    </w:p>
    <w:p>
      <w:pPr>
        <w:pStyle w:val="P68B1DB1Normal126"/>
        <w:widowControl w:val="false"/>
        <w:spacing w:lineRule="auto" w:line="240" w:before="108" w:after="0"/>
        <w:ind w:left="0" w:right="0" w:hanging="0"/>
        <w:jc w:val="left"/>
        <w:rPr>
          <w:rFonts w:ascii="Calibri" w:hAnsi="Calibri"/>
          <w:color w:val="0070C0"/>
          <w:sz w:val="24"/>
        </w:rPr>
      </w:pPr>
      <w:r>
        <w:rPr/>
        <w:t xml:space="preserve">Maahanmuutto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Pakolaiskysymyksestä käytävän keskustelun estäminen vähentämästä keskustelua</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Määritellään, mikä on pakolaisten oikeudenmukainen ja käytännöllinen jakautuminen</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Saatujen tietojen ja kokemusten hyödyntäminen niiden alueiden auttamiseksi, joista pakolaiset tulevat</w:t>
      </w:r>
    </w:p>
    <w:p>
      <w:pPr>
        <w:pStyle w:val="P68B1DB1Normal104"/>
        <w:widowControl w:val="false"/>
        <w:spacing w:lineRule="auto" w:line="240"/>
        <w:ind w:left="0" w:right="0" w:hanging="0"/>
        <w:jc w:val="left"/>
        <w:rPr/>
      </w:pPr>
      <w:r>
        <w:rPr/>
        <w:t xml:space="preserve">Hollantilaisten mielestä on tärkeää erottaa toisistaan vaarallisilta alueilta pakenevat ihmiset ja talouspakolaiset. Maahanmuuttoa ja kotouttamista koskevissa keskusteluissa ei useinkaan ole vivahteita. Jotta pakolaiset jakautuisivat oikeudenmukaisesti Eurooppaan, on sovittava selkeistä kriteereistä, joissa otetaan huomioon sekä jäsenvaltiot että ne, jotka ovat paenneet. Lopuksi Alankomaat ehdottaa, että EU tukee alueita, joista pakolaiset tulevat paitsi taloudellisesti myös tietämyksen kautta. </w:t>
      </w:r>
    </w:p>
    <w:p>
      <w:pPr>
        <w:pStyle w:val="P68B1DB1Normal126"/>
        <w:widowControl w:val="false"/>
        <w:spacing w:lineRule="auto" w:line="240" w:before="108" w:after="0"/>
        <w:ind w:left="0" w:right="0" w:hanging="0"/>
        <w:jc w:val="left"/>
        <w:rPr>
          <w:rFonts w:ascii="Calibri" w:hAnsi="Calibri"/>
          <w:color w:val="0070C0"/>
          <w:sz w:val="24"/>
        </w:rPr>
      </w:pPr>
      <w:r>
        <w:rPr/>
        <w:t xml:space="preserve">Terveys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Valvoa paremmin pandemian hallintaa</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Varmistaa kohtuuhintaisten ja luotettavien lääkkeiden saatavuus kaikille</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Maiden on keskityttävä parantamaan terveydenhuoltojärjestelmiään ja tekemään niistä oikeudenmukaisempia.</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both"/>
        <w:rPr/>
      </w:pPr>
      <w:r>
        <w:rPr>
          <w:rFonts w:ascii="Calibri" w:hAnsi="Calibri"/>
          <w:color w:val="000000"/>
          <w:sz w:val="21"/>
        </w:rPr>
        <w:t xml:space="preserve">Alankomaat katsoo, että EU-maiden on tehtävä enemmän yhteistyötä pandemian torjumiseksi. Koronaviruskriisin käsittelytapa aiheuttaa joskus sekaannusta. Sääntöjen pitäisi olla yhdenmukaisempia keskenään, eikä niiden tarvitse olla samat kaikkialla. Mitä tulee rokotteisiin tai lääkkeisiin, hollantilaiset haluavat hintojen pysyvän mahdollisimman alhaisina, mutta haluavat luottaa laatuun ja vastuulliseen tuotantoon. Lisäksi mielestämme on tärkeää, että suuryritykset eivät käytä väärin valtaansa, ja mielestämme terveydenhuollon on jatkuttava kansallisella tasolla. </w:t>
      </w:r>
      <w:r>
        <w:br w:type="page"/>
      </w:r>
    </w:p>
    <w:p>
      <w:pPr>
        <w:pStyle w:val="P68B1DB1Normal126"/>
        <w:widowControl w:val="false"/>
        <w:spacing w:lineRule="auto" w:line="240"/>
        <w:ind w:left="0" w:right="0" w:hanging="0"/>
        <w:jc w:val="left"/>
        <w:rPr>
          <w:rFonts w:ascii="Calibri" w:hAnsi="Calibri"/>
          <w:color w:val="0070C0"/>
          <w:sz w:val="24"/>
        </w:rPr>
      </w:pPr>
      <w:r>
        <w:rPr/>
        <w:t xml:space="preserve">EU:n rooli maailmassa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EU:n vahvuuden hyödyntäminen keskeisissä kansainvälisissä teemoissa</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Valitse yhteistyö Euroopassa ja sen ulkopuolella taistelun sijaan</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Tarjota harkitulla tavalla apua konfliktin sattuessa</w:t>
      </w:r>
    </w:p>
    <w:p>
      <w:pPr>
        <w:pStyle w:val="P68B1DB1Normal104"/>
        <w:widowControl w:val="false"/>
        <w:spacing w:lineRule="auto" w:line="240" w:before="84" w:after="0"/>
        <w:ind w:left="0" w:right="0" w:hanging="0"/>
        <w:jc w:val="left"/>
        <w:rPr/>
      </w:pPr>
      <w:r>
        <w:rPr/>
        <w:t xml:space="preserve">Alankomaat katsoo, että eurooppalaisessa yhteistyössä olisi keskityttävä ensisijaisesti tärkeimpiin yhteisiin etuihin. Myös EU:n ja kolmansien maiden välisen yhteistyön on oltava osa tätä lähestymistapaa. Ilmastonmuutoksen ja koronaviruspandemian lisäksi näitä ovat muun muassa kansainvälinen turvallisuus ja Euroopan talouden suojeleminen epäterveiltä kaupan käytännöiltä. Euroopassa ja sen ulkopuolella hollantilaiset pitävät parempana yhteistyötä kuin taistelua. Konfliktien osalta on aina parempi ratkaista ne turvautumatta väkivaltaan. </w:t>
      </w:r>
    </w:p>
    <w:p>
      <w:pPr>
        <w:pStyle w:val="P68B1DB1Normal125"/>
        <w:widowControl w:val="false"/>
        <w:spacing w:lineRule="auto" w:line="240" w:before="96" w:after="0"/>
        <w:ind w:left="0" w:right="0" w:hanging="0"/>
        <w:jc w:val="left"/>
        <w:rPr>
          <w:rFonts w:ascii="Calibri" w:hAnsi="Calibri"/>
          <w:b/>
          <w:b/>
          <w:color w:val="0070C0"/>
          <w:sz w:val="32"/>
        </w:rPr>
      </w:pPr>
      <w:r>
        <w:rPr/>
        <w:t xml:space="preserve">Esittely </w:t>
      </w:r>
    </w:p>
    <w:p>
      <w:pPr>
        <w:pStyle w:val="P68B1DB1Normal104"/>
        <w:widowControl w:val="false"/>
        <w:spacing w:lineRule="auto" w:line="240" w:before="183" w:after="0"/>
        <w:ind w:left="0" w:right="0" w:hanging="0"/>
        <w:jc w:val="left"/>
        <w:rPr/>
      </w:pPr>
      <w:r>
        <w:rPr/>
        <w:t xml:space="preserve">Syyskuun 1. päivän ja marraskuun puolivälin välisenä aikana järjestetyn kansalaiskeskustelun ”Vision of Europe” ansiosta kaikki hollantilaiset voivat ilmaista mielipiteensä ja ajatuksiaan Euroopan tulevaisuudesta. Alankomaiden on esitettävä Euroopan unionille (EU) suositukset, joiden pohjalta vuoropuhelu on johtanut, sekä esitetyt ajatukset ja näkemykset. Tässä kertomuksessa käsitellään neljää viimeistä teemaa (yhteensä tunnistetuista yhdeksästä teemasta). Viittä ensimmäistä aihetta on jo käsitelty 3. joulukuuta 2021 julkaistussa kertomuksessa. </w:t>
      </w:r>
    </w:p>
    <w:p>
      <w:pPr>
        <w:pStyle w:val="P68B1DB1Normal126"/>
        <w:widowControl w:val="false"/>
        <w:spacing w:lineRule="auto" w:line="240" w:before="79" w:after="0"/>
        <w:ind w:left="0" w:right="0" w:hanging="0"/>
        <w:jc w:val="left"/>
        <w:rPr>
          <w:rFonts w:ascii="Calibri" w:hAnsi="Calibri"/>
          <w:color w:val="0070C0"/>
          <w:sz w:val="24"/>
        </w:rPr>
      </w:pPr>
      <w:r>
        <w:rPr/>
        <w:t xml:space="preserve">Euroopan visiosta </w:t>
      </w:r>
    </w:p>
    <w:p>
      <w:pPr>
        <w:pStyle w:val="P68B1DB1Normal104"/>
        <w:widowControl w:val="false"/>
        <w:spacing w:lineRule="auto" w:line="240" w:before="78" w:after="0"/>
        <w:ind w:left="0" w:right="0" w:hanging="0"/>
        <w:jc w:val="left"/>
        <w:rPr/>
      </w:pPr>
      <w:r>
        <w:rPr/>
        <w:t xml:space="preserve">Euroopan unioni haluaa kansalaistensa kertovan mielipiteensä Euroopasta. Siksi EU järjestää Euroopan tulevaisuutta käsittelevän konferenssin. Euroopan unionin kansalaisten mielipiteet ja ajatukset otetaan tällöin huomioon Euroopan tulevaisuutta koskevissa suunnitelmissa. Alankomaat järjesti konferenssin yhteydessä kansalaiskeskustelun ”Vision of Europe” kansallisella tasolla. </w:t>
      </w:r>
    </w:p>
    <w:p>
      <w:pPr>
        <w:pStyle w:val="P68B1DB1Normal104"/>
        <w:widowControl w:val="false"/>
        <w:spacing w:lineRule="auto" w:line="240"/>
        <w:ind w:left="0" w:right="0" w:hanging="0"/>
        <w:jc w:val="left"/>
        <w:rPr/>
      </w:pPr>
      <w:r>
        <w:rPr/>
        <w:t xml:space="preserve">Euroopan visiota koskeva vuoropuhelu alkoi 1. syyskuuta, kun mielipiteet ja ideat kerättiin verkossa edustavan paneelin avulla. Paneelikyselyn ensimmäisten tulosten syventämiseksi ja konkreettisten suositusten tekemiseksi järjestimme verkossa temaattisia vuoropuheluja. Kaikki, jotka haluavat osallistua, voivat osallistua. Matkustimme myös käymään keskusteluja nuorten ja muiden ryhmien kanssa (vaikeat tavoittaa).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 xml:space="preserve">Koululaisista, ammattikoulun oppilaista ja opiskelijoista ministeriin, maanviljelijöihin ja maahanmuuttajiin </w:t>
      </w:r>
    </w:p>
    <w:p>
      <w:pPr>
        <w:pStyle w:val="P68B1DB1Normal104"/>
        <w:widowControl w:val="false"/>
        <w:spacing w:lineRule="auto" w:line="240" w:before="91" w:after="0"/>
        <w:ind w:left="0" w:right="0" w:hanging="0"/>
        <w:jc w:val="both"/>
        <w:rPr/>
      </w:pPr>
      <w:r>
        <w:rPr/>
        <w:t xml:space="preserve">Loka- ja marraskuussa järjestettiin yhteensä kahdeksan verkossa käytävää aihekohtaista vuoropuhelua, joihin osallistui keskimäärin 30 osallistujaa kokousta kohden. Järjestimme myös verkossa käytävän aihekohtaisen vuoropuhelun ja seitsemän paikan päällä käytävää aihekohtaista vuoropuhelua Alankomaiden eri kansalaisryhmien kanssa. Puhuimme turkkilaisen yhteisön kanssa Schiedamissa, ja Piëzo-säätiön vapaaehtoiset kutsuivat meidät Zoetermeeriin. Jälkimmäisessä yhteydessä myös ulkoministeri Ben Knapen oli läsnä vuoropuhelun päätteeksi. Ministeri keskusteli osallistujien kanssa vuoropuhelusta ja Euroopan tulevaisuudesta esitetyistä näkemyksistä. Lopuksi järjestimme kuusi tapaamista eri nuorisoryhmien kanssa. Esimerkiksi olimme tervetulleita lukioon Helmondiin, ammatilliseen lukioon Doetinchemissa ja Leidenin yliopistoon. </w:t>
      </w:r>
    </w:p>
    <w:p>
      <w:pPr>
        <w:pStyle w:val="P68B1DB1Normal113"/>
        <w:widowControl w:val="false"/>
        <w:spacing w:lineRule="auto" w:line="240" w:before="160" w:after="0"/>
        <w:ind w:left="0" w:right="0" w:hanging="0"/>
        <w:jc w:val="center"/>
        <w:rPr/>
      </w:pPr>
      <w:r>
        <w:rPr/>
        <w:t xml:space="preserve">Tämä on lastemme tulevaisuus. Siksi mielestäni on tärkeää osallistua. </w:t>
      </w:r>
    </w:p>
    <w:p>
      <w:pPr>
        <w:pStyle w:val="P68B1DB1Normal104"/>
        <w:widowControl w:val="false"/>
        <w:spacing w:lineRule="auto" w:line="240" w:before="127" w:after="0"/>
        <w:ind w:left="0" w:right="0" w:hanging="0"/>
        <w:jc w:val="left"/>
        <w:rPr>
          <w:rFonts w:ascii="Calibri" w:hAnsi="Calibri"/>
          <w:color w:val="000000"/>
          <w:sz w:val="21"/>
        </w:rPr>
      </w:pPr>
      <w:r>
        <w:rPr/>
        <w:t xml:space="preserve">Aihekohtaiseen vuoropuheluun osallistuminen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Tietoa tästä raportista </w:t>
      </w:r>
    </w:p>
    <w:p>
      <w:pPr>
        <w:pStyle w:val="P68B1DB1Normal104"/>
        <w:widowControl w:val="false"/>
        <w:spacing w:lineRule="auto" w:line="240" w:before="88" w:after="0"/>
        <w:ind w:left="0" w:right="0" w:hanging="0"/>
        <w:jc w:val="left"/>
        <w:rPr/>
      </w:pPr>
      <w:r>
        <w:rPr/>
        <w:t xml:space="preserve">Olemme laatineet viime kuukausina keräämiemme ajatusten ja mielipiteiden pohjalta joukon suosituksia, joita Alankomaiden kansalaiset antavat Euroopan unionille. Alankomaiden kansalaisten välisissä keskusteluissa käytiin mielenkiintoisia keskusteluja ja tehtiin innovatiivisia ideoita ja ehdotuksia. Osa näistä ajatuksista ja ehdotuksista on sisällytetty tähän mietintöön. Tämän mietinnön sisältö on näin ollen Alankomaiden ääni: visiomme Euroopasta.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Aivan kuten eri maiden ja Euroopan kansalaisten välillä on erimielisyyksiä, emme myöskään aina ole samaa mieltä Alankomaiden sisällä. Nämä näkemyserot ovat nimenomaan arvokkaita: ne ovat demokratian tärkeä piirre. Suositukset perustuvat Vision of Europe -kyselyyn osallistuneiden useimmin ilmaisemiin ajatuksiin ja mielipiteisiin. Kuvailemme myös huolia, ideoita ja tunteita, jotka saattavat olla harvinaisempia, mutta jotka ovat kiinnittäneet huomiomme vuoropuheluissa ja verkkokyselyssä. </w:t>
      </w:r>
    </w:p>
    <w:p>
      <w:pPr>
        <w:pStyle w:val="P68B1DB1Normal113"/>
        <w:widowControl w:val="false"/>
        <w:spacing w:lineRule="auto" w:line="240" w:before="181" w:after="0"/>
        <w:ind w:left="0" w:right="0" w:hanging="0"/>
        <w:jc w:val="center"/>
        <w:rPr/>
      </w:pPr>
      <w:r>
        <w:rPr/>
        <w:t xml:space="preserve">Nautin siitä, että pystyin kertomaan mielipiteeni aiheista, jotka ovat mielestäni tärkeitä. Ja on ollut tunne, että minua kuunnellaan. </w:t>
      </w:r>
    </w:p>
    <w:p>
      <w:pPr>
        <w:pStyle w:val="P68B1DB1Normal104"/>
        <w:widowControl w:val="false"/>
        <w:spacing w:lineRule="auto" w:line="240" w:before="300" w:after="0"/>
        <w:ind w:left="0" w:right="0" w:hanging="0"/>
        <w:jc w:val="left"/>
        <w:rPr>
          <w:rFonts w:ascii="Calibri" w:hAnsi="Calibri"/>
          <w:color w:val="000000"/>
          <w:sz w:val="21"/>
        </w:rPr>
      </w:pPr>
      <w:r>
        <w:rPr/>
        <w:t xml:space="preserve">Aihekohtaiseen vuoropuheluun osallistuminen </w:t>
      </w:r>
    </w:p>
    <w:p>
      <w:pPr>
        <w:pStyle w:val="P68B1DB1Normal104"/>
        <w:widowControl w:val="false"/>
        <w:spacing w:lineRule="auto" w:line="240"/>
        <w:ind w:left="0" w:right="0" w:hanging="0"/>
        <w:jc w:val="left"/>
        <w:rPr/>
      </w:pPr>
      <w:r>
        <w:rPr/>
        <w:t xml:space="preserve">Euroopan tulevaisuutta käsittelevää konferenssia varten määriteltiin yhdeksän teemaa. Nämä aiheet ovat myös keskeisellä sijalla Euroopan visiossa Alankomaiden kansalaisten kanssa käytävässä vuoropuhelussa. Lokakuussa julkaisimme väliraportin, jossa esitetään alustava katsaus paneelikyselyyn perustuviin tuloksiin ja täydentäviin kysymyksiin. Joulukuun alussa julkaistiin uusi raportti, jossa esitetään näkemyksiä, ideoita ja suosituksia viidestä ensimmäisestä aihepiiristä. Tässä raportissa käsitellään jäljellä olevia neljää teemaa.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rFonts w:ascii="Calibri" w:hAnsi="Calibri"/>
          <w:b/>
          <w:b/>
          <w:color w:val="000000"/>
          <w:sz w:val="22"/>
        </w:rPr>
      </w:pPr>
      <w:r>
        <w:rPr/>
        <w:t xml:space="preserve">Edellinen kertomus – joulukuu 2021 </w:t>
      </w:r>
    </w:p>
    <w:p>
      <w:pPr>
        <w:pStyle w:val="P68B1DB1Normal104"/>
        <w:widowControl w:val="false"/>
        <w:spacing w:lineRule="auto" w:line="240"/>
        <w:ind w:left="0" w:right="0" w:hanging="0"/>
        <w:jc w:val="left"/>
        <w:rPr>
          <w:rFonts w:ascii="Calibri" w:hAnsi="Calibri"/>
          <w:color w:val="000000"/>
          <w:sz w:val="21"/>
        </w:rPr>
      </w:pPr>
      <w:r>
        <w:rPr/>
        <w:t xml:space="preserve">Arvot ja oikeudet, oikeusvaltio ja turvallisuus </w:t>
      </w:r>
    </w:p>
    <w:p>
      <w:pPr>
        <w:pStyle w:val="P68B1DB1Normal104"/>
        <w:widowControl w:val="false"/>
        <w:spacing w:lineRule="auto" w:line="240"/>
        <w:ind w:left="0" w:right="0" w:hanging="0"/>
        <w:jc w:val="left"/>
        <w:rPr/>
      </w:pPr>
      <w:r>
        <w:rPr/>
        <w:t xml:space="preserve">Vahvempi talous, sosiaalinen oikeudenmukaisuus ja työllisyys Euroopan demokratia </w:t>
      </w:r>
    </w:p>
    <w:p>
      <w:pPr>
        <w:pStyle w:val="P68B1DB1Normal104"/>
        <w:widowControl w:val="false"/>
        <w:spacing w:lineRule="auto" w:line="240"/>
        <w:ind w:left="0" w:right="0" w:hanging="0"/>
        <w:jc w:val="left"/>
        <w:rPr>
          <w:rFonts w:ascii="Calibri" w:hAnsi="Calibri"/>
          <w:color w:val="000000"/>
          <w:sz w:val="21"/>
        </w:rPr>
      </w:pPr>
      <w:r>
        <w:rPr/>
        <w:t xml:space="preserve">Digitaalinen muutos </w:t>
      </w:r>
    </w:p>
    <w:p>
      <w:pPr>
        <w:pStyle w:val="P68B1DB1Normal104"/>
        <w:widowControl w:val="false"/>
        <w:spacing w:lineRule="auto" w:line="240"/>
        <w:ind w:left="0" w:right="0" w:hanging="0"/>
        <w:jc w:val="left"/>
        <w:rPr>
          <w:rFonts w:ascii="Calibri" w:hAnsi="Calibri"/>
          <w:color w:val="000000"/>
          <w:sz w:val="21"/>
        </w:rPr>
      </w:pPr>
      <w:r>
        <w:rPr/>
        <w:t xml:space="preserve">Koulutus, kulttuuri, nuoriso ja urheilu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Tämänhetkinen kertomus – tammikuu 2022</w:t>
      </w:r>
    </w:p>
    <w:p>
      <w:pPr>
        <w:pStyle w:val="P68B1DB1Normal104"/>
        <w:widowControl w:val="false"/>
        <w:spacing w:lineRule="auto" w:line="240"/>
        <w:ind w:left="0" w:right="0" w:hanging="0"/>
        <w:jc w:val="left"/>
        <w:rPr/>
      </w:pPr>
      <w:r>
        <w:rPr/>
        <w:t xml:space="preserve">Ilmastonmuutos ja ympäristö </w:t>
      </w:r>
    </w:p>
    <w:p>
      <w:pPr>
        <w:pStyle w:val="P68B1DB1Normal104"/>
        <w:widowControl w:val="false"/>
        <w:spacing w:lineRule="auto" w:line="240"/>
        <w:ind w:left="0" w:right="0" w:hanging="0"/>
        <w:jc w:val="left"/>
        <w:rPr>
          <w:rFonts w:ascii="Calibri" w:hAnsi="Calibri"/>
          <w:color w:val="000000"/>
          <w:sz w:val="21"/>
        </w:rPr>
      </w:pPr>
      <w:r>
        <w:rPr/>
        <w:t xml:space="preserve">Maahanmuutto </w:t>
      </w:r>
    </w:p>
    <w:p>
      <w:pPr>
        <w:pStyle w:val="P68B1DB1Normal104"/>
        <w:widowControl w:val="false"/>
        <w:spacing w:lineRule="auto" w:line="240"/>
        <w:ind w:left="0" w:right="0" w:hanging="0"/>
        <w:jc w:val="left"/>
        <w:rPr>
          <w:rFonts w:ascii="Calibri" w:hAnsi="Calibri"/>
          <w:color w:val="000000"/>
          <w:sz w:val="21"/>
        </w:rPr>
      </w:pPr>
      <w:r>
        <w:rPr/>
        <w:t xml:space="preserve">Terveys </w:t>
      </w:r>
    </w:p>
    <w:p>
      <w:pPr>
        <w:pStyle w:val="P68B1DB1Normal104"/>
        <w:widowControl w:val="false"/>
        <w:spacing w:lineRule="auto" w:line="240"/>
        <w:ind w:left="0" w:right="0" w:hanging="0"/>
        <w:jc w:val="left"/>
        <w:rPr>
          <w:rFonts w:ascii="Calibri" w:hAnsi="Calibri"/>
          <w:color w:val="000000"/>
          <w:sz w:val="21"/>
        </w:rPr>
      </w:pPr>
      <w:r>
        <w:rPr/>
        <w:t xml:space="preserve">EU maailmassa </w:t>
      </w:r>
    </w:p>
    <w:p>
      <w:pPr>
        <w:pStyle w:val="P68B1DB1Normal126"/>
        <w:widowControl w:val="false"/>
        <w:spacing w:lineRule="auto" w:line="240" w:before="105" w:after="0"/>
        <w:ind w:left="0" w:right="0" w:hanging="0"/>
        <w:jc w:val="left"/>
        <w:rPr>
          <w:rFonts w:ascii="Calibri" w:hAnsi="Calibri"/>
          <w:color w:val="0070C0"/>
          <w:sz w:val="24"/>
        </w:rPr>
      </w:pPr>
      <w:r>
        <w:rPr/>
        <w:t xml:space="preserve">Seuraavat vaiheet </w:t>
      </w:r>
    </w:p>
    <w:p>
      <w:pPr>
        <w:pStyle w:val="Normal"/>
        <w:widowControl w:val="false"/>
        <w:spacing w:lineRule="auto" w:line="240" w:before="107" w:after="0"/>
        <w:ind w:left="0" w:right="0" w:hanging="0"/>
        <w:jc w:val="left"/>
        <w:rPr/>
      </w:pPr>
      <w:r>
        <w:rPr/>
        <w:t>Euroopan tulevaisuutta</w:t>
      </w:r>
      <w:r>
        <w:rPr>
          <w:rFonts w:ascii="Calibri" w:hAnsi="Calibri"/>
          <w:color w:val="000000"/>
          <w:sz w:val="21"/>
        </w:rPr>
        <w:t xml:space="preserve">käsittelevä konferenssi kokoaa yhteen kaikkien EU:n kansalaisten ajatukset, lausunnot ja suositukset. Kokouksissa käsitellään paitsi kaikkien kansalaisvuoropuhelujen tuloksia kansallisella tasolla myös muiden konferenssin yhteydessä käynnistettyjen aloitteiden tuloksia. Esimerkiksi on olemassa Euroopan kansalaisten paneelit, ja kaikki EU:n kansalaiset (myös Alankomaiden kansalaiset) voivat käyttää eurooppalaista digitaalista alustaa. </w:t>
      </w:r>
      <w:r>
        <w:br w:type="page"/>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13"/>
        <w:widowControl w:val="false"/>
        <w:spacing w:lineRule="auto" w:line="240"/>
        <w:ind w:left="0" w:right="0" w:hanging="0"/>
        <w:jc w:val="center"/>
        <w:rPr/>
      </w:pPr>
      <w:r>
        <w:rPr/>
        <w:t>”</w:t>
      </w:r>
      <w:r>
        <w:rPr/>
        <w:t xml:space="preserve">Toivon, että EU-johtajat ottavat näkemykseni huomioon. Ja se auttaa heitä tekemään oikeita valintoja. </w:t>
      </w:r>
    </w:p>
    <w:p>
      <w:pPr>
        <w:pStyle w:val="P68B1DB1Normal104"/>
        <w:widowControl w:val="false"/>
        <w:spacing w:lineRule="auto" w:line="240" w:before="300" w:after="0"/>
        <w:ind w:left="0" w:right="0" w:hanging="0"/>
        <w:jc w:val="left"/>
        <w:rPr>
          <w:rFonts w:ascii="Calibri" w:hAnsi="Calibri"/>
          <w:color w:val="000000"/>
          <w:sz w:val="21"/>
        </w:rPr>
      </w:pPr>
      <w:r>
        <w:rPr/>
        <w:t xml:space="preserve">Aihekohtaiseen vuoropuheluun osallistuminen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Konferenssi päättyy keväällä 2022. Tämän jälkeen Alankomaat laatii loppuraportin kansalaisvuoropuhelusta: yhteenveto tästä kertomuksesta ja edellisestä kertomuksesta, mukaan lukien suositukset kaikille yhdeksälle aihepiirille. Konferenssin jälkeen annetaan suosituksia konferenssin puheenjohtajalle: Euroopan parlamentin puhemiehet, ministerineuvoston puheenjohtajat ja Euroopan komission puheenjohtajat. He sitoutuivat tutkimaan tapoja ja keinoja suositusten täytäntöönpanoon. Alankomaiden hallitukselle tulokset ovat myös arvokas panos Alankomaiden eurooppalaisen politiikan kehittämiseen.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Yhteenvetona voidaan todeta, että kevään 2022 prosessi järjestetään seuraavasti: </w:t>
      </w:r>
      <w:r>
        <w:br w:type="page"/>
      </w:r>
    </w:p>
    <w:p>
      <w:pPr>
        <w:pStyle w:val="P68B1DB1Normal127"/>
        <w:widowControl w:val="false"/>
        <w:spacing w:lineRule="auto" w:line="240" w:before="0" w:after="0"/>
        <w:ind w:left="0" w:right="0" w:hanging="0"/>
        <w:jc w:val="left"/>
        <w:rPr/>
      </w:pPr>
      <w:r>
        <w:rPr>
          <w:color w:val="0070C0"/>
          <w:sz w:val="24"/>
        </w:rPr>
        <w:t>Kronologia</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Visio Euroopasta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 syyskuuta</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12. lokakuuta</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22.–23. lokakuuta</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15. marraskuuta</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3. joulukuuta</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14. tammikuuta</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21/22 tammikuu</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Helmikuu</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18/19 Helmikuu</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11.-12. maaliskuuta</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22/24 huhtikuu</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Ideoiden kerääminen verkossa</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Temaattiset vuoropuhelut</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Välitulokset (väliraportti)</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w:t>
            </w:r>
            <w:r>
              <w:rPr/>
              <w:t>Taloustiede” ja ”demokratia”</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Väliraportti ”Ilmasto” ja ”EU maailmassa”</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Loppuraportti ”Visio Euroopalle”</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SUOMI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SUOMI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SUOMI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SUOMI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SUOMI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Konferenssin kokous</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Konferenssin kokous</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Tapaaminen </w:t>
              <w:br/>
              <w:t>konferenssi</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(mahdollisesti) konferenssin kokous</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Konferenssin päätöstilaisuus</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Suositukset puheenjohtajille </w:t>
            </w:r>
          </w:p>
          <w:p>
            <w:pPr>
              <w:pStyle w:val="P68B1DB1Contenudetableau128"/>
              <w:spacing w:before="57" w:after="57"/>
              <w:jc w:val="left"/>
              <w:rPr>
                <w:color w:val="000000"/>
                <w:sz w:val="14"/>
              </w:rPr>
            </w:pPr>
            <w:r>
              <w:rPr/>
              <w:t xml:space="preserve">• </w:t>
            </w:r>
            <w:r>
              <w:rPr/>
              <w:t xml:space="preserve">Euroopan parlamentti </w:t>
              <w:br/>
              <w:t xml:space="preserve">• Euroopan komissio </w:t>
              <w:br/>
              <w:t>• Ministerineuvosto</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Lisää mielipiteitä ja ajatuksia Euroopan tulevaisuudesta:</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Vuoropuhelu kansalaisten kanssa</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Eurooppalaiset kansalaispaneelit</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Eurooppalainen digitaalinen foorumi (myös Alankomaiden kansalaisille)</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rFonts w:ascii="Calibri" w:hAnsi="Calibri"/>
          <w:color w:val="0070C0"/>
          <w:sz w:val="24"/>
        </w:rPr>
      </w:pPr>
      <w:r>
        <w:rPr/>
        <w:t xml:space="preserve">Selitykset lukemisen helpottamiseksi </w:t>
      </w:r>
    </w:p>
    <w:p>
      <w:pPr>
        <w:pStyle w:val="P68B1DB1Normal104"/>
        <w:widowControl w:val="false"/>
        <w:spacing w:lineRule="exact" w:line="281" w:before="116" w:after="0"/>
        <w:ind w:left="0" w:right="772" w:hanging="0"/>
        <w:jc w:val="left"/>
        <w:rPr/>
      </w:pPr>
      <w:r>
        <w:rPr/>
        <w:t xml:space="preserve">Tässä raportissa käsiteltiin neljää teemaa. Jokaiseen teemaan olemme sisällyttäneet peräkkäin: </w:t>
      </w:r>
    </w:p>
    <w:p>
      <w:pPr>
        <w:pStyle w:val="P68B1DB1Normal104"/>
        <w:widowControl w:val="false"/>
        <w:spacing w:lineRule="exact" w:line="339" w:before="1" w:after="0"/>
        <w:ind w:left="0" w:right="0" w:hanging="0"/>
        <w:jc w:val="left"/>
        <w:rPr>
          <w:rFonts w:ascii="Calibri" w:hAnsi="Calibri"/>
          <w:color w:val="000000"/>
          <w:sz w:val="21"/>
        </w:rPr>
      </w:pPr>
      <w:r>
        <w:rPr/>
        <w:t xml:space="preserve">kansalaisvuoropuhelun kaikkiin näkökohtiin perustuvat suositukset; </w:t>
      </w:r>
    </w:p>
    <w:p>
      <w:pPr>
        <w:pStyle w:val="P68B1DB1Normal104"/>
        <w:widowControl w:val="false"/>
        <w:spacing w:lineRule="exact" w:line="283"/>
        <w:ind w:left="0" w:right="137" w:hanging="0"/>
        <w:jc w:val="left"/>
        <w:rPr/>
      </w:pPr>
      <w:r>
        <w:rPr/>
        <w:t xml:space="preserve">verkossa ja paikan päällä käytävät keskustelut ja ideat: yleiskatsaus (verkossa ja fyysisessä läsnäolossa) vaihdetuista lausunnoista, ideoista ja näkemyksistä temaattisten vuoropuhelujen aikana.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Tämän raportin lopussa on kuvaus tutkimuksessa käytetyistä menetelmistä.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Ilmastonmuutos ja ympäristö </w:t>
      </w:r>
    </w:p>
    <w:p>
      <w:pPr>
        <w:pStyle w:val="P68B1DB1Normal126"/>
        <w:widowControl w:val="false"/>
        <w:spacing w:lineRule="auto" w:line="240" w:before="48" w:after="0"/>
        <w:ind w:left="0" w:right="0" w:hanging="0"/>
        <w:jc w:val="left"/>
        <w:rPr>
          <w:rFonts w:ascii="Calibri" w:hAnsi="Calibri"/>
          <w:color w:val="0070C0"/>
          <w:sz w:val="24"/>
        </w:rPr>
      </w:pPr>
      <w:r>
        <w:rPr/>
        <w:t xml:space="preserve">Suositukset – Visio ilmastonmuutoksesta ja ympäristöstä </w:t>
      </w:r>
    </w:p>
    <w:p>
      <w:pPr>
        <w:pStyle w:val="P68B1DB1Normal120"/>
        <w:widowControl w:val="false"/>
        <w:spacing w:lineRule="auto" w:line="240" w:before="61" w:after="0"/>
        <w:ind w:left="0" w:right="0" w:hanging="0"/>
        <w:jc w:val="left"/>
        <w:rPr/>
      </w:pPr>
      <w:r>
        <w:rPr/>
        <w:t xml:space="preserve">71 prosenttia alankomaalaisista katsoo, että ilmastonmuutos ja ympäristö ovat tärkeä kysymys ja että EU:n on puututtava asiaan. </w:t>
      </w:r>
    </w:p>
    <w:p>
      <w:pPr>
        <w:pStyle w:val="P68B1DB1Normal110"/>
        <w:widowControl w:val="false"/>
        <w:spacing w:lineRule="auto" w:line="240" w:before="57" w:after="0"/>
        <w:ind w:left="0" w:right="0" w:hanging="0"/>
        <w:jc w:val="left"/>
        <w:rPr/>
      </w:pPr>
      <w:r>
        <w:rPr>
          <w:b/>
        </w:rPr>
        <w:t xml:space="preserve">1. Valitessaan selkeän suunnan ilmastonmuutosta koskevalle eurooppalaiselle lähestymistavalle </w:t>
      </w:r>
      <w:r>
        <w:rPr>
          <w:sz w:val="21"/>
        </w:rPr>
        <w:t xml:space="preserve">68 prosenttia alankomaalaisista katsoo, että on oltava johtava rooli ilmastonmuutoksen torjunnassa. Ilmaston lämpeneminen on ongelma, eikä yksikään maa voi ratkaista sitä yksin. Vaikka kaikki hollantilaiset eivät ole samaa mieltä ilmastonmuutoksesta, katsomme, että on joka tapauksessa oltava selkeämpi näkemys tulevaisuudesta. Vihreän kehityksen ohjelmasta huolimatta näemme tällä hetkellä, että jäsenvaltiot eivät useinkaan ole yhdenmukaisia. Vaikka maiden on voitava edelleen tehdä omia valintojaan, niiden on kuitenkin tehtävä yhteistyötä samojen tavoitteiden saavuttamiseksi. Uskomme myös, että kansalaisina meillä on myös oma vastuumme esimerkiksi kulutustottumusten mukauttamisesta. </w:t>
      </w:r>
    </w:p>
    <w:p>
      <w:pPr>
        <w:pStyle w:val="P68B1DB1Normal113"/>
        <w:widowControl w:val="false"/>
        <w:spacing w:lineRule="auto" w:line="240" w:before="135" w:after="0"/>
        <w:ind w:left="0" w:right="0" w:hanging="0"/>
        <w:jc w:val="center"/>
        <w:rPr/>
      </w:pPr>
      <w:r>
        <w:rPr/>
        <w:t xml:space="preserve">Alankomaat haluaa luopua maakaasusta, kun taas Saksassa sitä kannustetaan käyttämään maakaasua. Joskus ei ole mitään ymmärrettävää. </w:t>
      </w:r>
    </w:p>
    <w:p>
      <w:pPr>
        <w:pStyle w:val="P68B1DB1Normal111"/>
        <w:widowControl w:val="false"/>
        <w:spacing w:lineRule="auto" w:line="240" w:before="109" w:after="0"/>
        <w:ind w:left="0" w:right="0" w:hanging="0"/>
        <w:jc w:val="left"/>
        <w:rPr/>
      </w:pPr>
      <w:r>
        <w:rPr/>
        <w:t xml:space="preserve">2. Varmistetaan, että maat ja yritykset tekevät tiiviimpää yhteistyötä kohdennettujen ratkaisujen löytämiseksi </w:t>
      </w:r>
    </w:p>
    <w:p>
      <w:pPr>
        <w:pStyle w:val="P68B1DB1Normal104"/>
        <w:widowControl w:val="false"/>
        <w:spacing w:lineRule="auto" w:line="240"/>
        <w:ind w:left="0" w:right="0" w:hanging="0"/>
        <w:jc w:val="left"/>
        <w:rPr/>
      </w:pPr>
      <w:r>
        <w:rPr/>
        <w:t xml:space="preserve">Mitä tulee ilmastonmuutokseen ja ympäristöön, hollantilaiset huomaavat, että maat osoittavat usein sormiaan. Usein keskitytään eroihin esimerkiksi EU:n köyhien ja rikkaiden maiden välillä. Tai pitkälle teollistuneiden tai heikosti teollistuneiden maiden välillä. Haluaisimme mieluummin päästä yksimielisyyteen. Esimerkiksi samanlaiset yritykset eri maissa voisivat vaihtaa tietoa ja pohtia yhdessä ratkaisuja. Jos näin tapahtuisi, köyhemmät maat voisivat osallistua enemmän ilmastonmuutokseen. He voisivat osallistua pohdintaan ja hyödyntää myös yhteisiä ratkaisuja. </w:t>
      </w:r>
    </w:p>
    <w:p>
      <w:pPr>
        <w:pStyle w:val="P68B1DB1Normal113"/>
        <w:widowControl w:val="false"/>
        <w:spacing w:lineRule="auto" w:line="240" w:before="143" w:after="0"/>
        <w:ind w:left="0" w:right="0" w:hanging="0"/>
        <w:jc w:val="center"/>
        <w:rPr/>
      </w:pPr>
      <w:r>
        <w:rPr/>
        <w:t xml:space="preserve">Ilmastonmuutoksen ei pitäisi olla kilpailu vaan yhteistyö. </w:t>
      </w:r>
    </w:p>
    <w:p>
      <w:pPr>
        <w:pStyle w:val="P68B1DB1Normal111"/>
        <w:widowControl w:val="false"/>
        <w:spacing w:lineRule="auto" w:line="240" w:before="107" w:after="0"/>
        <w:ind w:left="0" w:right="0" w:hanging="0"/>
        <w:jc w:val="left"/>
        <w:rPr>
          <w:rFonts w:ascii="Calibri" w:hAnsi="Calibri"/>
          <w:b/>
          <w:b/>
          <w:color w:val="000000"/>
          <w:sz w:val="22"/>
        </w:rPr>
      </w:pPr>
      <w:r>
        <w:rPr/>
        <w:t xml:space="preserve">3. Luoda CO2-järjestelmä, joka on oikeudenmukainen ja toteuttamiskelpoinen käytännössä </w:t>
      </w:r>
    </w:p>
    <w:p>
      <w:pPr>
        <w:pStyle w:val="P68B1DB1Normal104"/>
        <w:widowControl w:val="false"/>
        <w:spacing w:lineRule="auto" w:line="240"/>
        <w:ind w:left="0" w:right="0" w:hanging="0"/>
        <w:jc w:val="left"/>
        <w:rPr/>
      </w:pPr>
      <w:r>
        <w:rPr/>
        <w:t xml:space="preserve">EU:n lähestymistavassa ilmastonmuutokseen kiinnitetään paljon huomiota hiilidioksidipäästöjen vähentämiseen. Alankomaat katsoo, että tätä varten tarvitaan parempi järjestelmä, jonka avulla sekä tuottajia että kuluttajia voitaisiin verottaa oikeudenmukaisesti. Hollantilaiset ovat eri mieltä siitä, onko eniten asuvilla mailla oikeus päästää enemmän hiilidioksidia. Joissakin maissa esimerkiksi teollisuus on erittäin saastuttavaa. Toisaalta muilla mailla on monia mahdollisuuksia tuottaa vihreää energiaa. Nämä erot olisi otettava huomioon. Ilman, että tämä muuttuu liian monimutkaiseksi, koska järjestelmän on oltava ymmärrettävä kaikille. </w:t>
      </w:r>
    </w:p>
    <w:p>
      <w:pPr>
        <w:pStyle w:val="P68B1DB1Normal129"/>
        <w:widowControl w:val="false"/>
        <w:spacing w:lineRule="auto" w:line="240" w:before="135" w:after="0"/>
        <w:ind w:left="0" w:right="0" w:hanging="0"/>
        <w:jc w:val="center"/>
        <w:rPr/>
      </w:pPr>
      <w:r>
        <w:rPr>
          <w:sz w:val="26"/>
        </w:rPr>
        <w:t>Teollisuusmaat vievät paljon. Pitääkö niiden siis kantaa</w:t>
      </w:r>
      <w:r>
        <w:rPr>
          <w:position w:val="0"/>
          <w:sz w:val="17"/>
        </w:rPr>
        <w:t>yksin</w:t>
      </w:r>
      <w:r>
        <w:rPr>
          <w:sz w:val="26"/>
        </w:rPr>
        <w:t xml:space="preserve"> hiilidioksidiveroa? Mielestäni myös kuluttajan pitäisi maksaa. </w:t>
      </w:r>
    </w:p>
    <w:p>
      <w:pPr>
        <w:pStyle w:val="P68B1DB1Normal120"/>
        <w:widowControl w:val="false"/>
        <w:spacing w:lineRule="auto" w:line="240" w:before="107" w:after="0"/>
        <w:ind w:left="0" w:right="0" w:hanging="0"/>
        <w:jc w:val="left"/>
        <w:rPr>
          <w:rFonts w:ascii="Calibri" w:hAnsi="Calibri"/>
          <w:b/>
          <w:b/>
          <w:color w:val="000000"/>
          <w:sz w:val="21"/>
        </w:rPr>
      </w:pPr>
      <w:r>
        <w:rPr/>
        <w:t xml:space="preserve"> </w:t>
      </w:r>
    </w:p>
    <w:p>
      <w:pPr>
        <w:pStyle w:val="P68B1DB1Normal110"/>
        <w:widowControl w:val="false"/>
        <w:spacing w:lineRule="auto" w:line="240"/>
        <w:ind w:left="0" w:right="0" w:hanging="0"/>
        <w:jc w:val="both"/>
        <w:rPr/>
      </w:pPr>
      <w:r>
        <w:rPr>
          <w:b/>
        </w:rPr>
        <w:t xml:space="preserve">4. Viesti selkeämmin ja myönteisemmin ilmastolähestymistavasta </w:t>
      </w:r>
      <w:r>
        <w:rPr>
          <w:sz w:val="21"/>
        </w:rPr>
        <w:t xml:space="preserve">Hollantilaiset kuulevat paljon ilmastonmuutoksesta ja lukevat siitä paljon. Tämä on kuitenkin edelleen abstrakti ja monimutkainen aihe monille ihmisille. Se nähdään usein jonkina, joka maksaa paljon rahaa, kun taas ilmastonmuutokseen suhtautuminen luo myös mahdollisuuksia. Ajattelemme esimerkiksi paikallisen ruoantuotannon edistämistä ja uusien ja kestävien teknologioiden kehittämistä. EU voisi tuoda tämän näkökohdan esiin useammin ja tehokkaammin. Katsomme myös, että jäsenvaltioiden hallitusten päämiehet voisivat itse näyttää paremmalta esimerkiltä. Matkustaminen vähemmän – esimerkiksi Brysselin ja Strasbourgin välillä – ja useammin tapaaminen verkossa voisi esimerkiksi edistää kestävää kehitystä. </w:t>
      </w:r>
    </w:p>
    <w:p>
      <w:pPr>
        <w:pStyle w:val="P68B1DB1Normal113"/>
        <w:widowControl w:val="false"/>
        <w:spacing w:lineRule="auto" w:line="240" w:before="61" w:after="0"/>
        <w:ind w:left="0" w:right="0" w:hanging="0"/>
        <w:jc w:val="center"/>
        <w:rPr/>
      </w:pPr>
      <w:r>
        <w:rPr/>
        <w:t xml:space="preserve">Kestävyyttä pidetään edelleen liian usein kustannuksena. Se on nähtävä mahdollisuutena eikä uhkana. </w:t>
      </w:r>
    </w:p>
    <w:p>
      <w:pPr>
        <w:pStyle w:val="P68B1DB1Normal126"/>
        <w:widowControl w:val="false"/>
        <w:spacing w:lineRule="auto" w:line="240" w:before="129" w:after="0"/>
        <w:ind w:left="0" w:right="0" w:hanging="0"/>
        <w:jc w:val="left"/>
        <w:rPr>
          <w:rFonts w:ascii="Calibri" w:hAnsi="Calibri"/>
          <w:color w:val="0070C0"/>
          <w:sz w:val="24"/>
        </w:rPr>
      </w:pPr>
      <w:r>
        <w:rPr/>
        <w:t xml:space="preserve">Verkossa ja paikan päällä käytävät keskustelut ja ideat </w:t>
      </w:r>
    </w:p>
    <w:p>
      <w:pPr>
        <w:pStyle w:val="P68B1DB1Normal129"/>
        <w:widowControl w:val="false"/>
        <w:spacing w:lineRule="auto" w:line="240" w:before="78" w:after="0"/>
        <w:ind w:left="0" w:right="0" w:hanging="0"/>
        <w:jc w:val="left"/>
        <w:rPr/>
      </w:pPr>
      <w:r>
        <w:rPr>
          <w:sz w:val="21"/>
        </w:rPr>
        <w:t>Meidän ei pitäisi pitää hiilidioksidipäästöjä</w:t>
      </w:r>
      <w:r>
        <w:rPr>
          <w:position w:val="0"/>
          <w:sz w:val="14"/>
        </w:rPr>
        <w:t>oikeutena</w:t>
      </w:r>
      <w:r>
        <w:rPr>
          <w:sz w:val="21"/>
        </w:rPr>
        <w:t xml:space="preserve">, vaan kiusallisena pelkuruutena. </w:t>
      </w:r>
    </w:p>
    <w:p>
      <w:pPr>
        <w:pStyle w:val="P68B1DB1Normal104"/>
        <w:widowControl w:val="false"/>
        <w:spacing w:lineRule="auto" w:line="240" w:before="87"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Minusta tuntuu, että käytämme Euroopassa enemmän aikaa ilmastonmuutoksesta puhumiseen kuin todellisiin toimiin sen ratkaisemiseksi.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Tiukemmat ilmastosäännöt voivat osoittautua hyödyllisiksi myös meille. Maanosana, joka harjoittaa kauppaa, meidän on yritettävä nähdä siellä mahdollisuuksia.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Emme malta odottaa muita maanosia. Meillä ei ole aikaa odottaa.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IDEA:</w:t>
      </w:r>
      <w:r>
        <w:rPr>
          <w:i/>
        </w:rPr>
        <w:t xml:space="preserve"> Palkitaan maita taloudellisesti, jos ne osoittavat, että niiden luonto ja biologinen monimuotoisuus lisääntyvät.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IDEA:</w:t>
      </w:r>
      <w:r>
        <w:rPr>
          <w:i/>
        </w:rPr>
        <w:t xml:space="preserve"> ”Luontoystävällisen matkailun edistäminen EU:n köyhillä alueilla.”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Doetinchem Ammatillisen lukion opiskelijat: Etäisten matkojen on oltava kaikkien ulottuvilla.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Tutkielma, jonka mukaan EU:n sisäisten lentojen pitäisi tulla kalliimmiksi, toimitettiin opiskelijoille Graafschap Collegessa Doetinchemissa. Jotkut opiskelijat olivat yhtä mieltä siitä, että kalliimmat liput kannustaisivat ihmisiä etsimään halvempia vaihtoehtoja. Lisäksi korostettiin, että EU:n olisi varmistettava ympäristöystävällisemmät vaihtoehdot, kuten paremmat rautatieyhteydet. Muut osallistujat ilmoittivat, että ne eivät kannattaneet korkeampia lentohintoja. ”Rikkaat ihmiset ovat niitä, jotka matkustavat eniten tänään ja he voivat maksaa siitä helposti”, sanoi yksi osallistuja. Korkeat hinnat eivät estä heitä matkustamasta. Vaikka kaukaiset lomat tulevat sitten mahdottomiksi ”tavallisille” kansalaisille. </w:t>
      </w:r>
    </w:p>
    <w:p>
      <w:pPr>
        <w:pStyle w:val="P68B1DB1Normal118"/>
        <w:widowControl w:val="false"/>
        <w:spacing w:lineRule="auto" w:line="240"/>
        <w:ind w:left="0" w:right="0" w:hanging="0"/>
        <w:jc w:val="left"/>
        <w:rPr/>
      </w:pPr>
      <w:r>
        <w:rPr/>
        <w:t xml:space="preserve">Luontoystävälliset viljelijät: ”EU voisi osaltaan levittää tietämystä kestävistä ratkaisuista.”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BoerenNatuur on maanviljelijäryhmien yhdistys. Teemakeskustelussa keskityttiin ilmastonmuutokseen ja ympäristöön. </w:t>
      </w:r>
    </w:p>
    <w:p>
      <w:pPr>
        <w:pStyle w:val="Normal"/>
        <w:widowControl w:val="false"/>
        <w:spacing w:lineRule="auto" w:line="240"/>
        <w:ind w:left="0" w:right="0" w:hanging="0"/>
        <w:jc w:val="left"/>
        <w:rPr/>
      </w:pPr>
      <w:r>
        <w:rPr/>
        <w:t>Osallistujien mukaan</w:t>
      </w:r>
      <w:r>
        <w:rPr>
          <w:rFonts w:ascii="Calibri" w:hAnsi="Calibri"/>
          <w:color w:val="000000"/>
          <w:sz w:val="21"/>
        </w:rPr>
        <w:t>todennäköisesti parannetaan EU:n lainsäädännön ja asetusten soveltamista eri maissa. Esimerkkinä mainittiin typpeä koskeva asiakirja-aineisto. EU:n lainsäädännössä todetaan vain, että luonnonalue ei voi huonontua. Etelä-Euroopassa tätä käsitettä tulkitaan kuitenkin eri tavalla kuin Alankomaissa.” Useimmat läsnä olevat ovat yhtä mieltä siitä, että Euroopan on oltava johtavassa asemassa ilmastonmuutoksen torjunnassa. Meidän ei pidä tyytyä puheeseen, vaan meidän on saavutettava tuloksia. Erityisesti tietämyksen vaihdon kautta maanviljelijät uskovat. Maatalousalalla pyrimme löytämään ratkaisuja puhtaampaan</w:t>
      </w:r>
      <w:r>
        <w:rPr>
          <w:rFonts w:ascii="Calibri" w:hAnsi="Calibri"/>
          <w:color w:val="000000"/>
          <w:sz w:val="21"/>
        </w:rPr>
        <w:commentReference w:id="27"/>
      </w:r>
      <w:r>
        <w:rPr>
          <w:rFonts w:ascii="Calibri" w:hAnsi="Calibri"/>
          <w:color w:val="000000"/>
          <w:sz w:val="21"/>
        </w:rPr>
        <w:t xml:space="preserve"> maatalouteen. EU:n on autettava levittämään nopeasti tietoa tällä alalla.” </w:t>
      </w:r>
      <w:r>
        <w:br w:type="page"/>
      </w:r>
    </w:p>
    <w:p>
      <w:pPr>
        <w:pStyle w:val="P68B1DB1Normal127"/>
        <w:widowControl w:val="false"/>
        <w:spacing w:lineRule="auto" w:line="240"/>
        <w:ind w:left="0" w:right="0" w:hanging="0"/>
        <w:jc w:val="left"/>
        <w:rPr/>
      </w:pPr>
      <w:r>
        <w:rPr>
          <w:b/>
          <w:color w:val="0070C0"/>
          <w:sz w:val="32"/>
        </w:rPr>
        <w:t>Maahanmuutto</w:t>
      </w:r>
      <w:r>
        <w:rPr>
          <w:color w:val="365F91"/>
          <w:sz w:val="28"/>
        </w:rPr>
        <w:t xml:space="preserve"> </w:t>
      </w:r>
      <w:r>
        <w:rPr>
          <w:color w:val="0070C0"/>
          <w:sz w:val="21"/>
        </w:rPr>
        <w:t xml:space="preserve">(maahanmuutto ja pakolaiset) </w:t>
      </w:r>
    </w:p>
    <w:p>
      <w:pPr>
        <w:pStyle w:val="P68B1DB1Normal20"/>
        <w:widowControl w:val="false"/>
        <w:spacing w:lineRule="auto" w:line="240"/>
        <w:ind w:left="0" w:right="0" w:hanging="0"/>
        <w:jc w:val="left"/>
        <w:rPr>
          <w:rFonts w:ascii="Calibri" w:hAnsi="Calibri"/>
          <w:color w:val="000000"/>
          <w:sz w:val="24"/>
        </w:rPr>
      </w:pPr>
      <w:r>
        <w:rPr/>
        <w:t xml:space="preserve"> </w:t>
      </w:r>
    </w:p>
    <w:p>
      <w:pPr>
        <w:pStyle w:val="P68B1DB1Normal104"/>
        <w:widowControl w:val="false"/>
        <w:spacing w:lineRule="auto" w:line="240"/>
        <w:ind w:left="0" w:right="0" w:hanging="0"/>
        <w:jc w:val="left"/>
        <w:rPr/>
      </w:pPr>
      <w:r>
        <w:rPr/>
        <w:t xml:space="preserve">EU:n jäsenvaltioiden väliset rajat ovat avoimet. Sen vuoksi EU:n sisällä tehdään yhteistyötä esimerkiksi ulkorajojen valvonnan ja maahanmuuttajien salakuljetuksen torjunnan alalla. Lisäksi keskustellaan pakolaisten oikeudenmukaisesta jakautumisesta EU:n eri jäsenvaltioiden kesken. Mikä on Alankomaiden näkemys tästä? </w:t>
      </w:r>
    </w:p>
    <w:p>
      <w:pPr>
        <w:pStyle w:val="P68B1DB1Normal126"/>
        <w:widowControl w:val="false"/>
        <w:spacing w:lineRule="auto" w:line="240" w:before="93" w:after="0"/>
        <w:ind w:left="0" w:right="0" w:hanging="0"/>
        <w:jc w:val="left"/>
        <w:rPr>
          <w:rFonts w:ascii="Calibri" w:hAnsi="Calibri"/>
          <w:color w:val="0070C0"/>
          <w:sz w:val="24"/>
        </w:rPr>
      </w:pPr>
      <w:r>
        <w:rPr/>
        <w:t xml:space="preserve">Suositukset – Visio muuttoliikkeestä ja pakolaisista </w:t>
      </w:r>
    </w:p>
    <w:p>
      <w:pPr>
        <w:pStyle w:val="P68B1DB1Normal120"/>
        <w:widowControl w:val="false"/>
        <w:spacing w:lineRule="auto" w:line="240" w:before="90" w:after="0"/>
        <w:ind w:left="0" w:right="0" w:hanging="0"/>
        <w:jc w:val="left"/>
        <w:rPr/>
      </w:pPr>
      <w:r>
        <w:rPr/>
        <w:t xml:space="preserve">65 prosenttia hollantilaisista katsoo, että muuttoliike ja pakolaiset ovat tärkeä kysymys ja että EU:n on puututtava asiaan. </w:t>
      </w:r>
    </w:p>
    <w:p>
      <w:pPr>
        <w:pStyle w:val="P68B1DB1Normal111"/>
        <w:widowControl w:val="false"/>
        <w:spacing w:lineRule="auto" w:line="240" w:before="83" w:after="0"/>
        <w:ind w:left="0" w:right="0" w:hanging="0"/>
        <w:jc w:val="left"/>
        <w:rPr>
          <w:rFonts w:ascii="Calibri" w:hAnsi="Calibri"/>
          <w:b/>
          <w:b/>
          <w:color w:val="000000"/>
          <w:sz w:val="22"/>
        </w:rPr>
      </w:pPr>
      <w:r>
        <w:rPr/>
        <w:t xml:space="preserve">1. Vältä sitä, että keskustelut pakolaiskysymyksestä ovat liian vähän vivahteisia. </w:t>
      </w:r>
    </w:p>
    <w:p>
      <w:pPr>
        <w:pStyle w:val="P68B1DB1Normal104"/>
        <w:widowControl w:val="false"/>
        <w:spacing w:lineRule="auto" w:line="240"/>
        <w:ind w:left="0" w:right="0" w:hanging="0"/>
        <w:jc w:val="left"/>
        <w:rPr/>
      </w:pPr>
      <w:r>
        <w:rPr/>
        <w:t xml:space="preserve">70 prosenttia alankomaalaisista katsoo, että Euroopan ulkorajoja on suojeltava paremmin. Heistä 72 prosenttia on sitä mieltä, että se tarkoittaa yhä useampien pakolaisten palauttamista turvattomiin maihin. Hollantilaiset katsovat, että olisi kiinnitettävä enemmän huomiota syihin, joiden vuoksi ihmiset pakenevat turvattomasta maasta. Nämä syyt liittyvät joskus ilmastonmuutokseen, joskus sotiin. Nämä olosuhteet mainitaan usein vain rajoitetusti pakolaiskysymyksestä käytävässä keskustelussa. Myös näiden pakolaisten tuomaa lisäarvoa johonkin maahan käsitellään harvoin. Lopuksi totean, että EU:n on tehtävä selkeämpi ero turvattomilla alueilla olevien ihmisten ja talouspakolaisten välillä. Yhteenvetona toteamme, että maahanmuuttoa ja pakolaisia koskevissa keskusteluissa ei yleensä ole kontekstia ja vivahteita. Eurooppalaiset poliitikot voisivat korjata tilanteen näyttämällä esimerkkiä. </w:t>
      </w:r>
    </w:p>
    <w:p>
      <w:pPr>
        <w:pStyle w:val="P68B1DB1Normal113"/>
        <w:widowControl w:val="false"/>
        <w:spacing w:lineRule="auto" w:line="240" w:before="173" w:after="0"/>
        <w:ind w:left="0" w:right="0" w:hanging="0"/>
        <w:jc w:val="center"/>
        <w:rPr/>
      </w:pPr>
      <w:r>
        <w:rPr/>
        <w:t xml:space="preserve">Meidän on edelleen pidettävä pakolaisia ennen kaikkea kansalaisina. Sillä lähes kukaan ei hylkää ihmistä hädässä. </w:t>
      </w:r>
    </w:p>
    <w:p>
      <w:pPr>
        <w:pStyle w:val="P68B1DB1Normal111"/>
        <w:widowControl w:val="false"/>
        <w:spacing w:lineRule="auto" w:line="240" w:before="138" w:after="0"/>
        <w:ind w:left="0" w:right="0" w:hanging="0"/>
        <w:jc w:val="left"/>
        <w:rPr>
          <w:rFonts w:ascii="Calibri" w:hAnsi="Calibri"/>
          <w:b/>
          <w:b/>
          <w:color w:val="000000"/>
          <w:sz w:val="22"/>
        </w:rPr>
      </w:pPr>
      <w:r>
        <w:rPr/>
        <w:t xml:space="preserve">2. Määritellään, mikä on pakolaisten tasapuolinen ja käytännöllinen jakautuminen </w:t>
      </w:r>
    </w:p>
    <w:p>
      <w:pPr>
        <w:pStyle w:val="P68B1DB1Normal104"/>
        <w:widowControl w:val="false"/>
        <w:spacing w:lineRule="auto" w:line="240"/>
        <w:ind w:left="0" w:right="0" w:hanging="0"/>
        <w:jc w:val="both"/>
        <w:rPr/>
      </w:pPr>
      <w:r>
        <w:rPr/>
        <w:t xml:space="preserve">Euroopan maahanmuuttoviraston olisi varmistettava, että pakolaiset jaetaan oikeudenmukaisesti EU:n jäsenvaltioiden kesken. Alankomaat katsoo myös, että olisi vahvistettava selkeät kriteerit oikeudenmukaisen jaon määrittelemiseksi. Hyvä sosiaalijärjestelmä voi esimerkiksi tehdä maasta houkuttelevan pakolaisten kannalta, mutta myös muut tekijät ovat tärkeitä sekä pakolaisille että kyseiselle maalle. Alankomaissa meillä on asuntopula, kun taas jotkin maat tai alat tarvitsevat vain lisää siirtotyöläisiä. Pidämme tärkeänä, että EU ottaa tämän huomioon pakolaisten jakamisessa. Selkeät mekanismit takaavat avoimuuden lisäksi myös vähemmän erimielisyyksiä, mikä on lopulta kaikkien etujen mukaista. </w:t>
      </w:r>
    </w:p>
    <w:p>
      <w:pPr>
        <w:pStyle w:val="P68B1DB1Normal113"/>
        <w:widowControl w:val="false"/>
        <w:spacing w:lineRule="auto" w:line="240" w:before="173" w:after="0"/>
        <w:ind w:left="0" w:right="0" w:hanging="0"/>
        <w:jc w:val="center"/>
        <w:rPr/>
      </w:pPr>
      <w:r>
        <w:rPr/>
        <w:t xml:space="preserve">Pakolaisten on myös kyettävä ilmaisemaan kykyjään kohdemaassa.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Lähtömaiden pakolaisalueiden auttamiseksi saadun tietämyksen ja kokemuksen pohjalta </w:t>
      </w:r>
    </w:p>
    <w:p>
      <w:pPr>
        <w:pStyle w:val="P68B1DB1Normal104"/>
        <w:widowControl w:val="false"/>
        <w:spacing w:lineRule="auto" w:line="240" w:before="86" w:after="0"/>
        <w:ind w:left="0" w:right="0" w:hanging="0"/>
        <w:jc w:val="left"/>
        <w:rPr/>
      </w:pPr>
      <w:r>
        <w:rPr/>
        <w:t xml:space="preserve">67 prosenttia alankomaalaisista katsoo, että EU:n on edelleen autettava epävarmoja alueita pakolaisvirtojen hillitsemiseksi. Me ymmärrämme, että pakolaiset eivät lähde maastaan yksinkertaisella valinnalla. Meidän on siis tarkasteltava syitä, kuten ilmastonmuutos tai konfliktit, jotka tekevät alueista turvattomia tai epäluotettavia. EU voi auttaa pakolaisalueita paitsi taloudellisen tuen myös tietämyksen avulla. Esimerkiksi Alankomaissa meillä on vahva osaaminen maataloudessa. Nykyaikaisilla viljelytekniikoilla voimme auttaa muita maita selviytymään paremmin kuivuudesta ja suolaantumisesta. Eurooppaan pakolaiset voivat osallistua koulutukseen jossakin Euroopan maassa ja sitten auttaa itse alkuperämaataan.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Verkossa ja paikan päällä käytävät keskustelut ja ideat </w:t>
      </w:r>
    </w:p>
    <w:p>
      <w:pPr>
        <w:pStyle w:val="P68B1DB1Normal118"/>
        <w:widowControl w:val="false"/>
        <w:spacing w:lineRule="auto" w:line="240" w:before="85" w:after="0"/>
        <w:ind w:left="0" w:right="0" w:hanging="0"/>
        <w:jc w:val="left"/>
        <w:rPr/>
      </w:pPr>
      <w:r>
        <w:rPr/>
        <w:t>”</w:t>
      </w:r>
      <w:r>
        <w:rPr/>
        <w:t xml:space="preserve">EU:n on otettava käyttöön nopeampia turvapaikkamenettelyjä. Joten on enemmän tilaa ihmisille, jotka todella tarvitsevat sitä. </w:t>
      </w:r>
    </w:p>
    <w:p>
      <w:pPr>
        <w:pStyle w:val="P68B1DB1Normal118"/>
        <w:widowControl w:val="false"/>
        <w:spacing w:lineRule="auto" w:line="240"/>
        <w:ind w:left="0" w:right="0" w:hanging="0"/>
        <w:jc w:val="left"/>
        <w:rPr/>
      </w:pPr>
      <w:r>
        <w:rPr/>
        <w:t xml:space="preserve">Tunnen ympärilläni monia nuoria, jotka haluavat ostaa talon, mutta jotka eivät löydä mitään kohtuuhintaista, kun taas pakolaiset näkevät itsensä tarjoavan asuntoa. Minun on vaikea hyväksyä sitä. </w:t>
      </w:r>
    </w:p>
    <w:p>
      <w:pPr>
        <w:pStyle w:val="P68B1DB1Normal118"/>
        <w:widowControl w:val="false"/>
        <w:spacing w:lineRule="auto" w:line="240"/>
        <w:ind w:left="0" w:right="0" w:hanging="0"/>
        <w:jc w:val="left"/>
        <w:rPr/>
      </w:pPr>
      <w:r>
        <w:rPr/>
        <w:t xml:space="preserve">Ilmastonmuutos johtaa joka tapauksessa väestön siirtymiseen. Emme voi pysäyttää näitä virtauksia, mutta voimme todennäköisesti säännellä niitä paremmin. </w:t>
      </w:r>
    </w:p>
    <w:p>
      <w:pPr>
        <w:pStyle w:val="P68B1DB1Normal118"/>
        <w:widowControl w:val="false"/>
        <w:spacing w:lineRule="auto" w:line="240"/>
        <w:ind w:left="0" w:right="0" w:hanging="0"/>
        <w:jc w:val="left"/>
        <w:rPr/>
      </w:pPr>
      <w:r>
        <w:rPr/>
        <w:t xml:space="preserve">Asun Betuwessa. Päärynöiden ja omenoiden kauden aikana tarvitsemme vain paljon siirtotyöläisiä. </w:t>
      </w:r>
    </w:p>
    <w:p>
      <w:pPr>
        <w:pStyle w:val="P68B1DB1Normal118"/>
        <w:widowControl w:val="false"/>
        <w:spacing w:lineRule="auto" w:line="240"/>
        <w:ind w:left="0" w:right="0" w:hanging="0"/>
        <w:jc w:val="left"/>
        <w:rPr/>
      </w:pPr>
      <w:r>
        <w:rPr/>
        <w:t xml:space="preserve">Turvattomat alueet eivät ole turvattomia, viranomaiset ovat usein epäluotettavia. Mistä tiedämme, mihin apumme ja rahamme menevät? </w:t>
      </w:r>
    </w:p>
    <w:p>
      <w:pPr>
        <w:pStyle w:val="P68B1DB1Normal104"/>
        <w:widowControl w:val="false"/>
        <w:spacing w:lineRule="auto" w:line="240"/>
        <w:ind w:left="0" w:right="0" w:hanging="0"/>
        <w:jc w:val="left"/>
        <w:rPr/>
      </w:pPr>
      <w:r>
        <w:rPr/>
        <w:t xml:space="preserve">IDEA: </w:t>
      </w:r>
      <w:r>
        <w:rPr>
          <w:i/>
        </w:rPr>
        <w:t>Tarkastellaan myös paikallisia strategioita, kuten kansalaisten osallistumista pakolaisten paikalliseen vastaanottoon ja paikallisten kotouttamisaloitteiden rahoittamista.</w:t>
      </w:r>
    </w:p>
    <w:p>
      <w:pPr>
        <w:pStyle w:val="P68B1DB1Normal104"/>
        <w:widowControl w:val="false"/>
        <w:spacing w:lineRule="auto" w:line="240"/>
        <w:ind w:left="0" w:right="0" w:hanging="0"/>
        <w:jc w:val="left"/>
        <w:rPr/>
      </w:pPr>
      <w:r>
        <w:rPr/>
        <w:t>IDEA:</w:t>
      </w:r>
      <w:r>
        <w:rPr>
          <w:i/>
        </w:rPr>
        <w:t xml:space="preserve"> Perustaa minitaloja kaupunkeihin, joissa pakolaiset voisivat asua saapuessaan. Tämä helpottaisi asuntomarkkinoihin kohdistuvaa painetta ja lisäisi yleisön tukea näiden ihmisten vastaanottamiselle. </w:t>
      </w:r>
    </w:p>
    <w:p>
      <w:pPr>
        <w:pStyle w:val="P68B1DB1Normal118"/>
        <w:widowControl w:val="false"/>
        <w:spacing w:lineRule="auto" w:line="240"/>
        <w:ind w:left="0" w:right="0" w:hanging="0"/>
        <w:jc w:val="left"/>
        <w:rPr/>
      </w:pPr>
      <w:r>
        <w:rPr/>
        <w:t xml:space="preserve">Vapaaehtoiset, jotka olivat itse pakolaisia: Euroopassa ihmiset pysyvät usein erossa toisistaan.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Taal Doet Meer on vapaaehtoinen järjestö, joka varmistaa, että Utrechtin uudet Allophone-asukkaat voivat osallistua yhteiskuntaan. Järjestön kanssa käydyssä aihekohtaisessa vuoropuhelussa keskityttiin paitsi muuttoliikkeeseen myös ennen kaikkea kotouttamiseen. Useat osallistujat saapuivat Alankomaihin pakolaisina, mukaan lukien yksi Syyriasta. Seitsemän vuoden jälkeen en tunne oloani hollantilaiseksi. En myöskään löytänyt töitä, vaikka sain maisterin tutkinnon. Panen merkille, että Euroopan maat ovat ensisijaisesti huolissaan itsestään eivätkä ole kovin avoimia muille maille ja kulttuureille.” Toinen osallistuja totesi, että eurooppalaiset ovat usein kaukana toisistaan. Useimmat ihmiset ovat yksin; kaikki pysyvät nurkassaan. Huomaan omalta osaltani, että on puhuttava toistensa kanssa ja että voi oppia toisiltaan.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Kansallisen nuorisoneuvoston nuoret: Sinun pitäisi päästää ihmisiä sisään vain, jos pystyt huolehtimaan heistä. </w:t>
      </w:r>
    </w:p>
    <w:p>
      <w:pPr>
        <w:pStyle w:val="P68B1DB1Normal104"/>
        <w:widowControl w:val="false"/>
        <w:spacing w:lineRule="auto" w:line="240"/>
        <w:ind w:left="0" w:right="0" w:hanging="0"/>
        <w:jc w:val="both"/>
        <w:rPr/>
      </w:pPr>
      <w:r>
        <w:rPr/>
        <w:t xml:space="preserve">Utrechtissa kansallisen nuorisoneuvoston (CNJ) eri työryhmien jäsenet kävivät keskustelun. Osallistujat (16–23-vuotiaat) katsovat, että pakolaisia jaettaessa Eurooppaan on otettava huomioon useita näkökohtia, kuten asukkaiden määrä, maan koko, vauraus ja turvapaikanhakijakeskusten määrä. ”Pakolaisten pitäisi päästää maahan vain, jos heidät voidaan sitten hoitaa”, sanoi yksi heistä. </w:t>
      </w:r>
    </w:p>
    <w:p>
      <w:pPr>
        <w:pStyle w:val="Normal"/>
        <w:widowControl w:val="false"/>
        <w:spacing w:lineRule="auto" w:line="240"/>
        <w:ind w:left="0" w:right="0" w:hanging="0"/>
        <w:jc w:val="left"/>
        <w:rPr/>
      </w:pPr>
      <w:r>
        <w:rPr>
          <w:rFonts w:ascii="Calibri" w:hAnsi="Calibri"/>
          <w:color w:val="000000"/>
          <w:sz w:val="21"/>
        </w:rPr>
        <w:t xml:space="preserve">Nuoret katsovat myös, että seurauksilla on oltava seurauksia, jos maat eivät täytä sitoumuksiaan pakolaisten vastaanottamisesta. Heille on esimerkiksi määrättävä sakkoja. ”Ja pakolaisilla on myös oltava sananvaltaa siihen, minne he aikovat mennä”, joku sanoi. Esimerkiksi, jos heillä on jo perhe jossain, emme voi lähettää heitä jonnekin muualle.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Terveys </w:t>
      </w:r>
    </w:p>
    <w:p>
      <w:pPr>
        <w:pStyle w:val="P68B1DB1Normal130"/>
        <w:widowControl w:val="false"/>
        <w:spacing w:lineRule="auto" w:line="240"/>
        <w:ind w:left="0" w:right="0" w:hanging="0"/>
        <w:jc w:val="left"/>
        <w:rPr>
          <w:rFonts w:ascii="Calibri" w:hAnsi="Calibri"/>
          <w:color w:val="0070C0"/>
          <w:sz w:val="21"/>
        </w:rPr>
      </w:pPr>
      <w:r>
        <w:rPr/>
        <w:t xml:space="preserve">(Terveydenhuolto) </w:t>
      </w:r>
    </w:p>
    <w:p>
      <w:pPr>
        <w:pStyle w:val="P68B1DB1Normal104"/>
        <w:widowControl w:val="false"/>
        <w:spacing w:lineRule="auto" w:line="240"/>
        <w:ind w:left="0" w:right="0" w:hanging="0"/>
        <w:jc w:val="left"/>
        <w:rPr/>
      </w:pPr>
      <w:r>
        <w:rPr/>
        <w:t xml:space="preserve">Vaikka terveydenhuolto on ensisijaisesti yksittäisten maiden vastuulla, sitä voidaan tukea ja vahvistaa EU:n politiikoilla, esimerkiksi covid-19-pandemian tai muiden (tulevien) terveyskriisien johdosta tai kumppanuustutkimuksella vakavista sairauksista. Mikä on Alankomaiden näkemys tästä? </w:t>
      </w:r>
    </w:p>
    <w:p>
      <w:pPr>
        <w:pStyle w:val="P68B1DB1Normal126"/>
        <w:widowControl w:val="false"/>
        <w:spacing w:lineRule="auto" w:line="240" w:before="14" w:after="0"/>
        <w:ind w:left="0" w:right="0" w:hanging="0"/>
        <w:jc w:val="left"/>
        <w:rPr>
          <w:rFonts w:ascii="Calibri" w:hAnsi="Calibri"/>
          <w:color w:val="0070C0"/>
          <w:sz w:val="24"/>
        </w:rPr>
      </w:pPr>
      <w:r>
        <w:rPr/>
        <w:t xml:space="preserve">Suositukset – Visiomme terveydenhuollosta </w:t>
      </w:r>
    </w:p>
    <w:p>
      <w:pPr>
        <w:pStyle w:val="P68B1DB1Normal120"/>
        <w:widowControl w:val="false"/>
        <w:spacing w:lineRule="auto" w:line="240"/>
        <w:ind w:left="0" w:right="0" w:hanging="0"/>
        <w:jc w:val="left"/>
        <w:rPr/>
      </w:pPr>
      <w:r>
        <w:rPr/>
        <w:t xml:space="preserve">64 prosenttia hollantilaisista katsoo, että terveydenhuolto on tärkeä asia ja että EU:n on puututtava asiaan. </w:t>
      </w:r>
    </w:p>
    <w:p>
      <w:pPr>
        <w:pStyle w:val="P68B1DB1Normal111"/>
        <w:widowControl w:val="false"/>
        <w:spacing w:lineRule="auto" w:line="240" w:before="2" w:after="0"/>
        <w:ind w:left="0" w:right="0" w:hanging="0"/>
        <w:jc w:val="left"/>
        <w:rPr>
          <w:rFonts w:ascii="Calibri" w:hAnsi="Calibri"/>
          <w:b/>
          <w:b/>
          <w:color w:val="000000"/>
          <w:sz w:val="22"/>
        </w:rPr>
      </w:pPr>
      <w:r>
        <w:rPr/>
        <w:t xml:space="preserve">1. Valvoa paremmin pandemian hallintaa </w:t>
      </w:r>
    </w:p>
    <w:p>
      <w:pPr>
        <w:pStyle w:val="P68B1DB1Normal104"/>
        <w:widowControl w:val="false"/>
        <w:spacing w:lineRule="auto" w:line="240"/>
        <w:ind w:left="0" w:right="0" w:hanging="0"/>
        <w:jc w:val="left"/>
        <w:rPr/>
      </w:pPr>
      <w:r>
        <w:rPr/>
        <w:t xml:space="preserve">83 prosenttia alankomaalaisista katsoo, että EU-maiden on tehtävä enemmän yhteistyötä estääkseen tarttuvan taudin leviämisen ympäri maailmaa. Virus ei tunne rajoja. Tämä näkyy nykyisen pandemian aikana. EU:n sisäiset politiikat ovat joskus hämmentyneitä. Tämä ei ole hyväksi sääntöjen noudattamiselle. Mielestämme sääntöjä, joilla torjutaan viruksen leviämistä Euroopassa, on koordinoitava paremmin ilman, että ne ovat välttämättä samat kaikkialla. On oltava tilaa paikallisille valinnoille. Ei vain siksi, että saasteiden määrä voi vaihdella, vaan myös siksi, että Euroopassa on erilaisia ​​kulttuureja. Jotkin toimenpiteet toimivat paremmin joissakin maissa kuin toisissa. </w:t>
      </w:r>
    </w:p>
    <w:p>
      <w:pPr>
        <w:pStyle w:val="P68B1DB1Normal113"/>
        <w:widowControl w:val="false"/>
        <w:spacing w:lineRule="auto" w:line="240" w:before="164" w:after="0"/>
        <w:ind w:left="0" w:right="0" w:hanging="0"/>
        <w:jc w:val="center"/>
        <w:rPr/>
      </w:pPr>
      <w:r>
        <w:rPr/>
        <w:t xml:space="preserve">Asun Alankomaissa, Saksan rajalla. Näiden kahden maan toteuttamat erilaiset toimenpiteet koronaviruksen torjumiseksi tekevät minut hulluksi.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Varmistaa kohtuuhintaisten ja luotettavien lääkkeiden saatavuus kaikille</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71 prosenttia alankomaalaisista katsoo, että EU:n on varmistettava, että lääkkeiden kehittämiseen, tuotantoon ja jakeluun tarvitaan vähemmän kolmansia maita. Mutta jos se tarkoittaa, että odottaa pidempään saada lääkkeitä, mielipiteet jakautuvat. Hollantilaiset uskovat, että lääkkeiden tuotanto ja jakelu on monimutkainen kysymys. Toisaalta terveydenhuollon kustannukset nousevat jyrkästi Alankomaissa, joten pidämme tärkeänä pitää ne mahdollisimman alhaisina. Toisaalta haluamme luottaa huumeisiin myös silloin, kun ne tulevat kaukaa. Niiden on oltava laadukkaita, mutta ne on myös tuotettava kestävällä ja eettisesti vastuullisella tavalla. Yleisesti katsomme, että tärkeiden lääkkeiden on oltava kaikkien saatavilla, myös köyhemmissä maissa. </w:t>
      </w:r>
    </w:p>
    <w:p>
      <w:pPr>
        <w:pStyle w:val="P68B1DB1Normal113"/>
        <w:widowControl w:val="false"/>
        <w:spacing w:lineRule="auto" w:line="240" w:before="167" w:after="0"/>
        <w:ind w:left="0" w:right="0" w:hanging="0"/>
        <w:jc w:val="both"/>
        <w:rPr/>
      </w:pPr>
      <w:r>
        <w:rPr/>
        <w:t>Terveydenhuollon kustannukset ovat jo nyt kohtuuttomat. Meidän on myös yritettävä ostaa uudet lääkkeet alhaisimpaan mahdolliseen hintaan.</w:t>
      </w:r>
      <w:r>
        <w:rPr>
          <w:b/>
        </w:rPr>
        <w:t xml:space="preserve"> </w:t>
      </w:r>
    </w:p>
    <w:p>
      <w:pPr>
        <w:pStyle w:val="P68B1DB1Normal111"/>
        <w:widowControl w:val="false"/>
        <w:spacing w:lineRule="auto" w:line="240" w:before="131" w:after="0"/>
        <w:ind w:left="0" w:right="0" w:hanging="0"/>
        <w:jc w:val="left"/>
        <w:rPr/>
      </w:pPr>
      <w:r>
        <w:rPr/>
        <w:t xml:space="preserve">3. Maiden on keskityttävä parantamaan terveydenhuoltojärjestelmiään ja tekemään niistä oikeudenmukaisempia. </w:t>
      </w:r>
    </w:p>
    <w:p>
      <w:pPr>
        <w:pStyle w:val="P68B1DB1Normal104"/>
        <w:widowControl w:val="false"/>
        <w:spacing w:lineRule="auto" w:line="240" w:before="85" w:after="0"/>
        <w:ind w:left="0" w:right="0" w:hanging="0"/>
        <w:jc w:val="left"/>
        <w:rPr/>
      </w:pPr>
      <w:r>
        <w:rPr/>
        <w:t xml:space="preserve">Alankomaat välittää paljon terveydenhuollosta, ja tämä huoli ulottuu covid-19-pandemian vaikutuksia pidemmälle. Tiedämme esimerkiksi sairaaloiden rakenteellisista kapasiteettiongelmista. Jotkut hollantilaiset eivät luota markkinavoimien vaikutuksiin terveydenhuoltoalalla. Ymmärrämme, että lääkeyhtiöiden on saatava takaisin sijoituksensa ja että sairausvakuutusrahastot haluavat halpaa terveydenhuoltoa, mutta suurten yritysten ei pitäisi käyttää valtaansa väärin. EU:n olisi hyväksyttävä asiaa koskevat säännöt. Olemme myös sitä mieltä, että terveydenhuolto on ensisijaisesti kansallinen asia. Maat tietävät paremmin, mitä ongelmia ja painopisteitä paikallistasolla on. Mielestämme on kuitenkin tärkeää, että Euroopan maat voivat oppia toisiltaan parantaakseen terveydenhuoltoa.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26"/>
        <w:widowControl w:val="false"/>
        <w:spacing w:lineRule="auto" w:line="240"/>
        <w:ind w:left="0" w:right="0" w:hanging="0"/>
        <w:jc w:val="left"/>
        <w:rPr>
          <w:rFonts w:ascii="Calibri" w:hAnsi="Calibri"/>
          <w:color w:val="0070C0"/>
          <w:sz w:val="24"/>
        </w:rPr>
      </w:pPr>
      <w:r>
        <w:rPr/>
        <w:t xml:space="preserve">Verkossa ja paikan päällä käytävät keskustelut ja ideat </w:t>
      </w:r>
    </w:p>
    <w:p>
      <w:pPr>
        <w:pStyle w:val="P68B1DB1Normal118"/>
        <w:widowControl w:val="false"/>
        <w:spacing w:lineRule="auto" w:line="240" w:before="95" w:after="0"/>
        <w:ind w:left="0" w:right="0" w:hanging="0"/>
        <w:jc w:val="left"/>
        <w:rPr/>
      </w:pPr>
      <w:r>
        <w:rPr/>
        <w:t xml:space="preserve">Mitä tulee lääkkeiden saatavuuteen Euroopassa, voisimme olla myös hieman taloudellisempia. Tänään heitämme liikaa. </w:t>
      </w:r>
    </w:p>
    <w:p>
      <w:pPr>
        <w:pStyle w:val="P68B1DB1Normal104"/>
        <w:widowControl w:val="false"/>
        <w:spacing w:lineRule="auto" w:line="240" w:before="104"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On erittäin hyvä, että Saksa on toivottanut vastaan covid-19-potilaita Alankomaista. Haluaisin nähdä enemmän tällaista solidaarisuutta Euroopassa.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Kaikilla on oikeus laadukkaaseen hoitoon riippumatta siitä, asutko EU:n alueella ja oletpa sitten rikas tai köyhä.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Kun ostat huumeita, sinun on otettava huomioon paitsi kustannukset, myös etiikka. Tämä tarkoittaa esimerkiksi sitä, että lapsityövoimaa ei pitäisi käyttää.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IDEA:</w:t>
      </w:r>
      <w:r>
        <w:rPr>
          <w:i/>
        </w:rPr>
        <w:t xml:space="preserve"> ”Euroopan kansalaisten terveyden parantaminen varmistamalla, että he ovat vähemmän stressaantuneita. Esimerkiksi lyhentää työviikon pituutta.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IDEA:</w:t>
      </w:r>
      <w:r>
        <w:rPr>
          <w:i/>
        </w:rPr>
        <w:t xml:space="preserve"> Annetaan nuorille mahdollisuus tehdä terveellisempiä valintoja vakavissa lisätyn todellisuuden peleissä.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Marokkolaista alkuperää olevan Utrechtin asukkaista: Terveydellä voi olla tietty hinta.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Marokkaans Dialoog Overvecht -säätiö (MDO) (Marokkalainen vuoropuhelu Overvechtissä) on omistettu Marokon yhteisön osallistumiselle Utrechtin Overvechtin alueella. Tätä varten se kannustaa vuoropuheluun naapurustossa ja torjuu siten eriarvoisuutta. Euroopan vision puitteissa käytävään teemakohtaiseen vuoropuheluun osallistuvat katsovat, että eurooppalainen yhteistyö on erittäin hyödyllistä. Monet katsovat kuitenkin, että Alankomaat on joskus liian riippuvainen muista maista. Esimerkkinä mainittiin covid-19-kriisin hallinta. Monet kuulemiset Euroopassa vaikuttivat osallistujien mukaan siihen, että Alankomaat aloitti covid-19-rokotukset liian myöhään. ”Ehkä se maksaa enemmän, jos Alankomaat haluaa päättää enemmän itse”, joku sanoi. Mutta kyse on terveydestä, se voi maksaa hieman enemmän.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Helmondin opiskelijoista: On parempi oppia älykkäästi toisiltaan kuin omaksua sama lähestymistapa.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pPr>
      <w:r>
        <w:rPr/>
        <w:t xml:space="preserve">Knippenberg Collegessa Helmondissa noin 16-vuotiaat opiskelijat keskustelivat eurooppalaisesta covid-19-pandemian hallinnasta. Joidenkin mielestä EU:n jäsenvaltioiden olisi pitänyt määritellä rokotusohjelma yhdessä. Useimmat osallistujat kokivat, että mailla itsellään oli parempi käsitys siitä, mitä tarvitaan ja mikä toimii. Näin ollen he pystyvät heidän mukaansa paremmin päättämään, mikä on oikein väestölle. He tietävät paremmin esimerkiksi, mitkä alat tarvitsevat rokotuksia ensin ja mitkä voivat odottaa. ”On luonnollisesti hyvä, että maat neuvottelevat keskenään”, sanoi yksi opiskelijoista. Jos monilla mailla on oma lähestymistapansa, ne voivat seurata, mitä muut tekevät ja oppia toisiltaan.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rFonts w:ascii="Calibri" w:hAnsi="Calibri"/>
          <w:b/>
          <w:b/>
          <w:color w:val="0070C0"/>
          <w:sz w:val="32"/>
        </w:rPr>
      </w:pPr>
      <w:r>
        <w:rPr/>
        <w:t xml:space="preserve">EU:n rooli maailmassa </w:t>
      </w:r>
    </w:p>
    <w:p>
      <w:pPr>
        <w:pStyle w:val="P68B1DB1Normal104"/>
        <w:widowControl w:val="false"/>
        <w:spacing w:lineRule="auto" w:line="240" w:before="126" w:after="0"/>
        <w:ind w:left="0" w:right="0" w:hanging="0"/>
        <w:jc w:val="left"/>
        <w:rPr/>
      </w:pPr>
      <w:r>
        <w:rPr/>
        <w:t xml:space="preserve">Maailmalla on edessään suuria haasteita. EU on vakuuttunut siitä, että ilmastonmuutoksen ja pandemioiden kaltaisia kysymyksiä voidaan käsitellä vain maailmanlaajuisen yhteistyön avulla. EU haluaa saada äänensä kuuluviin esimerkiksi Yhdysvaltojen ja Kiinan rinnalla maailmannäyttämöllä. Mikä on Alankomaiden näkemys tästä? </w:t>
      </w:r>
    </w:p>
    <w:p>
      <w:pPr>
        <w:pStyle w:val="P68B1DB1Normal126"/>
        <w:widowControl w:val="false"/>
        <w:spacing w:lineRule="auto" w:line="240" w:before="125" w:after="0"/>
        <w:ind w:left="0" w:right="0" w:hanging="0"/>
        <w:jc w:val="left"/>
        <w:rPr>
          <w:rFonts w:ascii="Calibri" w:hAnsi="Calibri"/>
          <w:color w:val="0070C0"/>
          <w:sz w:val="24"/>
        </w:rPr>
      </w:pPr>
      <w:r>
        <w:rPr/>
        <w:t xml:space="preserve">Suositukset – Visiomme EU:n roolista maailmassa </w:t>
      </w:r>
    </w:p>
    <w:p>
      <w:pPr>
        <w:pStyle w:val="P68B1DB1Normal120"/>
        <w:widowControl w:val="false"/>
        <w:spacing w:lineRule="auto" w:line="240" w:before="126" w:after="0"/>
        <w:ind w:left="0" w:right="0" w:hanging="0"/>
        <w:jc w:val="left"/>
        <w:rPr>
          <w:rFonts w:ascii="Calibri" w:hAnsi="Calibri"/>
          <w:b/>
          <w:b/>
          <w:color w:val="000000"/>
          <w:sz w:val="21"/>
        </w:rPr>
      </w:pPr>
      <w:r>
        <w:rPr/>
        <w:t xml:space="preserve">Hollantilaisista 56 prosenttia katsoo, että EU:n rooli maailmassa on tärkeä aihe ja että EU:n on puututtava asiaan. </w:t>
      </w:r>
    </w:p>
    <w:p>
      <w:pPr>
        <w:pStyle w:val="P68B1DB1Normal111"/>
        <w:widowControl w:val="false"/>
        <w:spacing w:lineRule="auto" w:line="240" w:before="112" w:after="0"/>
        <w:ind w:left="0" w:right="0" w:hanging="0"/>
        <w:jc w:val="left"/>
        <w:rPr>
          <w:rFonts w:ascii="Calibri" w:hAnsi="Calibri"/>
          <w:b/>
          <w:b/>
          <w:color w:val="000000"/>
          <w:sz w:val="22"/>
        </w:rPr>
      </w:pPr>
      <w:r>
        <w:rPr/>
        <w:t xml:space="preserve">1. EU:n voiman hyödyntäminen pääasiassa tärkeiden kansainvälisten aiheiden yhteydessä </w:t>
      </w:r>
    </w:p>
    <w:p>
      <w:pPr>
        <w:pStyle w:val="P68B1DB1Normal104"/>
        <w:widowControl w:val="false"/>
        <w:spacing w:lineRule="auto" w:line="240"/>
        <w:ind w:left="0" w:right="0" w:hanging="0"/>
        <w:jc w:val="left"/>
        <w:rPr/>
      </w:pPr>
      <w:r>
        <w:rPr/>
        <w:t xml:space="preserve">Monet hollantilaiset pitävät sitä, että sen syntyminen on edistänyt sitä, että eurooppalaiset elävät rauhassa yli 75 vuoden ajan, EU:n pääasiallisena lisäarvona. Hollantilaiset uskovat myös, että EU:n valta on suurten kansainvälisten haasteiden yhteishallinnassa. Ajattelemme esimerkiksi ilmastonmuutosta, covid-19-pandemiaa ja pakolaiskriisiä. EU:n jäsenvaltioilla voi myös olla suurempi vaikutus kolmansiin maihin tekemällä kollektiivisesti EU:n kansainvälisiä sopimuksia. Uskomme, että maamme on liian pieni, jotta se voisi vaikuttaa näihin asioihin yksin. Hollantilaiset haluavat kuitenkin, että Alankomaat tekee jatkossakin omia valintojaan, jotka perustuvat heidän omaan kulttuuriinsa ja etuihinsa. Euroopassa tehtävällä yhteistyöllä on näin ollen varmistettava ennen kaikkea tehokkuus ja poliittinen valta. </w:t>
      </w:r>
    </w:p>
    <w:p>
      <w:pPr>
        <w:pStyle w:val="P68B1DB1Normal113"/>
        <w:widowControl w:val="false"/>
        <w:spacing w:lineRule="auto" w:line="240" w:before="200" w:after="0"/>
        <w:ind w:left="0" w:right="0" w:hanging="0"/>
        <w:jc w:val="center"/>
        <w:rPr/>
      </w:pPr>
      <w:r>
        <w:rPr/>
        <w:t xml:space="preserve">Yhteistyösopimuksia on helpompi tehdä EU:n sisällä kuin erillisenä maana. </w:t>
      </w:r>
    </w:p>
    <w:p>
      <w:pPr>
        <w:pStyle w:val="P68B1DB1Normal111"/>
        <w:widowControl w:val="false"/>
        <w:spacing w:lineRule="auto" w:line="240" w:before="174" w:after="0"/>
        <w:ind w:left="0" w:right="0" w:hanging="0"/>
        <w:jc w:val="left"/>
        <w:rPr>
          <w:rFonts w:ascii="Calibri" w:hAnsi="Calibri"/>
          <w:b/>
          <w:b/>
          <w:color w:val="000000"/>
          <w:sz w:val="22"/>
        </w:rPr>
      </w:pPr>
      <w:r>
        <w:rPr/>
        <w:t xml:space="preserve">2. Valitse yhteistyö Euroopassa ja sen ulkopuolella taistelun sijaan </w:t>
      </w:r>
    </w:p>
    <w:p>
      <w:pPr>
        <w:pStyle w:val="P68B1DB1Normal104"/>
        <w:widowControl w:val="false"/>
        <w:spacing w:lineRule="auto" w:line="240" w:before="1" w:after="0"/>
        <w:ind w:left="0" w:right="0" w:hanging="0"/>
        <w:jc w:val="left"/>
        <w:rPr/>
      </w:pPr>
      <w:r>
        <w:rPr/>
        <w:t xml:space="preserve">66 prosenttia alankomaalaisista katsoo, että EU:n on muodostettava vahvempi ryhmittymä muita kansainvälisiä ryhmittymiä vastaan. Olemme todistamassa maailman tasapainon heikkenemistä. Kiinan ja Venäjän kaltaiset maat laajentavat valtaansa jatkuvasti eri alueilla. Tämä huolestuttaa meitä paljon. EU:n on siksi kiinnitettävä enemmän huomiota esimerkiksi kansainväliseen turvallisuuteen ja Euroopan talouden suojeluun epäterveiltä kaupan käytännöiltä. Pidämme tässä yhteydessä tärkeänä, että jäsenvaltiot koordinoivat toimintaansa paremmin ja nopeammin. Näin voimme saada äänemme entistä selvemmin kuuluviin. Se, että olemme yhdessä vahvempia Euroopan valtioina, ei tarkoita sitä, että haluaisimme mennä konfliktiin. Haluamme myös mahdollisuuksien mukaan hyvää yhteistyötä kolmansien maiden kanssa. </w:t>
      </w:r>
    </w:p>
    <w:p>
      <w:pPr>
        <w:pStyle w:val="P68B1DB1Normal113"/>
        <w:widowControl w:val="false"/>
        <w:spacing w:lineRule="auto" w:line="240" w:before="200" w:after="0"/>
        <w:ind w:left="0" w:right="0" w:hanging="0"/>
        <w:jc w:val="center"/>
        <w:rPr/>
      </w:pPr>
      <w:r>
        <w:rPr/>
        <w:t>”</w:t>
      </w:r>
      <w:r>
        <w:rPr/>
        <w:t xml:space="preserve">Sisäisten kiistojen ja konfliktien vähentäminen lisää EU:n arvovaltaa ja vaikutusvaltaa maailmannäyttämöllä.” </w:t>
      </w:r>
    </w:p>
    <w:p>
      <w:pPr>
        <w:pStyle w:val="P68B1DB1Normal111"/>
        <w:widowControl w:val="false"/>
        <w:spacing w:lineRule="auto" w:line="240" w:before="174" w:after="0"/>
        <w:ind w:left="0" w:right="0" w:hanging="0"/>
        <w:jc w:val="left"/>
        <w:rPr>
          <w:rFonts w:ascii="Calibri" w:hAnsi="Calibri"/>
          <w:b/>
          <w:b/>
          <w:color w:val="000000"/>
          <w:sz w:val="22"/>
        </w:rPr>
      </w:pPr>
      <w:r>
        <w:rPr/>
        <w:t xml:space="preserve">3. Tarjota harkitulla tavalla apua konfliktin sattuessa </w:t>
      </w:r>
    </w:p>
    <w:p>
      <w:pPr>
        <w:pStyle w:val="Normal"/>
        <w:widowControl w:val="false"/>
        <w:spacing w:lineRule="auto" w:line="240"/>
        <w:ind w:left="0" w:right="0" w:hanging="0"/>
        <w:jc w:val="left"/>
        <w:rPr/>
      </w:pPr>
      <w:r>
        <w:rPr>
          <w:rFonts w:ascii="Calibri" w:hAnsi="Calibri"/>
          <w:color w:val="000000"/>
          <w:sz w:val="21"/>
        </w:rPr>
        <w:t xml:space="preserve">Osana EU:n aseman vahvistamista kansainvälisellä areenalla 50 prosenttia Alankomaista katsoo, että lähestymistapa maailman konflikteihin on tärkeä aihe. Paras tapa vastata konflikteihin on niiden mukaan vaikea määrittää. Menneisyys on osoittanut, että sotilaallinen väliintulo maassa ei aina ole hyödyllistä. Se voi esimerkiksi johtaa odottamattomiin korkeisiin kustannuksiin ja lisätä pakolaisvirtoja. Kun otetaan huomioon tämä paikallinen vaikutus, maiden pitäisi itse päättää, osallistuvatko ne sotaan. Olemme yleisesti ottaen kiinnostuneita Euroopan armeijan yhteistyön lisäämisestä: mielestämme on tärkeää, että Eurooppa voi puolustautua hyvin. Mutta haluamme aina ratkaista konflikteja turvautumatta väkivaltaan. </w:t>
      </w:r>
      <w:r>
        <w:br w:type="page"/>
      </w:r>
    </w:p>
    <w:p>
      <w:pPr>
        <w:pStyle w:val="P68B1DB1Normal113"/>
        <w:widowControl w:val="false"/>
        <w:spacing w:lineRule="auto" w:line="240"/>
        <w:ind w:left="0" w:right="0" w:hanging="0"/>
        <w:jc w:val="left"/>
        <w:rPr/>
      </w:pPr>
      <w:r>
        <w:rPr/>
        <w:t xml:space="preserve">Afganistanin evakuoinnin aikana jokainen maa toimi omassa nurkassaan. Olisimme voineet pärjätä paremmin, vai mitä? </w:t>
      </w:r>
    </w:p>
    <w:p>
      <w:pPr>
        <w:pStyle w:val="P68B1DB1Normal126"/>
        <w:widowControl w:val="false"/>
        <w:spacing w:lineRule="auto" w:line="240" w:before="85" w:after="0"/>
        <w:ind w:left="0" w:right="0" w:hanging="0"/>
        <w:jc w:val="left"/>
        <w:rPr>
          <w:rFonts w:ascii="Calibri" w:hAnsi="Calibri"/>
          <w:color w:val="0070C0"/>
          <w:sz w:val="24"/>
        </w:rPr>
      </w:pPr>
      <w:r>
        <w:rPr/>
        <w:t xml:space="preserve">Verkossa ja paikan päällä käytävät keskustelut ja ideat </w:t>
      </w:r>
    </w:p>
    <w:p>
      <w:pPr>
        <w:pStyle w:val="P68B1DB1Normal118"/>
        <w:widowControl w:val="false"/>
        <w:spacing w:lineRule="auto" w:line="240" w:before="78" w:after="0"/>
        <w:ind w:left="0" w:right="0" w:hanging="0"/>
        <w:jc w:val="left"/>
        <w:rPr>
          <w:rFonts w:ascii="Calibri" w:hAnsi="Calibri"/>
          <w:i/>
          <w:i/>
          <w:color w:val="000000"/>
          <w:sz w:val="21"/>
        </w:rPr>
      </w:pPr>
      <w:r>
        <w:rPr/>
        <w:t xml:space="preserve">EU:n on ensin asetettava järjestys omiin asioihinsa ennen muiden kohtaamista. </w:t>
      </w:r>
    </w:p>
    <w:p>
      <w:pPr>
        <w:pStyle w:val="P68B1DB1Normal118"/>
        <w:widowControl w:val="false"/>
        <w:spacing w:lineRule="auto" w:line="240" w:before="87" w:after="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Ostamalla kiinalaisia ​​tuotteita eurooppalaisina, tuemme Kiinaa itse.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Yhdysvalloilla on edelleen erittäin tärkeä rooli Euroopan puolustamisessa.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pPr>
      <w:r>
        <w:rPr/>
        <w:t xml:space="preserve">EU:n jäsenenä oleminen tarkoittaa myös istumista neuvottelupöydässä. Näin voidaan keskustella tärkeistä päätöksistä.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EU:n on lakattava näkemästä itseään erillisenä yksikkönä, koska se ei ole sitä. Se on Euroopan jäsenvaltioiden liitto, ja sen pitäisi toimia sellaisena.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IDEA:</w:t>
      </w:r>
      <w:r>
        <w:rPr>
          <w:i/>
        </w:rPr>
        <w:t xml:space="preserve"> Kuten säännöllinen maailmanlaajuinen ilmastokonferenssi, myös ihmisoikeuksia käsittelevä konferenssi olisi järjestettävä.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IDEA: </w:t>
      </w:r>
      <w:r>
        <w:rPr>
          <w:i/>
        </w:rPr>
        <w:t>”Tehdään eurooppalaisia armeijoita tehokkaampia esimerkiksi hyödyntämällä entistä enemmän tarvikkeiden yhteistä hankintaa.”</w:t>
      </w: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Hollantilais-marokkolaiset naiset: Ihmisoikeuksien edistäminen.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w:t>
      </w:r>
      <w:commentRangeStart w:id="28"/>
      <w:r>
        <w:rPr>
          <w:rFonts w:ascii="Calibri" w:hAnsi="Calibri"/>
          <w:color w:val="000000"/>
          <w:sz w:val="21"/>
        </w:rPr>
        <w:t>Naiset</w:t>
      </w:r>
      <w:r>
        <w:rPr>
          <w:rFonts w:ascii="Calibri" w:hAnsi="Calibri"/>
          <w:color w:val="000000"/>
          <w:sz w:val="21"/>
        </w:rPr>
      </w:r>
      <w:commentRangeEnd w:id="28"/>
      <w:r>
        <w:commentReference w:id="28"/>
      </w:r>
      <w:r>
        <w:rPr>
          <w:rFonts w:ascii="Calibri" w:hAnsi="Calibri"/>
          <w:color w:val="000000"/>
          <w:sz w:val="21"/>
        </w:rPr>
        <w:t xml:space="preserve">vapauden puolesta” on hollantilainen säätiö, joka torjuu pakkoavioliittoja, seksuaalista sortoa ja tyttöjen ja naisten taloudellista hyväksikäyttöä, joilla on kaksikulttuurinen tausta. Yhteistyössä tämän säätiön kanssa järjestettiin tapaaminen hollantilais-marokkolaisten naisten kanssa. Osallistujat uskovat, että EU on tällä hetkellä liian riippuvainen Venäjästä ja Kiinasta. Huomaamme, että EU ei yleensä uskalla ehdottaa mitään pakotteiden pelosta, sanoi yksi heistä. Huumeiden tuotanto, joka voi usein olla paljon halvempaa, on mainittu esimerkkinä. Konfliktin sattuessa Kiina voi sulkea hanan, eikä meillä ole mitään, sanoi yksi osallistuja. Myös ihmisoikeuskysymys otettiin esille. Me kaikki toimimme kuin pidämme sitä erittäin tärkeänä, mutta suljemme silmämme siihen, mitä Kiina tekee uiguureille, joku huudahtaa.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Alkmaarin Technasiumin opiskelijat: Ei yhteistä armeijaa.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Temaattisessa vuoropuhelussaan Alkmaarin Technasium Jan Arentz -opiskelijat keskustelivat yhteisen eurooppalaisen armeijan eduista ja haitoista. Osallistujat totesivat, että he eivät tukeneet sitä. Kun EU-maa kiistelee kolmannen maan kanssa, meidän pitäisi voida automaattisesti osallistua sotaan. Uskon, että maiden on voitava päättää itse”, joku sanoi. Myös kolmannen maailmansodan mahdollisuudesta keskusteltiin. Opiskelijat eivät pidä tätä mahdollisuutta kovin suurena, mutta he ajattelevat, että jos pääsemme sinne, ratkaisu voitaisiin kuitenkin löytää nopeasti. Myös armeijat voivat tehdä hyvää yhteistyötä. Mielestäni ei ole tarpeen perustaa eurooppalaista armeijaa.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Tutkimuksessa käytetyt menetelmät </w:t>
      </w:r>
    </w:p>
    <w:p>
      <w:pPr>
        <w:pStyle w:val="P68B1DB1Normal104"/>
        <w:widowControl w:val="false"/>
        <w:spacing w:lineRule="auto" w:line="240" w:before="150" w:after="0"/>
        <w:ind w:left="0" w:right="0" w:hanging="0"/>
        <w:jc w:val="left"/>
        <w:rPr/>
      </w:pPr>
      <w:r>
        <w:rPr/>
        <w:t xml:space="preserve">Visio Euroopasta koostuu erilaisista toisiinsa liittyvistä vuoropuheluista, jotka kokoavat yhteen Alankomaiden kansalaisten näkemyksiä ja ajatuksia Euroopan ja EU:n tulevaisuudesta. Tässä luvussa kuvataan, miten nämä läheisesti liittyvät vuoropuhelut toteutetaan Euroopan tulevaisuutta käsittelevän konferenssin yhteydessä kansallisiin kansalaispaneeleihin sovellettavien suuntaviivojen mukaisesti. </w:t>
      </w:r>
    </w:p>
    <w:p>
      <w:pPr>
        <w:pStyle w:val="P68B1DB1Normal126"/>
        <w:widowControl w:val="false"/>
        <w:spacing w:lineRule="auto" w:line="240" w:before="43" w:after="0"/>
        <w:ind w:left="0" w:right="0" w:hanging="0"/>
        <w:jc w:val="left"/>
        <w:rPr>
          <w:rFonts w:ascii="Calibri" w:hAnsi="Calibri"/>
          <w:color w:val="0070C0"/>
          <w:sz w:val="24"/>
        </w:rPr>
      </w:pPr>
      <w:r>
        <w:rPr/>
        <w:t xml:space="preserve">Tiiviisti toisiinsa liittyvien vuoropuhelujen rakenne </w:t>
      </w:r>
    </w:p>
    <w:p>
      <w:pPr>
        <w:pStyle w:val="P68B1DB1Normal104"/>
        <w:widowControl w:val="false"/>
        <w:spacing w:lineRule="auto" w:line="240" w:before="114" w:after="0"/>
        <w:ind w:left="0" w:right="0" w:hanging="0"/>
        <w:jc w:val="left"/>
        <w:rPr>
          <w:rFonts w:ascii="Calibri" w:hAnsi="Calibri"/>
          <w:color w:val="000000"/>
          <w:sz w:val="21"/>
        </w:rPr>
      </w:pPr>
      <w:r>
        <w:rPr/>
        <w:t xml:space="preserve">Seuraavat vuoropuhelun muodot järjestetään: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Paneelin kysely</w:t>
      </w:r>
    </w:p>
    <w:p>
      <w:pPr>
        <w:pStyle w:val="P68B1DB1Normal104"/>
        <w:widowControl w:val="false"/>
        <w:spacing w:lineRule="auto" w:line="240"/>
        <w:ind w:left="0" w:right="0" w:hanging="0"/>
        <w:jc w:val="left"/>
        <w:rPr>
          <w:rFonts w:ascii="Calibri" w:hAnsi="Calibri"/>
          <w:color w:val="000000"/>
          <w:sz w:val="21"/>
        </w:rPr>
      </w:pPr>
      <w:r>
        <w:rPr/>
        <w:t xml:space="preserve">Online-kysely edustavalle osalle Alankomaiden väestöstä.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Verkossa käytävät aihekohtaiset vuoropuhelut syventämiseksi</w:t>
      </w:r>
    </w:p>
    <w:p>
      <w:pPr>
        <w:pStyle w:val="P68B1DB1Normal104"/>
        <w:widowControl w:val="false"/>
        <w:spacing w:lineRule="auto" w:line="240"/>
        <w:ind w:left="0" w:right="0" w:hanging="0"/>
        <w:jc w:val="left"/>
        <w:rPr/>
      </w:pPr>
      <w:r>
        <w:rPr/>
        <w:t xml:space="preserve">Vuoropuhelut, joissa ensimmäisen väliraportin ”Visio Euroopalle: lausunnoista, ideoista ja suosituksista” (8. lokakuuta 2021) keskustellaan perusteellisesti hollantilaisen ryhmän kanssa.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Vuoropuhelu tiettyjen ryhmien kanssa</w:t>
      </w:r>
    </w:p>
    <w:p>
      <w:pPr>
        <w:pStyle w:val="P68B1DB1Normal104"/>
        <w:widowControl w:val="false"/>
        <w:spacing w:lineRule="auto" w:line="240"/>
        <w:ind w:left="0" w:right="0" w:hanging="0"/>
        <w:jc w:val="left"/>
        <w:rPr>
          <w:rFonts w:ascii="Calibri" w:hAnsi="Calibri"/>
          <w:color w:val="000000"/>
          <w:sz w:val="21"/>
        </w:rPr>
      </w:pPr>
      <w:r>
        <w:rPr/>
        <w:t xml:space="preserve">Tapaamiset hollantilaisten kanssa, jotka eivät ole tottuneet osallistumaan kyselyihin tai paneeleihin (online).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Vuoropuhelu nuorten kanssa</w:t>
      </w:r>
    </w:p>
    <w:p>
      <w:pPr>
        <w:pStyle w:val="P68B1DB1Normal104"/>
        <w:widowControl w:val="false"/>
        <w:spacing w:lineRule="auto" w:line="240"/>
        <w:ind w:left="0" w:right="0" w:hanging="0"/>
        <w:jc w:val="left"/>
        <w:rPr>
          <w:rFonts w:ascii="Calibri" w:hAnsi="Calibri"/>
          <w:color w:val="000000"/>
          <w:sz w:val="21"/>
        </w:rPr>
      </w:pPr>
      <w:r>
        <w:rPr/>
        <w:t xml:space="preserve">Kokoukset, joissa keskustellaan näiden nuorten kannalta merkittävimmistä eurooppalaisista aiheista.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Julkinen</w:t>
      </w:r>
      <w:r>
        <w:rPr>
          <w:rFonts w:ascii="Calibri" w:hAnsi="Calibri"/>
          <w:b/>
          <w:color w:val="000000"/>
          <w:sz w:val="21"/>
        </w:rPr>
        <w:t>verkkokysely: Kyselylomake ja ”Swipen naar de toekomst”</w:t>
      </w:r>
      <w:commentRangeStart w:id="29"/>
      <w:r>
        <w:rPr>
          <w:rFonts w:ascii="Calibri" w:hAnsi="Calibri"/>
          <w:b/>
          <w:color w:val="000000"/>
          <w:sz w:val="21"/>
        </w:rPr>
        <w:t>(</w:t>
      </w:r>
      <w:r>
        <w:rPr>
          <w:rFonts w:ascii="Calibri" w:hAnsi="Calibri"/>
          <w:b/>
          <w:color w:val="000000"/>
          <w:sz w:val="21"/>
        </w:rPr>
      </w:r>
      <w:commentRangeEnd w:id="29"/>
      <w:r>
        <w:commentReference w:id="29"/>
      </w:r>
      <w:r>
        <w:rPr>
          <w:rFonts w:ascii="Calibri" w:hAnsi="Calibri"/>
          <w:b/>
          <w:color w:val="000000"/>
          <w:sz w:val="21"/>
        </w:rPr>
        <w:t xml:space="preserve"> Swiper to future) </w:t>
      </w:r>
    </w:p>
    <w:p>
      <w:pPr>
        <w:pStyle w:val="P68B1DB1Normal104"/>
        <w:widowControl w:val="false"/>
        <w:spacing w:lineRule="auto" w:line="240"/>
        <w:ind w:left="0" w:right="0" w:hanging="0"/>
        <w:jc w:val="left"/>
        <w:rPr/>
      </w:pPr>
      <w:r>
        <w:rPr/>
        <w:t xml:space="preserve">Myös kaikki alankomaalaiset, myös ulkomailla asuvat, voisivat täyttää paneelikyselyn. Kyselylomake oli saatavilla 1. syyskuuta 2021–14. marraskuuta 2021. Lisäksi samalla ajanjaksolla jokainen hollantilainen pystyi osallistumaan toimeen ”Swipen naar de toekomst” (Swiper toekomst), joka on verkkotyökalu, jossa esitetään 20 vaatetta.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rFonts w:ascii="Calibri" w:hAnsi="Calibri"/>
          <w:b/>
          <w:b/>
          <w:color w:val="0070C0"/>
          <w:sz w:val="32"/>
        </w:rPr>
      </w:pPr>
      <w:r>
        <w:rPr/>
        <w:t xml:space="preserve">1. Paneelin kysely </w:t>
      </w:r>
    </w:p>
    <w:p>
      <w:pPr>
        <w:pStyle w:val="P68B1DB1Normal104"/>
        <w:widowControl w:val="false"/>
        <w:spacing w:lineRule="auto" w:line="240" w:before="150" w:after="0"/>
        <w:ind w:left="0" w:right="0" w:hanging="0"/>
        <w:jc w:val="left"/>
        <w:rPr/>
      </w:pPr>
      <w:r>
        <w:rPr/>
        <w:t xml:space="preserve">Alankomaiden kansalaiskeskustelu ”Vision of Europe” alkoi 1. syyskuuta paneelikyselyllä. Tässä tutkimusmenetelmän kuvauksessa kerromme lyhyesti kyselyn suunnittelusta ja toteutuksesta paneelille. </w:t>
      </w:r>
    </w:p>
    <w:p>
      <w:pPr>
        <w:pStyle w:val="P68B1DB1Normal126"/>
        <w:widowControl w:val="false"/>
        <w:spacing w:lineRule="auto" w:line="240" w:before="43" w:after="0"/>
        <w:ind w:left="0" w:right="0" w:hanging="0"/>
        <w:jc w:val="left"/>
        <w:rPr>
          <w:rFonts w:ascii="Calibri" w:hAnsi="Calibri"/>
          <w:color w:val="0070C0"/>
          <w:sz w:val="24"/>
        </w:rPr>
      </w:pPr>
      <w:r>
        <w:rPr/>
        <w:t xml:space="preserve">Kohde- ja kohdeväestö </w:t>
      </w:r>
    </w:p>
    <w:p>
      <w:pPr>
        <w:pStyle w:val="Normal"/>
        <w:widowControl w:val="false"/>
        <w:spacing w:lineRule="auto" w:line="240" w:before="114" w:after="0"/>
        <w:ind w:left="0" w:right="0" w:hanging="0"/>
        <w:jc w:val="left"/>
        <w:rPr/>
      </w:pPr>
      <w:r>
        <w:rPr>
          <w:rFonts w:ascii="Calibri" w:hAnsi="Calibri"/>
          <w:color w:val="000000"/>
          <w:sz w:val="21"/>
        </w:rPr>
        <w:t>Tutkimus ”Vision of Europe” alkoi verkkokyselyllä siitä, miten alankomaalaiset näkevät Euroopan tulevaisuuden. Kyselylomake on toimitettu edustavalle paneelille, ja se on avoin kaikille alankomaalaisille (myös ulkomailla asuville). Lisäksi jokainen henkilö pystyi osallistumaan toimeen ”Swipen naar de toekomst”</w:t>
      </w:r>
      <w:commentRangeStart w:id="30"/>
      <w:r>
        <w:rPr>
          <w:rFonts w:ascii="Calibri" w:hAnsi="Calibri"/>
          <w:color w:val="000000"/>
          <w:sz w:val="21"/>
        </w:rPr>
        <w:t>(Swiper</w:t>
      </w:r>
      <w:r>
        <w:rPr>
          <w:rFonts w:ascii="Calibri" w:hAnsi="Calibri"/>
          <w:color w:val="000000"/>
          <w:sz w:val="21"/>
        </w:rPr>
      </w:r>
      <w:commentRangeEnd w:id="30"/>
      <w:r>
        <w:commentReference w:id="30"/>
      </w:r>
      <w:r>
        <w:rPr>
          <w:rFonts w:ascii="Calibri" w:hAnsi="Calibri"/>
          <w:color w:val="000000"/>
          <w:sz w:val="21"/>
        </w:rPr>
        <w:t xml:space="preserve"> toekomst), verkkotyökalu, joka esittelee 20 vaatetta. Paneelikyselyn tulokset hyödynsivät useita aihekohtaisia vuoropuheluja, jotka järjestettiin kansalaisvuoropuheluprosessin jatkotoimena.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Paneelitutkimuksen kohdeväestöön kuuluvat kaikki 18-vuotiaat tai sitä vanhemmat hollantilaiset, jotka olivat kenttätyön alkaessa väestörekisteriin rekisteröityneitä. Alankomaiden kansallisen tilastoviraston (Centraal Bureau voor de Statistiek – CBS) mukaan tähän kohderyhmään oli 1. tammikuuta 2021 mennessä 14 190 874 henkilöä. 18 vuoden alaraja vastaa vaalienemmistöä. Kutsumme sitä paneelitutkimuksen väestöksi. </w:t>
      </w:r>
      <w:r>
        <w:br w:type="page"/>
      </w:r>
    </w:p>
    <w:p>
      <w:pPr>
        <w:pStyle w:val="P68B1DB1Normal126"/>
        <w:widowControl w:val="false"/>
        <w:spacing w:lineRule="auto" w:line="240" w:before="43" w:after="0"/>
        <w:ind w:left="0" w:right="0" w:hanging="0"/>
        <w:jc w:val="left"/>
        <w:rPr>
          <w:rFonts w:ascii="Calibri" w:hAnsi="Calibri"/>
          <w:color w:val="0070C0"/>
          <w:sz w:val="24"/>
        </w:rPr>
      </w:pPr>
      <w:r>
        <w:rPr/>
        <w:t xml:space="preserve">Kenttätyöskentely </w:t>
      </w:r>
    </w:p>
    <w:p>
      <w:pPr>
        <w:pStyle w:val="P68B1DB1Normal104"/>
        <w:widowControl w:val="false"/>
        <w:spacing w:lineRule="auto" w:line="240" w:before="116" w:after="0"/>
        <w:ind w:left="0" w:right="0" w:hanging="0"/>
        <w:jc w:val="left"/>
        <w:rPr/>
      </w:pPr>
      <w:r>
        <w:rPr/>
        <w:t xml:space="preserve">Paneelissa oli yli 100 000 osallistujaa eri puolilta maata (ISO-sertifioitu, Research Keurmerk groep, Nederlandse marktonderzoek Associatie) digitaalisen kuvan saamiseksi ”Medium Dutch”. Nämä osallistujat ilmoittautuivat kyselypaneeliin esittämään näkemyksiään useista aiheista säännöllisesti. Sen lisäksi, että he ovat luontevasti motivoituneita osallistumaan kyselyyn, heille maksetaan myös kyselyihin vastaamisesta. Useat tieteelliset tutkimukset osoittavat, että vastaajat, jotka saavat korvausta kyselylomakkeen täyttämisestä, eivät anna merkittävästi erilaisia vastauksia (lähde: </w:t>
      </w:r>
      <w:r>
        <w:rPr>
          <w:i/>
        </w:rPr>
        <w:t>Heikentääkö tutkimuskannustimien käyttö tietojen laatua?</w:t>
      </w:r>
      <w:r>
        <w:rPr/>
        <w:t xml:space="preserve">, 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Kenttätyö alkoi 11. elokuuta 2021 ja päättyi 19. syyskuuta 2021. Toteutuksessa käytettiin vain yhtä tiedonkeruumenetelmää eli Internet-kyselyä. Kyselypaneelin jäsenet saivat sähköpostitse henkilökohtaisen linkin verkkokyselyyn. Kahden viikon kuluttua paneelin osallistujat saivat muistutuksen. Osallistumiskutsut lähetettiin erissä ja ositettiin (varmistamalla alaryhmien tasapuolinen jakautuminen), kunnes vaadittu määrä vastaajia on saavutettu. </w:t>
      </w:r>
    </w:p>
    <w:p>
      <w:pPr>
        <w:pStyle w:val="P68B1DB1Normal126"/>
        <w:widowControl w:val="false"/>
        <w:spacing w:lineRule="auto" w:line="240" w:before="42" w:after="0"/>
        <w:ind w:left="0" w:right="0" w:hanging="0"/>
        <w:jc w:val="left"/>
        <w:rPr>
          <w:rFonts w:ascii="Calibri" w:hAnsi="Calibri"/>
          <w:color w:val="0070C0"/>
          <w:sz w:val="24"/>
        </w:rPr>
      </w:pPr>
      <w:r>
        <w:rPr/>
        <w:t xml:space="preserve">Näytteenotto ja jakelu </w:t>
      </w:r>
    </w:p>
    <w:p>
      <w:pPr>
        <w:pStyle w:val="P68B1DB1Normal104"/>
        <w:widowControl w:val="false"/>
        <w:spacing w:lineRule="auto" w:line="240" w:before="114" w:after="0"/>
        <w:ind w:left="0" w:right="0" w:hanging="0"/>
        <w:jc w:val="left"/>
        <w:rPr/>
      </w:pPr>
      <w:r>
        <w:rPr/>
        <w:t xml:space="preserve">Kyselyn suunnittelu perustuu periaatteeseen, jonka mukaan kyselyyn on osallistuttava vähintään 3 600 vastaajaa hyvän tilastollisen luotettavuuden varmistamiseksi. Lisäksi tämä luku mahdollistaa hyvän jakautumisen väestön eri yleisominaisuuksien välillä. Ei ole olemassa vain yhdenlaista hollantilaista. Tilintarkastustuomioistuin on näin ollen varmistanut etukäteen, että otos jakautuu hyvin useille ominaisuuksille. Alankomaat on suhteellisen pieni maa, mutta mielipiteet voivat vaihdella alueittain. Teemoille annettu sijainti ja merkitys voidaan (osittain) määrittää sen alueen mukaan, jossa asut. Esimerkiksi maaseudulla asuvat ihmiset voivat ymmärtää esimerkiksi turvallisuuden eri tavalla kuin kaupunkialueilla. Alankomaiden sosiaali- ja kulttuurisuunnittelutoimiston tutkimus osoittaa myös, että henkilöt, joilla on korkeampi opiskelutaso, ovat useammin EU:n tukijoita kuin heikommin opiskelevat ja että nuoret tukevat EU:ta enemmän kuin iäkkäät (lähde: </w:t>
      </w:r>
      <w:r>
        <w:rPr>
          <w:i/>
        </w:rPr>
        <w:t>Wat Willen Nederlanders van de Europese Unie?</w:t>
      </w:r>
      <w:r>
        <w:rPr/>
        <w:t xml:space="preserve">, Alankomaiden sosiaali- ja kulttuurisuunnitteluvirasto, Haag,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Tämän vuoksi olemme aiemmin jakaneet seuraavat kolme ominaisuutta suhteellisesti otoksen edustavuuden varmistamiseksi: 1) asuminen COROP-alueiden kautta, 2) ikä ja 3) koulutustaso. Otoksen jakautuminen esitettiin myös seuraavien yleisten ominaisuuksien perusteella: sukupuoli, alkuperä, päätoimi, poliittinen suuntautuminen.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COROP-alueet on kehitetty nodal-periaatteen (sydämen, jolla on vetovoima tai alueellinen tehtävä) pohjalta työmatkojen kulkuun perustuen. Joitakin solmuperiaatteen loukkauksia on myönnetty, jotta alueet noudattavat maakunnan rajoja. Kun kuntien uudelleenjärjestely ylitti COROP-rajat, jakoa mukautettiin (lähde: Alankomaiden kansallinen tilastovirasto). COROP-alueilla olemme varmistaneet hyvän jakautumisen ikäryhmien kesken seuraavasti: 18–34-vuotiaat, 35–54-vuotiaat, 55–75-vuotiaat ja yli 75-vuotiaat.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Lopuksi varmistettiin koulutustason edustava jakautuminen. Otoksessa vastaajien jakautuminen vastaa korkeimman koulutustason jakautumista kansallisella tasolla, joka on seuraava: </w:t>
      </w:r>
      <w:r>
        <w:br w:type="page"/>
      </w:r>
    </w:p>
    <w:p>
      <w:pPr>
        <w:pStyle w:val="P68B1DB1Normal120"/>
        <w:spacing w:lineRule="auto" w:line="240"/>
        <w:ind w:left="0" w:right="0" w:hanging="0"/>
        <w:rPr>
          <w:rFonts w:ascii="Calibri" w:hAnsi="Calibri"/>
          <w:b/>
          <w:b/>
          <w:color w:val="000000"/>
          <w:sz w:val="21"/>
        </w:rPr>
      </w:pPr>
      <w:r>
        <w:rPr/>
        <w:t xml:space="preserve">Korkein koulutustaso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Alhainen: perusasteen koulutus, ammatillinen valmistava koulutus, lukiokoulutuksen 1.-3. luokka/yliopistoa edeltävä koulutus, keskiasteen ammatillinen koulutus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Välituote: lukiokoulutus/yliopistoa edeltävä koulutus, keskiasteen ammatillinen koulutus taso 2–4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Korkea: korkea-asteen ammatillinen koulutus tai yliopistokoulutus</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Tuntematon</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P68B1DB1Normal126"/>
        <w:spacing w:lineRule="auto" w:line="240"/>
        <w:ind w:left="0" w:right="0" w:hanging="0"/>
        <w:rPr>
          <w:rFonts w:ascii="Calibri" w:hAnsi="Calibri"/>
          <w:color w:val="0070C0"/>
          <w:sz w:val="24"/>
        </w:rPr>
      </w:pPr>
      <w:r>
        <w:rPr/>
        <w:t xml:space="preserve">Vastausprosentti </w:t>
      </w:r>
    </w:p>
    <w:p>
      <w:pPr>
        <w:pStyle w:val="P68B1DB1Normal104"/>
        <w:widowControl w:val="false"/>
        <w:spacing w:lineRule="exact" w:line="386" w:before="116" w:after="0"/>
        <w:ind w:left="0" w:right="368" w:hanging="0"/>
        <w:jc w:val="left"/>
        <w:rPr/>
      </w:pPr>
      <w:r>
        <w:rPr/>
        <w:t xml:space="preserve">Kyselyyn osallistui yhteensä 4 086 henkilöä per paneeli. Näin ollen tavoite 3 600 täytetystä kyselylomakkeesta saavutetaan.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Vastaukset COROP-alueittain ja ikäryhmittäin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18–34 vuotta</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35–54-vuotiaat</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55–75 vuotta vanha</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yli 75 vuotta vanha</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Pohjoinen Drenthe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Drenthen kaakkoisosa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Drenthen lounaispuolella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Suomi</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Pohjois-Friesland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Frieslandin kaakkoisosassa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Frieslandin lounaisosa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Suomi</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Gelderlandin lounaisosa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Itäinen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Muu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Keski-Limburg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Pohjois-Limburg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Etelä-Limburg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Pohjois-Brabantin keskusta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Pohjois-Brabantista koilliseen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Pohjois-Brabantin länsipuolella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Pohjois-Brabantin kaakkoisosassa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Haarlemin taajama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ja sen ympäristö</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Suuri Amsterdam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ja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Pohjois-Hollannin kärki</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Zaanin alue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Pohjoinen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Overijsselin lounaispuolella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Suomi</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Muu Zeeland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Flanders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Leidenin taajama ja sipulialue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Haagin taajama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ja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Etelä-Hollannin itäpuolella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Etelä-Hollannin kaakkoisosa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Vastaukset koulutusasteen mukaan</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Matala</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Välittäjä</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Korkea</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Tuntematon</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Luotettavuus ja edustavuus </w:t>
      </w:r>
    </w:p>
    <w:p>
      <w:pPr>
        <w:pStyle w:val="P68B1DB1Normal104"/>
        <w:widowControl w:val="false"/>
        <w:spacing w:lineRule="auto" w:line="240" w:before="119" w:after="0"/>
        <w:ind w:left="0" w:right="0" w:hanging="0"/>
        <w:jc w:val="left"/>
        <w:rPr/>
      </w:pPr>
      <w:r>
        <w:rPr/>
        <w:t xml:space="preserve">Vastaajien lukumäärä 4 086 mahdollistaa havaintojen tekemisen koko perusjoukosta 95 prosentin luottamustasolla ja 1,53 prosentin virhemarginaalilla. Tulosten luotettavuustaso ja virhemarginaali määräytyvät otoksen koon perusteella. Mitä suurempi otos, sitä luotettavampi ja tarkempi tulos voidaan ekstrapoloida koko perusjoukkoon.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Luottamustaso on 1 (100 %) miinus merkitystaso. On tavallista, että se perustuu 5 %: n merkitykseen. Kyse on 95 prosentin luottamustasosta. Toisin sanoen, jos tutkimus toistettaisiin samalla tavalla ja samoin edellytyksin, tulokset olisivat samat 95 prosentissa tapauksista. </w:t>
      </w:r>
    </w:p>
    <w:p>
      <w:pPr>
        <w:pStyle w:val="P68B1DB1Normal104"/>
        <w:widowControl w:val="false"/>
        <w:spacing w:lineRule="auto" w:line="240"/>
        <w:ind w:left="0" w:right="0" w:hanging="0"/>
        <w:jc w:val="left"/>
        <w:rPr/>
      </w:pPr>
      <w:r>
        <w:rPr/>
        <w:t xml:space="preserve">Tarkkuus (ilmaistuna virhemarginaalina) ilmaisee arvojen vaihteluvälin, jonka sisällä perusjoukon todellinen arvo sijaitsee. Toisin sanoen: mikä olisi suurin ero otoksen tulosten ja koko perusjoukosta saatavien tulosten välillä? Jos virhemarginaali on 1,53 prosenttia, todellinen arvo koko perusjoukossa voi olla 1,53 prosenttia suurempi tai pienempi kuin otosarvo. Jos esimerkiksi kyselytutkimuksesta käy ilmi, että 50 prosenttia vastaajista pitää tiettyä teemaa tärkeänä, todellinen prosenttiosuus on 1,53 prosenttia suurempi tai pienempi kuin 50 prosenttia eli 48,47–51,53 prosenttia. Enintään 5 prosentin virhemarginaali on yleinen ja yleisesti hyväksytty kvantitatiivisissa tutkimuksissa (tilastot).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Luotettavuuden lisäksi näytteen edustavuus on tärkeää. Koska osallistumiskutsut on lähetetty erissä ja ositettu, tulokset ovat edustavia COROP-alueen ominaispiirteiden ja ikäryhmien osalta COROP-alueittain. Vastaukset ovat edustavia myös koulutustason kannalta verrattuna kansallisella tasolla saavutettuun korkeimpaan koulutustasoon.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rFonts w:ascii="Calibri" w:hAnsi="Calibri"/>
          <w:color w:val="0070C0"/>
          <w:sz w:val="24"/>
        </w:rPr>
      </w:pPr>
      <w:r>
        <w:rPr/>
        <w:t xml:space="preserve">Muut yleiset ominaisuudet </w:t>
      </w:r>
    </w:p>
    <w:p>
      <w:pPr>
        <w:pStyle w:val="P68B1DB1Normal104"/>
        <w:widowControl w:val="false"/>
        <w:spacing w:lineRule="auto" w:line="240"/>
        <w:ind w:left="0" w:right="0" w:hanging="0"/>
        <w:jc w:val="left"/>
        <w:rPr/>
      </w:pPr>
      <w:r>
        <w:rPr/>
        <w:t xml:space="preserve">Paneeli esitti kyselyyn osallistujille useita asiayhteyteen liittyviä kysymyksiä. Näitä ovat sukupuoli, EU:n asema, alkuperä, pääasiallinen ammatti ja poliittinen puolue, jonka puolesta henkilö äänestäisi vaaleissa.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Vastaajista 49 prosenttia on miehiä, 50 prosenttia naisia ja yksi prosentti ei halua vastata tähän kysymykseen.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51 prosenttia vastaajista katsoo, että Alankomaiden on hyvä olla EU:n jäsen, 13 prosenttia pitää sitä huonona asiana ja 36 prosenttia on puolueettomia tai ei ole mielipidettä.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Vastaajista 95 prosenttia syntyi Alankomaissa. 89 prosenttia vastaajista ilmoitti, että molemmat vanhemmat ovat syntyneet Alankomaissa. Viisi prosenttia vanhemmista on syntynyt ulkomailla syntyneille vanhemmille.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rFonts w:ascii="Calibri" w:hAnsi="Calibri"/>
          <w:color w:val="0070C0"/>
          <w:sz w:val="24"/>
        </w:rPr>
      </w:pPr>
      <w:r>
        <w:rPr/>
        <w:t xml:space="preserve">Vastaajien nykyinen poliittinen suuntautuminen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Juhlat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(Vapauden ja demokratian kansanpuolue)</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(Party for Freedom)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(sosialistinen puolue)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(demokraatit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(kristillisdemokraattinen kutsu)</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(työpuolue)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(eläinpuolue)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(vihreä vasen)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(kristillinen liitto)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(Farmer-kansalaisten liike)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(demokratiafoorumi)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GSP (uudistettu poliittinen puolue)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Suomi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SUOMI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Hotellit lähellä paikkaa 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 Näytä tarkat tiedot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Muu</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Valkoinen äänestys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En halua vastata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En äänestä</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rFonts w:ascii="Calibri" w:hAnsi="Calibri"/>
          <w:color w:val="0070C0"/>
          <w:sz w:val="24"/>
        </w:rPr>
      </w:pPr>
      <w:r>
        <w:rPr/>
        <w:t xml:space="preserve">Mikä on tällä hetkellä tärkein ammattisi?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Ammatti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Opiskelija/opiskelija</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Osa-aikainen työntekijä</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Kokopäiväinen työntekijä</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Itsenäinen urakoitsija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Henkilö kotona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Työnhakija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Vapaaehtoinen</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Työkyvyttömyys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Eläkkeellä</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Muu</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En halua vastata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Kyselylomake </w:t>
      </w:r>
    </w:p>
    <w:p>
      <w:pPr>
        <w:pStyle w:val="P68B1DB1Normal104"/>
        <w:widowControl w:val="false"/>
        <w:spacing w:lineRule="exact" w:line="339" w:before="1" w:after="0"/>
        <w:ind w:left="0" w:right="0" w:hanging="0"/>
        <w:jc w:val="left"/>
        <w:rPr/>
      </w:pPr>
      <w:r>
        <w:rPr/>
        <w:t xml:space="preserve">Kyselyn ja tämän raportin laati ulkoministeriön pyynnöstä riippumaton ulkopuolinen organisaatio. Kyselyssä esitetään modulaarinen rakenne, joka sisältää seuraavat kysymykset Euroopan tulevaisuutta käsittelevää konferenssia varten määritettyjen aiheiden mukaisesti: </w:t>
      </w:r>
    </w:p>
    <w:p>
      <w:pPr>
        <w:pStyle w:val="P68B1DB1Normal105"/>
        <w:widowControl w:val="false"/>
        <w:spacing w:lineRule="exact" w:line="349" w:before="0" w:after="0"/>
        <w:ind w:left="0" w:right="0" w:hanging="0"/>
        <w:jc w:val="left"/>
        <w:rPr/>
      </w:pPr>
      <w:r>
        <w:rPr>
          <w:rFonts w:ascii="Verdana" w:hAnsi="Verdana"/>
        </w:rPr>
        <w:t>•</w:t>
      </w:r>
      <w:r>
        <w:rPr/>
        <w:t xml:space="preserve"> </w:t>
      </w:r>
      <w:r>
        <w:rPr>
          <w:rFonts w:ascii="Calibri" w:hAnsi="Calibri"/>
        </w:rPr>
        <w:t xml:space="preserve">Tärkeät aiheet ja Euroopan rooli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Ilmastonmuutos ja ympäristö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Terveys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Talous ja työllisyys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Euroopan unionin rooli maailmassa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Turvallisuus ja oikeusvaltioperiaate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Virtuaalimaailma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Eurooppalainen demokratia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Muuttoliike ja pakolaiset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Koulutus/kulttuuri/nuoret/urheilu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Kyselyn valmistelussa kiinnitettiin paljon huomiota kysymysten laatuun, luotettavuuteen ja oikeellisuuteen. Tästä syystä etsittiin kysymysten, väitteiden ja vastausvaihtoehtojen neutraalia, ei-ohjattua muotoilua ja varmistettiin, että kysymykset on muotoiltu ymmärrettävällä kielellä (taso B1).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Kyselyyn tehtiin laatutestejä haastattelemalla kohderyhmään kuuluvia koehenkilöitä kasvokkain. Tämän avulla pystyimme tutkimaan, miten eri vastaajat ymmärtävät kysymyksiä. Jos kysymys näytti edustavan liian suurta (liian monimutkaista) kognitiivista kuormitusta, se oli tarkoituksenmukaista. </w:t>
      </w:r>
    </w:p>
    <w:p>
      <w:pPr>
        <w:pStyle w:val="P68B1DB1Normal126"/>
        <w:widowControl w:val="false"/>
        <w:spacing w:lineRule="auto" w:line="240" w:before="333" w:after="0"/>
        <w:ind w:left="0" w:right="0" w:hanging="0"/>
        <w:jc w:val="left"/>
        <w:rPr>
          <w:rFonts w:ascii="Calibri" w:hAnsi="Calibri"/>
          <w:color w:val="0070C0"/>
          <w:sz w:val="24"/>
        </w:rPr>
      </w:pPr>
      <w:r>
        <w:rPr/>
        <w:t xml:space="preserve">Analyysimenetelmät </w:t>
      </w:r>
    </w:p>
    <w:p>
      <w:pPr>
        <w:pStyle w:val="P68B1DB1Normal104"/>
        <w:widowControl w:val="false"/>
        <w:spacing w:lineRule="auto" w:line="240" w:before="80" w:after="0"/>
        <w:ind w:left="0" w:right="0" w:hanging="0"/>
        <w:jc w:val="left"/>
        <w:rPr>
          <w:rFonts w:ascii="Calibri" w:hAnsi="Calibri"/>
          <w:color w:val="000000"/>
          <w:sz w:val="21"/>
        </w:rPr>
      </w:pPr>
      <w:r>
        <w:rPr/>
        <w:t xml:space="preserve">Tutkimuksessa käytettiin kahta analyysimenetelmää: </w:t>
      </w:r>
    </w:p>
    <w:p>
      <w:pPr>
        <w:pStyle w:val="P68B1DB1Normal111"/>
        <w:widowControl w:val="false"/>
        <w:spacing w:lineRule="auto" w:line="240" w:before="48" w:after="0"/>
        <w:ind w:left="0" w:right="0" w:hanging="0"/>
        <w:jc w:val="left"/>
        <w:rPr>
          <w:rFonts w:ascii="Calibri" w:hAnsi="Calibri"/>
          <w:b/>
          <w:b/>
          <w:color w:val="000000"/>
          <w:sz w:val="22"/>
        </w:rPr>
      </w:pPr>
      <w:r>
        <w:rPr/>
        <w:t xml:space="preserve">Yksimuuttuja-analyysit </w:t>
      </w:r>
    </w:p>
    <w:p>
      <w:pPr>
        <w:pStyle w:val="P68B1DB1Normal104"/>
        <w:widowControl w:val="false"/>
        <w:spacing w:lineRule="auto" w:line="240" w:before="6" w:after="0"/>
        <w:ind w:left="0" w:right="0" w:hanging="0"/>
        <w:jc w:val="left"/>
        <w:rPr>
          <w:rFonts w:ascii="Calibri" w:hAnsi="Calibri"/>
          <w:color w:val="000000"/>
          <w:sz w:val="21"/>
        </w:rPr>
      </w:pPr>
      <w:r>
        <w:rPr/>
        <w:t xml:space="preserve">Kuvailevia tilastoja käytetään kuvaamaan kyselyn muuttujia. Tässä tutkimuksessa käytetään taajuuksia ja keskiarvoja. </w:t>
      </w:r>
    </w:p>
    <w:p>
      <w:pPr>
        <w:pStyle w:val="P68B1DB1Normal111"/>
        <w:widowControl w:val="false"/>
        <w:spacing w:lineRule="auto" w:line="240" w:before="48" w:after="0"/>
        <w:ind w:left="0" w:right="0" w:hanging="0"/>
        <w:jc w:val="left"/>
        <w:rPr>
          <w:rFonts w:ascii="Calibri" w:hAnsi="Calibri"/>
          <w:b/>
          <w:b/>
          <w:color w:val="000000"/>
          <w:sz w:val="22"/>
        </w:rPr>
      </w:pPr>
      <w:r>
        <w:rPr/>
        <w:t xml:space="preserve">Bivariaattianalyysit </w:t>
      </w:r>
    </w:p>
    <w:p>
      <w:pPr>
        <w:pStyle w:val="P68B1DB1Normal104"/>
        <w:widowControl w:val="false"/>
        <w:spacing w:lineRule="auto" w:line="240" w:before="6" w:after="0"/>
        <w:ind w:left="0" w:right="0" w:hanging="0"/>
        <w:jc w:val="left"/>
        <w:rPr/>
      </w:pPr>
      <w:r>
        <w:rPr/>
        <w:t xml:space="preserve">Kahden muuttujan analyysien avulla voidaan tarkastella kahden muuttujan välistä suhdetta, tässä tapauksessa eri teemojen merkityksen ja sen kysymyksen, pitäisikö EU:n puuttua asiaan, ja iän yleisen ominaisuuden välistä suhdetta. Uudelleentarkastelun tarkoituksena oli selvittää, pitävätkö eri ikäryhmät aiheelle eriävää merkitystä ja ovatko näkemykset siitä, missä määrin EU:n olisi osallistuttava näihin kysymyksiin.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rFonts w:ascii="Calibri" w:hAnsi="Calibri"/>
          <w:color w:val="0070C0"/>
          <w:sz w:val="24"/>
        </w:rPr>
      </w:pPr>
      <w:r>
        <w:rPr/>
        <w:t xml:space="preserve">Tietojen julkaiseminen ja täydellisyys </w:t>
      </w:r>
    </w:p>
    <w:p>
      <w:pPr>
        <w:pStyle w:val="P68B1DB1Normal76"/>
        <w:widowControl w:val="false"/>
        <w:spacing w:lineRule="auto" w:line="240" w:before="116" w:after="0"/>
        <w:ind w:left="0" w:right="0" w:hanging="0"/>
        <w:jc w:val="left"/>
        <w:rPr/>
      </w:pPr>
      <w:r>
        <w:rPr>
          <w:rFonts w:ascii="Calibri" w:hAnsi="Calibri"/>
          <w:sz w:val="21"/>
        </w:rPr>
        <w:t>Tämä raportti sisältää kaikkien kyselypaneelin vastaajille esitettyjen kysymysten tulokset. Joissakin kysymyksissä vastaajalle annettiin mahdollisuus antaa ”avoimia” (eli ei ennalta määritettyjä) vastauksia. Avoimet vastaukset luokiteltiin ja sisällytettiin julkaisuun. Vastaajien ilmaisessa kommentissa jakamia ideoita hyödynnetään eri aihekohtaisissa vuoropuheluissa, jotka on järjestetty Euroopan unionin kansalaisvuoropuheluprosessin jatkotoimena.</w:t>
      </w:r>
      <w:r>
        <w:rPr>
          <w:rFonts w:ascii="Times New Roman" w:hAnsi="Times New Roman"/>
          <w:sz w:val="24"/>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t xml:space="preserve">2. Verkossa käytävät aihekohtaiset vuoropuhelut syventämiseksi </w:t>
      </w:r>
    </w:p>
    <w:p>
      <w:pPr>
        <w:pStyle w:val="P68B1DB1Normal104"/>
        <w:widowControl w:val="false"/>
        <w:spacing w:lineRule="auto" w:line="240"/>
        <w:ind w:left="0" w:right="0" w:hanging="0"/>
        <w:jc w:val="left"/>
        <w:rPr/>
      </w:pPr>
      <w:r>
        <w:rPr/>
        <w:t xml:space="preserve">Euroopan tulevaisuutta käsittelevän konferenssin keskeisiä teemoja on syvennetty kahdeksalla verkossa käytävällä aihekohtaisella vuoropuhelulla. Näiden vuoropuhelujen tarkoituksena oli selvittää ilmaistujen mielipiteiden </w:t>
      </w:r>
      <w:r>
        <w:rPr>
          <w:i/>
        </w:rPr>
        <w:t>syyt</w:t>
      </w:r>
      <w:r>
        <w:rPr/>
        <w:t xml:space="preserve"> sekä niiden taustalla olevat motiivit ja tunteet. Mitkä ovat havaitut huolenaiheet ja mahdollisuudet? Keskustelutilaisuudet antoivat osallistujille myös mahdollisuuden laatia ehdotuksia ja ajatuksia näistä aiheista sekä tuoda esiin kysymyksiä, jotka eivät ole osa konferenssia mutta jotka ovat edelleen tärkeitä heille.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Temaattiset vuoropuhelut käytiin 12.–14. lokakuuta ja 9.–11. marraskuuta. Lokakuussa järjestettiin neljä verkkoaiheista aihekohtaista vuoropuhelua aiheista ”talous” ja ”demokratia”. </w:t>
      </w:r>
    </w:p>
    <w:p>
      <w:pPr>
        <w:pStyle w:val="Normal"/>
        <w:widowControl w:val="false"/>
        <w:spacing w:lineRule="auto" w:line="240" w:before="10" w:after="0"/>
        <w:ind w:left="0" w:right="0" w:hanging="0"/>
        <w:jc w:val="left"/>
        <w:rPr/>
      </w:pPr>
      <w:r>
        <w:rPr>
          <w:rFonts w:ascii="Calibri" w:hAnsi="Calibri"/>
          <w:color w:val="000000"/>
          <w:sz w:val="21"/>
        </w:rPr>
        <w:t xml:space="preserve">Marraskuussa järjestettiin neljä verkkoaiheista aihekohtaista vuoropuhelua aiheista ”Ilmasto” ja ”EU maailmassa”. Kuhunkin keskusteluun osallistui keskimäärin 29 henkilöä (yhteensä 231 henkilöä). Osallistujat rekrytoitiin paneelin jäsenten keskuudesta (ks. kohta 1) ja sosiaalisen median kautta. </w:t>
      </w:r>
      <w:r>
        <w:br w:type="page"/>
      </w:r>
    </w:p>
    <w:p>
      <w:pPr>
        <w:pStyle w:val="P68B1DB1Normal125"/>
        <w:spacing w:lineRule="auto" w:line="240"/>
        <w:ind w:left="0" w:right="0" w:hanging="0"/>
        <w:rPr>
          <w:rFonts w:ascii="Calibri" w:hAnsi="Calibri"/>
          <w:b/>
          <w:b/>
          <w:color w:val="0070C0"/>
          <w:sz w:val="32"/>
        </w:rPr>
      </w:pPr>
      <w:r>
        <w:rPr/>
        <w:t xml:space="preserve">3. Vuoropuhelu tiettyjen ryhmien kanssa </w:t>
      </w:r>
    </w:p>
    <w:p>
      <w:pPr>
        <w:pStyle w:val="P68B1DB1Normal104"/>
        <w:widowControl w:val="false"/>
        <w:spacing w:lineRule="auto" w:line="240" w:before="73" w:after="0"/>
        <w:ind w:left="0" w:right="0" w:hanging="0"/>
        <w:jc w:val="left"/>
        <w:rPr/>
      </w:pPr>
      <w:r>
        <w:rPr/>
        <w:t xml:space="preserve">Joidenkin hollantilaisten ryhmien tiedetään olevan vähemmän tottuneet osallistumaan kyselyihin ja paneeleihin (online). Jotta saataisiin edustava kuva ”Alankomaiden äänistä”, oli tärkeää, että myös nämä kansalaiset voivat ilmaista ajatuksiaan ja mielipiteitään. Tämän vuoksi järjestimme myös useita vuoropuheluja Euroopan Vision of Europe -kyselyä varten. Mielipiteitä ja ideoita, joita pystyimme keräämään, käytettiin perustana (muun muassa) suositusten laatimisessa. </w:t>
      </w:r>
    </w:p>
    <w:p>
      <w:pPr>
        <w:pStyle w:val="P68B1DB1Normal126"/>
        <w:widowControl w:val="false"/>
        <w:spacing w:lineRule="auto" w:line="240" w:before="94" w:after="0"/>
        <w:ind w:left="0" w:right="0" w:hanging="0"/>
        <w:jc w:val="left"/>
        <w:rPr>
          <w:rFonts w:ascii="Calibri" w:hAnsi="Calibri"/>
          <w:color w:val="0070C0"/>
          <w:sz w:val="24"/>
        </w:rPr>
      </w:pPr>
      <w:r>
        <w:rPr/>
        <w:t xml:space="preserve">Kohderyhmät </w:t>
      </w:r>
    </w:p>
    <w:p>
      <w:pPr>
        <w:pStyle w:val="P68B1DB1Normal110"/>
        <w:widowControl w:val="false"/>
        <w:spacing w:lineRule="auto" w:line="240" w:before="88" w:after="0"/>
        <w:ind w:left="0" w:right="0" w:hanging="0"/>
        <w:jc w:val="left"/>
        <w:rPr/>
      </w:pPr>
      <w:r>
        <w:rPr>
          <w:sz w:val="21"/>
        </w:rPr>
        <w:t xml:space="preserve">Vaikeasti tavoitettavia kohderyhmiä ei voida määritellä yksiselitteisesti. Tutkimusten ja kokemusten avulla voimme tietää, että hollantilaiset, joilla </w:t>
      </w:r>
      <w:r>
        <w:rPr>
          <w:b/>
          <w:sz w:val="21"/>
        </w:rPr>
        <w:t>ei ole länsimaista</w:t>
      </w:r>
      <w:r>
        <w:rPr>
          <w:sz w:val="21"/>
        </w:rPr>
        <w:t>alkuperää, osallistuvat huomattavasti vähemmän itseään tutkimuksiin ja keskusteluihin. Koska kyseessä on suuri ryhmä (14 prosenttia Alankomaiden</w:t>
      </w:r>
      <w:r>
        <w:rPr>
          <w:b/>
          <w:position w:val="6"/>
          <w:sz w:val="14"/>
        </w:rPr>
        <w:t>1</w:t>
      </w:r>
      <w:r>
        <w:rPr>
          <w:sz w:val="21"/>
        </w:rPr>
        <w:t xml:space="preserve">:stä), heidät valittiin osallistumaan vision of Europe -vuoropuheluun. Samaa päättelyä noudatettiin sellaisten </w:t>
      </w:r>
      <w:r>
        <w:rPr>
          <w:b/>
          <w:sz w:val="21"/>
        </w:rPr>
        <w:t>henkilöiden osalta, joilla on vähän koulutusta</w:t>
      </w:r>
      <w:r>
        <w:rPr>
          <w:sz w:val="21"/>
        </w:rPr>
        <w:t>. Se on myös suuri ryhmä (2,5 miljoonaa hollantilaista</w:t>
      </w:r>
      <w:r>
        <w:rPr>
          <w:position w:val="6"/>
          <w:sz w:val="14"/>
        </w:rPr>
        <w:t>2</w:t>
      </w:r>
      <w:r>
        <w:rPr>
          <w:sz w:val="21"/>
        </w:rPr>
        <w:t xml:space="preserve">), joka on osittain päällekkäinen maahanmuuttajaryhmän kanssa (39 prosenttia). Lopuksi on käyty vuoropuhelua sellaisten ihmisten kanssa, joita harvoin tavataan kyselyissä ja keskusteluissa, </w:t>
      </w:r>
      <w:r>
        <w:rPr>
          <w:b/>
          <w:sz w:val="21"/>
        </w:rPr>
        <w:t>jotka suhtautuvat kriittisesti Eurooppaan mutta joiden kannalta Euroopalla on tärkeä rooli ammatillisessa toiminnassa.</w:t>
      </w:r>
      <w:r>
        <w:rPr>
          <w:sz w:val="21"/>
        </w:rPr>
        <w:t xml:space="preserve"> Maatalousalan yrittäjiä valittiin.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Edellä mainittuja ryhmiä on lähestytty organisaatioissa, joiden jäseniä ne ovat, kuten maahanmuuttajajärjestöissä, edunvalvontajärjestöissä ja ammatillisissa järjestöissä. Koska olemme rajoittaneet vuoropuhelujen määrän kahdeksaan, emme voi olla täysin ”tyhjentäviä”. Tämä tekee osallistujien valinnasta jonkin verran mielivaltaista. Tämän valinnan tekemiseksi otimme myös huomioon innostuksen osallistua ja auttaa mobilisoimaan niiden tukikohtaa sekä käytännön kysymyksiä, kuten saatavuutta päivämäärien ja sijainnin mukaan.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Paikan päällä käytiin vuoropuhelua seuraavien organisaatioiden jäsenten kanssa: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Hakder-säätiö, Alevi-yhteisö,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Foundation, hinduyhteisö, Utrecht (kaksi keskustelutilaisuutta)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kansalaisyhteiskunnan organisaatio,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vähän koulutettujen ihmisten järjestö,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maatalousryhmien yhdistys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marokkolainen yhteisö,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Women for Freedom, maahanmuuttajataustaisten naisten edunvalvontajärjestö, Haag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Keskusteluihin osallistui yhteensä 110 henkilöä.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t xml:space="preserve">4. Vuoropuhelu nuorten kanssa </w:t>
      </w:r>
    </w:p>
    <w:p>
      <w:pPr>
        <w:pStyle w:val="P68B1DB1Normal104"/>
        <w:widowControl w:val="false"/>
        <w:spacing w:lineRule="auto" w:line="240" w:before="145" w:after="0"/>
        <w:ind w:left="0" w:right="0" w:hanging="0"/>
        <w:jc w:val="both"/>
        <w:rPr/>
      </w:pPr>
      <w:r>
        <w:rPr/>
        <w:t xml:space="preserve">Nuoret ovat Euroopan tulevaisuutta käsittelevän konferenssin ensisijainen kohderyhmä. Erityisesti nuorille järjestettiin kuusi fyysistä keskustelutapaamista, jotta voitaisiin aktiivisesti kannustaa heitä osallistumaan kansalaiskeskusteluun ”Euroopan visio” ja saada ryhmän mielipiteet ja ajatukset hyvin kuulluiksi.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Kokoukset pidettiin seuraavissa toimielimissä: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Historiallisten opiskelijoiden yhdistys, Leidenin yliopisto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Dr. Knippenberg College, High School, Helmond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Coalitie-Y, talous- ja sosiaalineuvoston nuorisofoorumi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Graafschap College, ammatillinen keskiasteen koulutus,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teknologisiin aineisiin keskittyvä keskiasteen koulutus,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Kansallinen nuorisoneuvosto (kokous pidettiin paikan päällä)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Keskustelutilaisuuksiin osallistui yhteensä 110 nuorta. </w:t>
      </w:r>
      <w:r>
        <w:br w:type="page"/>
      </w:r>
    </w:p>
    <w:p>
      <w:pPr>
        <w:pStyle w:val="P68B1DB1Normal126"/>
        <w:spacing w:lineRule="auto" w:line="240"/>
        <w:ind w:left="0" w:right="0" w:hanging="0"/>
        <w:rPr>
          <w:rFonts w:ascii="Calibri" w:hAnsi="Calibri"/>
          <w:color w:val="0070C0"/>
          <w:sz w:val="24"/>
        </w:rPr>
      </w:pPr>
      <w:r>
        <w:rPr/>
        <w:t xml:space="preserve">Käytetyt huoltotekniikat </w:t>
      </w:r>
    </w:p>
    <w:p>
      <w:pPr>
        <w:pStyle w:val="P68B1DB1Normal104"/>
        <w:widowControl w:val="false"/>
        <w:spacing w:lineRule="auto" w:line="240" w:before="92" w:after="0"/>
        <w:ind w:left="0" w:right="0" w:hanging="0"/>
        <w:jc w:val="left"/>
        <w:rPr/>
      </w:pPr>
      <w:r>
        <w:rPr/>
        <w:t xml:space="preserve">Verkossa käytävät aihekohtaiset vuoropuhelut, vuoropuhelut erityisryhmien kanssa ja vuoropuhelut nuorten kanssa toteutettiin ns. sokraattisella haastattelumenetelmällä. Tätä menetelmää on käytetty useita vuosia dialogipäivänä, jossa ihmiset eri puolilla Alankomaita ovat vuorovaikutuksessa heihin vaikuttavissa kysymyksissä. Valvojan on Sokraattisen ylläpitomenetelmän yhteydessä otettava huomioon seuraavat periaatteet: </w:t>
      </w:r>
    </w:p>
    <w:p>
      <w:pPr>
        <w:pStyle w:val="P68B1DB1Normal105"/>
        <w:widowControl w:val="false"/>
        <w:spacing w:lineRule="auto" w:line="240"/>
        <w:ind w:left="0" w:right="0" w:hanging="0"/>
        <w:jc w:val="left"/>
        <w:rPr/>
      </w:pPr>
      <w:r>
        <w:rPr>
          <w:rFonts w:ascii="Verdana" w:hAnsi="Verdana"/>
        </w:rPr>
        <w:t>•</w:t>
      </w:r>
      <w:r>
        <w:rPr/>
        <w:t xml:space="preserve"> </w:t>
      </w:r>
      <w:r>
        <w:rPr/>
        <w:t xml:space="preserve">Anna toisen kertoa tarinansa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Älä</w:t>
      </w:r>
      <w:r>
        <w:rPr/>
        <w:t xml:space="preserve"> </w:t>
      </w:r>
      <w:r>
        <w:rPr>
          <w:rFonts w:ascii="Calibri" w:hAnsi="Calibri"/>
        </w:rPr>
        <w:t xml:space="preserve">vastaa heti toisella tarinalla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Kohtele itseäsi kunnioittavasti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Puhua omasta näkökulmasta (”löydän” eikä ”he sanovat”)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Pyytää lisäselvityksiä, jos esitetyt näkemykset rajoittuvat yleisluonteisiin kysymyksiin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Välttää tuomioita ja analysoida niitä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Antaa hetkiä hiljaisuutta, jos ihmisten täytyy ajatella hetken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Vuoropuhelujen aikana on käytettävä seuraavaa rytmiä: erilaisuus – lähentyminen – eroavuus. Periaatteena on, että sinun täytyy ensin erota (suoraan ilmaista yksittäisiä tunteita ja mielipiteitä), ennen kuin voit lähentyä (keskustelu mahdollisia väyliä) ja sitten lopulta erota uudelleen (esimerkiksi kerätä yksittäisiä suosituksia). Kokemus ja teoria osoittavat, että tämä rytmi takaa optimaalisen dialogin.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Kaikki vuoropuhelut olivat ammattimaisia fasilitaattoreita. </w:t>
      </w:r>
    </w:p>
    <w:p>
      <w:pPr>
        <w:pStyle w:val="Normal"/>
        <w:widowControl w:val="false"/>
        <w:spacing w:lineRule="auto" w:line="240" w:before="197" w:after="0"/>
        <w:ind w:left="0" w:right="0" w:hanging="0"/>
        <w:jc w:val="left"/>
        <w:rPr/>
      </w:pPr>
      <w:r>
        <w:rPr>
          <w:rFonts w:ascii="Calibri" w:hAnsi="Calibri"/>
          <w:b/>
          <w:color w:val="0070C0"/>
          <w:sz w:val="32"/>
        </w:rPr>
        <w:t>5. Julkinen verkkokysely: Kyselylomake ja ”Swipen naar de toekomst”</w:t>
      </w:r>
      <w:commentRangeStart w:id="31"/>
      <w:r>
        <w:rPr>
          <w:rFonts w:ascii="Calibri" w:hAnsi="Calibri"/>
          <w:b/>
          <w:color w:val="0070C0"/>
          <w:sz w:val="32"/>
        </w:rPr>
        <w:t>(</w:t>
      </w:r>
      <w:r>
        <w:rPr>
          <w:rFonts w:ascii="Calibri" w:hAnsi="Calibri"/>
          <w:b/>
          <w:color w:val="0070C0"/>
          <w:sz w:val="32"/>
        </w:rPr>
      </w:r>
      <w:commentRangeEnd w:id="31"/>
      <w:r>
        <w:commentReference w:id="31"/>
      </w:r>
      <w:r>
        <w:rPr>
          <w:rFonts w:ascii="Calibri" w:hAnsi="Calibri"/>
          <w:b/>
          <w:color w:val="0070C0"/>
          <w:sz w:val="32"/>
        </w:rPr>
        <w:t xml:space="preserve"> Swiper to future) </w:t>
      </w:r>
    </w:p>
    <w:p>
      <w:pPr>
        <w:pStyle w:val="P68B1DB1Normal110"/>
        <w:widowControl w:val="false"/>
        <w:spacing w:lineRule="auto" w:line="240"/>
        <w:ind w:left="0" w:right="0" w:hanging="0"/>
        <w:jc w:val="left"/>
        <w:rPr/>
      </w:pPr>
      <w:r>
        <w:rPr>
          <w:sz w:val="21"/>
        </w:rPr>
        <w:t>Paneelikyselylomake oli avoin kaikille hollantilaisille, myös ulkomailla asuville. Kyselylomake oli saatavilla</w:t>
      </w:r>
      <w:r>
        <w:rPr>
          <w:position w:val="6"/>
          <w:sz w:val="14"/>
        </w:rPr>
        <w:t>1</w:t>
      </w:r>
      <w:r>
        <w:rPr>
          <w:sz w:val="21"/>
        </w:rPr>
        <w:t xml:space="preserve"> päivän syyskuuta 2021 ja 14 päivän marraskuuta 2021 välisenä aikana. Lisäksi samalla ajanjaksolla jokainen hollantilainen pystyi osallistumaan toimeen ”Swipen naar de toekomst” (Swiper toekomst), joka on verkkotyökalu, jossa esitetään 20 vaatetta. </w:t>
      </w:r>
    </w:p>
    <w:p>
      <w:pPr>
        <w:pStyle w:val="P68B1DB1Normal126"/>
        <w:widowControl w:val="false"/>
        <w:spacing w:lineRule="auto" w:line="240" w:before="14" w:after="0"/>
        <w:ind w:left="0" w:right="0" w:hanging="0"/>
        <w:jc w:val="left"/>
        <w:rPr>
          <w:rFonts w:ascii="Calibri" w:hAnsi="Calibri"/>
          <w:color w:val="0070C0"/>
          <w:sz w:val="24"/>
        </w:rPr>
      </w:pPr>
      <w:r>
        <w:rPr/>
        <w:t xml:space="preserve">Vastaukset ja käyttö </w:t>
      </w:r>
    </w:p>
    <w:p>
      <w:pPr>
        <w:pStyle w:val="P68B1DB1Normal104"/>
        <w:widowControl w:val="false"/>
        <w:spacing w:lineRule="auto" w:line="240"/>
        <w:ind w:left="0" w:right="0" w:hanging="0"/>
        <w:jc w:val="left"/>
        <w:rPr/>
      </w:pPr>
      <w:r>
        <w:rPr/>
        <w:t xml:space="preserve">Kyselyyn vastasi yhteensä 1 967 osallistujaa, ja näytön skannaustyökalun lopussa oli 6 968 osallistujaa. Sekä kyselylomake että näytön skannaustyökalu olivat avoimia kaikille: osallistumiselle ei ollut edellytyksiä tai valintaperusteita. Kyselyssä oli mahdollista välittää kysymyksiä (pakollisia kysymyksiä ei ollut) vastausprosentin maksimoimiseksi. Osallistujat valitsivat ”En halua vastata” paljon useammin kuin edustavassa paneelikyselyssä. </w:t>
      </w:r>
    </w:p>
    <w:p>
      <w:pPr>
        <w:pStyle w:val="P68B1DB1Normal104"/>
        <w:widowControl w:val="false"/>
        <w:spacing w:lineRule="auto" w:line="240"/>
        <w:ind w:left="0" w:right="0" w:hanging="0"/>
        <w:jc w:val="left"/>
        <w:rPr/>
      </w:pPr>
      <w:r>
        <w:rPr/>
        <w:t xml:space="preserve">Avoimen kyselyn ja näytön skannausvälineen osallistujien yleiset ominaisuudet poikkeavat useilta osin edustavan paneelin osallistujista. Toisin kuin paneelikyselyssä, avoimen kyselyn ja näytön skannaustyökalun tulokset eivät ole edustavia. Avoimen verkkokyselyn tuloksia käytettiin paneelitutkimuksen täydentämiseen. Ne antavat yleiskuvan Alankomaissa kiertävistä tunteista ja ideoista. Panoskentissä mainittuja parannusehdotuksia käytettiin kohdassa ”Keskustelut ja ideat verkossa ja paikan päällä”. Näytön skannaustyökalua on käytetty ymmärtämään paremmin joitakin Alankomaissa liikkuvia tunteita. Nämä tulokset otettiin huomioon suositusten valmistelussa. Edustavuutta koskevan vaatimuksen vuoksi verkossa aloitetun tutkimuksen tulokset on otettu vain vähän huomioon tässä kertomuksessa.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Tämän raportin julkaisee ulkoasiainministeriö.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Viittaukset kansallisten tapahtumien tuloksiin </w:t>
      </w:r>
    </w:p>
    <w:p>
      <w:pPr>
        <w:pStyle w:val="Normal"/>
        <w:widowControl w:val="false"/>
        <w:spacing w:lineRule="auto" w:line="240"/>
        <w:ind w:left="360" w:right="6617" w:hanging="0"/>
        <w:jc w:val="both"/>
        <w:rPr/>
      </w:pPr>
      <w:r>
        <w:rPr>
          <w:rFonts w:ascii="Times New Roman" w:hAnsi="Times New Roman"/>
          <w:color w:val="000000"/>
        </w:rPr>
        <w:t xml:space="preserve">• </w:t>
      </w:r>
      <w:hyperlink r:id="rId119">
        <w:r>
          <w:rPr>
            <w:rStyle w:val="LienInternet"/>
            <w:rFonts w:ascii="Times New Roman" w:hAnsi="Times New Roman"/>
            <w:b/>
            <w:color w:val="0000FF"/>
          </w:rPr>
          <w:t>Belgia</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0">
        <w:r>
          <w:rPr>
            <w:rStyle w:val="LienInternet"/>
            <w:rFonts w:ascii="Times New Roman" w:hAnsi="Times New Roman"/>
            <w:b/>
            <w:color w:val="0000FF"/>
          </w:rPr>
          <w:t>Bulgaria</w:t>
        </w:r>
      </w:hyperlink>
    </w:p>
    <w:p>
      <w:pPr>
        <w:pStyle w:val="Normal"/>
        <w:widowControl w:val="false"/>
        <w:spacing w:lineRule="auto" w:line="240"/>
        <w:ind w:left="360" w:right="6617" w:hanging="0"/>
        <w:jc w:val="both"/>
        <w:rPr/>
      </w:pPr>
      <w:r>
        <w:rPr>
          <w:rFonts w:ascii="Times New Roman" w:hAnsi="Times New Roman"/>
          <w:color w:val="000000"/>
        </w:rPr>
        <w:t xml:space="preserve">• </w:t>
      </w:r>
      <w:hyperlink r:id="rId121">
        <w:r>
          <w:rPr>
            <w:rStyle w:val="LienInternet"/>
            <w:rFonts w:ascii="Times New Roman" w:hAnsi="Times New Roman"/>
            <w:b/>
            <w:color w:val="0000FF"/>
          </w:rPr>
          <w:t>Tšekin</w:t>
        </w:r>
      </w:hyperlink>
      <w:hyperlink r:id="rId122">
        <w:r>
          <w:rPr>
            <w:rStyle w:val="LienInternet"/>
            <w:rFonts w:ascii="Times New Roman" w:hAnsi="Times New Roman"/>
            <w:b/>
            <w:color w:val="0000FF"/>
          </w:rPr>
          <w:t>tasavalta</w:t>
        </w:r>
      </w:hyperlink>
      <w:r>
        <w:rPr>
          <w:rFonts w:ascii="Times New Roman" w:hAnsi="Times New Roman"/>
          <w:color w:val="000000"/>
        </w:rPr>
        <w:t xml:space="preserve"> </w:t>
      </w:r>
    </w:p>
    <w:p>
      <w:pPr>
        <w:pStyle w:val="Normal"/>
        <w:widowControl w:val="false"/>
        <w:spacing w:lineRule="auto" w:line="240"/>
        <w:ind w:left="360" w:right="7697" w:hanging="0"/>
        <w:jc w:val="both"/>
        <w:rPr/>
      </w:pPr>
      <w:r>
        <w:rPr>
          <w:rFonts w:ascii="Times New Roman" w:hAnsi="Times New Roman"/>
          <w:color w:val="000000"/>
        </w:rPr>
        <w:t xml:space="preserve">• </w:t>
      </w:r>
      <w:hyperlink r:id="rId123">
        <w:r>
          <w:rPr>
            <w:rStyle w:val="LienInternet"/>
            <w:rFonts w:ascii="Times New Roman" w:hAnsi="Times New Roman"/>
            <w:b/>
            <w:color w:val="0000FF"/>
          </w:rPr>
          <w:t>Tanska</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4">
        <w:r>
          <w:rPr>
            <w:rStyle w:val="LienInternet"/>
            <w:rFonts w:ascii="Times New Roman" w:hAnsi="Times New Roman"/>
            <w:b/>
            <w:color w:val="0000FF"/>
          </w:rPr>
          <w:t>Kohteessa</w:t>
        </w:r>
      </w:hyperlink>
      <w:hyperlink r:id="rId125">
        <w:r>
          <w:rPr>
            <w:rStyle w:val="LienInternet"/>
            <w:rFonts w:ascii="Times New Roman" w:hAnsi="Times New Roman"/>
            <w:b/>
            <w:color w:val="0000FF"/>
          </w:rPr>
          <w:t>Llemagne</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6">
        <w:r>
          <w:rPr>
            <w:rStyle w:val="LienInternet"/>
            <w:rFonts w:ascii="Times New Roman" w:hAnsi="Times New Roman"/>
            <w:b/>
            <w:color w:val="0000FF"/>
          </w:rPr>
          <w:t>Viro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7">
        <w:r>
          <w:rPr>
            <w:rStyle w:val="LienInternet"/>
            <w:rFonts w:ascii="Times New Roman" w:hAnsi="Times New Roman"/>
            <w:b/>
            <w:color w:val="0000FF"/>
          </w:rPr>
          <w:t>Irlanti</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8">
        <w:r>
          <w:rPr>
            <w:rStyle w:val="LienInternet"/>
            <w:rFonts w:ascii="Times New Roman" w:hAnsi="Times New Roman"/>
            <w:b/>
            <w:color w:val="0000FF"/>
          </w:rPr>
          <w:t>Kreikka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9">
        <w:r>
          <w:rPr>
            <w:rStyle w:val="LienInternet"/>
            <w:rFonts w:ascii="Times New Roman" w:hAnsi="Times New Roman"/>
            <w:b/>
            <w:color w:val="0000FF"/>
          </w:rPr>
          <w:t>Espanja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0">
        <w:r>
          <w:rPr>
            <w:rStyle w:val="LienInternet"/>
            <w:rFonts w:ascii="Times New Roman" w:hAnsi="Times New Roman"/>
            <w:b/>
            <w:color w:val="0000FF"/>
          </w:rPr>
          <w:t>Ranska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Kroatia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Italia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Kypros</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4">
        <w:r>
          <w:rPr>
            <w:rStyle w:val="LienInternet"/>
            <w:rFonts w:ascii="Times New Roman" w:hAnsi="Times New Roman"/>
            <w:b/>
            <w:color w:val="0000FF"/>
          </w:rPr>
          <w:t>Latvia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5">
        <w:r>
          <w:rPr>
            <w:rStyle w:val="LienInternet"/>
            <w:rFonts w:ascii="Times New Roman" w:hAnsi="Times New Roman"/>
            <w:b/>
            <w:color w:val="0000FF"/>
          </w:rPr>
          <w:t>Liettua</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6">
        <w:r>
          <w:rPr>
            <w:rStyle w:val="LienInternet"/>
            <w:rFonts w:ascii="Times New Roman" w:hAnsi="Times New Roman"/>
            <w:b/>
            <w:color w:val="0000FF"/>
          </w:rPr>
          <w:t>Luxemburg</w:t>
        </w:r>
      </w:hyperlink>
    </w:p>
    <w:p>
      <w:pPr>
        <w:pStyle w:val="Normal"/>
        <w:widowControl w:val="false"/>
        <w:spacing w:lineRule="auto" w:line="240"/>
        <w:ind w:left="360" w:right="7457" w:hanging="0"/>
        <w:jc w:val="left"/>
        <w:rPr/>
      </w:pPr>
      <w:r>
        <w:rPr>
          <w:rFonts w:ascii="Times New Roman" w:hAnsi="Times New Roman"/>
          <w:color w:val="000000"/>
        </w:rPr>
        <w:t xml:space="preserve">• </w:t>
      </w:r>
      <w:hyperlink r:id="rId137">
        <w:r>
          <w:rPr>
            <w:rStyle w:val="LienInternet"/>
            <w:rFonts w:ascii="Times New Roman" w:hAnsi="Times New Roman"/>
            <w:b/>
            <w:color w:val="0000FF"/>
          </w:rPr>
          <w:t>Unkari</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8">
        <w:r>
          <w:rPr>
            <w:rStyle w:val="LienInternet"/>
            <w:rFonts w:ascii="Times New Roman" w:hAnsi="Times New Roman"/>
            <w:b/>
            <w:color w:val="0000FF"/>
          </w:rPr>
          <w:t>Malta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9">
        <w:r>
          <w:rPr>
            <w:rStyle w:val="LienInternet"/>
            <w:rFonts w:ascii="Times New Roman" w:hAnsi="Times New Roman"/>
            <w:b/>
            <w:color w:val="0000FF"/>
          </w:rPr>
          <w:t>Alankomaat</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Itävalta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1">
        <w:r>
          <w:rPr>
            <w:rStyle w:val="LienInternet"/>
            <w:rFonts w:ascii="Times New Roman" w:hAnsi="Times New Roman"/>
            <w:b/>
            <w:color w:val="0000FF"/>
          </w:rPr>
          <w:t>Puola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Portugali</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3">
        <w:r>
          <w:rPr>
            <w:rStyle w:val="LienInternet"/>
            <w:rFonts w:ascii="Times New Roman" w:hAnsi="Times New Roman"/>
            <w:b/>
            <w:color w:val="0000FF"/>
          </w:rPr>
          <w:t>Romania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Slovenia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5">
        <w:r>
          <w:rPr>
            <w:rStyle w:val="LienInternet"/>
            <w:rFonts w:ascii="Times New Roman" w:hAnsi="Times New Roman"/>
            <w:b/>
            <w:color w:val="0000FF"/>
          </w:rPr>
          <w:t>Slovakia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6">
        <w:r>
          <w:rPr>
            <w:rStyle w:val="LienInternet"/>
            <w:rFonts w:ascii="Times New Roman" w:hAnsi="Times New Roman"/>
            <w:b/>
            <w:color w:val="0000FF"/>
          </w:rPr>
          <w:t>Suomi</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7">
        <w:r>
          <w:rPr>
            <w:rStyle w:val="LienInternet"/>
            <w:rFonts w:ascii="Times New Roman" w:hAnsi="Times New Roman"/>
            <w:b/>
            <w:color w:val="0000FF"/>
          </w:rPr>
          <w:t>Ruotsi</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Viittaus monikielisen digitaalisen foorumin raporttiin </w:t>
      </w:r>
    </w:p>
    <w:p>
      <w:pPr>
        <w:pStyle w:val="P68B1DB1Normal34"/>
        <w:widowControl w:val="false"/>
        <w:spacing w:lineRule="exact" w:line="393"/>
        <w:ind w:left="0" w:right="0" w:hanging="0"/>
        <w:jc w:val="left"/>
        <w:rPr>
          <w:rFonts w:ascii="Arial" w:hAnsi="Arial"/>
          <w:color w:val="000000"/>
          <w:sz w:val="24"/>
        </w:rPr>
      </w:pPr>
      <w:r>
        <w:rPr/>
        <w:t xml:space="preserve"> </w:t>
      </w:r>
    </w:p>
    <w:p>
      <w:pPr>
        <w:pStyle w:val="Normal"/>
        <w:widowControl w:val="false"/>
        <w:spacing w:lineRule="exact" w:line="331" w:before="4" w:after="0"/>
        <w:ind w:left="0" w:right="360" w:hanging="0"/>
        <w:jc w:val="left"/>
        <w:rPr/>
      </w:pPr>
      <w:hyperlink r:id="rId148">
        <w:r>
          <w:rPr>
            <w:rStyle w:val="LienInternet"/>
            <w:color w:val="0000FF"/>
            <w:sz w:val="24"/>
          </w:rPr>
          <w:t>PL</w:t>
        </w:r>
      </w:hyperlink>
      <w:hyperlink r:id="rId149">
        <w:r>
          <w:rPr>
            <w:rStyle w:val="LienInternet"/>
            <w:color w:val="0000FF"/>
            <w:sz w:val="24"/>
          </w:rPr>
          <w:t xml:space="preserve">Euroopan tulevaisuutta käsittelevän konferenssinmonikielinennumeform –helmikuu 2022 -raportti </w:t>
        </w:r>
      </w:hyperlink>
    </w:p>
    <w:p>
      <w:pPr>
        <w:pStyle w:val="P68B1DB1Normal131"/>
        <w:widowControl w:val="false"/>
        <w:spacing w:lineRule="exact" w:line="393" w:before="4" w:after="0"/>
        <w:ind w:left="0" w:right="0" w:hanging="0"/>
        <w:jc w:val="left"/>
        <w:rPr>
          <w:rFonts w:ascii="Arial" w:hAnsi="Arial"/>
          <w:color w:val="0000FF"/>
          <w:sz w:val="24"/>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Kuva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Kuva48" descr=""/>
                    <pic:cNvPicPr>
                      <a:picLocks noChangeAspect="1" noChangeArrowheads="1"/>
                    </pic:cNvPicPr>
                  </pic:nvPicPr>
                  <pic:blipFill>
                    <a:blip r:embed="rId150"/>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978–92–824–8655–9 doi:10.2860/25889 QC-05–22–131-EN-N Tulosta ISBN 978–92–824–8729–7 doi:10.2860/533066 QC-05–22–131-EN-C</w:t>
      </w:r>
    </w:p>
    <w:p>
      <w:pPr>
        <w:pStyle w:val="P68B1DB1Normal132"/>
        <w:widowControl w:val="false"/>
        <w:spacing w:lineRule="exact" w:line="330" w:before="117" w:after="0"/>
        <w:ind w:left="1668" w:right="0" w:firstLine="2132"/>
        <w:jc w:val="right"/>
        <w:rPr/>
      </w:pPr>
      <w:r>
        <w:rPr/>
        <w:t>© Euroopan unioni, 2022 Uudelleenkäyttö sallittu edellyttäen, että lähde mainitaan.</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Tämä termi ”eurooppalainen” on sekava.</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outo ryhmittely</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outo ryhmittely</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outo ryhmittely</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kursiivilla alustavassa raportissa ranskaksi</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alkuperäinen oli ”toveri”</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Lisäsin ”s” (monikossa myönnetty verot)</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Lisäsin viivan</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lisää iso kirjain</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Poistin ”s”:n</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alkuperäinen oli kojelauta; En tiedä, mikä kojelauta on; Siksi pyysin Googlelta englanninkielisen tekstin kääntämistä, jossa oli maininta ”dashboard”, joka on ymmärrettävä ranskaksi. eTranslation tarkoittaa myös dashboardia.</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Laitoin ison kirjeen.</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Lisäsin ”e”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Lisäsin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alkuperäinen nimi oli ”referenda”; kuten muuallakin on ”kansanäänestys”, jossa on aksentteja, monikon on oltava ”viittaus”, kun käytetään latinalaista deklinaatiota.</w:t>
      </w:r>
    </w:p>
    <w:p>
      <w:r>
        <w:rPr>
          <w:rFonts w:ascii="Times New Roman" w:hAnsi="Times New Roman" w:eastAsia="Segoe UI" w:cs="Tahoma"/>
          <w:color w:val="auto"/>
          <w:kern w:val="0"/>
          <w:sz w:val="24"/>
          <w:szCs w:val="24"/>
          <w:lang w:val="en-US" w:eastAsia="en-US" w:bidi="en-US"/>
        </w:rPr>
        <w:t xml:space="preserve">katso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siellä oli myös ”referenda”.</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Alkuperäinen oli ”luetteloissa laatikon mekanismit”? En ymmärrä, joten käänsin englanninkielisestä versiosta.</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Alkuperäinen ranskankielinen oli ”Oikeusasiamiehen verkkosivusto on hyvin tehty, mutta se ei ole eurooppalainen merkki”. Termi ”brändätty” on käsittämätön. Englanninkielinen versio on ”Oikeusasiamiehen verkkosivusto on hyvin tehty, mutta sillä ei ole asianmukaista eurooppalaista kuvaa”, joten korvaan sen ymmärrettävämmällä suoralla englanninkielisellä käännöksellä.</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alkuperäinen ranskaksi oli ”julkinen”, jota ei myönnetty ”konsultaatiolla”. Oliko kyseessä julkinen vai julkinen kuuleminen?</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siellä oli ”anglas”</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lisätty suuraakkosin (kaupalliset nimet)</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korvataan ilmaisu ”la” ilmaisulla ”the”</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korvataan sana ”ota” sanalla ”ota”</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poistettu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lisätty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En ymmärrä ”pyyhkäisyä”</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lisätty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otsikko kahdella vieraalla kielellä: outo</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r>
      <w:r>
        <w:rPr/>
        <w:t>Kansalaisten suositukset, joihin ehdotus perustuu: #3, #17, #18, #19</w:t>
      </w:r>
    </w:p>
  </w:endnote>
  <w:endnote w:id="3">
    <w:p>
      <w:pPr>
        <w:pStyle w:val="Notedefin"/>
        <w:suppressLineNumbers/>
        <w:spacing w:before="57" w:after="57"/>
        <w:ind w:left="339" w:right="0" w:hanging="339"/>
        <w:rPr/>
      </w:pPr>
      <w:r>
        <w:rPr>
          <w:rStyle w:val="Caractresdenotedefin"/>
        </w:rPr>
        <w:endnoteRef/>
      </w:r>
      <w:r>
        <w:rPr/>
        <w:tab/>
      </w:r>
      <w:r>
        <w:rPr/>
        <w:t># = eurooppalaisten kansalaispaneelien suositus.</w:t>
      </w:r>
    </w:p>
  </w:endnote>
  <w:endnote w:id="4">
    <w:p>
      <w:pPr>
        <w:pStyle w:val="Notedefin"/>
        <w:suppressLineNumbers/>
        <w:spacing w:before="57" w:after="57"/>
        <w:ind w:left="339" w:right="0" w:hanging="339"/>
        <w:rPr/>
      </w:pPr>
      <w:r>
        <w:rPr>
          <w:rStyle w:val="Caractresdenotedefin"/>
        </w:rPr>
        <w:endnoteRef/>
      </w:r>
      <w:r>
        <w:rPr/>
        <w:tab/>
      </w:r>
      <w:r>
        <w:rPr/>
        <w:t>Kansalaisten suositukset, joihin ehdotus perustuu: #39, #40, #41, #42, #43, NL1, NL2, #51</w:t>
      </w:r>
    </w:p>
  </w:endnote>
  <w:endnote w:id="5">
    <w:p>
      <w:pPr>
        <w:pStyle w:val="Notedefin"/>
        <w:suppressLineNumbers/>
        <w:spacing w:before="57" w:after="57"/>
        <w:ind w:left="339" w:right="0" w:hanging="339"/>
        <w:rPr/>
      </w:pPr>
      <w:r>
        <w:rPr>
          <w:rStyle w:val="Caractresdenotedefin"/>
        </w:rPr>
        <w:endnoteRef/>
      </w:r>
      <w:r>
        <w:rPr/>
        <w:tab/>
      </w:r>
      <w:r>
        <w:rPr/>
        <w:t>Kansallisen kansalaispaneelin suositus</w:t>
      </w:r>
    </w:p>
  </w:endnote>
  <w:endnote w:id="6">
    <w:p>
      <w:pPr>
        <w:pStyle w:val="Notedefin"/>
        <w:suppressLineNumbers/>
        <w:spacing w:before="57" w:after="57"/>
        <w:ind w:left="339" w:right="0" w:hanging="339"/>
        <w:rPr/>
      </w:pPr>
      <w:r>
        <w:rPr>
          <w:rStyle w:val="Caractresdenotedefin"/>
        </w:rPr>
        <w:endnoteRef/>
      </w:r>
      <w:r>
        <w:rPr/>
        <w:tab/>
      </w:r>
      <w:r>
        <w:rPr/>
        <w:t>Kansalaisten suositukset, joihin ehdotus perustuu: #44, #45, #46, #47, #50</w:t>
      </w:r>
    </w:p>
  </w:endnote>
  <w:endnote w:id="7">
    <w:p>
      <w:pPr>
        <w:pStyle w:val="Notedefin"/>
        <w:suppressLineNumbers/>
        <w:spacing w:before="57" w:after="57"/>
        <w:ind w:left="339" w:right="0" w:hanging="339"/>
        <w:rPr/>
      </w:pPr>
      <w:r>
        <w:rPr>
          <w:rStyle w:val="Caractresdenotedefin"/>
        </w:rPr>
        <w:endnoteRef/>
      </w:r>
      <w:r>
        <w:rPr/>
        <w:tab/>
      </w:r>
      <w:r>
        <w:rPr/>
        <w:t>Kansalaisten suositukset, joihin ehdotus perustuu: #39, #40, #45, #48, #50, FRchangement8, FRswait11, #51</w:t>
      </w:r>
    </w:p>
  </w:endnote>
  <w:endnote w:id="8">
    <w:p>
      <w:pPr>
        <w:pStyle w:val="Notedefin"/>
        <w:suppressLineNumbers/>
        <w:spacing w:before="57" w:after="57"/>
        <w:ind w:left="339" w:right="0" w:hanging="339"/>
        <w:rPr/>
      </w:pPr>
      <w:r>
        <w:rPr>
          <w:rStyle w:val="Caractresdenotedefin"/>
        </w:rPr>
        <w:endnoteRef/>
      </w:r>
      <w:r>
        <w:rPr/>
        <w:tab/>
      </w:r>
      <w:r>
        <w:rPr/>
        <w:t>Alankomaiden kansalaispaneelin suositukset poikkeavat eurooppalaisen kansalaispaneelin suosituksista: hänen mukaansa terveyden ja terveydenhuollon tulisi olla ensisijaisesti kansallinen vastuu [NL3].</w:t>
      </w:r>
    </w:p>
  </w:endnote>
  <w:endnote w:id="9">
    <w:p>
      <w:pPr>
        <w:pStyle w:val="Notedefin"/>
        <w:suppressLineNumbers/>
        <w:spacing w:before="57" w:after="57"/>
        <w:ind w:left="339" w:right="0" w:hanging="339"/>
        <w:rPr/>
      </w:pPr>
      <w:r>
        <w:rPr>
          <w:rStyle w:val="Caractresdenotedefin"/>
        </w:rPr>
        <w:endnoteRef/>
      </w:r>
      <w:r>
        <w:rPr/>
        <w:tab/>
      </w:r>
      <w:r>
        <w:rPr/>
        <w:t>Kansalaisten suositukset, joihin ehdotus perustuu: Eurooppalainen kansalaispaneeli 1: 9, 10, 11, 12, 14; Alankomaat: 1; Italia: 1.1; Liettua: 3, 8.</w:t>
      </w:r>
    </w:p>
  </w:endnote>
  <w:endnote w:id="10">
    <w:p>
      <w:pPr>
        <w:pStyle w:val="Notedefin"/>
        <w:suppressLineNumbers/>
        <w:spacing w:before="57" w:after="57"/>
        <w:ind w:left="339" w:right="0" w:hanging="339"/>
        <w:rPr/>
      </w:pPr>
      <w:r>
        <w:rPr>
          <w:rStyle w:val="Caractresdenotedefin"/>
        </w:rPr>
        <w:endnoteRef/>
      </w:r>
      <w:r>
        <w:rPr/>
        <w:tab/>
      </w:r>
      <w:r>
        <w:rPr/>
        <w:t>Kansalaisten suositukset, joihin ehdotus perustuu: Eurooppalainen kansalaispaneeli 1: 10, 11 ja 14; Saksa: 2.1, 2.2; Alankomaat: 1, 2; Ranska: 3, 9; Italia: 1,2, 1.3, 1.4, 1.5, 2.1, 2.2, 2,4, 4.a.2, 6.1; Liettua: 1, 7.</w:t>
      </w:r>
    </w:p>
  </w:endnote>
  <w:endnote w:id="11">
    <w:p>
      <w:pPr>
        <w:pStyle w:val="Notedefin"/>
        <w:suppressLineNumbers/>
        <w:spacing w:before="57" w:after="57"/>
        <w:ind w:left="339" w:right="0" w:hanging="339"/>
        <w:rPr/>
      </w:pPr>
      <w:r>
        <w:rPr>
          <w:rStyle w:val="Caractresdenotedefin"/>
        </w:rPr>
        <w:endnoteRef/>
      </w:r>
      <w:r>
        <w:rPr/>
        <w:tab/>
      </w:r>
      <w:r>
        <w:rPr/>
        <w:t>Kansalaisten suositukset, joihin ehdotus perustuu: Eurooppalainen kansalaispaneeli 1: 1, 2, 7, 28, 30; Saksa: 4.1, 4.2; Alankomaat: 4; Ranska: 6; Italia: 5.a.1, 5.a.4, 6.1, 6.2.</w:t>
      </w:r>
    </w:p>
  </w:endnote>
  <w:endnote w:id="12">
    <w:p>
      <w:pPr>
        <w:pStyle w:val="Notedefin"/>
        <w:suppressLineNumbers/>
        <w:spacing w:before="57" w:after="57"/>
        <w:ind w:left="339" w:right="0" w:hanging="339"/>
        <w:rPr/>
      </w:pPr>
      <w:r>
        <w:rPr>
          <w:rStyle w:val="Caractresdenotedefin"/>
        </w:rPr>
        <w:endnoteRef/>
      </w:r>
      <w:r>
        <w:rPr/>
        <w:tab/>
      </w:r>
      <w:r>
        <w:rPr/>
        <w:t>Kansalaisten suositukset, joihin ehdotus perustuu: Eurooppalainen kansalaispaneeli 1: 19, 20, 21, 25; Italia: 4.a.1.</w:t>
      </w:r>
    </w:p>
  </w:endnote>
  <w:endnote w:id="13">
    <w:p>
      <w:pPr>
        <w:pStyle w:val="Notedefin"/>
        <w:suppressLineNumbers/>
        <w:spacing w:before="57" w:after="57"/>
        <w:ind w:left="339" w:right="0" w:hanging="339"/>
        <w:rPr/>
      </w:pPr>
      <w:r>
        <w:rPr>
          <w:rStyle w:val="Caractresdenotedefin"/>
        </w:rPr>
        <w:endnoteRef/>
      </w:r>
      <w:r>
        <w:rPr/>
        <w:tab/>
        <w:t xml:space="preserve"> </w:t>
      </w:r>
      <w:r>
        <w:rPr/>
        <w:t>Kansalaisten suositukset, joihin ehdotus perustuu: Eurooppalainen kansalaispaneeli 1: 21, 22, 23, 26, 27; Italia: 5.a.1.</w:t>
      </w:r>
    </w:p>
  </w:endnote>
  <w:endnote w:id="14">
    <w:p>
      <w:pPr>
        <w:pStyle w:val="Notedefin"/>
        <w:suppressLineNumbers/>
        <w:spacing w:before="57" w:after="57"/>
        <w:ind w:left="339" w:right="0" w:hanging="339"/>
        <w:rPr/>
      </w:pPr>
      <w:r>
        <w:rPr>
          <w:rStyle w:val="Caractresdenotedefin"/>
        </w:rPr>
        <w:endnoteRef/>
      </w:r>
      <w:r>
        <w:rPr/>
        <w:tab/>
        <w:t xml:space="preserve"> </w:t>
      </w:r>
      <w:r>
        <w:rPr/>
        <w:t>Kansalaisten suositukset, joihin ehdotus perustuu: Eurooppalainen kansalaispaneeli 1: 13, 31; Alankomaat: 2.3; Italia: 4.b.3, 4.b.6; Liettua: 9, 10.</w:t>
      </w:r>
    </w:p>
  </w:endnote>
  <w:endnote w:id="15">
    <w:p>
      <w:pPr>
        <w:pStyle w:val="Notedefin"/>
        <w:suppressLineNumbers/>
        <w:spacing w:before="57" w:after="57"/>
        <w:ind w:left="339" w:right="0" w:hanging="339"/>
        <w:rPr/>
      </w:pPr>
      <w:r>
        <w:rPr>
          <w:rStyle w:val="Caractresdenotedefin"/>
        </w:rPr>
        <w:endnoteRef/>
      </w:r>
      <w:r>
        <w:rPr/>
        <w:tab/>
      </w:r>
      <w:r>
        <w:rPr/>
        <w:t>Työryhmän ja täysistunnon keskustelujen perusteella.</w:t>
      </w:r>
    </w:p>
  </w:endnote>
  <w:endnote w:id="16">
    <w:p>
      <w:pPr>
        <w:pStyle w:val="Notedefin"/>
        <w:suppressLineNumbers/>
        <w:spacing w:before="57" w:after="57"/>
        <w:ind w:left="339" w:right="0" w:hanging="339"/>
        <w:rPr/>
      </w:pPr>
      <w:r>
        <w:rPr>
          <w:rStyle w:val="Caractresdenotedefin"/>
        </w:rPr>
        <w:endnoteRef/>
      </w:r>
      <w:r>
        <w:rPr/>
        <w:tab/>
      </w:r>
      <w:r>
        <w:rPr/>
        <w:t>Ks. ECP4:n suositus nro 1, Saksan kansallisen yhteyspisteen suositus N:o 2, paneeli 1 ”EU maailmassa” ja Italian kansallisen yhteyspisteen ryhmä 2, re. 1, jotka on laadittu työryhmässä.</w:t>
      </w:r>
    </w:p>
  </w:endnote>
  <w:endnote w:id="17">
    <w:p>
      <w:pPr>
        <w:pStyle w:val="Notedefin"/>
        <w:suppressLineNumbers/>
        <w:spacing w:before="57" w:after="57"/>
        <w:ind w:left="339" w:right="0" w:hanging="339"/>
        <w:rPr/>
      </w:pPr>
      <w:r>
        <w:rPr>
          <w:rStyle w:val="Caractresdenotedefin"/>
        </w:rPr>
        <w:endnoteRef/>
      </w:r>
      <w:r>
        <w:rPr/>
        <w:tab/>
      </w:r>
      <w:r>
        <w:rPr/>
        <w:t>Ks. ECP4:n suositus 4 ja Italian kansallisen yhteyspisteen (ryhmä 2) suositukset 5 ja 6, jotka on laadittu työryhmässä.</w:t>
      </w:r>
    </w:p>
  </w:endnote>
  <w:endnote w:id="18">
    <w:p>
      <w:pPr>
        <w:pStyle w:val="Notedefin"/>
        <w:suppressLineNumbers/>
        <w:spacing w:before="57" w:after="57"/>
        <w:ind w:left="339" w:right="0" w:hanging="339"/>
        <w:rPr/>
      </w:pPr>
      <w:r>
        <w:rPr>
          <w:rStyle w:val="Caractresdenotedefin"/>
        </w:rPr>
        <w:endnoteRef/>
      </w:r>
      <w:r>
        <w:rPr/>
        <w:tab/>
      </w:r>
      <w:r>
        <w:rPr/>
        <w:t xml:space="preserve">Ks. työryhmässä laadittu digitaalinen alusta ja Italian kansallisen yhteyspisteen suositukset 2 ja 3,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r>
      <w:r>
        <w:rPr/>
        <w:t>Ks. työryhmässä laadittu ECP 4:n suositus 14.</w:t>
      </w:r>
    </w:p>
  </w:endnote>
  <w:endnote w:id="20">
    <w:p>
      <w:pPr>
        <w:pStyle w:val="Notedefin"/>
        <w:suppressLineNumbers/>
        <w:spacing w:before="57" w:after="57"/>
        <w:ind w:left="339" w:right="0" w:hanging="339"/>
        <w:rPr/>
      </w:pPr>
      <w:r>
        <w:rPr>
          <w:rStyle w:val="Caractresdenotedefin"/>
        </w:rPr>
        <w:endnoteRef/>
      </w:r>
      <w:r>
        <w:rPr/>
        <w:tab/>
      </w:r>
      <w:r>
        <w:rPr/>
        <w:t>Ks. työryhmässä laadittu ECP4:n suositus nro 2 ja Italian kansallisen yhteyspisteen suositus nro 4, ryhmä 2.</w:t>
      </w:r>
    </w:p>
  </w:endnote>
  <w:endnote w:id="21">
    <w:p>
      <w:pPr>
        <w:pStyle w:val="Notedefin"/>
        <w:suppressLineNumbers/>
        <w:spacing w:before="57" w:after="57"/>
        <w:ind w:left="339" w:right="0" w:hanging="339"/>
        <w:rPr/>
      </w:pPr>
      <w:r>
        <w:rPr>
          <w:rStyle w:val="Caractresdenotedefin"/>
        </w:rPr>
        <w:endnoteRef/>
      </w:r>
      <w:r>
        <w:rPr/>
        <w:tab/>
      </w:r>
      <w:r>
        <w:rPr/>
        <w:t>Ks. työryhmässä laadittu ECP4:n suositus nro 17 ja Italian kansallisen yhteyspisteen suositus nro 4, ryhmä 2.</w:t>
      </w:r>
    </w:p>
  </w:endnote>
  <w:endnote w:id="22">
    <w:p>
      <w:pPr>
        <w:pStyle w:val="Notedefin"/>
        <w:suppressLineNumbers/>
        <w:spacing w:before="57" w:after="57"/>
        <w:ind w:left="339" w:right="0" w:hanging="339"/>
        <w:rPr/>
      </w:pPr>
      <w:r>
        <w:rPr>
          <w:rStyle w:val="Caractresdenotedefin"/>
        </w:rPr>
        <w:endnoteRef/>
      </w:r>
      <w:r>
        <w:rPr/>
        <w:tab/>
      </w:r>
      <w:r>
        <w:rPr/>
        <w:t>Ks. Saksan kansallisen yhteyspisteen suositus 1, paneeli 1 ”EU maailmassa”, joka on laadittu työryhmässä.</w:t>
      </w:r>
    </w:p>
  </w:endnote>
  <w:endnote w:id="23">
    <w:p>
      <w:pPr>
        <w:pStyle w:val="Notedefin"/>
        <w:suppressLineNumbers/>
        <w:spacing w:before="57" w:after="57"/>
        <w:ind w:left="339" w:right="0" w:hanging="339"/>
        <w:rPr/>
      </w:pPr>
      <w:r>
        <w:rPr>
          <w:rStyle w:val="Caractresdenotedefin"/>
        </w:rPr>
        <w:endnoteRef/>
      </w:r>
      <w:r>
        <w:rPr/>
        <w:tab/>
      </w:r>
      <w:r>
        <w:rPr/>
        <w:t>Ks. työryhmässä laadittu ECP 4:n suositus 3.</w:t>
      </w:r>
    </w:p>
  </w:endnote>
  <w:endnote w:id="24">
    <w:p>
      <w:pPr>
        <w:pStyle w:val="Notedefin"/>
        <w:suppressLineNumbers/>
        <w:spacing w:before="57" w:after="57"/>
        <w:ind w:left="339" w:right="0" w:hanging="339"/>
        <w:rPr/>
      </w:pPr>
      <w:r>
        <w:rPr>
          <w:rStyle w:val="Caractresdenotedefin"/>
        </w:rPr>
        <w:endnoteRef/>
      </w:r>
      <w:r>
        <w:rPr/>
        <w:tab/>
      </w:r>
      <w:r>
        <w:rPr/>
        <w:t>Ks. työryhmässä laadittu ECP 4:n suositus 11.</w:t>
      </w:r>
    </w:p>
  </w:endnote>
  <w:endnote w:id="25">
    <w:p>
      <w:pPr>
        <w:pStyle w:val="Notedefin"/>
        <w:suppressLineNumbers/>
        <w:spacing w:before="57" w:after="57"/>
        <w:ind w:left="339" w:right="0" w:hanging="339"/>
        <w:rPr/>
      </w:pPr>
      <w:r>
        <w:rPr>
          <w:rStyle w:val="Caractresdenotedefin"/>
        </w:rPr>
        <w:endnoteRef/>
      </w:r>
      <w:r>
        <w:rPr/>
        <w:tab/>
      </w:r>
      <w:r>
        <w:rPr/>
        <w:t>Ks. työryhmässä laadittu ECP 4:n suositus 13.</w:t>
      </w:r>
    </w:p>
  </w:endnote>
  <w:endnote w:id="26">
    <w:p>
      <w:pPr>
        <w:pStyle w:val="Notedefin"/>
        <w:suppressLineNumbers/>
        <w:spacing w:before="57" w:after="57"/>
        <w:ind w:left="339" w:right="0" w:hanging="339"/>
        <w:rPr/>
      </w:pPr>
      <w:r>
        <w:rPr>
          <w:rStyle w:val="Caractresdenotedefin"/>
        </w:rPr>
        <w:endnoteRef/>
      </w:r>
      <w:r>
        <w:rPr/>
        <w:tab/>
      </w:r>
      <w:r>
        <w:rPr/>
        <w:t>Ks. työryhmässä laadittu ECP 4:n suositus 15.</w:t>
      </w:r>
    </w:p>
  </w:endnote>
  <w:endnote w:id="27">
    <w:p>
      <w:pPr>
        <w:pStyle w:val="Notedefin"/>
        <w:suppressLineNumbers/>
        <w:spacing w:before="57" w:after="57"/>
        <w:ind w:left="339" w:right="0" w:hanging="339"/>
        <w:rPr/>
      </w:pPr>
      <w:r>
        <w:rPr>
          <w:rStyle w:val="Caractresdenotedefin"/>
        </w:rPr>
        <w:endnoteRef/>
      </w:r>
      <w:r>
        <w:rPr/>
        <w:tab/>
      </w:r>
      <w:r>
        <w:rPr/>
        <w:t>Ks. työryhmässä laadittu ECP 4:n suositus 16.</w:t>
      </w:r>
    </w:p>
  </w:endnote>
  <w:endnote w:id="28">
    <w:p>
      <w:pPr>
        <w:pStyle w:val="Notedefin"/>
        <w:suppressLineNumbers/>
        <w:spacing w:before="57" w:after="57"/>
        <w:ind w:left="339" w:right="0" w:hanging="339"/>
        <w:rPr/>
      </w:pPr>
      <w:r>
        <w:rPr>
          <w:rStyle w:val="Caractresdenotedefin"/>
        </w:rPr>
        <w:endnoteRef/>
      </w:r>
      <w:r>
        <w:rPr/>
        <w:tab/>
      </w:r>
      <w:r>
        <w:rPr/>
        <w:t>Ks. työryhmässä laadittu ECP 4:n suositus 12.</w:t>
      </w:r>
    </w:p>
  </w:endnote>
  <w:endnote w:id="29">
    <w:p>
      <w:pPr>
        <w:pStyle w:val="Notedefin"/>
        <w:suppressLineNumbers/>
        <w:spacing w:before="57" w:after="57"/>
        <w:ind w:left="339" w:right="0" w:hanging="339"/>
        <w:rPr/>
      </w:pPr>
      <w:r>
        <w:rPr>
          <w:rStyle w:val="Caractresdenotedefin"/>
        </w:rPr>
        <w:endnoteRef/>
      </w:r>
      <w:r>
        <w:rPr/>
        <w:tab/>
      </w:r>
      <w:r>
        <w:rPr/>
        <w:t>Ks. työryhmässä laadittu ECP 4:n suositus 21.</w:t>
      </w:r>
    </w:p>
  </w:endnote>
  <w:endnote w:id="30">
    <w:p>
      <w:pPr>
        <w:pStyle w:val="Notedefin"/>
        <w:suppressLineNumbers/>
        <w:spacing w:before="57" w:after="57"/>
        <w:ind w:left="339" w:right="0" w:hanging="339"/>
        <w:rPr/>
      </w:pPr>
      <w:r>
        <w:rPr>
          <w:rStyle w:val="Caractresdenotedefin"/>
        </w:rPr>
        <w:endnoteRef/>
      </w:r>
      <w:r>
        <w:rPr/>
        <w:tab/>
      </w:r>
      <w:r>
        <w:rPr/>
        <w:t>Katso työryhmässä kehitetty digitaalinen alusta.</w:t>
      </w:r>
    </w:p>
  </w:endnote>
  <w:endnote w:id="31">
    <w:p>
      <w:pPr>
        <w:pStyle w:val="Notedefin"/>
        <w:suppressLineNumbers/>
        <w:spacing w:before="57" w:after="57"/>
        <w:ind w:left="339" w:right="0" w:hanging="339"/>
        <w:rPr/>
      </w:pPr>
      <w:r>
        <w:rPr>
          <w:rStyle w:val="Caractresdenotedefin"/>
        </w:rPr>
        <w:endnoteRef/>
      </w:r>
      <w:r>
        <w:rPr/>
        <w:tab/>
      </w:r>
      <w:r>
        <w:rPr/>
        <w:t>Katso työryhmässä kehitetty digitaalinen alusta.</w:t>
      </w:r>
    </w:p>
  </w:endnote>
  <w:endnote w:id="32">
    <w:p>
      <w:pPr>
        <w:pStyle w:val="Notedefin"/>
        <w:suppressLineNumbers/>
        <w:spacing w:before="57" w:after="57"/>
        <w:ind w:left="339" w:right="0" w:hanging="339"/>
        <w:rPr/>
      </w:pPr>
      <w:r>
        <w:rPr>
          <w:rStyle w:val="Caractresdenotedefin"/>
        </w:rPr>
        <w:endnoteRef/>
      </w:r>
      <w:r>
        <w:rPr/>
        <w:tab/>
      </w:r>
      <w:r>
        <w:rPr/>
        <w:t>Ks. työryhmässä laadittu ECP 4:n suositus 26.</w:t>
      </w:r>
    </w:p>
  </w:endnote>
  <w:endnote w:id="33">
    <w:p>
      <w:pPr>
        <w:pStyle w:val="Notedefin"/>
        <w:suppressLineNumbers/>
        <w:spacing w:before="57" w:after="57"/>
        <w:ind w:left="339" w:right="0" w:hanging="339"/>
        <w:rPr/>
      </w:pPr>
      <w:r>
        <w:rPr>
          <w:rStyle w:val="Caractresdenotedefin"/>
        </w:rPr>
        <w:endnoteRef/>
      </w:r>
      <w:r>
        <w:rPr/>
        <w:tab/>
      </w:r>
      <w:r>
        <w:rPr/>
        <w:t>Ks. työryhmässä laadittu ECP 4:n suositus 18.</w:t>
      </w:r>
    </w:p>
  </w:endnote>
  <w:endnote w:id="34">
    <w:p>
      <w:pPr>
        <w:pStyle w:val="Notedefin"/>
        <w:suppressLineNumbers/>
        <w:spacing w:before="57" w:after="57"/>
        <w:ind w:left="339" w:right="0" w:hanging="339"/>
        <w:rPr/>
      </w:pPr>
      <w:r>
        <w:rPr>
          <w:rStyle w:val="Caractresdenotedefin"/>
        </w:rPr>
        <w:endnoteRef/>
      </w:r>
      <w:r>
        <w:rPr/>
        <w:tab/>
      </w:r>
      <w:r>
        <w:rPr/>
        <w:t>Ks. työryhmässä laadittu ECP 4:n suositus 19.</w:t>
      </w:r>
    </w:p>
  </w:endnote>
  <w:endnote w:id="35">
    <w:p>
      <w:pPr>
        <w:pStyle w:val="Notedefin"/>
        <w:suppressLineNumbers/>
        <w:spacing w:before="57" w:after="57"/>
        <w:ind w:left="339" w:right="0" w:hanging="339"/>
        <w:rPr/>
      </w:pPr>
      <w:r>
        <w:rPr>
          <w:rStyle w:val="Caractresdenotedefin"/>
        </w:rPr>
        <w:endnoteRef/>
      </w:r>
      <w:r>
        <w:rPr/>
        <w:tab/>
      </w:r>
      <w:r>
        <w:rPr/>
        <w:t>Ks. työryhmässä laadittu ECP 4:n suositus 19.</w:t>
      </w:r>
    </w:p>
  </w:endnote>
  <w:endnote w:id="36">
    <w:p>
      <w:pPr>
        <w:pStyle w:val="Notedefin"/>
        <w:suppressLineNumbers/>
        <w:spacing w:before="57" w:after="57"/>
        <w:ind w:left="339" w:right="0" w:hanging="339"/>
        <w:rPr/>
      </w:pPr>
      <w:r>
        <w:rPr>
          <w:rStyle w:val="Caractresdenotedefin"/>
        </w:rPr>
        <w:endnoteRef/>
      </w:r>
      <w:r>
        <w:rPr/>
        <w:tab/>
      </w:r>
      <w:r>
        <w:rPr/>
        <w:t>Ks. ECP:n suositus 25 4.</w:t>
      </w:r>
    </w:p>
  </w:endnote>
  <w:endnote w:id="37">
    <w:p>
      <w:pPr>
        <w:pStyle w:val="Notedefin"/>
        <w:suppressLineNumbers/>
        <w:spacing w:before="57" w:after="57"/>
        <w:ind w:left="339" w:right="0" w:hanging="339"/>
        <w:rPr/>
      </w:pPr>
      <w:r>
        <w:rPr>
          <w:rStyle w:val="Caractresdenotedefin"/>
        </w:rPr>
        <w:endnoteRef/>
      </w:r>
      <w:r>
        <w:rPr/>
        <w:tab/>
      </w:r>
      <w:r>
        <w:rPr/>
        <w:t>Työryhmän ja täysistunnon keskustelujen perusteella.</w:t>
      </w:r>
    </w:p>
  </w:endnote>
  <w:endnote w:id="38">
    <w:p>
      <w:pPr>
        <w:pStyle w:val="Notedefin"/>
        <w:suppressLineNumbers/>
        <w:spacing w:before="57" w:after="57"/>
        <w:ind w:left="339" w:right="0" w:hanging="339"/>
        <w:rPr/>
      </w:pPr>
      <w:r>
        <w:rPr>
          <w:rStyle w:val="Caractresdenotedefin"/>
        </w:rPr>
        <w:endnoteRef/>
      </w:r>
      <w:r>
        <w:rPr/>
        <w:tab/>
      </w:r>
      <w:r>
        <w:rPr/>
        <w:t>Ks. Ranskan kansallisen paneelin/tapahtumien muutos 2.</w:t>
      </w:r>
    </w:p>
  </w:endnote>
  <w:endnote w:id="39">
    <w:p>
      <w:pPr>
        <w:pStyle w:val="Notedefin"/>
        <w:suppressLineNumbers/>
        <w:spacing w:before="57" w:after="57"/>
        <w:ind w:left="339" w:right="0" w:hanging="339"/>
        <w:rPr/>
      </w:pPr>
      <w:r>
        <w:rPr>
          <w:rStyle w:val="Caractresdenotedefin"/>
        </w:rPr>
        <w:endnoteRef/>
      </w:r>
      <w:r>
        <w:rPr/>
        <w:tab/>
      </w:r>
      <w:r>
        <w:rPr/>
        <w:t>Ks. ECP4:n suositus 20 ja Italian suositus 7, ryhmän 2 kansalliset yhteyspisteet, jotka on laadittu työryhmässä.</w:t>
      </w:r>
    </w:p>
  </w:endnote>
  <w:endnote w:id="40">
    <w:p>
      <w:pPr>
        <w:pStyle w:val="Notedefin"/>
        <w:suppressLineNumbers/>
        <w:spacing w:before="57" w:after="57"/>
        <w:ind w:left="339" w:right="0" w:hanging="339"/>
        <w:rPr/>
      </w:pPr>
      <w:r>
        <w:rPr>
          <w:rStyle w:val="Caractresdenotedefin"/>
        </w:rPr>
        <w:endnoteRef/>
      </w:r>
      <w:r>
        <w:rPr/>
        <w:tab/>
      </w:r>
      <w:r>
        <w:rPr/>
        <w:t>Ks. Ranskan kansalaispaneelin muutos 2.</w:t>
      </w:r>
    </w:p>
  </w:endnote>
  <w:endnote w:id="41">
    <w:p>
      <w:pPr>
        <w:pStyle w:val="Notedefin"/>
        <w:suppressLineNumbers/>
        <w:spacing w:before="57" w:after="57"/>
        <w:ind w:left="339" w:right="0" w:hanging="339"/>
        <w:rPr/>
      </w:pPr>
      <w:r>
        <w:rPr>
          <w:rStyle w:val="Caractresdenotedefin"/>
        </w:rPr>
        <w:endnoteRef/>
      </w:r>
      <w:r>
        <w:rPr/>
        <w:tab/>
      </w:r>
      <w:r>
        <w:rPr/>
        <w:t>Ks. ECP4:n suositus 24 ja Italian suositus 7, ryhmän 2 kansalliset yhteyspisteet, jotka on laadittu työryhmässä.</w:t>
      </w:r>
    </w:p>
  </w:endnote>
  <w:endnote w:id="42">
    <w:p>
      <w:pPr>
        <w:pStyle w:val="Notedefin"/>
        <w:suppressLineNumbers/>
        <w:spacing w:before="57" w:after="57"/>
        <w:ind w:left="339" w:right="0" w:hanging="339"/>
        <w:rPr/>
      </w:pPr>
      <w:r>
        <w:rPr>
          <w:rStyle w:val="Caractresdenotedefin"/>
        </w:rPr>
        <w:endnoteRef/>
      </w:r>
      <w:r>
        <w:rPr/>
        <w:tab/>
      </w:r>
      <w:r>
        <w:rPr/>
        <w:t>Ks. työryhmässä laadittu ECP 4:n suositus 22.</w:t>
      </w:r>
    </w:p>
  </w:endnote>
  <w:endnote w:id="43">
    <w:p>
      <w:pPr>
        <w:pStyle w:val="Notedefin"/>
        <w:suppressLineNumbers/>
        <w:spacing w:before="57" w:after="57"/>
        <w:ind w:left="339" w:right="0" w:hanging="339"/>
        <w:rPr/>
      </w:pPr>
      <w:r>
        <w:rPr>
          <w:rStyle w:val="Caractresdenotedefin"/>
        </w:rPr>
        <w:endnoteRef/>
      </w:r>
      <w:r>
        <w:rPr/>
        <w:tab/>
      </w:r>
      <w:r>
        <w:rPr/>
        <w:t>Ks. työryhmässä laadittu Alankomaiden kansallisen kansalaispaneelin suositus 1 ”EU maailmassa”.</w:t>
      </w:r>
    </w:p>
  </w:endnote>
  <w:endnote w:id="44">
    <w:p>
      <w:pPr>
        <w:pStyle w:val="Notedefin"/>
        <w:suppressLineNumbers/>
        <w:spacing w:before="57" w:after="57"/>
        <w:ind w:left="339" w:right="0" w:hanging="339"/>
        <w:rPr/>
      </w:pPr>
      <w:r>
        <w:rPr>
          <w:rStyle w:val="Caractresdenotedefin"/>
        </w:rPr>
        <w:endnoteRef/>
      </w:r>
      <w:r>
        <w:rPr/>
        <w:tab/>
      </w:r>
      <w:r>
        <w:rPr/>
        <w:t>Ks. työryhmässä kehitetty digitaalinen foorumi ja täysistuntokeskustelut.</w:t>
      </w:r>
    </w:p>
  </w:endnote>
  <w:endnote w:id="45">
    <w:p>
      <w:pPr>
        <w:pStyle w:val="Notedefin"/>
        <w:suppressLineNumbers/>
        <w:spacing w:before="57" w:after="57"/>
        <w:ind w:left="339" w:right="0" w:hanging="339"/>
        <w:rPr/>
      </w:pPr>
      <w:r>
        <w:rPr>
          <w:rStyle w:val="Caractresdenotedefin"/>
        </w:rPr>
        <w:endnoteRef/>
      </w:r>
      <w:r>
        <w:rPr/>
        <w:tab/>
      </w:r>
      <w:r>
        <w:rPr/>
        <w:t>Katso työryhmässä kehitetty digitaalinen alusta.</w:t>
      </w:r>
    </w:p>
  </w:endnote>
  <w:endnote w:id="46">
    <w:p>
      <w:pPr>
        <w:pStyle w:val="Notedefin"/>
        <w:suppressLineNumbers/>
        <w:spacing w:before="57" w:after="57"/>
        <w:ind w:left="339" w:right="0" w:hanging="339"/>
        <w:rPr/>
      </w:pPr>
      <w:r>
        <w:rPr>
          <w:rStyle w:val="Caractresdenotedefin"/>
        </w:rPr>
        <w:endnoteRef/>
      </w:r>
      <w:r>
        <w:rPr/>
        <w:tab/>
      </w:r>
      <w:r>
        <w:rPr/>
        <w:t>Kansalaisten suositukset, joihin ehdotus perustuu: Eurooppalainen kansalaispaneeli 2 (CEP 2) 10, 11, 14, 30; Belgian kansallinen kansalaispaneeli (NCP): 1.3.1, 1.4.2, 1.4.3; Saksan NCP: 5.1, 5.2; Alankomaiden kansallinen yhteyspiste: 1.2.</w:t>
      </w:r>
    </w:p>
  </w:endnote>
  <w:endnote w:id="47">
    <w:p>
      <w:pPr>
        <w:pStyle w:val="Notedefin"/>
        <w:suppressLineNumbers/>
        <w:spacing w:before="57" w:after="57"/>
        <w:ind w:left="339" w:right="0" w:hanging="339"/>
        <w:rPr/>
      </w:pPr>
      <w:r>
        <w:rPr>
          <w:rStyle w:val="Caractresdenotedefin"/>
        </w:rPr>
        <w:endnoteRef/>
      </w:r>
      <w:r>
        <w:rPr/>
        <w:tab/>
      </w:r>
      <w:r>
        <w:rPr/>
        <w:t>ECP2:n suositus 14. Belgian kansallisen yhteyspisteen suositukset 1.3.1, 1.4.2 ja 1.4.3 sekä Alankomaiden kansallisen yhteyspisteen suositukset 1.2.</w:t>
      </w:r>
    </w:p>
  </w:endnote>
  <w:endnote w:id="48">
    <w:p>
      <w:pPr>
        <w:pStyle w:val="Notedefin"/>
        <w:suppressLineNumbers/>
        <w:spacing w:before="57" w:after="57"/>
        <w:ind w:left="339" w:right="0" w:hanging="339"/>
        <w:rPr/>
      </w:pPr>
      <w:r>
        <w:rPr>
          <w:rStyle w:val="Caractresdenotedefin"/>
        </w:rPr>
        <w:endnoteRef/>
      </w:r>
      <w:r>
        <w:rPr/>
        <w:tab/>
      </w:r>
      <w:r>
        <w:rPr/>
        <w:t>ECP:n suositus nro 112. Saksan kansallisen yhteyspisteen suositukset 5.1 ja 5.2. Keskustelu työryhmässä.</w:t>
      </w:r>
    </w:p>
  </w:endnote>
  <w:endnote w:id="49">
    <w:p>
      <w:pPr>
        <w:pStyle w:val="Notedefin"/>
        <w:suppressLineNumbers/>
        <w:spacing w:before="57" w:after="57"/>
        <w:ind w:left="339" w:right="0" w:hanging="339"/>
        <w:rPr/>
      </w:pPr>
      <w:r>
        <w:rPr>
          <w:rStyle w:val="Caractresdenotedefin"/>
        </w:rPr>
        <w:endnoteRef/>
      </w:r>
      <w:r>
        <w:rPr/>
        <w:tab/>
      </w:r>
      <w:r>
        <w:rPr/>
        <w:t>ECP:n suositus nro 112. Keskustelu työryhmässä. Keskustelu täysistunnossa.</w:t>
      </w:r>
    </w:p>
  </w:endnote>
  <w:endnote w:id="50">
    <w:p>
      <w:pPr>
        <w:pStyle w:val="Notedefin"/>
        <w:suppressLineNumbers/>
        <w:spacing w:before="57" w:after="57"/>
        <w:ind w:left="339" w:right="0" w:hanging="339"/>
        <w:rPr/>
      </w:pPr>
      <w:r>
        <w:rPr>
          <w:rStyle w:val="Caractresdenotedefin"/>
        </w:rPr>
        <w:endnoteRef/>
      </w:r>
      <w:r>
        <w:rPr/>
        <w:tab/>
      </w:r>
      <w:r>
        <w:rPr/>
        <w:t>ECP2:n suositus 10.</w:t>
      </w:r>
    </w:p>
  </w:endnote>
  <w:endnote w:id="51">
    <w:p>
      <w:pPr>
        <w:pStyle w:val="Notedefin"/>
        <w:suppressLineNumbers/>
        <w:spacing w:before="57" w:after="57"/>
        <w:ind w:left="339" w:right="0" w:hanging="339"/>
        <w:rPr/>
      </w:pPr>
      <w:r>
        <w:rPr>
          <w:rStyle w:val="Caractresdenotedefin"/>
        </w:rPr>
        <w:endnoteRef/>
      </w:r>
      <w:r>
        <w:rPr/>
        <w:tab/>
      </w:r>
      <w:r>
        <w:rPr/>
        <w:t>ECP:n suositus nro 302.</w:t>
      </w:r>
    </w:p>
  </w:endnote>
  <w:endnote w:id="52">
    <w:p>
      <w:pPr>
        <w:pStyle w:val="Notedefin"/>
        <w:suppressLineNumbers/>
        <w:spacing w:before="57" w:after="57"/>
        <w:ind w:left="339" w:right="0" w:hanging="339"/>
        <w:rPr/>
      </w:pPr>
      <w:r>
        <w:rPr>
          <w:rStyle w:val="Caractresdenotedefin"/>
        </w:rPr>
        <w:endnoteRef/>
      </w:r>
      <w:r>
        <w:rPr/>
        <w:tab/>
      </w:r>
      <w:r>
        <w:rPr/>
        <w:t>Kansalaisten suositukset, joihin ehdotus perustuu: PCE2: 7, 8, 9; Alankomaiden kansallinen yhteyspiste: 1.3, 4.3.</w:t>
      </w:r>
    </w:p>
  </w:endnote>
  <w:endnote w:id="53">
    <w:p>
      <w:pPr>
        <w:pStyle w:val="Notedefin"/>
        <w:suppressLineNumbers/>
        <w:spacing w:before="57" w:after="57"/>
        <w:ind w:left="339" w:right="0" w:hanging="339"/>
        <w:rPr/>
      </w:pPr>
      <w:r>
        <w:rPr>
          <w:rStyle w:val="Caractresdenotedefin"/>
        </w:rPr>
        <w:endnoteRef/>
      </w:r>
      <w:r>
        <w:rPr/>
        <w:tab/>
      </w:r>
      <w:r>
        <w:rPr/>
        <w:t>ECP2:n suositus 7. Keskustelu työryhmässä.</w:t>
      </w:r>
    </w:p>
  </w:endnote>
  <w:endnote w:id="54">
    <w:p>
      <w:pPr>
        <w:pStyle w:val="Notedefin"/>
        <w:suppressLineNumbers/>
        <w:spacing w:before="57" w:after="57"/>
        <w:ind w:left="339" w:right="0" w:hanging="339"/>
        <w:rPr/>
      </w:pPr>
      <w:r>
        <w:rPr>
          <w:rStyle w:val="Caractresdenotedefin"/>
        </w:rPr>
        <w:endnoteRef/>
      </w:r>
      <w:r>
        <w:rPr/>
        <w:tab/>
      </w:r>
      <w:r>
        <w:rPr/>
        <w:t>Asiasta on keskusteltu myös digitaalista muutosta käsittelevässä työryhmässä.</w:t>
      </w:r>
    </w:p>
  </w:endnote>
  <w:endnote w:id="55">
    <w:p>
      <w:pPr>
        <w:pStyle w:val="Notedefin"/>
        <w:suppressLineNumbers/>
        <w:spacing w:before="57" w:after="57"/>
        <w:ind w:left="339" w:right="0" w:hanging="339"/>
        <w:rPr/>
      </w:pPr>
      <w:r>
        <w:rPr>
          <w:rStyle w:val="Caractresdenotedefin"/>
        </w:rPr>
        <w:endnoteRef/>
      </w:r>
      <w:r>
        <w:rPr/>
        <w:tab/>
      </w:r>
      <w:r>
        <w:rPr/>
        <w:t>ECP2:n suositus 9.</w:t>
      </w:r>
    </w:p>
  </w:endnote>
  <w:endnote w:id="56">
    <w:p>
      <w:pPr>
        <w:pStyle w:val="Notedefin"/>
        <w:suppressLineNumbers/>
        <w:spacing w:before="57" w:after="57"/>
        <w:ind w:left="339" w:right="0" w:hanging="339"/>
        <w:rPr/>
      </w:pPr>
      <w:r>
        <w:rPr>
          <w:rStyle w:val="Caractresdenotedefin"/>
        </w:rPr>
        <w:endnoteRef/>
      </w:r>
      <w:r>
        <w:rPr/>
        <w:tab/>
      </w:r>
      <w:r>
        <w:rPr/>
        <w:t>Asiasta on keskusteltu myös digitaalista muutosta käsittelevässä työryhmässä.</w:t>
      </w:r>
    </w:p>
  </w:endnote>
  <w:endnote w:id="57">
    <w:p>
      <w:pPr>
        <w:pStyle w:val="Notedefin"/>
        <w:suppressLineNumbers/>
        <w:spacing w:before="57" w:after="57"/>
        <w:ind w:left="339" w:right="0" w:hanging="339"/>
        <w:rPr/>
      </w:pPr>
      <w:r>
        <w:rPr>
          <w:rStyle w:val="Caractresdenotedefin"/>
        </w:rPr>
        <w:endnoteRef/>
      </w:r>
      <w:r>
        <w:rPr/>
        <w:tab/>
      </w:r>
      <w:r>
        <w:rPr/>
        <w:t>ECP2:n suositus 8. Alankomaiden kansallisen yhteyspisteen suositukset 1.3 ja 4.3.</w:t>
      </w:r>
    </w:p>
  </w:endnote>
  <w:endnote w:id="58">
    <w:p>
      <w:pPr>
        <w:pStyle w:val="Notedefin"/>
        <w:suppressLineNumbers/>
        <w:spacing w:before="57" w:after="57"/>
        <w:ind w:left="339" w:right="0" w:hanging="339"/>
        <w:rPr/>
      </w:pPr>
      <w:r>
        <w:rPr>
          <w:rStyle w:val="Caractresdenotedefin"/>
        </w:rPr>
        <w:endnoteRef/>
      </w:r>
      <w:r>
        <w:rPr/>
        <w:tab/>
      </w:r>
      <w:r>
        <w:rPr/>
        <w:t>ECP2:n suositukset nro 7 ja 8.</w:t>
      </w:r>
    </w:p>
  </w:endnote>
  <w:endnote w:id="59">
    <w:p>
      <w:pPr>
        <w:pStyle w:val="Notedefin"/>
        <w:suppressLineNumbers/>
        <w:spacing w:before="57" w:after="57"/>
        <w:ind w:left="339" w:right="0" w:hanging="339"/>
        <w:rPr/>
      </w:pPr>
      <w:r>
        <w:rPr>
          <w:rStyle w:val="Caractresdenotedefin"/>
        </w:rPr>
        <w:endnoteRef/>
      </w:r>
      <w:r>
        <w:rPr/>
        <w:tab/>
      </w:r>
      <w:r>
        <w:rPr/>
        <w:t>Asiasta on keskusteltu myös digitaalista muutosta käsittelevässä työryhmässä.</w:t>
      </w:r>
    </w:p>
  </w:endnote>
  <w:endnote w:id="60">
    <w:p>
      <w:pPr>
        <w:pStyle w:val="Notedefin"/>
        <w:suppressLineNumbers/>
        <w:spacing w:before="57" w:after="57"/>
        <w:ind w:left="339" w:right="0" w:hanging="339"/>
        <w:rPr/>
      </w:pPr>
      <w:r>
        <w:rPr>
          <w:rStyle w:val="Caractresdenotedefin"/>
        </w:rPr>
        <w:endnoteRef/>
      </w:r>
      <w:r>
        <w:rPr/>
        <w:tab/>
      </w:r>
      <w:r>
        <w:rPr/>
        <w:t>Kansalaisten suositukset, joihin ehdotus perustuu: PCE2: 5, 12, 13, 17, 28; Belgian kansallinen yhteyspiste: 1.5.1, 2.1.1–2.4.3; Alankomaiden kansallinen yhteyspiste: 3.1.</w:t>
      </w:r>
    </w:p>
  </w:endnote>
  <w:endnote w:id="61">
    <w:p>
      <w:pPr>
        <w:pStyle w:val="Notedefin"/>
        <w:suppressLineNumbers/>
        <w:spacing w:before="57" w:after="57"/>
        <w:ind w:left="339" w:right="0" w:hanging="339"/>
        <w:rPr/>
      </w:pPr>
      <w:r>
        <w:rPr>
          <w:rStyle w:val="Caractresdenotedefin"/>
        </w:rPr>
        <w:endnoteRef/>
      </w:r>
      <w:r>
        <w:rPr/>
        <w:tab/>
      </w:r>
      <w:r>
        <w:rPr/>
        <w:t>ECP2:n suositus 5. Belgian kansallisen yhteyspisteen suositus 2.1.1. Alankomaiden kansallisen yhteyspisteen suositus 3.1.</w:t>
      </w:r>
    </w:p>
  </w:endnote>
  <w:endnote w:id="62">
    <w:p>
      <w:pPr>
        <w:pStyle w:val="Notedefin"/>
        <w:suppressLineNumbers/>
        <w:spacing w:before="57" w:after="57"/>
        <w:ind w:left="339" w:right="0" w:hanging="339"/>
        <w:rPr/>
      </w:pPr>
      <w:r>
        <w:rPr>
          <w:rStyle w:val="Caractresdenotedefin"/>
        </w:rPr>
        <w:endnoteRef/>
      </w:r>
      <w:r>
        <w:rPr/>
        <w:tab/>
      </w:r>
      <w:r>
        <w:rPr/>
        <w:t>ECP:n suositus nro 122. Belgian kansallisen yhteyspisteen suositus 2.1.4.</w:t>
      </w:r>
    </w:p>
  </w:endnote>
  <w:endnote w:id="63">
    <w:p>
      <w:pPr>
        <w:pStyle w:val="Notedefin"/>
        <w:suppressLineNumbers/>
        <w:spacing w:before="57" w:after="57"/>
        <w:ind w:left="339" w:right="0" w:hanging="339"/>
        <w:rPr/>
      </w:pPr>
      <w:r>
        <w:rPr>
          <w:rStyle w:val="Caractresdenotedefin"/>
        </w:rPr>
        <w:endnoteRef/>
      </w:r>
      <w:r>
        <w:rPr/>
        <w:tab/>
      </w:r>
      <w:r>
        <w:rPr/>
        <w:t>PCE2-suositukset nro 17 ja 28. Belgian kansallisen yhteyspisteen suositukset 1.5.1, 2.1.3, 2.2.1 ja 2.2.2.</w:t>
      </w:r>
    </w:p>
  </w:endnote>
  <w:endnote w:id="64">
    <w:p>
      <w:pPr>
        <w:pStyle w:val="Notedefin"/>
        <w:suppressLineNumbers/>
        <w:spacing w:before="57" w:after="57"/>
        <w:ind w:left="339" w:right="0" w:hanging="339"/>
        <w:rPr/>
      </w:pPr>
      <w:r>
        <w:rPr>
          <w:rStyle w:val="Caractresdenotedefin"/>
        </w:rPr>
        <w:endnoteRef/>
      </w:r>
      <w:r>
        <w:rPr/>
        <w:tab/>
      </w:r>
      <w:r>
        <w:rPr/>
        <w:t>Asiasta on keskusteltu myös digitaalista muutosta käsittelevässä työryhmässä.</w:t>
      </w:r>
    </w:p>
  </w:endnote>
  <w:endnote w:id="65">
    <w:p>
      <w:pPr>
        <w:pStyle w:val="Notedefin"/>
        <w:suppressLineNumbers/>
        <w:spacing w:before="57" w:after="57"/>
        <w:ind w:left="339" w:right="0" w:hanging="339"/>
        <w:rPr/>
      </w:pPr>
      <w:r>
        <w:rPr>
          <w:rStyle w:val="Caractresdenotedefin"/>
        </w:rPr>
        <w:endnoteRef/>
      </w:r>
      <w:r>
        <w:rPr/>
        <w:tab/>
      </w:r>
      <w:r>
        <w:rPr/>
        <w:t>PCE2-suositukset nro 5 ja 28. Belgian kansallisen yhteyspisteen suositukset 2.3.2 ja 2.3.3.</w:t>
      </w:r>
    </w:p>
  </w:endnote>
  <w:endnote w:id="66">
    <w:p>
      <w:pPr>
        <w:pStyle w:val="Notedefin"/>
        <w:suppressLineNumbers/>
        <w:spacing w:before="57" w:after="57"/>
        <w:ind w:left="339" w:right="0" w:hanging="339"/>
        <w:rPr/>
      </w:pPr>
      <w:r>
        <w:rPr>
          <w:rStyle w:val="Caractresdenotedefin"/>
        </w:rPr>
        <w:endnoteRef/>
      </w:r>
      <w:r>
        <w:rPr/>
        <w:tab/>
      </w:r>
      <w:r>
        <w:rPr/>
        <w:t>ECP:n suositus nro 282. Belgian kansallisen yhteyspisteen suositukset 2.3.1, 2.4.1 ja 2.4.2.</w:t>
      </w:r>
    </w:p>
  </w:endnote>
  <w:endnote w:id="67">
    <w:p>
      <w:pPr>
        <w:pStyle w:val="Notedefin"/>
        <w:suppressLineNumbers/>
        <w:spacing w:before="57" w:after="57"/>
        <w:ind w:left="339" w:right="0" w:hanging="339"/>
        <w:rPr/>
      </w:pPr>
      <w:r>
        <w:rPr>
          <w:rStyle w:val="Caractresdenotedefin"/>
        </w:rPr>
        <w:endnoteRef/>
      </w:r>
      <w:r>
        <w:rPr/>
        <w:tab/>
      </w:r>
      <w:r>
        <w:rPr/>
        <w:t>Asiasta on keskusteltu myös digitaalista muutosta käsittelevässä työryhmässä.</w:t>
      </w:r>
    </w:p>
  </w:endnote>
  <w:endnote w:id="68">
    <w:p>
      <w:pPr>
        <w:pStyle w:val="Notedefin"/>
        <w:suppressLineNumbers/>
        <w:spacing w:before="57" w:after="57"/>
        <w:ind w:left="339" w:right="0" w:hanging="339"/>
        <w:rPr/>
      </w:pPr>
      <w:r>
        <w:rPr>
          <w:rStyle w:val="Caractresdenotedefin"/>
        </w:rPr>
        <w:endnoteRef/>
      </w:r>
      <w:r>
        <w:rPr/>
        <w:tab/>
      </w:r>
      <w:r>
        <w:rPr/>
        <w:t>ECP:n suositus nro 132.</w:t>
      </w:r>
    </w:p>
  </w:endnote>
  <w:endnote w:id="69">
    <w:p>
      <w:pPr>
        <w:pStyle w:val="Notedefin"/>
        <w:suppressLineNumbers/>
        <w:spacing w:before="57" w:after="57"/>
        <w:ind w:left="339" w:right="0" w:hanging="339"/>
        <w:rPr/>
      </w:pPr>
      <w:r>
        <w:rPr>
          <w:rStyle w:val="Caractresdenotedefin"/>
        </w:rPr>
        <w:endnoteRef/>
      </w:r>
      <w:r>
        <w:rPr/>
        <w:tab/>
      </w:r>
      <w:r>
        <w:rPr/>
        <w:t>Asiasta on keskusteltu myös digitaalista muutosta käsittelevässä työryhmässä.</w:t>
      </w:r>
    </w:p>
  </w:endnote>
  <w:endnote w:id="70">
    <w:p>
      <w:pPr>
        <w:pStyle w:val="Notedefin"/>
        <w:suppressLineNumbers/>
        <w:spacing w:before="57" w:after="57"/>
        <w:ind w:left="339" w:right="0" w:hanging="339"/>
        <w:rPr/>
      </w:pPr>
      <w:r>
        <w:rPr>
          <w:rStyle w:val="Caractresdenotedefin"/>
        </w:rPr>
        <w:endnoteRef/>
      </w:r>
      <w:r>
        <w:rPr/>
        <w:tab/>
      </w:r>
      <w:r>
        <w:rPr/>
        <w:t>ECP:n suositus nro 132.</w:t>
      </w:r>
    </w:p>
  </w:endnote>
  <w:endnote w:id="71">
    <w:p>
      <w:pPr>
        <w:pStyle w:val="Notedefin"/>
        <w:suppressLineNumbers/>
        <w:spacing w:before="57" w:after="57"/>
        <w:ind w:left="339" w:right="0" w:hanging="339"/>
        <w:rPr/>
      </w:pPr>
      <w:r>
        <w:rPr>
          <w:rStyle w:val="Caractresdenotedefin"/>
        </w:rPr>
        <w:endnoteRef/>
      </w:r>
      <w:r>
        <w:rPr/>
        <w:tab/>
      </w:r>
      <w:r>
        <w:rPr/>
        <w:t>Asiasta on keskusteltu myös digitaalista muutosta käsittelevässä työryhmässä.</w:t>
      </w:r>
    </w:p>
  </w:endnote>
  <w:endnote w:id="72">
    <w:p>
      <w:pPr>
        <w:pStyle w:val="Notedefin"/>
        <w:suppressLineNumbers/>
        <w:spacing w:before="57" w:after="57"/>
        <w:ind w:left="339" w:right="0" w:hanging="339"/>
        <w:rPr/>
      </w:pPr>
      <w:r>
        <w:rPr>
          <w:rStyle w:val="Caractresdenotedefin"/>
        </w:rPr>
        <w:endnoteRef/>
      </w:r>
      <w:r>
        <w:rPr/>
        <w:tab/>
      </w:r>
      <w:r>
        <w:rPr/>
        <w:t>Kansalaisten suositukset, joihin ehdotus perustuu: PCE2: 1, 2, 21, 22, 23; Alankomaiden kansallinen yhteyspiste: 1.1.</w:t>
      </w:r>
    </w:p>
  </w:endnote>
  <w:endnote w:id="73">
    <w:p>
      <w:pPr>
        <w:pStyle w:val="Notedefin"/>
        <w:suppressLineNumbers/>
        <w:spacing w:before="57" w:after="57"/>
        <w:ind w:left="339" w:right="0" w:hanging="339"/>
        <w:rPr/>
      </w:pPr>
      <w:r>
        <w:rPr>
          <w:rStyle w:val="Caractresdenotedefin"/>
        </w:rPr>
        <w:endnoteRef/>
      </w:r>
      <w:r>
        <w:rPr/>
        <w:tab/>
      </w:r>
      <w:r>
        <w:rPr/>
        <w:t>ECP:n suositus nro 222. Keskustelu työryhmässä.</w:t>
      </w:r>
    </w:p>
  </w:endnote>
  <w:endnote w:id="74">
    <w:p>
      <w:pPr>
        <w:pStyle w:val="Notedefin"/>
        <w:suppressLineNumbers/>
        <w:spacing w:before="57" w:after="57"/>
        <w:ind w:left="339" w:right="0" w:hanging="339"/>
        <w:rPr/>
      </w:pPr>
      <w:r>
        <w:rPr>
          <w:rStyle w:val="Caractresdenotedefin"/>
        </w:rPr>
        <w:endnoteRef/>
      </w:r>
      <w:r>
        <w:rPr/>
        <w:tab/>
      </w:r>
      <w:r>
        <w:rPr/>
        <w:t>Myös talouden, sosiaalisen oikeudenmukaisuuden ja työllisyyden vahvistamista käsittelevässä työryhmässä keskusteltiin kysymyksestä.</w:t>
      </w:r>
    </w:p>
  </w:endnote>
  <w:endnote w:id="75">
    <w:p>
      <w:pPr>
        <w:pStyle w:val="Notedefin"/>
        <w:suppressLineNumbers/>
        <w:spacing w:before="57" w:after="57"/>
        <w:ind w:left="339" w:right="0" w:hanging="339"/>
        <w:rPr/>
      </w:pPr>
      <w:r>
        <w:rPr>
          <w:rStyle w:val="Caractresdenotedefin"/>
        </w:rPr>
        <w:endnoteRef/>
      </w:r>
      <w:r>
        <w:rPr/>
        <w:tab/>
      </w:r>
      <w:r>
        <w:rPr/>
        <w:t>ECP:n suositus nro 212. Alankomaiden kansallisen yhteyspisteen suositus 1.1.</w:t>
      </w:r>
    </w:p>
  </w:endnote>
  <w:endnote w:id="76">
    <w:p>
      <w:pPr>
        <w:pStyle w:val="Notedefin"/>
        <w:suppressLineNumbers/>
        <w:spacing w:before="57" w:after="57"/>
        <w:ind w:left="339" w:right="0" w:hanging="339"/>
        <w:rPr/>
      </w:pPr>
      <w:r>
        <w:rPr>
          <w:rStyle w:val="Caractresdenotedefin"/>
        </w:rPr>
        <w:endnoteRef/>
      </w:r>
      <w:r>
        <w:rPr/>
        <w:tab/>
      </w:r>
      <w:r>
        <w:rPr/>
        <w:t>ECP:n suositus nro 232.</w:t>
      </w:r>
    </w:p>
  </w:endnote>
  <w:endnote w:id="77">
    <w:p>
      <w:pPr>
        <w:pStyle w:val="Notedefin"/>
        <w:suppressLineNumbers/>
        <w:spacing w:before="57" w:after="57"/>
        <w:ind w:left="339" w:right="0" w:hanging="339"/>
        <w:rPr/>
      </w:pPr>
      <w:r>
        <w:rPr>
          <w:rStyle w:val="Caractresdenotedefin"/>
        </w:rPr>
        <w:endnoteRef/>
      </w:r>
      <w:r>
        <w:rPr/>
        <w:tab/>
      </w:r>
      <w:r>
        <w:rPr/>
        <w:t>Myös talouden, sosiaalisen oikeudenmukaisuuden ja työllisyyden vahvistamista käsittelevässä työryhmässä keskusteltiin kysymyksestä.</w:t>
      </w:r>
    </w:p>
  </w:endnote>
  <w:endnote w:id="78">
    <w:p>
      <w:pPr>
        <w:pStyle w:val="Notedefin"/>
        <w:suppressLineNumbers/>
        <w:spacing w:before="57" w:after="57"/>
        <w:ind w:left="339" w:right="0" w:hanging="339"/>
        <w:rPr/>
      </w:pPr>
      <w:r>
        <w:rPr>
          <w:rStyle w:val="Caractresdenotedefin"/>
        </w:rPr>
        <w:endnoteRef/>
      </w:r>
      <w:r>
        <w:rPr/>
        <w:tab/>
      </w:r>
      <w:r>
        <w:rPr/>
        <w:t>ECP2:n suositus 1. Keskustelu työryhmässä.</w:t>
      </w:r>
    </w:p>
  </w:endnote>
  <w:endnote w:id="79">
    <w:p>
      <w:pPr>
        <w:pStyle w:val="Notedefin"/>
        <w:suppressLineNumbers/>
        <w:spacing w:before="57" w:after="57"/>
        <w:ind w:left="339" w:right="0" w:hanging="339"/>
        <w:rPr/>
      </w:pPr>
      <w:r>
        <w:rPr>
          <w:rStyle w:val="Caractresdenotedefin"/>
        </w:rPr>
        <w:endnoteRef/>
      </w:r>
      <w:r>
        <w:rPr/>
        <w:tab/>
      </w:r>
      <w:r>
        <w:rPr/>
        <w:t>ECP2:n suositus 2. Keskustelu työryhmässä.</w:t>
      </w:r>
    </w:p>
  </w:endnote>
  <w:endnote w:id="80">
    <w:p>
      <w:pPr>
        <w:pStyle w:val="Notedefin"/>
        <w:suppressLineNumbers/>
        <w:spacing w:before="57" w:after="57"/>
        <w:ind w:left="339" w:right="0" w:hanging="339"/>
        <w:rPr/>
      </w:pPr>
      <w:r>
        <w:rPr>
          <w:rStyle w:val="Caractresdenotedefin"/>
        </w:rPr>
        <w:endnoteRef/>
      </w:r>
      <w:r>
        <w:rPr/>
        <w:tab/>
      </w:r>
      <w:r>
        <w:rPr/>
        <w:t>Kansalaisten suositukset, joihin ehdotus perustuu: PCE2: 3, 4, 6.</w:t>
      </w:r>
    </w:p>
  </w:endnote>
  <w:endnote w:id="81">
    <w:p>
      <w:pPr>
        <w:pStyle w:val="Notedefin"/>
        <w:suppressLineNumbers/>
        <w:spacing w:before="57" w:after="57"/>
        <w:ind w:left="339" w:right="0" w:hanging="339"/>
        <w:rPr/>
      </w:pPr>
      <w:r>
        <w:rPr>
          <w:rStyle w:val="Caractresdenotedefin"/>
        </w:rPr>
        <w:endnoteRef/>
      </w:r>
      <w:r>
        <w:rPr/>
        <w:tab/>
      </w:r>
      <w:r>
        <w:rPr/>
        <w:t>ECP2:n suositus 3.</w:t>
      </w:r>
    </w:p>
  </w:endnote>
  <w:endnote w:id="82">
    <w:p>
      <w:pPr>
        <w:pStyle w:val="Notedefin"/>
        <w:suppressLineNumbers/>
        <w:spacing w:before="57" w:after="57"/>
        <w:ind w:left="339" w:right="0" w:hanging="339"/>
        <w:rPr/>
      </w:pPr>
      <w:r>
        <w:rPr>
          <w:rStyle w:val="Caractresdenotedefin"/>
        </w:rPr>
        <w:endnoteRef/>
      </w:r>
      <w:r>
        <w:rPr/>
        <w:tab/>
      </w:r>
      <w:r>
        <w:rPr/>
        <w:t>Asiasta on keskusteltu myös ilmastonmuutosta ja ympäristöä käsittelevässä työryhmässä.</w:t>
      </w:r>
    </w:p>
  </w:endnote>
  <w:endnote w:id="83">
    <w:p>
      <w:pPr>
        <w:pStyle w:val="Notedefin"/>
        <w:suppressLineNumbers/>
        <w:spacing w:before="57" w:after="57"/>
        <w:ind w:left="339" w:right="0" w:hanging="339"/>
        <w:rPr/>
      </w:pPr>
      <w:r>
        <w:rPr>
          <w:rStyle w:val="Caractresdenotedefin"/>
        </w:rPr>
        <w:endnoteRef/>
      </w:r>
      <w:r>
        <w:rPr/>
        <w:tab/>
      </w:r>
      <w:r>
        <w:rPr/>
        <w:t>ECP2:n suositus 4.</w:t>
      </w:r>
    </w:p>
  </w:endnote>
  <w:endnote w:id="84">
    <w:p>
      <w:pPr>
        <w:pStyle w:val="Notedefin"/>
        <w:suppressLineNumbers/>
        <w:spacing w:before="57" w:after="57"/>
        <w:ind w:left="339" w:right="0" w:hanging="339"/>
        <w:rPr/>
      </w:pPr>
      <w:r>
        <w:rPr>
          <w:rStyle w:val="Caractresdenotedefin"/>
        </w:rPr>
        <w:endnoteRef/>
      </w:r>
      <w:r>
        <w:rPr/>
        <w:tab/>
      </w:r>
      <w:r>
        <w:rPr/>
        <w:t>ECP2:n suositus 6.</w:t>
      </w:r>
    </w:p>
  </w:endnote>
  <w:endnote w:id="85">
    <w:p>
      <w:pPr>
        <w:pStyle w:val="Notedefin"/>
        <w:suppressLineNumbers/>
        <w:spacing w:before="57" w:after="57"/>
        <w:ind w:left="339" w:right="0" w:hanging="339"/>
        <w:rPr/>
      </w:pPr>
      <w:r>
        <w:rPr>
          <w:rStyle w:val="Caractresdenotedefin"/>
        </w:rPr>
        <w:endnoteRef/>
      </w:r>
      <w:r>
        <w:rPr/>
        <w:tab/>
      </w:r>
      <w:r>
        <w:rPr/>
        <w:t>Asiasta on keskusteltu myös ilmastonmuutosta ja ympäristöä käsittelevässä työryhmässä.</w:t>
      </w:r>
    </w:p>
  </w:endnote>
  <w:endnote w:id="86">
    <w:p>
      <w:pPr>
        <w:pStyle w:val="Notedefin"/>
        <w:suppressLineNumbers/>
        <w:spacing w:before="57" w:after="57"/>
        <w:ind w:left="339" w:right="0" w:hanging="339"/>
        <w:rPr/>
      </w:pPr>
      <w:r>
        <w:rPr>
          <w:rStyle w:val="Caractresdenotedefin"/>
        </w:rPr>
        <w:endnoteRef/>
      </w:r>
      <w:r>
        <w:rPr/>
        <w:tab/>
      </w:r>
      <w:r>
        <w:rPr/>
        <w:t>Kansalaisten suositukset, joihin ehdotus perustuu: Eurooppalainen kansalaispaneeli 1 (ECP 1): 17, 40, 47; Alankomaiden kansallinen kansalaispaneeli (NCP) nro 1.</w:t>
      </w:r>
    </w:p>
  </w:endnote>
  <w:endnote w:id="87">
    <w:p>
      <w:pPr>
        <w:pStyle w:val="Notedefin"/>
        <w:suppressLineNumbers/>
        <w:spacing w:before="57" w:after="57"/>
        <w:ind w:left="339" w:right="0" w:hanging="339"/>
        <w:rPr/>
      </w:pPr>
      <w:r>
        <w:rPr>
          <w:rStyle w:val="Caractresdenotedefin"/>
        </w:rPr>
        <w:endnoteRef/>
      </w:r>
      <w:r>
        <w:rPr/>
        <w:tab/>
      </w:r>
      <w:r>
        <w:rPr/>
        <w:t>Ks. yhteys ECP 3:n suositukseen 38 sähköajoneuvojen infrastruktuurin osalta.</w:t>
      </w:r>
    </w:p>
  </w:endnote>
  <w:endnote w:id="88">
    <w:p>
      <w:pPr>
        <w:pStyle w:val="Notedefin"/>
        <w:suppressLineNumbers/>
        <w:spacing w:before="57" w:after="57"/>
        <w:ind w:left="339" w:right="0" w:hanging="339"/>
        <w:rPr/>
      </w:pPr>
      <w:r>
        <w:rPr>
          <w:rStyle w:val="Caractresdenotedefin"/>
        </w:rPr>
        <w:endnoteRef/>
      </w:r>
      <w:r>
        <w:rPr/>
        <w:tab/>
      </w:r>
      <w:r>
        <w:rPr/>
        <w:t>Kansalaisten suositukset, joihin ehdotus perustuu: Eurooppalainen kansalaispaneeli 1 (ECP 1): 8, 34 ja 47; Italian kansallinen kansalaispaneeli (NCP) 5.2.</w:t>
      </w:r>
    </w:p>
  </w:endnote>
  <w:endnote w:id="89">
    <w:p>
      <w:pPr>
        <w:pStyle w:val="Notedefin"/>
        <w:suppressLineNumbers/>
        <w:spacing w:before="57" w:after="57"/>
        <w:ind w:left="339" w:right="0" w:hanging="339"/>
        <w:rPr/>
      </w:pPr>
      <w:r>
        <w:rPr>
          <w:rStyle w:val="Caractresdenotedefin"/>
        </w:rPr>
        <w:endnoteRef/>
      </w:r>
      <w:r>
        <w:rPr/>
        <w:tab/>
      </w:r>
      <w:r>
        <w:rPr/>
        <w:t>Kansalaisten suositukset, joihin ehdotus perustuu: Euroopan kansalaispaneelin 1 (CEP 1) suositukset 39 ja 46 sekä Liettuan kansallisen kansalaispaneelin ja Alankomaiden kansallisen yhteyspisteen suositukset 2.6.</w:t>
      </w:r>
    </w:p>
  </w:endnote>
  <w:endnote w:id="90">
    <w:p>
      <w:pPr>
        <w:pStyle w:val="Notedefin"/>
        <w:suppressLineNumbers/>
        <w:spacing w:before="57" w:after="57"/>
        <w:ind w:left="339" w:right="0" w:hanging="339"/>
        <w:rPr/>
      </w:pPr>
      <w:r>
        <w:rPr>
          <w:rStyle w:val="Caractresdenotedefin"/>
        </w:rPr>
        <w:endnoteRef/>
      </w:r>
      <w:r>
        <w:rPr/>
        <w:tab/>
      </w:r>
      <w:r>
        <w:rPr/>
        <w:t>Kansalaisten suositukset, joihin ehdotus perustuu: eurooppalaisen kansalaispaneelin suositukset nro 1 (PCE 1) ja Alankomaiden kansallisen kansalaispaneelin suositus nro 2.</w:t>
      </w:r>
    </w:p>
  </w:endnote>
  <w:endnote w:id="91">
    <w:p>
      <w:pPr>
        <w:pStyle w:val="Notedefin"/>
        <w:suppressLineNumbers/>
        <w:spacing w:before="57" w:after="57"/>
        <w:ind w:left="339" w:right="0" w:hanging="339"/>
        <w:rPr/>
      </w:pPr>
      <w:r>
        <w:rPr>
          <w:rStyle w:val="Caractresdenotedefin"/>
        </w:rPr>
        <w:endnoteRef/>
      </w:r>
      <w:r>
        <w:rPr/>
        <w:tab/>
      </w:r>
      <w:r>
        <w:rPr/>
        <w:t>Kansalaisten suositukset, joihin ehdotus perustuu: Eurooppalainen kansalaispaneeli nro 1 (PCE 1) nro 7, 16 ja 17 sekä Saksan ja Italian kansalliset kansalaispaneelit 1.3.</w:t>
      </w:r>
    </w:p>
  </w:endnote>
  <w:endnote w:id="92">
    <w:p>
      <w:pPr>
        <w:pStyle w:val="Notedefin"/>
        <w:suppressLineNumbers/>
        <w:spacing w:before="57" w:after="57"/>
        <w:ind w:left="339" w:right="0" w:hanging="339"/>
        <w:rPr/>
      </w:pPr>
      <w:r>
        <w:rPr>
          <w:rStyle w:val="Caractresdenotedefin"/>
        </w:rPr>
        <w:endnoteRef/>
      </w:r>
      <w:r>
        <w:rPr/>
        <w:tab/>
      </w:r>
      <w:r>
        <w:rPr/>
        <w:t>Se on otettava huomioon vahvempia taloutta käsittelevän työryhmän ehdotusten yhteydessä.</w:t>
      </w:r>
    </w:p>
  </w:endnote>
  <w:endnote w:id="93">
    <w:p>
      <w:pPr>
        <w:pStyle w:val="Notedefin"/>
        <w:suppressLineNumbers/>
        <w:spacing w:before="57" w:after="57"/>
        <w:ind w:left="339" w:right="0" w:hanging="339"/>
        <w:rPr/>
      </w:pPr>
      <w:r>
        <w:rPr>
          <w:rStyle w:val="Caractresdenotedefin"/>
        </w:rPr>
        <w:endnoteRef/>
      </w:r>
      <w:r>
        <w:rPr/>
        <w:tab/>
      </w:r>
      <w:r>
        <w:rPr/>
        <w:t>Työryhmän tarkistukset 3A ja 3B.</w:t>
      </w:r>
    </w:p>
  </w:endnote>
  <w:endnote w:id="94">
    <w:p>
      <w:pPr>
        <w:pStyle w:val="Notedefin"/>
        <w:suppressLineNumbers/>
        <w:spacing w:before="57" w:after="57"/>
        <w:ind w:left="339" w:right="0" w:hanging="339"/>
        <w:rPr/>
      </w:pPr>
      <w:r>
        <w:rPr>
          <w:rStyle w:val="Caractresdenotedefin"/>
        </w:rPr>
        <w:endnoteRef/>
      </w:r>
      <w:r>
        <w:rPr/>
        <w:tab/>
      </w:r>
      <w:r>
        <w:rPr/>
        <w:t>Eurooppalaisen kansalaispaneelin 2 (PCE 2) suositukset 32 ja 37 kansalliset paneelit BE, FR ja NL.</w:t>
      </w:r>
    </w:p>
  </w:endnote>
  <w:endnote w:id="95">
    <w:p>
      <w:pPr>
        <w:pStyle w:val="Notedefin"/>
        <w:suppressLineNumbers/>
        <w:spacing w:before="57" w:after="57"/>
        <w:ind w:left="339" w:right="0" w:hanging="339"/>
        <w:rPr/>
      </w:pPr>
      <w:r>
        <w:rPr>
          <w:rStyle w:val="Caractresdenotedefin"/>
        </w:rPr>
        <w:endnoteRef/>
      </w:r>
      <w:r>
        <w:rPr/>
        <w:tab/>
      </w:r>
      <w:r>
        <w:rPr/>
        <w:t>Kansallinen paneeli FR.</w:t>
      </w:r>
    </w:p>
  </w:endnote>
  <w:endnote w:id="96">
    <w:p>
      <w:pPr>
        <w:pStyle w:val="Notedefin"/>
        <w:suppressLineNumbers/>
        <w:spacing w:before="57" w:after="57"/>
        <w:ind w:left="339" w:right="0" w:hanging="339"/>
        <w:rPr/>
      </w:pPr>
      <w:r>
        <w:rPr>
          <w:rStyle w:val="Caractresdenotedefin"/>
        </w:rPr>
        <w:endnoteRef/>
      </w:r>
      <w:r>
        <w:rPr/>
        <w:tab/>
      </w:r>
      <w:r>
        <w:rPr/>
        <w:t>Työryhmän tarkistus 8, suppeampi sanamuoto.</w:t>
      </w:r>
    </w:p>
  </w:endnote>
  <w:endnote w:id="97">
    <w:p>
      <w:pPr>
        <w:pStyle w:val="Notedefin"/>
        <w:suppressLineNumbers/>
        <w:spacing w:before="57" w:after="57"/>
        <w:ind w:left="339" w:right="0" w:hanging="339"/>
        <w:rPr/>
      </w:pPr>
      <w:r>
        <w:rPr>
          <w:rStyle w:val="Caractresdenotedefin"/>
        </w:rPr>
        <w:endnoteRef/>
      </w:r>
      <w:r>
        <w:rPr/>
        <w:tab/>
      </w:r>
      <w:r>
        <w:rPr/>
        <w:t>ECP:n suositus nro 29 2.</w:t>
      </w:r>
    </w:p>
  </w:endnote>
  <w:endnote w:id="98">
    <w:p>
      <w:pPr>
        <w:pStyle w:val="Notedefin"/>
        <w:suppressLineNumbers/>
        <w:spacing w:before="57" w:after="57"/>
        <w:ind w:left="339" w:right="0" w:hanging="339"/>
        <w:rPr/>
      </w:pPr>
      <w:r>
        <w:rPr>
          <w:rStyle w:val="Caractresdenotedefin"/>
        </w:rPr>
        <w:endnoteRef/>
      </w:r>
      <w:r>
        <w:rPr/>
        <w:tab/>
      </w:r>
      <w:r>
        <w:rPr/>
        <w:t>ECP 2:n suositukset 19 ja 32; Belgian ja Ranskan kansalliset paneelit ja Tanskan kansallisten tapahtumien edustajat.</w:t>
      </w:r>
    </w:p>
  </w:endnote>
  <w:endnote w:id="99">
    <w:p>
      <w:pPr>
        <w:pStyle w:val="Notedefin"/>
        <w:suppressLineNumbers/>
        <w:spacing w:before="57" w:after="57"/>
        <w:ind w:left="339" w:right="0" w:hanging="339"/>
        <w:rPr/>
      </w:pPr>
      <w:r>
        <w:rPr>
          <w:rStyle w:val="Caractresdenotedefin"/>
        </w:rPr>
        <w:endnoteRef/>
      </w:r>
      <w:r>
        <w:rPr/>
        <w:tab/>
      </w:r>
      <w:r>
        <w:rPr/>
        <w:t>Kansallinen paneeli BE.</w:t>
      </w:r>
    </w:p>
  </w:endnote>
  <w:endnote w:id="100">
    <w:p>
      <w:pPr>
        <w:pStyle w:val="Notedefin"/>
        <w:suppressLineNumbers/>
        <w:spacing w:before="57" w:after="57"/>
        <w:ind w:left="339" w:right="0" w:hanging="339"/>
        <w:rPr/>
      </w:pPr>
      <w:r>
        <w:rPr>
          <w:rStyle w:val="Caractresdenotedefin"/>
        </w:rPr>
        <w:endnoteRef/>
      </w:r>
      <w:r>
        <w:rPr/>
        <w:tab/>
      </w:r>
      <w:r>
        <w:rPr/>
        <w:t>Työryhmän tarkistus 7B.</w:t>
      </w:r>
    </w:p>
  </w:endnote>
  <w:endnote w:id="101">
    <w:p>
      <w:pPr>
        <w:pStyle w:val="Notedefin"/>
        <w:suppressLineNumbers/>
        <w:spacing w:before="57" w:after="57"/>
        <w:ind w:left="339" w:right="0" w:hanging="339"/>
        <w:rPr/>
      </w:pPr>
      <w:r>
        <w:rPr>
          <w:rStyle w:val="Caractresdenotedefin"/>
        </w:rPr>
        <w:endnoteRef/>
      </w:r>
      <w:r>
        <w:rPr/>
        <w:tab/>
      </w:r>
      <w:r>
        <w:rPr/>
        <w:t>Kansallinen paneeli BE.</w:t>
      </w:r>
    </w:p>
  </w:endnote>
  <w:endnote w:id="102">
    <w:p>
      <w:pPr>
        <w:pStyle w:val="Notedefin"/>
        <w:suppressLineNumbers/>
        <w:spacing w:before="57" w:after="57"/>
        <w:ind w:left="339" w:right="0" w:hanging="339"/>
        <w:rPr/>
      </w:pPr>
      <w:r>
        <w:rPr>
          <w:rStyle w:val="Caractresdenotedefin"/>
        </w:rPr>
        <w:endnoteRef/>
      </w:r>
      <w:r>
        <w:rPr/>
        <w:tab/>
      </w:r>
      <w:r>
        <w:rPr/>
        <w:t>Kantarin loppuraportti, s. 85.</w:t>
      </w:r>
    </w:p>
  </w:endnote>
  <w:endnote w:id="103">
    <w:p>
      <w:pPr>
        <w:pStyle w:val="Notedefin"/>
        <w:suppressLineNumbers/>
        <w:spacing w:before="57" w:after="57"/>
        <w:ind w:left="339" w:right="0" w:hanging="339"/>
        <w:rPr/>
      </w:pPr>
      <w:r>
        <w:rPr>
          <w:rStyle w:val="Caractresdenotedefin"/>
        </w:rPr>
        <w:endnoteRef/>
      </w:r>
      <w:r>
        <w:rPr/>
        <w:tab/>
      </w:r>
      <w:r>
        <w:rPr/>
        <w:t>ECP 2:n suositus 39; kansallinen paneeli nro 3 BE.</w:t>
      </w:r>
    </w:p>
  </w:endnote>
  <w:endnote w:id="104">
    <w:p>
      <w:pPr>
        <w:pStyle w:val="Notedefin"/>
        <w:suppressLineNumbers/>
        <w:spacing w:before="57" w:after="57"/>
        <w:ind w:left="339" w:right="0" w:hanging="339"/>
        <w:rPr/>
      </w:pPr>
      <w:r>
        <w:rPr>
          <w:rStyle w:val="Caractresdenotedefin"/>
        </w:rPr>
        <w:endnoteRef/>
      </w:r>
      <w:r>
        <w:rPr/>
        <w:tab/>
      </w:r>
      <w:r>
        <w:rPr/>
        <w:t>Työryhmän tarkistus 10A, tiiviimpi sanamuoto.</w:t>
      </w:r>
    </w:p>
  </w:endnote>
  <w:endnote w:id="105">
    <w:p>
      <w:pPr>
        <w:pStyle w:val="Notedefin"/>
        <w:suppressLineNumbers/>
        <w:spacing w:before="57" w:after="57"/>
        <w:ind w:left="339" w:right="0" w:hanging="339"/>
        <w:rPr/>
      </w:pPr>
      <w:r>
        <w:rPr>
          <w:rStyle w:val="Caractresdenotedefin"/>
        </w:rPr>
        <w:endnoteRef/>
      </w:r>
      <w:r>
        <w:rPr/>
        <w:tab/>
      </w:r>
      <w:r>
        <w:rPr/>
        <w:t>DK edustaa kansallisia tapahtumia.</w:t>
      </w:r>
    </w:p>
  </w:endnote>
  <w:endnote w:id="106">
    <w:p>
      <w:pPr>
        <w:pStyle w:val="Notedefin"/>
        <w:suppressLineNumbers/>
        <w:spacing w:before="57" w:after="57"/>
        <w:ind w:left="339" w:right="0" w:hanging="339"/>
        <w:rPr/>
      </w:pPr>
      <w:r>
        <w:rPr>
          <w:rStyle w:val="Caractresdenotedefin"/>
        </w:rPr>
        <w:endnoteRef/>
      </w:r>
      <w:r>
        <w:rPr/>
        <w:tab/>
      </w:r>
      <w:r>
        <w:rPr/>
        <w:t>Työryhmän tarkistus 54C.</w:t>
      </w:r>
    </w:p>
  </w:endnote>
  <w:endnote w:id="107">
    <w:p>
      <w:pPr>
        <w:pStyle w:val="Notedefin"/>
        <w:suppressLineNumbers/>
        <w:spacing w:before="57" w:after="57"/>
        <w:ind w:left="339" w:right="0" w:hanging="339"/>
        <w:rPr/>
      </w:pPr>
      <w:r>
        <w:rPr>
          <w:rStyle w:val="Caractresdenotedefin"/>
        </w:rPr>
        <w:endnoteRef/>
      </w:r>
      <w:r>
        <w:rPr/>
        <w:tab/>
      </w:r>
      <w:r>
        <w:rPr/>
        <w:t>DK edustaa kansallisia tapahtumia.</w:t>
      </w:r>
    </w:p>
  </w:endnote>
  <w:endnote w:id="108">
    <w:p>
      <w:pPr>
        <w:pStyle w:val="Notedefin"/>
        <w:suppressLineNumbers/>
        <w:spacing w:before="57" w:after="57"/>
        <w:ind w:left="339" w:right="0" w:hanging="339"/>
        <w:rPr/>
      </w:pPr>
      <w:r>
        <w:rPr>
          <w:rStyle w:val="Caractresdenotedefin"/>
        </w:rPr>
        <w:endnoteRef/>
      </w:r>
      <w:r>
        <w:rPr/>
        <w:tab/>
      </w:r>
      <w:r>
        <w:rPr/>
        <w:t>DK edustaa kansallisia tapahtumia.</w:t>
      </w:r>
    </w:p>
  </w:endnote>
  <w:endnote w:id="109">
    <w:p>
      <w:pPr>
        <w:pStyle w:val="Notedefin"/>
        <w:suppressLineNumbers/>
        <w:spacing w:before="57" w:after="57"/>
        <w:ind w:left="339" w:right="0" w:hanging="339"/>
        <w:rPr/>
      </w:pPr>
      <w:r>
        <w:rPr>
          <w:rStyle w:val="Caractresdenotedefin"/>
        </w:rPr>
        <w:endnoteRef/>
      </w:r>
      <w:r>
        <w:rPr/>
        <w:tab/>
      </w:r>
      <w:r>
        <w:rPr/>
        <w:t>Työryhmän tarkistus 15A, kompromissiteksti.</w:t>
      </w:r>
    </w:p>
  </w:endnote>
  <w:endnote w:id="110">
    <w:p>
      <w:pPr>
        <w:pStyle w:val="Notedefin"/>
        <w:suppressLineNumbers/>
        <w:spacing w:before="57" w:after="57"/>
        <w:ind w:left="339" w:right="0" w:hanging="339"/>
        <w:rPr/>
      </w:pPr>
      <w:r>
        <w:rPr>
          <w:rStyle w:val="Caractresdenotedefin"/>
        </w:rPr>
        <w:endnoteRef/>
      </w:r>
      <w:r>
        <w:rPr/>
        <w:tab/>
      </w:r>
      <w:r>
        <w:rPr/>
        <w:t>PCE 2:n suositukset 24, 36 ja 38; kansallinen paneeli BE.</w:t>
      </w:r>
    </w:p>
  </w:endnote>
  <w:endnote w:id="111">
    <w:p>
      <w:pPr>
        <w:pStyle w:val="Notedefin"/>
        <w:suppressLineNumbers/>
        <w:spacing w:before="57" w:after="57"/>
        <w:ind w:left="339" w:right="0" w:hanging="339"/>
        <w:rPr/>
      </w:pPr>
      <w:r>
        <w:rPr>
          <w:rStyle w:val="Caractresdenotedefin"/>
        </w:rPr>
        <w:endnoteRef/>
      </w:r>
      <w:r>
        <w:rPr/>
        <w:tab/>
      </w:r>
      <w:r>
        <w:rPr/>
        <w:t>Työryhmän tarkistus 16C.</w:t>
      </w:r>
    </w:p>
  </w:endnote>
  <w:endnote w:id="112">
    <w:p>
      <w:pPr>
        <w:pStyle w:val="Notedefin"/>
        <w:suppressLineNumbers/>
        <w:spacing w:before="57" w:after="57"/>
        <w:ind w:left="339" w:right="0" w:hanging="339"/>
        <w:rPr/>
      </w:pPr>
      <w:r>
        <w:rPr>
          <w:rStyle w:val="Caractresdenotedefin"/>
        </w:rPr>
        <w:endnoteRef/>
      </w:r>
      <w:r>
        <w:rPr/>
        <w:tab/>
      </w:r>
      <w:r>
        <w:rPr/>
        <w:t>ECP 2:n suositus 33; kansalliset paneelit BE, FR ja NL.</w:t>
      </w:r>
    </w:p>
  </w:endnote>
  <w:endnote w:id="113">
    <w:p>
      <w:pPr>
        <w:pStyle w:val="Notedefin"/>
        <w:suppressLineNumbers/>
        <w:spacing w:before="57" w:after="57"/>
        <w:ind w:left="339" w:right="0" w:hanging="339"/>
        <w:rPr/>
      </w:pPr>
      <w:r>
        <w:rPr>
          <w:rStyle w:val="Caractresdenotedefin"/>
        </w:rPr>
        <w:endnoteRef/>
      </w:r>
      <w:r>
        <w:rPr/>
        <w:tab/>
      </w:r>
      <w:r>
        <w:rPr/>
        <w:t>ECP:n suositus nro 26 2.</w:t>
      </w:r>
    </w:p>
  </w:endnote>
  <w:endnote w:id="114">
    <w:p>
      <w:pPr>
        <w:pStyle w:val="Notedefin"/>
        <w:suppressLineNumbers/>
        <w:spacing w:before="57" w:after="57"/>
        <w:ind w:left="339" w:right="0" w:hanging="339"/>
        <w:rPr/>
      </w:pPr>
      <w:r>
        <w:rPr>
          <w:rStyle w:val="Caractresdenotedefin"/>
        </w:rPr>
        <w:endnoteRef/>
      </w:r>
      <w:r>
        <w:rPr/>
        <w:tab/>
      </w:r>
      <w:r>
        <w:rPr/>
        <w:t>Työryhmän tarkistus 17.</w:t>
      </w:r>
    </w:p>
  </w:endnote>
  <w:endnote w:id="115">
    <w:p>
      <w:pPr>
        <w:pStyle w:val="Notedefin"/>
        <w:suppressLineNumbers/>
        <w:spacing w:before="57" w:after="57"/>
        <w:ind w:left="339" w:right="0" w:hanging="339"/>
        <w:rPr/>
      </w:pPr>
      <w:r>
        <w:rPr>
          <w:rStyle w:val="Caractresdenotedefin"/>
        </w:rPr>
        <w:endnoteRef/>
      </w:r>
      <w:r>
        <w:rPr/>
        <w:tab/>
      </w:r>
      <w:r>
        <w:rPr/>
        <w:t>Kansallinen paneeli BE.</w:t>
      </w:r>
    </w:p>
  </w:endnote>
  <w:endnote w:id="116">
    <w:p>
      <w:pPr>
        <w:pStyle w:val="Notedefin"/>
        <w:suppressLineNumbers/>
        <w:spacing w:before="57" w:after="57"/>
        <w:ind w:left="339" w:right="0" w:hanging="339"/>
        <w:rPr/>
      </w:pPr>
      <w:r>
        <w:rPr>
          <w:rStyle w:val="Caractresdenotedefin"/>
        </w:rPr>
        <w:endnoteRef/>
      </w:r>
      <w:r>
        <w:rPr/>
        <w:tab/>
      </w:r>
      <w:r>
        <w:rPr/>
        <w:t>WG:n tarkistus 18A.</w:t>
      </w:r>
    </w:p>
  </w:endnote>
  <w:endnote w:id="117">
    <w:p>
      <w:pPr>
        <w:pStyle w:val="Notedefin"/>
        <w:suppressLineNumbers/>
        <w:spacing w:before="57" w:after="57"/>
        <w:ind w:left="339" w:right="0" w:hanging="339"/>
        <w:rPr/>
      </w:pPr>
      <w:r>
        <w:rPr>
          <w:rStyle w:val="Caractresdenotedefin"/>
        </w:rPr>
        <w:endnoteRef/>
      </w:r>
      <w:r>
        <w:rPr/>
        <w:tab/>
      </w:r>
      <w:r>
        <w:rPr/>
        <w:t>ECP:n suositus nro 252.</w:t>
      </w:r>
    </w:p>
  </w:endnote>
  <w:endnote w:id="118">
    <w:p>
      <w:pPr>
        <w:pStyle w:val="Notedefin"/>
        <w:suppressLineNumbers/>
        <w:spacing w:before="57" w:after="57"/>
        <w:ind w:left="339" w:right="0" w:hanging="339"/>
        <w:rPr/>
      </w:pPr>
      <w:r>
        <w:rPr>
          <w:rStyle w:val="Caractresdenotedefin"/>
        </w:rPr>
        <w:endnoteRef/>
      </w:r>
      <w:r>
        <w:rPr/>
        <w:tab/>
      </w:r>
      <w:r>
        <w:rPr/>
        <w:t>Työryhmän tarkistus nro 18B.</w:t>
      </w:r>
    </w:p>
  </w:endnote>
  <w:endnote w:id="119">
    <w:p>
      <w:pPr>
        <w:pStyle w:val="Notedefin"/>
        <w:suppressLineNumbers/>
        <w:spacing w:before="57" w:after="57"/>
        <w:ind w:left="339" w:right="0" w:hanging="339"/>
        <w:rPr/>
      </w:pPr>
      <w:r>
        <w:rPr>
          <w:rStyle w:val="Caractresdenotedefin"/>
        </w:rPr>
        <w:endnoteRef/>
      </w:r>
      <w:r>
        <w:rPr/>
        <w:tab/>
      </w:r>
      <w:r>
        <w:rPr/>
        <w:t>ECP 2:n suositus 31; kansalliset paneelit BE ja NL.</w:t>
      </w:r>
    </w:p>
  </w:endnote>
  <w:endnote w:id="120">
    <w:p>
      <w:pPr>
        <w:pStyle w:val="Notedefin"/>
        <w:suppressLineNumbers/>
        <w:spacing w:before="57" w:after="57"/>
        <w:ind w:left="339" w:right="0" w:hanging="339"/>
        <w:rPr/>
      </w:pPr>
      <w:r>
        <w:rPr>
          <w:rStyle w:val="Caractresdenotedefin"/>
        </w:rPr>
        <w:endnoteRef/>
      </w:r>
      <w:r>
        <w:rPr/>
        <w:tab/>
      </w:r>
      <w:r>
        <w:rPr/>
        <w:t>Työryhmän tarkistukset 19A, muotoillaan uudelleen, jotta teksti olisi asianmukaisempi.</w:t>
      </w:r>
    </w:p>
  </w:endnote>
  <w:endnote w:id="121">
    <w:p>
      <w:pPr>
        <w:pStyle w:val="Notedefin"/>
        <w:suppressLineNumbers/>
        <w:spacing w:before="57" w:after="57"/>
        <w:ind w:left="339" w:right="0" w:hanging="339"/>
        <w:rPr/>
      </w:pPr>
      <w:r>
        <w:rPr>
          <w:rStyle w:val="Caractresdenotedefin"/>
        </w:rPr>
        <w:endnoteRef/>
      </w:r>
      <w:r>
        <w:rPr/>
        <w:tab/>
      </w:r>
      <w:r>
        <w:rPr/>
        <w:t>Työryhmän tarkistus 21, kompromissi.</w:t>
      </w:r>
    </w:p>
  </w:endnote>
  <w:endnote w:id="122">
    <w:p>
      <w:pPr>
        <w:pStyle w:val="Notedefin"/>
        <w:suppressLineNumbers/>
        <w:spacing w:before="57" w:after="57"/>
        <w:ind w:left="339" w:right="0" w:hanging="339"/>
        <w:rPr/>
      </w:pPr>
      <w:r>
        <w:rPr>
          <w:rStyle w:val="Caractresdenotedefin"/>
        </w:rPr>
        <w:endnoteRef/>
      </w:r>
      <w:r>
        <w:rPr/>
        <w:tab/>
      </w:r>
      <w:r>
        <w:rPr/>
        <w:t>Kansalliset paneelit BE ja FR.</w:t>
      </w:r>
    </w:p>
  </w:endnote>
  <w:endnote w:id="123">
    <w:p>
      <w:pPr>
        <w:pStyle w:val="Notedefin"/>
        <w:suppressLineNumbers/>
        <w:spacing w:before="57" w:after="57"/>
        <w:ind w:left="339" w:right="0" w:hanging="339"/>
        <w:rPr/>
      </w:pPr>
      <w:r>
        <w:rPr>
          <w:rStyle w:val="Caractresdenotedefin"/>
        </w:rPr>
        <w:endnoteRef/>
      </w:r>
      <w:r>
        <w:rPr/>
        <w:tab/>
      </w:r>
      <w:r>
        <w:rPr/>
        <w:t>Työryhmän tarkistus 23B.</w:t>
      </w:r>
    </w:p>
  </w:endnote>
  <w:endnote w:id="124">
    <w:p>
      <w:pPr>
        <w:pStyle w:val="Notedefin"/>
        <w:suppressLineNumbers/>
        <w:spacing w:before="57" w:after="57"/>
        <w:ind w:left="339" w:right="0" w:hanging="339"/>
        <w:rPr/>
      </w:pPr>
      <w:r>
        <w:rPr>
          <w:rStyle w:val="Caractresdenotedefin"/>
        </w:rPr>
        <w:endnoteRef/>
      </w:r>
      <w:r>
        <w:rPr/>
        <w:tab/>
      </w:r>
      <w:r>
        <w:rPr/>
        <w:t>ECP 2:n suositus 27; kansallinen paneeli BE.</w:t>
      </w:r>
    </w:p>
  </w:endnote>
  <w:endnote w:id="125">
    <w:p>
      <w:pPr>
        <w:pStyle w:val="Notedefin"/>
        <w:suppressLineNumbers/>
        <w:spacing w:before="57" w:after="57"/>
        <w:ind w:left="339" w:right="0" w:hanging="339"/>
        <w:rPr/>
      </w:pPr>
      <w:r>
        <w:rPr>
          <w:rStyle w:val="Caractresdenotedefin"/>
        </w:rPr>
        <w:endnoteRef/>
      </w:r>
      <w:r>
        <w:rPr/>
        <w:tab/>
      </w:r>
      <w:r>
        <w:rPr/>
        <w:t>Työryhmän tarkistus 25 C.</w:t>
      </w:r>
    </w:p>
  </w:endnote>
  <w:endnote w:id="126">
    <w:p>
      <w:pPr>
        <w:pStyle w:val="Notedefin"/>
        <w:suppressLineNumbers/>
        <w:spacing w:before="57" w:after="57"/>
        <w:ind w:left="339" w:right="0" w:hanging="339"/>
        <w:rPr/>
      </w:pPr>
      <w:r>
        <w:rPr>
          <w:rStyle w:val="Caractresdenotedefin"/>
        </w:rPr>
        <w:endnoteRef/>
      </w:r>
      <w:r>
        <w:rPr/>
        <w:tab/>
      </w:r>
      <w:r>
        <w:rPr/>
        <w:t>ECP:n suositus 14.</w:t>
      </w:r>
    </w:p>
  </w:endnote>
  <w:endnote w:id="127">
    <w:p>
      <w:pPr>
        <w:pStyle w:val="Notedefin"/>
        <w:suppressLineNumbers/>
        <w:spacing w:before="57" w:after="57"/>
        <w:ind w:left="339" w:right="0" w:hanging="339"/>
        <w:rPr/>
      </w:pPr>
      <w:r>
        <w:rPr>
          <w:rStyle w:val="Caractresdenotedefin"/>
        </w:rPr>
        <w:endnoteRef/>
      </w:r>
      <w:r>
        <w:rPr/>
        <w:tab/>
      </w:r>
      <w:r>
        <w:rPr/>
        <w:t>ECP:n suositus nro 18. HUOM.: Kansalaisten edustajat selittivät, että tämä mekanismi olisi suunniteltava ja sitä olisi käytettävä varoen.</w:t>
      </w:r>
    </w:p>
  </w:endnote>
  <w:endnote w:id="128">
    <w:p>
      <w:pPr>
        <w:pStyle w:val="Notedefin"/>
        <w:suppressLineNumbers/>
        <w:spacing w:before="57" w:after="57"/>
        <w:ind w:left="339" w:right="0" w:hanging="339"/>
        <w:rPr/>
      </w:pPr>
      <w:r>
        <w:rPr>
          <w:rStyle w:val="Caractresdenotedefin"/>
        </w:rPr>
        <w:endnoteRef/>
      </w:r>
      <w:r>
        <w:rPr/>
        <w:tab/>
      </w:r>
      <w:r>
        <w:rPr/>
        <w:t>Työryhmän tarkistukset 28E, 28G ja 28H.</w:t>
      </w:r>
    </w:p>
  </w:endnote>
  <w:endnote w:id="129">
    <w:p>
      <w:pPr>
        <w:pStyle w:val="Notedefin"/>
        <w:suppressLineNumbers/>
        <w:spacing w:before="57" w:after="57"/>
        <w:ind w:left="339" w:right="0" w:hanging="339"/>
        <w:rPr/>
      </w:pPr>
      <w:r>
        <w:rPr>
          <w:rStyle w:val="Caractresdenotedefin"/>
        </w:rPr>
        <w:endnoteRef/>
      </w:r>
      <w:r>
        <w:rPr/>
        <w:tab/>
      </w:r>
      <w:r>
        <w:rPr/>
        <w:t>ECP 2:n suositus 16; NL National Panel No 20 jaettuna valtioiden rajat ylittäviin listoihin.</w:t>
      </w:r>
    </w:p>
  </w:endnote>
  <w:endnote w:id="130">
    <w:p>
      <w:pPr>
        <w:pStyle w:val="Notedefin"/>
        <w:suppressLineNumbers/>
        <w:spacing w:before="57" w:after="57"/>
        <w:ind w:left="339" w:right="0" w:hanging="339"/>
        <w:rPr/>
      </w:pPr>
      <w:r>
        <w:rPr>
          <w:rStyle w:val="Caractresdenotedefin"/>
        </w:rPr>
        <w:endnoteRef/>
      </w:r>
      <w:r>
        <w:rPr/>
        <w:tab/>
      </w:r>
      <w:r>
        <w:rPr/>
        <w:t>Perustuu ECP 2:n suositukseen 16; keskustelu GT: ssä.</w:t>
      </w:r>
    </w:p>
  </w:endnote>
  <w:endnote w:id="131">
    <w:p>
      <w:pPr>
        <w:pStyle w:val="Notedefin"/>
        <w:suppressLineNumbers/>
        <w:spacing w:before="57" w:after="57"/>
        <w:ind w:left="339" w:right="0" w:hanging="339"/>
        <w:rPr/>
      </w:pPr>
      <w:r>
        <w:rPr>
          <w:rStyle w:val="Caractresdenotedefin"/>
        </w:rPr>
        <w:endnoteRef/>
      </w:r>
      <w:r>
        <w:rPr/>
        <w:tab/>
      </w:r>
      <w:r>
        <w:rPr/>
        <w:t>ECP 2:n suositus 19 ja monikielinen digitaalinen foorumi (MNP).</w:t>
      </w:r>
    </w:p>
  </w:endnote>
  <w:endnote w:id="132">
    <w:p>
      <w:pPr>
        <w:pStyle w:val="Notedefin"/>
        <w:suppressLineNumbers/>
        <w:spacing w:before="57" w:after="57"/>
        <w:ind w:left="339" w:right="0" w:hanging="339"/>
        <w:rPr/>
      </w:pPr>
      <w:r>
        <w:rPr>
          <w:rStyle w:val="Caractresdenotedefin"/>
        </w:rPr>
        <w:endnoteRef/>
      </w:r>
      <w:r>
        <w:rPr/>
        <w:tab/>
      </w:r>
      <w:r>
        <w:rPr/>
        <w:t>ETSK.</w:t>
      </w:r>
    </w:p>
  </w:endnote>
  <w:endnote w:id="133">
    <w:p>
      <w:pPr>
        <w:pStyle w:val="Notedefin"/>
        <w:suppressLineNumbers/>
        <w:spacing w:before="57" w:after="57"/>
        <w:ind w:left="339" w:right="0" w:hanging="339"/>
        <w:rPr/>
      </w:pPr>
      <w:r>
        <w:rPr>
          <w:rStyle w:val="Caractresdenotedefin"/>
        </w:rPr>
        <w:endnoteRef/>
      </w:r>
      <w:r>
        <w:rPr/>
        <w:tab/>
      </w:r>
      <w:r>
        <w:rPr/>
        <w:t>Työryhmän tarkistus 32B.</w:t>
      </w:r>
    </w:p>
  </w:endnote>
  <w:endnote w:id="134">
    <w:p>
      <w:pPr>
        <w:pStyle w:val="Notedefin"/>
        <w:suppressLineNumbers/>
        <w:spacing w:before="57" w:after="57"/>
        <w:ind w:left="339" w:right="0" w:hanging="339"/>
        <w:rPr/>
      </w:pPr>
      <w:r>
        <w:rPr>
          <w:rStyle w:val="Caractresdenotedefin"/>
        </w:rPr>
        <w:endnoteRef/>
      </w:r>
      <w:r>
        <w:rPr/>
        <w:tab/>
      </w:r>
      <w:r>
        <w:rPr/>
        <w:t>ECP 2:n suositus 36; kansalliset paneelit BE ja FR.</w:t>
      </w:r>
    </w:p>
  </w:endnote>
  <w:endnote w:id="135">
    <w:p>
      <w:pPr>
        <w:pStyle w:val="Notedefin"/>
        <w:suppressLineNumbers/>
        <w:spacing w:before="57" w:after="57"/>
        <w:ind w:left="339" w:right="0" w:hanging="339"/>
        <w:rPr/>
      </w:pPr>
      <w:r>
        <w:rPr>
          <w:rStyle w:val="Caractresdenotedefin"/>
        </w:rPr>
        <w:endnoteRef/>
      </w:r>
      <w:r>
        <w:rPr/>
        <w:tab/>
      </w:r>
      <w:r>
        <w:rPr/>
        <w:t>Kansallinen paneeli FR (”Euroopan komission puheenjohtajan valinta yleisillä vaaleilla”) PNM (lopullinen Kantarin raportti: ryhmä kannanottoja koskee sitä, että kansalaiset valitsevat komission puheenjohtajan suoraan).</w:t>
      </w:r>
    </w:p>
  </w:endnote>
  <w:endnote w:id="136">
    <w:p>
      <w:pPr>
        <w:pStyle w:val="Notedefin"/>
        <w:suppressLineNumbers/>
        <w:spacing w:before="57" w:after="57"/>
        <w:ind w:left="339" w:right="0" w:hanging="339"/>
        <w:rPr/>
      </w:pPr>
      <w:r>
        <w:rPr>
          <w:rStyle w:val="Caractresdenotedefin"/>
        </w:rPr>
        <w:endnoteRef/>
      </w:r>
      <w:r>
        <w:rPr/>
        <w:tab/>
      </w:r>
      <w:r>
        <w:rPr/>
        <w:t>Työryhmän tarkistus 34C.</w:t>
      </w:r>
    </w:p>
  </w:endnote>
  <w:endnote w:id="137">
    <w:p>
      <w:pPr>
        <w:pStyle w:val="Notedefin"/>
        <w:suppressLineNumbers/>
        <w:spacing w:before="57" w:after="57"/>
        <w:ind w:left="339" w:right="0" w:hanging="339"/>
        <w:rPr/>
      </w:pPr>
      <w:r>
        <w:rPr>
          <w:rStyle w:val="Caractresdenotedefin"/>
        </w:rPr>
        <w:endnoteRef/>
      </w:r>
      <w:r>
        <w:rPr/>
        <w:tab/>
      </w:r>
      <w:r>
        <w:rPr/>
        <w:t>Kansallinen paneeli BE (3.2), kansallinen paneeli FR (11) PNM (loppuraportti Kantar: ”Euroopan parlamentin edustajat vaativat useimmiten, että sille annetaan todellinen lainsäädäntöaloite”.</w:t>
      </w:r>
    </w:p>
  </w:endnote>
  <w:endnote w:id="138">
    <w:p>
      <w:pPr>
        <w:pStyle w:val="Notedefin"/>
        <w:suppressLineNumbers/>
        <w:spacing w:before="57" w:after="57"/>
        <w:ind w:left="339" w:right="0" w:hanging="339"/>
        <w:rPr/>
      </w:pPr>
      <w:r>
        <w:rPr>
          <w:rStyle w:val="Caractresdenotedefin"/>
        </w:rPr>
        <w:endnoteRef/>
      </w:r>
      <w:r>
        <w:rPr/>
        <w:tab/>
      </w:r>
      <w:r>
        <w:rPr/>
        <w:t>PNM (lopullinen Kantarin raportti: ”Euroopan parlamenttia (...) pyydetään myös myöntämään sille talousarviovalta).</w:t>
      </w:r>
    </w:p>
  </w:endnote>
  <w:endnote w:id="139">
    <w:p>
      <w:pPr>
        <w:pStyle w:val="Notedefin"/>
        <w:suppressLineNumbers/>
        <w:spacing w:before="57" w:after="57"/>
        <w:ind w:left="339" w:right="0" w:hanging="339"/>
        <w:rPr/>
      </w:pPr>
      <w:r>
        <w:rPr>
          <w:rStyle w:val="Caractresdenotedefin"/>
        </w:rPr>
        <w:endnoteRef/>
      </w:r>
      <w:r>
        <w:rPr/>
        <w:tab/>
      </w:r>
      <w:r>
        <w:rPr/>
        <w:t>PNM (lopullinen Kantarin raportti: Toisen panoksen mukaan eri kulttuurisista tai sosioekonomisista taustoista tulevien henkilöiden olisi oltava paremmin saatavilla.</w:t>
      </w:r>
    </w:p>
  </w:endnote>
  <w:endnote w:id="140">
    <w:p>
      <w:pPr>
        <w:pStyle w:val="Notedefin"/>
        <w:suppressLineNumbers/>
        <w:spacing w:before="57" w:after="57"/>
        <w:ind w:left="339" w:right="0" w:hanging="339"/>
        <w:rPr/>
      </w:pPr>
      <w:r>
        <w:rPr>
          <w:rStyle w:val="Caractresdenotedefin"/>
        </w:rPr>
        <w:endnoteRef/>
      </w:r>
      <w:r>
        <w:rPr/>
        <w:tab/>
      </w:r>
      <w:r>
        <w:rPr/>
        <w:t>AK työryhmässä.</w:t>
      </w:r>
    </w:p>
  </w:endnote>
  <w:endnote w:id="141">
    <w:p>
      <w:pPr>
        <w:pStyle w:val="Notedefin"/>
        <w:suppressLineNumbers/>
        <w:spacing w:before="57" w:after="57"/>
        <w:ind w:left="339" w:right="0" w:hanging="339"/>
        <w:rPr/>
      </w:pPr>
      <w:r>
        <w:rPr>
          <w:rStyle w:val="Caractresdenotedefin"/>
        </w:rPr>
        <w:endnoteRef/>
      </w:r>
      <w:r>
        <w:rPr/>
        <w:tab/>
      </w:r>
      <w:r>
        <w:rPr/>
        <w:t>Työryhmän tarkistus 38, kompromissiteksti.</w:t>
      </w:r>
    </w:p>
  </w:endnote>
  <w:endnote w:id="142">
    <w:p>
      <w:pPr>
        <w:pStyle w:val="Notedefin"/>
        <w:suppressLineNumbers/>
        <w:spacing w:before="57" w:after="57"/>
        <w:ind w:left="339" w:right="0" w:hanging="339"/>
        <w:rPr/>
      </w:pPr>
      <w:r>
        <w:rPr>
          <w:rStyle w:val="Caractresdenotedefin"/>
        </w:rPr>
        <w:endnoteRef/>
      </w:r>
      <w:r>
        <w:rPr/>
        <w:tab/>
      </w:r>
      <w:r>
        <w:rPr/>
        <w:t>ECP:n suositus nro 20 2.</w:t>
      </w:r>
    </w:p>
  </w:endnote>
  <w:endnote w:id="143">
    <w:p>
      <w:pPr>
        <w:pStyle w:val="Notedefin"/>
        <w:suppressLineNumbers/>
        <w:spacing w:before="57" w:after="57"/>
        <w:ind w:left="339" w:right="0" w:hanging="339"/>
        <w:rPr/>
      </w:pPr>
      <w:r>
        <w:rPr>
          <w:rStyle w:val="Caractresdenotedefin"/>
        </w:rPr>
        <w:endnoteRef/>
      </w:r>
      <w:r>
        <w:rPr/>
        <w:tab/>
      </w:r>
      <w:r>
        <w:rPr/>
        <w:t>ECP:n suositus nro 21 4.</w:t>
      </w:r>
    </w:p>
  </w:endnote>
  <w:endnote w:id="144">
    <w:p>
      <w:pPr>
        <w:pStyle w:val="Notedefin"/>
        <w:suppressLineNumbers/>
        <w:spacing w:before="57" w:after="57"/>
        <w:ind w:left="339" w:right="0" w:hanging="339"/>
        <w:rPr/>
      </w:pPr>
      <w:r>
        <w:rPr>
          <w:rStyle w:val="Caractresdenotedefin"/>
        </w:rPr>
        <w:endnoteRef/>
      </w:r>
      <w:r>
        <w:rPr/>
        <w:tab/>
      </w:r>
      <w:r>
        <w:rPr/>
        <w:t>Työryhmän tarkistus 43.</w:t>
      </w:r>
    </w:p>
  </w:endnote>
  <w:endnote w:id="145">
    <w:p>
      <w:pPr>
        <w:pStyle w:val="Notedefin"/>
        <w:suppressLineNumbers/>
        <w:spacing w:before="57" w:after="57"/>
        <w:ind w:left="339" w:right="0" w:hanging="339"/>
        <w:rPr/>
      </w:pPr>
      <w:r>
        <w:rPr>
          <w:rStyle w:val="Caractresdenotedefin"/>
        </w:rPr>
        <w:endnoteRef/>
      </w:r>
      <w:r>
        <w:rPr/>
        <w:tab/>
      </w:r>
      <w:r>
        <w:rPr/>
        <w:t>ECP 2:n suositus 34; kansallinen paneeli NL.</w:t>
      </w:r>
    </w:p>
  </w:endnote>
  <w:endnote w:id="146">
    <w:p>
      <w:pPr>
        <w:pStyle w:val="Notedefin"/>
        <w:suppressLineNumbers/>
        <w:spacing w:before="57" w:after="57"/>
        <w:ind w:left="339" w:right="0" w:hanging="339"/>
        <w:rPr/>
      </w:pPr>
      <w:r>
        <w:rPr>
          <w:rStyle w:val="Caractresdenotedefin"/>
        </w:rPr>
        <w:endnoteRef/>
      </w:r>
      <w:r>
        <w:rPr/>
        <w:tab/>
      </w:r>
      <w:r>
        <w:rPr/>
        <w:t>Työryhmän keskustelu, joka perustuu ECP 2:n suositukseen 34; kansallinen paneeli NL; PNM (lopullinen Kantarin raportti: ”Tuetaan myös avoimuuden lisäämistä ja kansalaisten laajempaa osallistumista EU:n päätöksentekoprosessiin”.</w:t>
      </w:r>
    </w:p>
  </w:endnote>
  <w:endnote w:id="147">
    <w:p>
      <w:pPr>
        <w:pStyle w:val="Notedefin"/>
        <w:suppressLineNumbers/>
        <w:spacing w:before="57" w:after="57"/>
        <w:ind w:left="339" w:right="0" w:hanging="339"/>
        <w:rPr/>
      </w:pPr>
      <w:r>
        <w:rPr>
          <w:rStyle w:val="Caractresdenotedefin"/>
        </w:rPr>
        <w:endnoteRef/>
      </w:r>
      <w:r>
        <w:rPr/>
        <w:tab/>
      </w:r>
      <w:r>
        <w:rPr/>
        <w:t>Työryhmän tarkistus 44A.</w:t>
      </w:r>
    </w:p>
  </w:endnote>
  <w:endnote w:id="148">
    <w:p>
      <w:pPr>
        <w:pStyle w:val="Notedefin"/>
        <w:suppressLineNumbers/>
        <w:spacing w:before="57" w:after="57"/>
        <w:ind w:left="339" w:right="0" w:hanging="339"/>
        <w:rPr/>
      </w:pPr>
      <w:r>
        <w:rPr>
          <w:rStyle w:val="Caractresdenotedefin"/>
        </w:rPr>
        <w:endnoteRef/>
      </w:r>
      <w:r>
        <w:rPr/>
        <w:tab/>
      </w:r>
      <w:r>
        <w:rPr/>
        <w:t>Työryhmäkeskustelu (kansallisten parlamenttien ja AK:n edustus).</w:t>
      </w:r>
    </w:p>
  </w:endnote>
  <w:endnote w:id="149">
    <w:p>
      <w:pPr>
        <w:pStyle w:val="Notedefin"/>
        <w:suppressLineNumbers/>
        <w:spacing w:before="57" w:after="57"/>
        <w:ind w:left="339" w:right="0" w:hanging="339"/>
        <w:rPr/>
      </w:pPr>
      <w:r>
        <w:rPr>
          <w:rStyle w:val="Caractresdenotedefin"/>
        </w:rPr>
        <w:endnoteRef/>
      </w:r>
      <w:r>
        <w:rPr/>
        <w:tab/>
      </w:r>
      <w:r>
        <w:rPr/>
        <w:t>Työryhmän tarkistus 45 C.</w:t>
      </w:r>
    </w:p>
  </w:endnote>
  <w:endnote w:id="150">
    <w:p>
      <w:pPr>
        <w:pStyle w:val="Notedefin"/>
        <w:suppressLineNumbers/>
        <w:spacing w:before="57" w:after="57"/>
        <w:ind w:left="339" w:right="0" w:hanging="339"/>
        <w:rPr/>
      </w:pPr>
      <w:r>
        <w:rPr>
          <w:rStyle w:val="Caractresdenotedefin"/>
        </w:rPr>
        <w:endnoteRef/>
      </w:r>
      <w:r>
        <w:rPr/>
        <w:tab/>
      </w:r>
      <w:r>
        <w:rPr/>
        <w:t>Työryhmän tarkistus 46B.</w:t>
      </w:r>
    </w:p>
  </w:endnote>
  <w:endnote w:id="151">
    <w:p>
      <w:pPr>
        <w:pStyle w:val="Notedefin"/>
        <w:suppressLineNumbers/>
        <w:spacing w:before="57" w:after="57"/>
        <w:ind w:left="339" w:right="0" w:hanging="339"/>
        <w:rPr/>
      </w:pPr>
      <w:r>
        <w:rPr>
          <w:rStyle w:val="Caractresdenotedefin"/>
        </w:rPr>
        <w:endnoteRef/>
      </w:r>
      <w:r>
        <w:rPr/>
        <w:tab/>
      </w:r>
      <w:r>
        <w:rPr/>
        <w:t>ECP:n suositus nro 15 2.</w:t>
      </w:r>
    </w:p>
  </w:endnote>
  <w:endnote w:id="152">
    <w:p>
      <w:pPr>
        <w:pStyle w:val="Notedefin"/>
        <w:suppressLineNumbers/>
        <w:spacing w:before="57" w:after="57"/>
        <w:ind w:left="339" w:right="0" w:hanging="339"/>
        <w:rPr/>
      </w:pPr>
      <w:r>
        <w:rPr>
          <w:rStyle w:val="Caractresdenotedefin"/>
        </w:rPr>
        <w:endnoteRef/>
      </w:r>
      <w:r>
        <w:rPr/>
        <w:tab/>
      </w:r>
      <w:r>
        <w:rPr/>
        <w:t>Työryhmän keskustelu, joka perustuu ECP 2:n suosituksessa 15 esitettyyn tarpeeseen selventää EU:n toimielinten tehtäviä; PNM (lopullinen Kantarin raportti: ”On myös ehdotuksia kahdenvälisen lainsäädäntövallan syventämiseksi.”)</w:t>
      </w:r>
    </w:p>
  </w:endnote>
  <w:endnote w:id="153">
    <w:p>
      <w:pPr>
        <w:pStyle w:val="Notedefin"/>
        <w:suppressLineNumbers/>
        <w:spacing w:before="57" w:after="57"/>
        <w:ind w:left="339" w:right="0" w:hanging="339"/>
        <w:rPr/>
      </w:pPr>
      <w:r>
        <w:rPr>
          <w:rStyle w:val="Caractresdenotedefin"/>
        </w:rPr>
        <w:endnoteRef/>
      </w:r>
      <w:r>
        <w:rPr/>
        <w:tab/>
      </w:r>
      <w:r>
        <w:rPr/>
        <w:t>Työryhmän tarkistus 48B.</w:t>
      </w:r>
    </w:p>
  </w:endnote>
  <w:endnote w:id="154">
    <w:p>
      <w:pPr>
        <w:pStyle w:val="Notedefin"/>
        <w:suppressLineNumbers/>
        <w:spacing w:before="57" w:after="57"/>
        <w:ind w:left="339" w:right="0" w:hanging="339"/>
        <w:rPr/>
      </w:pPr>
      <w:r>
        <w:rPr>
          <w:rStyle w:val="Caractresdenotedefin"/>
        </w:rPr>
        <w:endnoteRef/>
      </w:r>
      <w:r>
        <w:rPr/>
        <w:tab/>
      </w:r>
      <w:r>
        <w:rPr/>
        <w:t>ECP:n suositus nro 15 2.</w:t>
      </w:r>
    </w:p>
  </w:endnote>
  <w:endnote w:id="155">
    <w:p>
      <w:pPr>
        <w:pStyle w:val="Notedefin"/>
        <w:suppressLineNumbers/>
        <w:spacing w:before="57" w:after="57"/>
        <w:ind w:left="339" w:right="0" w:hanging="339"/>
        <w:rPr/>
      </w:pPr>
      <w:r>
        <w:rPr>
          <w:rStyle w:val="Caractresdenotedefin"/>
        </w:rPr>
        <w:endnoteRef/>
      </w:r>
      <w:r>
        <w:rPr/>
        <w:tab/>
      </w:r>
      <w:r>
        <w:rPr/>
        <w:t>Keskustelut työryhmässä.</w:t>
      </w:r>
    </w:p>
  </w:endnote>
  <w:endnote w:id="156">
    <w:p>
      <w:pPr>
        <w:pStyle w:val="Notedefin"/>
        <w:suppressLineNumbers/>
        <w:spacing w:before="57" w:after="57"/>
        <w:ind w:left="339" w:right="0" w:hanging="339"/>
        <w:rPr/>
      </w:pPr>
      <w:r>
        <w:rPr>
          <w:rStyle w:val="Caractresdenotedefin"/>
        </w:rPr>
        <w:endnoteRef/>
      </w:r>
      <w:r>
        <w:rPr/>
        <w:tab/>
      </w:r>
      <w:r>
        <w:rPr/>
        <w:t>Työryhmän tarkistus 52A.</w:t>
      </w:r>
    </w:p>
  </w:endnote>
  <w:endnote w:id="157">
    <w:p>
      <w:pPr>
        <w:pStyle w:val="Notedefin"/>
        <w:suppressLineNumbers/>
        <w:spacing w:before="57" w:after="57"/>
        <w:ind w:left="339" w:right="0" w:hanging="339"/>
        <w:rPr/>
      </w:pPr>
      <w:r>
        <w:rPr>
          <w:rStyle w:val="Caractresdenotedefin"/>
        </w:rPr>
        <w:endnoteRef/>
      </w:r>
      <w:r>
        <w:rPr/>
        <w:tab/>
      </w:r>
      <w:r>
        <w:rPr/>
        <w:t>ETSK, kompromissin muotoilu.</w:t>
      </w:r>
    </w:p>
  </w:endnote>
  <w:endnote w:id="158">
    <w:p>
      <w:pPr>
        <w:pStyle w:val="Notedefin"/>
        <w:suppressLineNumbers/>
        <w:spacing w:before="57" w:after="57"/>
        <w:ind w:left="339" w:right="0" w:hanging="339"/>
        <w:rPr/>
      </w:pPr>
      <w:r>
        <w:rPr>
          <w:rStyle w:val="Caractresdenotedefin"/>
        </w:rPr>
        <w:endnoteRef/>
      </w:r>
      <w:r>
        <w:rPr/>
        <w:tab/>
      </w:r>
      <w:r>
        <w:rPr/>
        <w:t>ECP:n suositus 35, Ranskan kansallinen paneeli ja yhdistetyt WG 51C- ja 51D-muutokset.</w:t>
      </w:r>
    </w:p>
  </w:endnote>
  <w:endnote w:id="159">
    <w:p>
      <w:pPr>
        <w:pStyle w:val="Notedefin"/>
        <w:suppressLineNumbers/>
        <w:spacing w:before="57" w:after="57"/>
        <w:ind w:left="339" w:right="0" w:hanging="339"/>
        <w:rPr/>
      </w:pPr>
      <w:r>
        <w:rPr>
          <w:rStyle w:val="Caractresdenotedefin"/>
        </w:rPr>
        <w:endnoteRef/>
      </w:r>
      <w:r>
        <w:rPr/>
        <w:tab/>
      </w:r>
      <w:r>
        <w:rPr/>
        <w:t>Työryhmän tarkistus 53D.</w:t>
      </w:r>
    </w:p>
  </w:endnote>
  <w:endnote w:id="160">
    <w:p>
      <w:pPr>
        <w:pStyle w:val="Notedefin"/>
        <w:suppressLineNumbers/>
        <w:spacing w:before="57" w:after="57"/>
        <w:ind w:left="339" w:right="0" w:hanging="339"/>
        <w:rPr/>
      </w:pPr>
      <w:r>
        <w:rPr>
          <w:rStyle w:val="Caractresdenotedefin"/>
        </w:rPr>
        <w:endnoteRef/>
      </w:r>
      <w:r>
        <w:rPr/>
        <w:tab/>
      </w:r>
      <w:r>
        <w:rPr/>
        <w:t>Keskustelu työryhmässä; kansalliset parlamentit.</w:t>
      </w:r>
    </w:p>
  </w:endnote>
  <w:endnote w:id="161">
    <w:p>
      <w:pPr>
        <w:pStyle w:val="Notedefin"/>
        <w:spacing w:before="57" w:after="57"/>
        <w:rPr/>
      </w:pPr>
      <w:r>
        <w:rPr>
          <w:rStyle w:val="Caractresdenotedefin"/>
        </w:rPr>
        <w:endnoteRef/>
      </w:r>
      <w:r>
        <w:rPr/>
        <w:tab/>
      </w:r>
      <w:r>
        <w:rPr/>
        <w:t>Keskustelu työryhmässä; AK ja ETSK Kantarin loppuraportti, s. 85.</w:t>
      </w:r>
    </w:p>
  </w:endnote>
  <w:endnote w:id="162">
    <w:p>
      <w:pPr>
        <w:pStyle w:val="Notedefin"/>
        <w:suppressLineNumbers/>
        <w:spacing w:before="57" w:after="57"/>
        <w:ind w:left="339" w:right="0" w:hanging="339"/>
        <w:rPr/>
      </w:pPr>
      <w:r>
        <w:rPr>
          <w:rStyle w:val="Caractresdenotedefin"/>
        </w:rPr>
        <w:endnoteRef/>
      </w:r>
      <w:r>
        <w:rPr/>
        <w:tab/>
      </w:r>
      <w:r>
        <w:rPr/>
        <w:t>Työryhmän tarkistus 58B.</w:t>
      </w:r>
    </w:p>
  </w:endnote>
  <w:endnote w:id="163">
    <w:p>
      <w:pPr>
        <w:pStyle w:val="Notedefin"/>
        <w:suppressLineNumbers/>
        <w:spacing w:before="57" w:after="57"/>
        <w:ind w:left="339" w:right="0" w:hanging="339"/>
        <w:rPr/>
      </w:pPr>
      <w:r>
        <w:rPr>
          <w:rStyle w:val="Caractresdenotedefin"/>
        </w:rPr>
        <w:endnoteRef/>
      </w:r>
      <w:r>
        <w:rPr/>
        <w:tab/>
      </w:r>
      <w:r>
        <w:rPr/>
        <w:t>Työryhmän tarkistus 59B.</w:t>
      </w:r>
    </w:p>
  </w:endnote>
  <w:endnote w:id="164">
    <w:p>
      <w:pPr>
        <w:pStyle w:val="Notedefin"/>
        <w:suppressLineNumbers/>
        <w:spacing w:before="57" w:after="57"/>
        <w:ind w:left="339" w:right="0" w:hanging="339"/>
        <w:rPr/>
      </w:pPr>
      <w:r>
        <w:rPr>
          <w:rStyle w:val="Caractresdenotedefin"/>
        </w:rPr>
        <w:endnoteRef/>
      </w:r>
      <w:r>
        <w:rPr/>
        <w:tab/>
      </w:r>
      <w:r>
        <w:rPr/>
        <w:t>Keskustelu työryhmässä; työmarkkinaosapuolet ja muut jäsenet.</w:t>
      </w:r>
    </w:p>
  </w:endnote>
  <w:endnote w:id="165">
    <w:p>
      <w:pPr>
        <w:pStyle w:val="Notedefin"/>
        <w:suppressLineNumbers/>
        <w:spacing w:before="57" w:after="57"/>
        <w:ind w:left="339" w:right="0" w:hanging="339"/>
        <w:rPr/>
      </w:pPr>
      <w:r>
        <w:rPr>
          <w:rStyle w:val="Caractresdenotedefin"/>
        </w:rPr>
        <w:endnoteRef/>
      </w:r>
      <w:r>
        <w:rPr/>
        <w:tab/>
      </w:r>
      <w:r>
        <w:rPr/>
        <w:t>Työryhmän tarkistus 63A, kompromissiteksti.</w:t>
      </w:r>
    </w:p>
  </w:endnote>
  <w:endnote w:id="166">
    <w:p>
      <w:pPr>
        <w:pStyle w:val="Notedefin"/>
        <w:suppressLineNumbers/>
        <w:spacing w:before="57" w:after="57"/>
        <w:ind w:left="339" w:right="0" w:hanging="339"/>
        <w:rPr/>
      </w:pPr>
      <w:r>
        <w:rPr>
          <w:rStyle w:val="Caractresdenotedefin"/>
        </w:rPr>
        <w:endnoteRef/>
      </w:r>
      <w:r>
        <w:rPr/>
        <w:tab/>
      </w:r>
      <w:r>
        <w:rPr/>
        <w:t>Kansalaisten suositukset, joihin ehdotus perustuu: Eurooppalainen kansalaispaneeli nro 4 (ECP 4) nro</w:t>
      </w:r>
      <w:r>
        <w:rPr>
          <w:vertAlign w:val="superscript"/>
        </w:rPr>
        <w:t>6</w:t>
      </w:r>
      <w:r>
        <w:rPr/>
        <w:t>, 7, 9, 28 ja 30, Liettua nro 9.</w:t>
      </w:r>
    </w:p>
  </w:endnote>
  <w:endnote w:id="167">
    <w:p>
      <w:pPr>
        <w:pStyle w:val="Notedefin"/>
        <w:suppressLineNumbers/>
        <w:spacing w:before="57" w:after="57"/>
        <w:ind w:left="339" w:right="0" w:hanging="339"/>
        <w:rPr/>
      </w:pPr>
      <w:r>
        <w:rPr>
          <w:rStyle w:val="Caractresdenotedefin"/>
        </w:rPr>
        <w:endnoteRef/>
      </w:r>
      <w:r>
        <w:rPr/>
        <w:tab/>
      </w:r>
      <w:r>
        <w:rPr/>
        <w:t>Kansalaisten suositukset, joihin ehdotus perustuu: Eurooppalainen kansalaispaneeli nro 4 (ECP 4)</w:t>
      </w:r>
      <w:r>
        <w:rPr>
          <w:vertAlign w:val="superscript"/>
        </w:rPr>
        <w:t>nro</w:t>
      </w:r>
      <w:r>
        <w:rPr/>
        <w:t xml:space="preserve"> 8 ja 27, Liettua nro 10, Alankomaat nro 3.</w:t>
      </w:r>
    </w:p>
  </w:endnote>
  <w:endnote w:id="168">
    <w:p>
      <w:pPr>
        <w:pStyle w:val="Notedefin"/>
        <w:suppressLineNumbers/>
        <w:spacing w:before="57" w:after="57"/>
        <w:ind w:left="339" w:right="0" w:hanging="339"/>
        <w:rPr/>
      </w:pPr>
      <w:r>
        <w:rPr>
          <w:rStyle w:val="Caractresdenotedefin"/>
        </w:rPr>
        <w:endnoteRef/>
      </w:r>
      <w:r>
        <w:rPr/>
        <w:tab/>
        <w:t xml:space="preserve"> </w:t>
      </w:r>
      <w:r>
        <w:rPr/>
        <w:t>Kansalaisten suositukset, joihin ehdotus perustuu: Eurooppalainen kansalaispaneeli nro 4 (PCE 4)</w:t>
      </w:r>
      <w:r>
        <w:rPr>
          <w:vertAlign w:val="superscript"/>
        </w:rPr>
        <w:t>nro</w:t>
      </w:r>
      <w:r>
        <w:rPr/>
        <w:t xml:space="preserve"> 10, 35 ja 38.</w:t>
      </w:r>
    </w:p>
  </w:endnote>
  <w:endnote w:id="169">
    <w:p>
      <w:pPr>
        <w:pStyle w:val="Notedefin"/>
        <w:suppressLineNumbers/>
        <w:spacing w:before="57" w:after="57"/>
        <w:ind w:left="339" w:right="0" w:hanging="339"/>
        <w:rPr/>
      </w:pPr>
      <w:r>
        <w:rPr>
          <w:rStyle w:val="Caractresdenotedefin"/>
        </w:rPr>
        <w:endnoteRef/>
      </w:r>
      <w:r>
        <w:rPr/>
        <w:tab/>
        <w:t xml:space="preserve"> </w:t>
      </w:r>
      <w:r>
        <w:rPr/>
        <w:t>Kansalaisten suositukset, joihin ehdotus perustuu: Eurooppalainen kansalaispaneeli nro 4 (ECP 4) nro</w:t>
      </w:r>
      <w:r>
        <w:rPr>
          <w:vertAlign w:val="superscript"/>
        </w:rPr>
        <w:t>29</w:t>
      </w:r>
      <w:r>
        <w:rPr/>
        <w:t>, 31, 33, 36, 37, 38, 39 ja 40, Italia</w:t>
      </w:r>
      <w:r>
        <w:rPr>
          <w:vertAlign w:val="superscript"/>
        </w:rPr>
        <w:t>3.8</w:t>
      </w:r>
      <w:r>
        <w:rPr/>
        <w:t>, 4.4 (s. 15) ja 5.6 (s. 11), Liettua</w:t>
      </w:r>
      <w:r>
        <w:rPr>
          <w:vertAlign w:val="superscript"/>
        </w:rPr>
        <w:t>2</w:t>
      </w:r>
      <w:r>
        <w:rPr/>
        <w:t xml:space="preserve"> ja 3, Alankomaat nro 1 ja 2.</w:t>
      </w:r>
    </w:p>
  </w:endnote>
  <w:endnote w:id="170">
    <w:p>
      <w:pPr>
        <w:pStyle w:val="Notedefin"/>
        <w:spacing w:before="57" w:after="57"/>
        <w:rPr/>
      </w:pPr>
      <w:r>
        <w:rPr>
          <w:rStyle w:val="Caractresdenotedefin"/>
        </w:rPr>
        <w:endnoteRef/>
      </w:r>
      <w:r>
        <w:rPr/>
        <w:tab/>
        <w:t xml:space="preserve"> </w:t>
      </w:r>
      <w:r>
        <w:rPr/>
        <w:t>Kansalaisten suositukset, joihin ehdotus perustuu: Eurooppalainen kansalaispaneeli nro 4 (PCE 4)</w:t>
      </w:r>
      <w:r>
        <w:rPr>
          <w:vertAlign w:val="superscript"/>
        </w:rPr>
        <w:t>nro</w:t>
      </w:r>
      <w:r>
        <w:rPr/>
        <w:t xml:space="preserve"> 7 ja 32, Ranska nro 13.</w:t>
      </w:r>
    </w:p>
  </w:endnote>
  <w:endnote w:id="171">
    <w:p>
      <w:pPr>
        <w:pStyle w:val="Notedefin"/>
        <w:suppressLineNumbers/>
        <w:spacing w:before="57" w:after="57"/>
        <w:ind w:left="339" w:right="0" w:hanging="339"/>
        <w:rPr/>
      </w:pPr>
      <w:r>
        <w:rPr>
          <w:rStyle w:val="Caractresdenotedefin"/>
        </w:rPr>
        <w:endnoteRef/>
      </w:r>
      <w:r>
        <w:rPr/>
        <w:tab/>
        <w:t xml:space="preserve"> </w:t>
      </w:r>
      <w:r>
        <w:rPr/>
        <w:t>Ranskan PCN, muutos 6.</w:t>
      </w:r>
    </w:p>
  </w:endnote>
  <w:endnote w:id="172">
    <w:p>
      <w:pPr>
        <w:pStyle w:val="Notedefin"/>
        <w:suppressLineNumbers/>
        <w:spacing w:before="57" w:after="57"/>
        <w:ind w:left="339" w:right="0" w:hanging="339"/>
        <w:rPr/>
      </w:pPr>
      <w:r>
        <w:rPr>
          <w:rStyle w:val="Caractresdenotedefin"/>
        </w:rPr>
        <w:endnoteRef/>
      </w:r>
      <w:r>
        <w:rPr/>
        <w:tab/>
      </w:r>
      <w:r>
        <w:rPr/>
        <w:t>ECP:n suositus 37 1.</w:t>
      </w:r>
    </w:p>
  </w:endnote>
  <w:endnote w:id="173">
    <w:p>
      <w:pPr>
        <w:pStyle w:val="Notedefin"/>
        <w:suppressLineNumbers/>
        <w:spacing w:before="57" w:after="57"/>
        <w:ind w:left="339" w:right="0" w:hanging="339"/>
        <w:rPr/>
      </w:pPr>
      <w:r>
        <w:rPr>
          <w:rStyle w:val="Caractresdenotedefin"/>
        </w:rPr>
        <w:endnoteRef/>
      </w:r>
      <w:r>
        <w:rPr/>
        <w:tab/>
      </w:r>
      <w:r>
        <w:rPr/>
        <w:t>ECP:n suositus 3. Ranskan PCN, muutos 6.</w:t>
      </w:r>
    </w:p>
  </w:endnote>
  <w:endnote w:id="174">
    <w:p>
      <w:pPr>
        <w:pStyle w:val="Notedefin"/>
        <w:suppressLineNumbers/>
        <w:spacing w:before="57" w:after="57"/>
        <w:ind w:left="339" w:right="0" w:hanging="339"/>
        <w:rPr/>
      </w:pPr>
      <w:r>
        <w:rPr>
          <w:rStyle w:val="Caractresdenotedefin"/>
        </w:rPr>
        <w:endnoteRef/>
      </w:r>
      <w:r>
        <w:rPr/>
        <w:tab/>
        <w:t xml:space="preserve"> </w:t>
      </w:r>
      <w:r>
        <w:rPr/>
        <w:t>ECP:n suositus 41 1.</w:t>
      </w:r>
    </w:p>
  </w:endnote>
  <w:endnote w:id="175">
    <w:p>
      <w:pPr>
        <w:pStyle w:val="Notedefin"/>
        <w:suppressLineNumbers/>
        <w:spacing w:before="57" w:after="57"/>
        <w:ind w:left="339" w:right="0" w:hanging="339"/>
        <w:rPr/>
      </w:pPr>
      <w:r>
        <w:rPr>
          <w:rStyle w:val="Caractresdenotedefin"/>
        </w:rPr>
        <w:endnoteRef/>
      </w:r>
      <w:r>
        <w:rPr/>
        <w:tab/>
        <w:t xml:space="preserve"> </w:t>
      </w:r>
      <w:r>
        <w:rPr/>
        <w:t>Tätä käsitellään yksityiskohtaisemmin eurooppalaista demokratiaa käsittelevässä työryhmässä. Ks. ECP 2:n suositus nro 24, Belgian kansallisen yhteyspisteen suositukset 1.1, 1.2 ja 2.12 sekä Italian kansallisen yhteyspisteen suositus ”Inclusion Policies”.</w:t>
      </w:r>
    </w:p>
  </w:endnote>
  <w:endnote w:id="176">
    <w:p>
      <w:pPr>
        <w:pStyle w:val="Notedefin"/>
        <w:suppressLineNumbers/>
        <w:spacing w:before="57" w:after="57"/>
        <w:ind w:left="339" w:right="0" w:hanging="339"/>
        <w:rPr/>
      </w:pPr>
      <w:r>
        <w:rPr>
          <w:rStyle w:val="Caractresdenotedefin"/>
        </w:rPr>
        <w:endnoteRef/>
      </w:r>
      <w:r>
        <w:rPr/>
        <w:tab/>
      </w:r>
      <w:r>
        <w:rPr/>
        <w:t>Italian kansallisen yhteyspisteen suositus ”osallistumispolitiikoista”.</w:t>
      </w:r>
    </w:p>
  </w:endnote>
  <w:endnote w:id="177">
    <w:p>
      <w:pPr>
        <w:pStyle w:val="Notedefin"/>
        <w:suppressLineNumbers/>
        <w:spacing w:before="57" w:after="57"/>
        <w:ind w:left="339" w:right="0" w:hanging="339"/>
        <w:rPr/>
      </w:pPr>
      <w:r>
        <w:rPr>
          <w:rStyle w:val="Caractresdenotedefin"/>
        </w:rPr>
        <w:endnoteRef/>
      </w:r>
      <w:r>
        <w:rPr/>
        <w:tab/>
      </w:r>
      <w:r>
        <w:rPr/>
        <w:t>Tätä käsitellään tarkemmin digitaalista muutosta käsittelevässä työryhmässä. Ks. ECP 1:n suositukset nro 8 ja 34.</w:t>
      </w:r>
    </w:p>
  </w:endnote>
  <w:endnote w:id="178">
    <w:p>
      <w:pPr>
        <w:pStyle w:val="Notedefin"/>
        <w:suppressLineNumbers/>
        <w:spacing w:before="57" w:after="57"/>
        <w:ind w:left="339" w:right="0" w:hanging="339"/>
        <w:rPr/>
      </w:pPr>
      <w:r>
        <w:rPr>
          <w:rStyle w:val="Caractresdenotedefin"/>
        </w:rPr>
        <w:endnoteRef/>
      </w:r>
      <w:r>
        <w:rPr/>
        <w:tab/>
      </w:r>
      <w:r>
        <w:rPr/>
        <w:t>Italian kansallisen yhteyspisteen suositus ”Nuorten kannustaminen opiskelemaan tieteellisiä aiheita”.</w:t>
      </w:r>
    </w:p>
  </w:endnote>
  <w:endnote w:id="179">
    <w:p>
      <w:pPr>
        <w:pStyle w:val="Notedefin"/>
        <w:suppressLineNumbers/>
        <w:spacing w:before="57" w:after="57"/>
        <w:ind w:left="339" w:right="0" w:hanging="339"/>
        <w:rPr/>
      </w:pPr>
      <w:r>
        <w:rPr>
          <w:rStyle w:val="Caractresdenotedefin"/>
        </w:rPr>
        <w:endnoteRef/>
      </w:r>
      <w:r>
        <w:rPr/>
        <w:tab/>
      </w:r>
      <w:r>
        <w:rPr/>
        <w:t>PCE:n suositukset 33 ja 48 1. Sitä käsitellään myös digitaalista muutosta käsittelevässä työryhmässä. Ks. Internetin terveellistä käyttöä koskevan ECP 1:n suositus 47.</w:t>
      </w:r>
    </w:p>
  </w:endnote>
  <w:endnote w:id="180">
    <w:p>
      <w:pPr>
        <w:pStyle w:val="Notedefin"/>
        <w:suppressLineNumbers/>
        <w:spacing w:before="57" w:after="57"/>
        <w:ind w:left="339" w:right="0" w:hanging="339"/>
        <w:rPr/>
      </w:pPr>
      <w:r>
        <w:rPr>
          <w:rStyle w:val="Caractresdenotedefin"/>
        </w:rPr>
        <w:endnoteRef/>
      </w:r>
      <w:r>
        <w:rPr/>
        <w:tab/>
      </w:r>
      <w:r>
        <w:rPr/>
        <w:t>ECP:n suositus 5.</w:t>
      </w:r>
    </w:p>
  </w:endnote>
  <w:endnote w:id="181">
    <w:p>
      <w:pPr>
        <w:pStyle w:val="Notedefin"/>
        <w:suppressLineNumbers/>
        <w:spacing w:before="57" w:after="57"/>
        <w:ind w:left="339" w:right="0" w:hanging="339"/>
        <w:rPr/>
      </w:pPr>
      <w:r>
        <w:rPr>
          <w:rStyle w:val="Caractresdenotedefin"/>
        </w:rPr>
        <w:endnoteRef/>
      </w:r>
      <w:r>
        <w:rPr/>
        <w:tab/>
      </w:r>
      <w:r>
        <w:rPr/>
        <w:t>ECP:n suositukset nro 15 ja 18.</w:t>
      </w:r>
    </w:p>
  </w:endnote>
  <w:endnote w:id="182">
    <w:p>
      <w:pPr>
        <w:pStyle w:val="Notedefin"/>
        <w:suppressLineNumbers/>
        <w:spacing w:before="57" w:after="57"/>
        <w:ind w:left="339" w:right="0" w:hanging="339"/>
        <w:rPr/>
      </w:pPr>
      <w:r>
        <w:rPr>
          <w:rStyle w:val="Caractresdenotedefin"/>
        </w:rPr>
        <w:endnoteRef/>
      </w:r>
      <w:r>
        <w:rPr/>
        <w:tab/>
        <w:t xml:space="preserve"> </w:t>
      </w:r>
      <w:r>
        <w:rPr/>
        <w:t>Italian kansallisen yhteyspisteen suositus ”Eurooppa maailmassa”</w:t>
      </w:r>
    </w:p>
  </w:endnote>
  <w:endnote w:id="183">
    <w:p>
      <w:pPr>
        <w:pStyle w:val="Notedefin"/>
        <w:suppressLineNumbers/>
        <w:spacing w:before="57" w:after="57"/>
        <w:ind w:left="339" w:right="0" w:hanging="339"/>
        <w:rPr/>
      </w:pPr>
      <w:r>
        <w:rPr>
          <w:rStyle w:val="Caractresdenotedefin"/>
        </w:rPr>
        <w:endnoteRef/>
      </w:r>
      <w:r>
        <w:rPr/>
        <w:tab/>
      </w:r>
      <w:r>
        <w:rPr/>
        <w:t>ECP 1:n suositukset nro</w:t>
      </w:r>
      <w:r>
        <w:rPr>
          <w:vertAlign w:val="superscript"/>
        </w:rPr>
        <w:t>18</w:t>
      </w:r>
      <w:r>
        <w:rPr/>
        <w:t xml:space="preserve"> ja 41 sekä Italian kansallisen yhteyspisteen suositus ”Investing in the training of trainers”.</w:t>
      </w:r>
    </w:p>
  </w:endnote>
  <w:endnote w:id="184">
    <w:p>
      <w:pPr>
        <w:pStyle w:val="Notedefin"/>
        <w:suppressLineNumbers/>
        <w:spacing w:before="57" w:after="57"/>
        <w:ind w:left="339" w:right="0" w:hanging="339"/>
        <w:rPr/>
      </w:pPr>
      <w:r>
        <w:rPr>
          <w:rStyle w:val="Caractresdenotedefin"/>
        </w:rPr>
        <w:endnoteRef/>
      </w:r>
      <w:r>
        <w:rPr/>
        <w:tab/>
      </w:r>
      <w:r>
        <w:rPr/>
        <w:t>PCE 1 -suositus nro 17 annettiin kokonaisuudessaan digitaalityöryhmälle.</w:t>
      </w:r>
    </w:p>
  </w:endnote>
  <w:endnote w:id="185">
    <w:p>
      <w:pPr>
        <w:pStyle w:val="Notedefin"/>
        <w:suppressLineNumbers/>
        <w:spacing w:before="57" w:after="57"/>
        <w:ind w:left="339" w:right="0" w:hanging="339"/>
        <w:rPr/>
      </w:pPr>
      <w:r>
        <w:rPr>
          <w:rStyle w:val="Caractresdenotedefin"/>
        </w:rPr>
        <w:endnoteRef/>
      </w:r>
      <w:r>
        <w:rPr/>
        <w:tab/>
        <w:t xml:space="preserve"> </w:t>
      </w:r>
      <w:r>
        <w:rPr/>
        <w:t>ECP:n suositus nro 15 1. Saksan kansallisen yhteyspisteen suositus ”tietofoorumista EU:n tason tietämyksen ja kokemusten vaihtoa varten”.</w:t>
      </w:r>
    </w:p>
  </w:endnote>
  <w:endnote w:id="186">
    <w:p>
      <w:pPr>
        <w:pStyle w:val="Notedefin"/>
        <w:suppressLineNumbers/>
        <w:spacing w:before="57" w:after="57"/>
        <w:ind w:left="339" w:right="0" w:hanging="339"/>
        <w:rPr/>
      </w:pPr>
      <w:r>
        <w:rPr>
          <w:rStyle w:val="Caractresdenotedefin"/>
        </w:rPr>
        <w:endnoteRef/>
      </w:r>
      <w:r>
        <w:rPr/>
        <w:tab/>
      </w:r>
      <w:r>
        <w:rPr/>
        <w:t>Belgian kansallisen yhteyspisteen suositus 6.1. Ranskan PCN, muutos 7.</w:t>
      </w:r>
    </w:p>
  </w:endnote>
  <w:endnote w:id="187">
    <w:p>
      <w:pPr>
        <w:pStyle w:val="Notedefin"/>
        <w:suppressLineNumbers/>
        <w:spacing w:before="57" w:after="57"/>
        <w:ind w:left="339" w:right="0" w:hanging="339"/>
        <w:rPr/>
      </w:pPr>
      <w:r>
        <w:rPr>
          <w:rStyle w:val="Caractresdenotedefin"/>
        </w:rPr>
        <w:endnoteRef/>
      </w:r>
      <w:r>
        <w:rPr/>
        <w:tab/>
        <w:t xml:space="preserve"> </w:t>
      </w:r>
      <w:r>
        <w:rPr/>
        <w:t>Belgian kansallisen yhteyspisteen suositus 7.2.</w:t>
      </w:r>
    </w:p>
  </w:endnote>
  <w:endnote w:id="188">
    <w:p>
      <w:pPr>
        <w:pStyle w:val="Notedefin"/>
        <w:suppressLineNumbers/>
        <w:spacing w:before="57" w:after="57"/>
        <w:ind w:left="339" w:right="0" w:hanging="339"/>
        <w:rPr/>
      </w:pPr>
      <w:r>
        <w:rPr>
          <w:rStyle w:val="Caractresdenotedefin"/>
        </w:rPr>
        <w:endnoteRef/>
      </w:r>
      <w:r>
        <w:rPr/>
        <w:tab/>
      </w:r>
      <w:r>
        <w:rPr/>
        <w:t>ECP:n suositus 4 1.</w:t>
      </w:r>
    </w:p>
  </w:endnote>
  <w:endnote w:id="189">
    <w:p>
      <w:pPr>
        <w:pStyle w:val="Notedefin"/>
        <w:suppressLineNumbers/>
        <w:spacing w:before="57" w:after="57"/>
        <w:ind w:left="339" w:right="0" w:hanging="339"/>
        <w:rPr/>
      </w:pPr>
      <w:r>
        <w:rPr>
          <w:rStyle w:val="Caractresdenotedefin"/>
        </w:rPr>
        <w:endnoteRef/>
      </w:r>
      <w:r>
        <w:rPr/>
        <w:tab/>
      </w:r>
      <w:r>
        <w:rPr/>
        <w:t>Ehdotus tiiviimpää taloutta</w:t>
      </w:r>
      <w:r>
        <w:rPr>
          <w:vertAlign w:val="superscript"/>
        </w:rPr>
        <w:t>,</w:t>
      </w:r>
      <w:r>
        <w:rPr/>
        <w:t xml:space="preserve"> sosiaalista oikeudenmukaisuutta ja työllisyyttä käsittelevän työryhmän käsittelemien ECP 1:n suositusten 1 ja 30 täydentämiseksi.</w:t>
      </w:r>
    </w:p>
  </w:endnote>
  <w:endnote w:id="190">
    <w:p>
      <w:pPr>
        <w:pStyle w:val="Notedefin"/>
        <w:suppressLineNumbers/>
        <w:spacing w:before="57" w:after="57"/>
        <w:ind w:left="339" w:right="0" w:hanging="339"/>
        <w:rPr/>
      </w:pPr>
      <w:r>
        <w:rPr>
          <w:rStyle w:val="Caractresdenotedefin"/>
        </w:rPr>
        <w:endnoteRef/>
      </w:r>
      <w:r>
        <w:rPr/>
        <w:tab/>
        <w:t xml:space="preserve"> </w:t>
      </w:r>
      <w:r>
        <w:rPr/>
        <w:t>Ehdotus vahvemman talouden, sosiaalisen oikeudenmukaisuuden ja työllisyyden työryhmän kattaman ECP 1:n suosituksen 25 täydentämiseksi.</w:t>
      </w:r>
    </w:p>
  </w:endnote>
  <w:endnote w:id="191">
    <w:p>
      <w:pPr>
        <w:pStyle w:val="Notedefin"/>
        <w:suppressLineNumbers/>
        <w:spacing w:before="57" w:after="57"/>
        <w:ind w:left="339" w:right="0" w:hanging="339"/>
        <w:rPr/>
      </w:pPr>
      <w:r>
        <w:rPr>
          <w:rStyle w:val="Caractresdenotedefin"/>
        </w:rPr>
        <w:endnoteRef/>
      </w:r>
      <w:r>
        <w:rPr/>
        <w:tab/>
        <w:t xml:space="preserve"> </w:t>
      </w:r>
      <w:r>
        <w:rPr/>
        <w:t>ECP:n suositus nro 28 4. Alankomaiden kansallinen yhteyspiste (”Our Vision for Culture, Youth and Sport”), suositus 1. Ranskan PCN, muutos 6.</w:t>
      </w:r>
    </w:p>
  </w:endnote>
  <w:endnote w:id="192">
    <w:p>
      <w:pPr>
        <w:pStyle w:val="Notedefin"/>
        <w:suppressLineNumbers/>
        <w:spacing w:before="57" w:after="57"/>
        <w:ind w:left="339" w:right="0" w:hanging="339"/>
        <w:rPr/>
      </w:pPr>
      <w:r>
        <w:rPr>
          <w:rStyle w:val="Caractresdenotedefin"/>
        </w:rPr>
        <w:endnoteRef/>
      </w:r>
      <w:r>
        <w:rPr/>
        <w:tab/>
        <w:t xml:space="preserve"> </w:t>
      </w:r>
      <w:r>
        <w:rPr/>
        <w:t>ECP:n suositus 6 1.</w:t>
      </w:r>
    </w:p>
  </w:endnote>
  <w:endnote w:id="193">
    <w:p>
      <w:pPr>
        <w:pStyle w:val="Notedefin"/>
        <w:suppressLineNumbers/>
        <w:spacing w:before="57" w:after="57"/>
        <w:ind w:left="339" w:right="0" w:hanging="339"/>
        <w:rPr/>
      </w:pPr>
      <w:r>
        <w:rPr>
          <w:rStyle w:val="Caractresdenotedefin"/>
        </w:rPr>
        <w:endnoteRef/>
      </w:r>
      <w:r>
        <w:rPr/>
        <w:tab/>
      </w:r>
      <w:r>
        <w:rPr/>
        <w:t>Alankomaiden kansallinen yhteyspiste (”Our Vision for Culture, Youth and Sport”), suositus nro 2.</w:t>
      </w:r>
    </w:p>
  </w:endnote>
  <w:endnote w:id="194">
    <w:p>
      <w:pPr>
        <w:pStyle w:val="Notedefin"/>
        <w:suppressLineNumbers/>
        <w:spacing w:before="57" w:after="57"/>
        <w:ind w:left="339" w:right="0" w:hanging="339"/>
        <w:rPr/>
      </w:pPr>
      <w:r>
        <w:rPr>
          <w:rStyle w:val="Caractresdenotedefin"/>
        </w:rPr>
        <w:endnoteRef/>
      </w:r>
      <w:r>
        <w:rPr/>
        <w:tab/>
      </w:r>
      <w:r>
        <w:rPr/>
        <w:t>ECP:n suositus 36 1. Ranskan PCN, muutos 6. Belgian kansallisen yhteyspisteen suositukset 2.10 ja 2.11. Saksan kansallinen yhteyspiste, ”Luo lisää vaihtomahdollisuuksia opiskelijoille Euroopassa”. Alankomaiden kansallinen yhteyspiste (”Our Vision for Culture, Youth and Sport”), suositukset</w:t>
      </w:r>
      <w:r>
        <w:rPr>
          <w:vertAlign w:val="superscript"/>
        </w:rPr>
        <w:t>1</w:t>
      </w:r>
      <w:r>
        <w:rPr/>
        <w:t xml:space="preserve"> ja 3. Italian kansallisen yhteyspisteen suositus ”tehdä idän tai lännen välinen yhtymätoimisto, edistää kulttuurivaihtoa ja yhteisiä kulttuurialoitteita”.</w:t>
      </w:r>
    </w:p>
  </w:endnote>
  <w:endnote w:id="195">
    <w:p>
      <w:pPr>
        <w:pStyle w:val="Notedefin"/>
        <w:suppressLineNumbers/>
        <w:spacing w:before="57" w:after="57"/>
        <w:ind w:left="339" w:right="0" w:hanging="339"/>
        <w:rPr/>
      </w:pPr>
      <w:r>
        <w:rPr>
          <w:rStyle w:val="Caractresdenotedefin"/>
        </w:rPr>
        <w:endnoteRef/>
      </w:r>
      <w:r>
        <w:rPr/>
        <w:tab/>
        <w:t xml:space="preserve"> </w:t>
      </w:r>
      <w:r>
        <w:rPr/>
        <w:t>ECP:</w:t>
      </w:r>
      <w:r>
        <w:rPr>
          <w:vertAlign w:val="superscript"/>
        </w:rPr>
        <w:t>n suositukset</w:t>
      </w:r>
      <w:r>
        <w:rPr/>
        <w:t xml:space="preserve"> 32 ja 38 1. Alankomaiden kansallinen yhteyspiste (”Our Vision for Culture, Youth and Sport”), suositus 3.</w:t>
      </w:r>
    </w:p>
  </w:endnote>
  <w:endnote w:id="196">
    <w:p>
      <w:pPr>
        <w:pStyle w:val="Notedefin"/>
        <w:suppressLineNumbers/>
        <w:spacing w:before="57" w:after="57"/>
        <w:ind w:left="339" w:right="0" w:hanging="339"/>
        <w:rPr/>
      </w:pPr>
      <w:r>
        <w:rPr>
          <w:rStyle w:val="Caractresdenotedefin"/>
        </w:rPr>
        <w:endnoteRef/>
      </w:r>
      <w:r>
        <w:rPr/>
        <w:tab/>
      </w:r>
      <w:r>
        <w:rPr/>
        <w:t>Italian kansallisen yhteyspisteen suositus ”Eurooppa maailmassa”</w:t>
      </w:r>
    </w:p>
  </w:endnote>
  <w:endnote w:id="197">
    <w:p>
      <w:pPr>
        <w:pStyle w:val="Notedefin"/>
        <w:suppressLineNumbers/>
        <w:spacing w:before="57" w:after="57"/>
        <w:ind w:left="339" w:right="0" w:hanging="339"/>
        <w:rPr/>
      </w:pPr>
      <w:r>
        <w:rPr>
          <w:rStyle w:val="Caractresdenotedefin"/>
        </w:rPr>
        <w:endnoteRef/>
      </w:r>
      <w:r>
        <w:rPr/>
        <w:tab/>
      </w:r>
      <w:r>
        <w:rPr/>
        <w:t>Ranskan PCN, muutos 7. Belgian kansallisen yhteyspisteen suositukset 2.5,</w:t>
      </w:r>
      <w:r>
        <w:rPr>
          <w:vertAlign w:val="superscript"/>
        </w:rPr>
        <w:t>6.1</w:t>
      </w:r>
      <w:r>
        <w:rPr/>
        <w:t xml:space="preserve"> ja 8.7. Italian kansallinen yhteyspiste, suositus eurooppalaisten kulttuuriarvojen ja -ominaisuuksien sekä alueellisten erityispiirteiden vahvistamisesta.</w:t>
      </w:r>
    </w:p>
  </w:endnote>
  <w:endnote w:id="198">
    <w:p>
      <w:pPr>
        <w:pStyle w:val="Notedefin"/>
        <w:suppressLineNumbers/>
        <w:spacing w:before="57" w:after="57"/>
        <w:ind w:left="339" w:right="0" w:hanging="339"/>
        <w:rPr/>
      </w:pPr>
      <w:r>
        <w:rPr>
          <w:rStyle w:val="Caractresdenotedefin"/>
        </w:rPr>
        <w:endnoteRef/>
      </w:r>
      <w:r>
        <w:rPr/>
        <w:tab/>
      </w:r>
      <w:r>
        <w:rPr/>
        <w:t>Alankomaiden kansallinen yhteyspiste (”Our Vision for Culture, Youth and Sport”), suositus nro 2.</w:t>
      </w:r>
    </w:p>
  </w:endnote>
  <w:endnote w:id="199">
    <w:p>
      <w:pPr>
        <w:pStyle w:val="Notedefin"/>
        <w:suppressLineNumbers/>
        <w:spacing w:before="57" w:after="57"/>
        <w:ind w:left="339" w:right="0" w:hanging="339"/>
        <w:rPr/>
      </w:pPr>
      <w:r>
        <w:rPr>
          <w:rStyle w:val="Caractresdenotedefin"/>
        </w:rPr>
        <w:endnoteRef/>
      </w:r>
      <w:r>
        <w:rPr/>
        <w:tab/>
        <w:t xml:space="preserve"> </w:t>
      </w:r>
      <w:r>
        <w:rPr/>
        <w:t>Italian kansallisen yhteyspisteen suositus ”Viime vuosisadan tuotantomallin ylittäminen”</w:t>
      </w:r>
    </w:p>
  </w:endnote>
  <w:endnote w:id="200">
    <w:p>
      <w:pPr>
        <w:pStyle w:val="Notedefin"/>
        <w:suppressLineNumbers/>
        <w:spacing w:before="57" w:after="57"/>
        <w:ind w:left="339" w:right="0" w:hanging="339"/>
        <w:rPr/>
      </w:pPr>
      <w:r>
        <w:rPr>
          <w:rStyle w:val="Caractresdenotedefin"/>
        </w:rPr>
        <w:endnoteRef/>
      </w:r>
      <w:r>
        <w:rPr/>
        <w:tab/>
      </w:r>
      <w:r>
        <w:rPr/>
        <w:t>ECP:n suositus nro 29 1.</w:t>
      </w:r>
    </w:p>
  </w:endnote>
  <w:endnote w:id="201">
    <w:p>
      <w:pPr>
        <w:pStyle w:val="Notedefin"/>
        <w:suppressLineNumbers/>
        <w:spacing w:before="57" w:after="57"/>
        <w:ind w:left="339" w:right="0" w:hanging="339"/>
        <w:rPr/>
      </w:pPr>
      <w:r>
        <w:rPr>
          <w:rStyle w:val="Caractresdenotedefin"/>
        </w:rPr>
        <w:endnoteRef/>
      </w:r>
      <w:r>
        <w:rPr/>
        <w:tab/>
      </w:r>
      <w:r>
        <w:rPr/>
        <w:t>ECP:n suositus 36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293</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rPr>
          <w:t>https://futureu.europa.eu/</w:t>
        </w:r>
      </w:hyperlink>
      <w:r>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rPr>
          <w:t>https://futureu.europa.eu/uploads/decidim/attachment/file/4595/Conference_Charter_fr.pdf</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r>
      <w:r>
        <w:rPr/>
        <w:t xml:space="preserve">III OECD, Innovative Citizen Participation and New Democratic Institutions, 2020 –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 </w:t>
      </w:r>
      <w:r>
        <w:rPr/>
        <w:t xml:space="preserve">OECD, Innovative Citizen Participation and New Democratic Institutions, 2020 –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tab/>
      </w:r>
      <w:r>
        <w:rPr/>
        <w:t>Käy monikielisellä digitaalisella alustalla, josta näet kaikki näitä tapahtumia koskevat tiedot.</w:t>
      </w:r>
    </w:p>
  </w:footnote>
  <w:footnote w:id="7">
    <w:p>
      <w:pPr>
        <w:pStyle w:val="Notedebasdepage"/>
        <w:suppressLineNumbers/>
        <w:spacing w:before="57" w:after="57"/>
        <w:ind w:left="339" w:right="0" w:hanging="339"/>
        <w:rPr/>
      </w:pPr>
      <w:r>
        <w:rPr>
          <w:rStyle w:val="Caractresdenotedebasdepage"/>
        </w:rPr>
        <w:footnoteRef/>
      </w:r>
      <w:r>
        <w:rPr/>
        <w:tab/>
      </w:r>
      <w:r>
        <w:rPr/>
        <w:t>Vähintään Euroopan parlamentin, neuvoston, Euroopan komission ja kansallisten parlamenttien edustajien olisi päästävä yhteisymmärrykseen tasa-arvoisesti. Jos kansallisten tapahtumien ja/tai eurooppalaisten tai kansallisten kansalaispaneelien kansalaisten edustajien asema on selvästi erilainen, tämä kanta olisi sisällytettävä tähän kertomukseen.</w:t>
      </w:r>
    </w:p>
  </w:footnote>
  <w:footnote w:id="8">
    <w:p>
      <w:pPr>
        <w:pStyle w:val="Notedebasdepage"/>
        <w:suppressLineNumbers/>
        <w:spacing w:before="57" w:after="57"/>
        <w:ind w:left="339" w:right="0" w:hanging="339"/>
        <w:rPr/>
      </w:pPr>
      <w:r>
        <w:rPr>
          <w:rStyle w:val="Caractresdenotedebasdepage"/>
        </w:rPr>
        <w:footnoteRef/>
      </w:r>
      <w:r>
        <w:rPr/>
        <w:tab/>
      </w:r>
      <w:r>
        <w:rPr/>
        <w:t>Muita Euroopan komission jäseniä kutsuttiin täysistuntoon erityisesti silloin, kun heidän vastuualueisiinsa kuuluvista asioista keskusteltiin.</w:t>
      </w:r>
    </w:p>
  </w:footnote>
  <w:footnote w:id="9">
    <w:p>
      <w:pPr>
        <w:pStyle w:val="Notedebasdepage"/>
        <w:suppressLineNumbers/>
        <w:spacing w:before="57" w:after="57"/>
        <w:ind w:left="339" w:right="0" w:hanging="339"/>
        <w:rPr/>
      </w:pPr>
      <w:r>
        <w:rPr>
          <w:rStyle w:val="Caractresdenotedebasdepage"/>
        </w:rPr>
        <w:footnoteRef/>
      </w:r>
      <w:r>
        <w:rPr/>
        <w:tab/>
      </w:r>
      <w:r>
        <w:rPr/>
        <w:t>Yksi kutakin jäsenvaltiota kohti.</w:t>
      </w:r>
    </w:p>
  </w:footnote>
  <w:footnote w:id="10">
    <w:p>
      <w:pPr>
        <w:pStyle w:val="Notedebasdepage"/>
        <w:suppressLineNumbers/>
        <w:spacing w:before="57" w:after="57"/>
        <w:ind w:left="339" w:right="0" w:hanging="339"/>
        <w:rPr/>
      </w:pPr>
      <w:r>
        <w:rPr>
          <w:rStyle w:val="Caractresdenotedebasdepage"/>
        </w:rPr>
        <w:footnoteRef/>
      </w:r>
      <w:r>
        <w:rPr/>
        <w:tab/>
      </w:r>
      <w:r>
        <w:rPr/>
        <w:t>Ensimmäinen EU:n kansalaisille suunnattu tapahtuma järjestettiin Lissabonissa 17. kesäkuuta 2021 hybridimuodossa ennen 19. kesäkuuta pidettävää avajaistä, jotta kansalaiset saataisiin osallistumaan konferenssiin.</w:t>
      </w:r>
    </w:p>
  </w:footnote>
  <w:footnote w:id="11">
    <w:p>
      <w:pPr>
        <w:pStyle w:val="Notedebasdepage"/>
        <w:suppressLineNumbers/>
        <w:spacing w:before="57" w:after="57"/>
        <w:ind w:left="339" w:right="0" w:hanging="339"/>
        <w:rPr/>
      </w:pPr>
      <w:r>
        <w:rPr>
          <w:rStyle w:val="Caractresdenotedebasdepage"/>
        </w:rPr>
        <w:footnoteRef/>
      </w:r>
      <w:r>
        <w:rPr/>
        <w:tab/>
        <w:t xml:space="preserve"> </w:t>
      </w:r>
      <w:r>
        <w:rPr/>
        <w:t>Euroopan komission edustajat selittivät, että olisi välttämätöntä käydä läpi siirtymäkausi liian äkillisen kehityksen välttämiseksi.</w:t>
      </w:r>
    </w:p>
  </w:footnote>
  <w:footnote w:id="12">
    <w:p>
      <w:pPr>
        <w:pStyle w:val="Notedebasdepage"/>
        <w:suppressLineNumbers/>
        <w:spacing w:before="57" w:after="57"/>
        <w:ind w:left="339" w:right="0" w:hanging="339"/>
        <w:rPr/>
      </w:pPr>
      <w:r>
        <w:rPr>
          <w:rStyle w:val="Caractresdenotedebasdepage"/>
        </w:rPr>
        <w:footnoteRef/>
      </w:r>
      <w:r>
        <w:rPr/>
        <w:tab/>
      </w:r>
      <w:r>
        <w:rPr/>
        <w:t xml:space="preserve">Parlamentin kanta: Euroopan parlamentin vaaleissa eniten ääniä saaneen Euroopan tason poliittisen puolueen ja Euroopan parlamentin jäsenten enemmistön kannatus olisi valittava Euroopan komission puheenjohtajaksi. Jos koalitioon perustuvaa enemmistöä ei synny, viran olisi palattava listan seuraavaan kärkeen. Tätä varten Euroopan tason poliittiset puolueet voisivat nimetä ehdokkaita komission puheenjohtajaksi. Paulo Rangel: kärkiehdokkaiden prosessin vahvistamiseksi Euroopan parlamentin ja Eurooppa-neuvoston tehtävät olisi käännettävä, mikä edellyttää perussopimusten muuttamista: Euroopan parlamentti ehdottaa komission puheenjohtajaa, ja Eurooppa-neuvosto hyväksyy sen. PNM (lopullinen Kantarin raportti: ”rahoitusosuuksien ryhmä kattaa komission puheenjohtajan valinnan ja komission jäsenten nimittämisen, mukaan lukien kärkiehdokkaiden järjestelmä.” EYE, s. 23: Ehdokkaita komission puheenjohtajaksi ei pitäisi valita voittajapuolueiden välisiin kulissien takaisiin neuvotteluihin. Meidän olisi sovellettava johtavaa ehdokasjärjestelmää, jossa jokainen puolue ilmoittaa ennen vaalikampanjaa ehdokkaasta, joka on komission puheenjohtaja, jos puolue saa enemmistön. Tuleva puheenjohtaja voisi olla lähempänä heitä osallistumalla aktiivisesti kampanjaan ja toimimalla suoraan EU:n kansalaisten kanssa.” keskustelu GT: ssä. </w:t>
      </w:r>
    </w:p>
  </w:footnote>
  <w:footnote w:id="13">
    <w:p>
      <w:pPr>
        <w:pStyle w:val="Notedebasdepage"/>
        <w:suppressLineNumbers/>
        <w:spacing w:before="57" w:after="57"/>
        <w:ind w:left="339" w:right="0" w:hanging="339"/>
        <w:rPr/>
      </w:pPr>
      <w:r>
        <w:rPr>
          <w:rStyle w:val="Caractresdenotedebasdepage"/>
        </w:rPr>
        <w:footnoteRef/>
      </w:r>
      <w:r>
        <w:rPr/>
        <w:tab/>
      </w:r>
      <w:r>
        <w:rPr/>
        <w:t>Neuvosto katsoo, että tämä ehdotus ei perustu kansalaisten suositukseen. Näin ollen se ei ole sovitun menetelmän mukainen. Ks. myös kansalaisnäkökulman sivulla 42 esitetty kanta.</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rPr>
          <w:t>www.participation-citoyenne.gouv.fr</w:t>
        </w:r>
      </w:hyperlink>
      <w:r>
        <w:rPr/>
        <w:t xml:space="preserve"> </w:t>
      </w:r>
    </w:p>
  </w:footnote>
  <w:footnote w:id="15">
    <w:p>
      <w:pPr>
        <w:pStyle w:val="Notedebasdepage"/>
        <w:suppressLineNumbers/>
        <w:spacing w:before="57" w:after="57"/>
        <w:ind w:left="339" w:right="0" w:hanging="339"/>
        <w:rPr/>
      </w:pPr>
      <w:r>
        <w:rPr>
          <w:rStyle w:val="Caractresdenotedebasdepage"/>
        </w:rPr>
        <w:footnoteRef/>
      </w:r>
      <w:r>
        <w:rPr/>
        <w:tab/>
        <w:t xml:space="preserve"> </w:t>
      </w:r>
      <w:hyperlink r:id="rId6">
        <w:r>
          <w:rPr>
            <w:rStyle w:val="LienInternet"/>
          </w:rPr>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 </w:t>
      </w:r>
      <w:r>
        <w:rPr/>
        <w:t xml:space="preserve">Vilna, Kaunas, Klaipėda, Šiauliai ja Panevėžys sekä Vilna, Kaunas, Klaipėda, Šiauliai, Panevėžys, Alytus, Marijampolė, Tauragė, Telšiai ja Utena edustavat kansalaiset Liettuan tilastoministeriön (Lietuvos statistikos departamentas) tietojen perusteella.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t>Euroopan tulevaisuutta käsittelevä konferenssi | REPORT ON FINAL RESULTS</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fi"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fi"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fi"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fi"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fi"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fi"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fi"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fi"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fi"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fi"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fi"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fi"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fi"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fi"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fi"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fi"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information-material" TargetMode="External"/><Relationship Id="rId24" Type="http://schemas.openxmlformats.org/officeDocument/2006/relationships/hyperlink" Target="https://futureu.europa.eu/assemblies/citizens-panels" TargetMode="External"/><Relationship Id="rId25" Type="http://schemas.openxmlformats.org/officeDocument/2006/relationships/hyperlink" Target="https://futureu.europa.eu/pages/ms-section" TargetMode="External"/><Relationship Id="rId26" Type="http://schemas.openxmlformats.org/officeDocument/2006/relationships/hyperlink" Target="https://futureu.europa.eu/pages/executive-board" TargetMode="External"/><Relationship Id="rId27"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8"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29"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0" Type="http://schemas.openxmlformats.org/officeDocument/2006/relationships/image" Target="media/image6.png"/><Relationship Id="rId31" Type="http://schemas.openxmlformats.org/officeDocument/2006/relationships/hyperlink" Target="https://futureu.europa.eu/?locale=fr" TargetMode="External"/><Relationship Id="rId32" Type="http://schemas.openxmlformats.org/officeDocument/2006/relationships/hyperlink" Target="https://futureu.europa.eu/?locale=fr" TargetMode="External"/><Relationship Id="rId33" Type="http://schemas.openxmlformats.org/officeDocument/2006/relationships/hyperlink" Target="https://futureu.europa.eu/pages/charter" TargetMode="External"/><Relationship Id="rId34" Type="http://schemas.openxmlformats.org/officeDocument/2006/relationships/hyperlink" Target="https://futureu.europa.eu/pages/rules-of-participation" TargetMode="External"/><Relationship Id="rId35" Type="http://schemas.openxmlformats.org/officeDocument/2006/relationships/hyperlink" Target="https://futureu.europa.eu/pages/faq" TargetMode="External"/><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hyperlink" Target="https://futureu.europa.eu/pages/ms-section" TargetMode="External"/><Relationship Id="rId48" Type="http://schemas.openxmlformats.org/officeDocument/2006/relationships/hyperlink" Target="https://futureu.europa.eu/pages/reporting" TargetMode="External"/><Relationship Id="rId49" Type="http://schemas.openxmlformats.org/officeDocument/2006/relationships/image" Target="media/image18.png"/><Relationship Id="rId50" Type="http://schemas.openxmlformats.org/officeDocument/2006/relationships/image" Target="media/image19.png"/><Relationship Id="rId51" Type="http://schemas.openxmlformats.org/officeDocument/2006/relationships/hyperlink" Target="http://www.eye2021.eu/" TargetMode="External"/><Relationship Id="rId52" Type="http://schemas.openxmlformats.org/officeDocument/2006/relationships/image" Target="media/image20.png"/><Relationship Id="rId53" Type="http://schemas.openxmlformats.org/officeDocument/2006/relationships/hyperlink" Target="https://european-youth-event.europarl.europa.eu/wp-content/uploads/2021/10/2021_EYE_Report-Booklet_A5_20-10-Accessible.pdf" TargetMode="External"/><Relationship Id="rId54" Type="http://schemas.openxmlformats.org/officeDocument/2006/relationships/hyperlink" Target="https://search.youthideas.eu/" TargetMode="External"/><Relationship Id="rId55" Type="http://schemas.openxmlformats.org/officeDocument/2006/relationships/hyperlink" Target="https://www.eesc.europa.eu/en/agenda/our-events/events/kickoff-event-conference-future-europe" TargetMode="External"/><Relationship Id="rId56" Type="http://schemas.openxmlformats.org/officeDocument/2006/relationships/hyperlink" Target="https://www.eesc.europa.eu/en/agenda/our-events/events/connecting-eu-2021" TargetMode="External"/><Relationship Id="rId57" Type="http://schemas.openxmlformats.org/officeDocument/2006/relationships/hyperlink" Target="https://www.eesc.europa.eu/en/agenda/our-events/events/shaping-europe-together" TargetMode="External"/><Relationship Id="rId58" Type="http://schemas.openxmlformats.org/officeDocument/2006/relationships/hyperlink" Target="https://cor.europa.eu/en/our-work/Pages/EURegionalBarometer-Survey-2021.aspx" TargetMode="External"/><Relationship Id="rId59" Type="http://schemas.openxmlformats.org/officeDocument/2006/relationships/hyperlink" Target="https://futureu.europa.eu/profiles/EU_COMMITTEE_REGIONS/activity" TargetMode="External"/><Relationship Id="rId60" Type="http://schemas.openxmlformats.org/officeDocument/2006/relationships/hyperlink" Target="https://cor.europa.eu/en/news/Pages/Report-of-the-High-Level-Group-on-European-Democracy.aspx" TargetMode="External"/><Relationship Id="rId61" Type="http://schemas.openxmlformats.org/officeDocument/2006/relationships/hyperlink" Target="https://cor.europa.eu/en/summits/2022" TargetMode="External"/><Relationship Id="rId62" Type="http://schemas.openxmlformats.org/officeDocument/2006/relationships/hyperlink" Target="https://cor.europa.eu/en/engage/brochures/Documents/Citizens, local politicians and the future of Europe/4666-final report lowres FIN.pdf" TargetMode="External"/><Relationship Id="rId63"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4"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5"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6"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7"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68"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69"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0" Type="http://schemas.openxmlformats.org/officeDocument/2006/relationships/hyperlink" Target="https://urldefense.com/v3/__https:/europeanmovement.eu/conference-on-the-future-of-europe/__;!!DOxrgLBm!USrgw0ykk4Rr_7OEucFYoNO-h98D1sH5xfD-7Qmm48-t_TKrps6LcRBXC7_VkAjjVVGY7-coTvKNzA$" TargetMode="External"/><Relationship Id="rId71" Type="http://schemas.openxmlformats.org/officeDocument/2006/relationships/image" Target="media/image21.png"/><Relationship Id="rId72" Type="http://schemas.openxmlformats.org/officeDocument/2006/relationships/image" Target="media/image22.png"/><Relationship Id="rId73" Type="http://schemas.openxmlformats.org/officeDocument/2006/relationships/image" Target="media/image23.png"/><Relationship Id="rId74" Type="http://schemas.openxmlformats.org/officeDocument/2006/relationships/image" Target="media/image24.png"/><Relationship Id="rId75" Type="http://schemas.openxmlformats.org/officeDocument/2006/relationships/image" Target="media/image25.png"/><Relationship Id="rId76" Type="http://schemas.openxmlformats.org/officeDocument/2006/relationships/image" Target="media/image26.png"/><Relationship Id="rId77" Type="http://schemas.openxmlformats.org/officeDocument/2006/relationships/image" Target="media/image27.png"/><Relationship Id="rId78" Type="http://schemas.openxmlformats.org/officeDocument/2006/relationships/image" Target="media/image28.png"/><Relationship Id="rId79" Type="http://schemas.openxmlformats.org/officeDocument/2006/relationships/image" Target="media/image29.png"/><Relationship Id="rId80" Type="http://schemas.openxmlformats.org/officeDocument/2006/relationships/image" Target="media/image30.png"/><Relationship Id="rId81" Type="http://schemas.openxmlformats.org/officeDocument/2006/relationships/image" Target="media/image31.png"/><Relationship Id="rId82" Type="http://schemas.openxmlformats.org/officeDocument/2006/relationships/image" Target="media/image32.png"/><Relationship Id="rId83" Type="http://schemas.openxmlformats.org/officeDocument/2006/relationships/image" Target="media/image33.png"/><Relationship Id="rId84" Type="http://schemas.openxmlformats.org/officeDocument/2006/relationships/hyperlink" Target="https://participation-citoyenne.gouv.fr/sites/default/files/2021-11/20211126 - COFE - Rapport final.pdf" TargetMode="External"/><Relationship Id="rId85" Type="http://schemas.openxmlformats.org/officeDocument/2006/relationships/hyperlink" Target="https://participation-citoyenne.gouv.fr/sites/default/files/2021-11/20211126 - COFE - Rapport final.pdf" TargetMode="External"/><Relationship Id="rId86" Type="http://schemas.openxmlformats.org/officeDocument/2006/relationships/image" Target="media/image34.png"/><Relationship Id="rId87" Type="http://schemas.openxmlformats.org/officeDocument/2006/relationships/image" Target="media/image35.png"/><Relationship Id="rId88" Type="http://schemas.openxmlformats.org/officeDocument/2006/relationships/image" Target="media/image36.png"/><Relationship Id="rId89" Type="http://schemas.openxmlformats.org/officeDocument/2006/relationships/image" Target="media/image37.png"/><Relationship Id="rId90" Type="http://schemas.openxmlformats.org/officeDocument/2006/relationships/image" Target="media/image38.png"/><Relationship Id="rId91" Type="http://schemas.openxmlformats.org/officeDocument/2006/relationships/image" Target="media/image39.png"/><Relationship Id="rId92" Type="http://schemas.openxmlformats.org/officeDocument/2006/relationships/image" Target="media/image40.png"/><Relationship Id="rId93" Type="http://schemas.openxmlformats.org/officeDocument/2006/relationships/image" Target="media/image41.png"/><Relationship Id="rId94" Type="http://schemas.openxmlformats.org/officeDocument/2006/relationships/image" Target="media/image42.png"/><Relationship Id="rId95" Type="http://schemas.openxmlformats.org/officeDocument/2006/relationships/image" Target="media/image43.png"/><Relationship Id="rId96" Type="http://schemas.openxmlformats.org/officeDocument/2006/relationships/image" Target="media/image44.png"/><Relationship Id="rId97" Type="http://schemas.openxmlformats.org/officeDocument/2006/relationships/image" Target="media/image45.wmf"/><Relationship Id="rId98" Type="http://schemas.openxmlformats.org/officeDocument/2006/relationships/image" Target="media/image46.png"/><Relationship Id="rId99" Type="http://schemas.openxmlformats.org/officeDocument/2006/relationships/image" Target="media/image47.png"/><Relationship Id="rId100" Type="http://schemas.openxmlformats.org/officeDocument/2006/relationships/image" Target="media/image48.png"/><Relationship Id="rId101" Type="http://schemas.openxmlformats.org/officeDocument/2006/relationships/image" Target="media/image49.png"/><Relationship Id="rId102" Type="http://schemas.openxmlformats.org/officeDocument/2006/relationships/image" Target="media/image50.png"/><Relationship Id="rId103" Type="http://schemas.openxmlformats.org/officeDocument/2006/relationships/image" Target="media/image51.png"/><Relationship Id="rId104" Type="http://schemas.openxmlformats.org/officeDocument/2006/relationships/image" Target="media/image52.png"/><Relationship Id="rId105" Type="http://schemas.openxmlformats.org/officeDocument/2006/relationships/image" Target="media/image53.png"/><Relationship Id="rId106" Type="http://schemas.openxmlformats.org/officeDocument/2006/relationships/image" Target="media/image54.png"/><Relationship Id="rId107" Type="http://schemas.openxmlformats.org/officeDocument/2006/relationships/image" Target="media/image55.png"/><Relationship Id="rId108" Type="http://schemas.openxmlformats.org/officeDocument/2006/relationships/image" Target="media/image56.png"/><Relationship Id="rId109" Type="http://schemas.openxmlformats.org/officeDocument/2006/relationships/image" Target="media/image57.png"/><Relationship Id="rId110" Type="http://schemas.openxmlformats.org/officeDocument/2006/relationships/image" Target="media/image58.png"/><Relationship Id="rId111" Type="http://schemas.openxmlformats.org/officeDocument/2006/relationships/image" Target="media/image59.png"/><Relationship Id="rId112" Type="http://schemas.openxmlformats.org/officeDocument/2006/relationships/hyperlink" Target="https://europa.eu/eurobarometer/surveys/detail/2256" TargetMode="External"/><Relationship Id="rId113" Type="http://schemas.openxmlformats.org/officeDocument/2006/relationships/hyperlink" Target="https://europa.eu/eurobarometer/surveys/detail/2256" TargetMode="External"/><Relationship Id="rId114" Type="http://schemas.openxmlformats.org/officeDocument/2006/relationships/hyperlink" Target="https://europa.eu/eurobarometer/surveys/detail/2256" TargetMode="External"/><Relationship Id="rId115" Type="http://schemas.openxmlformats.org/officeDocument/2006/relationships/hyperlink" Target="https://europa.eu/eurobarometer/surveys/detail/2532" TargetMode="External"/><Relationship Id="rId116" Type="http://schemas.openxmlformats.org/officeDocument/2006/relationships/image" Target="media/image60.png"/><Relationship Id="rId117" Type="http://schemas.openxmlformats.org/officeDocument/2006/relationships/hyperlink" Target="http://www.kijkopeuropa.nl/" TargetMode="External"/><Relationship Id="rId118" Type="http://schemas.openxmlformats.org/officeDocument/2006/relationships/image" Target="media/image61.png"/><Relationship Id="rId119" Type="http://schemas.openxmlformats.org/officeDocument/2006/relationships/hyperlink" Target="https://futureu.europa.eu/pages/belgium" TargetMode="External"/><Relationship Id="rId120" Type="http://schemas.openxmlformats.org/officeDocument/2006/relationships/hyperlink" Target="https://futureu.europa.eu/pages/bulgaria" TargetMode="External"/><Relationship Id="rId121" Type="http://schemas.openxmlformats.org/officeDocument/2006/relationships/hyperlink" Target="https://futureu.europa.eu/pages/czechia" TargetMode="External"/><Relationship Id="rId122" Type="http://schemas.openxmlformats.org/officeDocument/2006/relationships/hyperlink" Target="https://futureu.europa.eu/pages/czechia" TargetMode="External"/><Relationship Id="rId123" Type="http://schemas.openxmlformats.org/officeDocument/2006/relationships/hyperlink" Target="https://futureu.europa.eu/pages/denmark" TargetMode="External"/><Relationship Id="rId124" Type="http://schemas.openxmlformats.org/officeDocument/2006/relationships/hyperlink" Target="https://futureu.europa.eu/pages/germany" TargetMode="External"/><Relationship Id="rId125" Type="http://schemas.openxmlformats.org/officeDocument/2006/relationships/hyperlink" Target="https://futureu.europa.eu/pages/germany" TargetMode="External"/><Relationship Id="rId126" Type="http://schemas.openxmlformats.org/officeDocument/2006/relationships/hyperlink" Target="https://futureu.europa.eu/pages/estonia" TargetMode="External"/><Relationship Id="rId127" Type="http://schemas.openxmlformats.org/officeDocument/2006/relationships/hyperlink" Target="https://futureu.europa.eu/pages/ireland" TargetMode="External"/><Relationship Id="rId128" Type="http://schemas.openxmlformats.org/officeDocument/2006/relationships/hyperlink" Target="https://futureu.europa.eu/pages/greece" TargetMode="External"/><Relationship Id="rId129" Type="http://schemas.openxmlformats.org/officeDocument/2006/relationships/hyperlink" Target="https://futureu.europa.eu/pages/spain" TargetMode="External"/><Relationship Id="rId130" Type="http://schemas.openxmlformats.org/officeDocument/2006/relationships/hyperlink" Target="https://futureu.europa.eu/pages/france" TargetMode="External"/><Relationship Id="rId131" Type="http://schemas.openxmlformats.org/officeDocument/2006/relationships/hyperlink" Target="https://futureu.europa.eu/pages/croatia" TargetMode="External"/><Relationship Id="rId132" Type="http://schemas.openxmlformats.org/officeDocument/2006/relationships/hyperlink" Target="https://futureu.europa.eu/pages/italy" TargetMode="External"/><Relationship Id="rId133" Type="http://schemas.openxmlformats.org/officeDocument/2006/relationships/hyperlink" Target="https://futureu.europa.eu/pages/cyprus" TargetMode="External"/><Relationship Id="rId134" Type="http://schemas.openxmlformats.org/officeDocument/2006/relationships/hyperlink" Target="https://futureu.europa.eu/pages/latvia" TargetMode="External"/><Relationship Id="rId135" Type="http://schemas.openxmlformats.org/officeDocument/2006/relationships/hyperlink" Target="https://futureu.europa.eu/pages/lithuania" TargetMode="External"/><Relationship Id="rId136" Type="http://schemas.openxmlformats.org/officeDocument/2006/relationships/hyperlink" Target="https://futureu.europa.eu/pages/luxembourg" TargetMode="External"/><Relationship Id="rId137" Type="http://schemas.openxmlformats.org/officeDocument/2006/relationships/hyperlink" Target="https://futureu.europa.eu/pages/hungary" TargetMode="External"/><Relationship Id="rId138" Type="http://schemas.openxmlformats.org/officeDocument/2006/relationships/hyperlink" Target="https://futureu.europa.eu/pages/malta" TargetMode="External"/><Relationship Id="rId139" Type="http://schemas.openxmlformats.org/officeDocument/2006/relationships/hyperlink" Target="https://futureu.europa.eu/pages/netherlands" TargetMode="External"/><Relationship Id="rId140" Type="http://schemas.openxmlformats.org/officeDocument/2006/relationships/hyperlink" Target="https://futureu.europa.eu/pages/austria" TargetMode="External"/><Relationship Id="rId141" Type="http://schemas.openxmlformats.org/officeDocument/2006/relationships/hyperlink" Target="https://futureu.europa.eu/pages/poland" TargetMode="External"/><Relationship Id="rId142" Type="http://schemas.openxmlformats.org/officeDocument/2006/relationships/hyperlink" Target="https://futureu.europa.eu/pages/portugal" TargetMode="External"/><Relationship Id="rId143" Type="http://schemas.openxmlformats.org/officeDocument/2006/relationships/hyperlink" Target="https://futureu.europa.eu/pages/romania" TargetMode="External"/><Relationship Id="rId144" Type="http://schemas.openxmlformats.org/officeDocument/2006/relationships/hyperlink" Target="https://futureu.europa.eu/pages/slovenia" TargetMode="External"/><Relationship Id="rId145" Type="http://schemas.openxmlformats.org/officeDocument/2006/relationships/hyperlink" Target="https://futureu.europa.eu/pages/slovakia" TargetMode="External"/><Relationship Id="rId146" Type="http://schemas.openxmlformats.org/officeDocument/2006/relationships/hyperlink" Target="https://futureu.europa.eu/pages/finland" TargetMode="External"/><Relationship Id="rId147" Type="http://schemas.openxmlformats.org/officeDocument/2006/relationships/hyperlink" Target="https://futureu.europa.eu/pages/sweden" TargetMode="External"/><Relationship Id="rId148"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49"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0" Type="http://schemas.openxmlformats.org/officeDocument/2006/relationships/image" Target="media/image62.png"/><Relationship Id="rId151" Type="http://schemas.openxmlformats.org/officeDocument/2006/relationships/footnotes" Target="footnotes.xml"/><Relationship Id="rId152" Type="http://schemas.openxmlformats.org/officeDocument/2006/relationships/endnotes" Target="endnotes.xml"/><Relationship Id="rId153" Type="http://schemas.openxmlformats.org/officeDocument/2006/relationships/comments" Target="comments.xml"/><Relationship Id="rId154" Type="http://schemas.openxmlformats.org/officeDocument/2006/relationships/numbering" Target="numbering.xml"/><Relationship Id="rId155" Type="http://schemas.openxmlformats.org/officeDocument/2006/relationships/fontTable" Target="fontTable.xml"/><Relationship Id="rId156"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2157</TotalTime>
  <Application>LibreOffice/6.0.2.1$Windows_x86 LibreOffice_project/f7f06a8f319e4b62f9bc5095aa112a65d2f3ac89</Application>
  <Pages>299</Pages>
  <Words>78729</Words>
  <Characters>652579</Characters>
  <CharactersWithSpaces>728129</CharactersWithSpaces>
  <Paragraphs>6027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2022-09-01T16:43:29Z</dcterms:modified>
  <cp:revision>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