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pPr>
      <w:r>
        <w:rPr>
          <w:position w:val="6"/>
        </w:rPr>
        <w:t xml:space="preserve">Konferencia o </w:t>
      </w:r>
      <w:r>
        <w:rPr/>
        <w:br/>
        <w:t>budúcnosť Európy</w:t>
      </w:r>
    </w:p>
    <w:p>
      <w:pPr>
        <w:pStyle w:val="P68B1DB1Normal2"/>
        <w:widowControl w:val="false"/>
        <w:spacing w:lineRule="exact" w:line="557"/>
        <w:ind w:left="56" w:right="1390" w:firstLine="8"/>
        <w:jc w:val="left"/>
        <w:rPr/>
      </w:pPr>
      <w:r>
        <w:rPr/>
        <w:t xml:space="preserve">ZÁVEREČNÁ SPRÁVA O VÝSLEDKOCH </w:t>
      </w:r>
    </w:p>
    <w:p>
      <w:pPr>
        <w:pStyle w:val="P68B1DB1Normal3"/>
        <w:widowControl w:val="false"/>
        <w:spacing w:lineRule="exact" w:line="557"/>
        <w:ind w:left="56" w:right="1390" w:hanging="0"/>
        <w:jc w:val="left"/>
        <w:rPr/>
      </w:pPr>
      <w:r>
        <w:rPr/>
        <w:t>máj 2022</w:t>
      </w:r>
      <w:r>
        <w:rPr>
          <w:rFonts w:ascii="Roboto" w:hAnsi="Roboto"/>
        </w:rPr>
        <w:t xml:space="preserve"> </w:t>
      </w:r>
    </w:p>
    <w:p>
      <w:pPr>
        <w:pStyle w:val="Normal"/>
        <w:rPr/>
      </w:pPr>
      <w:r>
        <w:rPr/>
        <w:drawing>
          <wp:anchor behindDoc="0" distT="0" distB="0" distL="0" distR="0" simplePos="0" locked="0" layoutInCell="1" allowOverlap="1" relativeHeight="5">
            <wp:simplePos x="0" y="0"/>
            <wp:positionH relativeFrom="column">
              <wp:posOffset>88265</wp:posOffset>
            </wp:positionH>
            <wp:positionV relativeFrom="paragraph">
              <wp:posOffset>52070</wp:posOffset>
            </wp:positionV>
            <wp:extent cx="5660390" cy="4556125"/>
            <wp:effectExtent l="0" t="0" r="0" b="0"/>
            <wp:wrapTopAndBottom/>
            <wp:docPr id="1" name="Obrázok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ok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pPr>
      <w:r>
        <mc:AlternateContent>
          <mc:Choice Requires="wps">
            <w:drawing>
              <wp:anchor behindDoc="0" distT="72390" distB="72390" distL="72390" distR="72390" simplePos="0" locked="0" layoutInCell="1" allowOverlap="1" relativeHeight="7">
                <wp:simplePos x="0" y="0"/>
                <wp:positionH relativeFrom="column">
                  <wp:posOffset>3199765</wp:posOffset>
                </wp:positionH>
                <wp:positionV relativeFrom="paragraph">
                  <wp:posOffset>219710</wp:posOffset>
                </wp:positionV>
                <wp:extent cx="2675890" cy="1109980"/>
                <wp:effectExtent l="0" t="0" r="0" b="0"/>
                <wp:wrapSquare wrapText="bothSides"/>
                <wp:docPr id="2" name="Rámec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Obrázok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ok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Konferencia o</w:t>
                            </w:r>
                            <w:r>
                              <w:rPr>
                                <w:b/>
                              </w:rPr>
                              <w:t>budúcnosti</w:t>
                            </w:r>
                            <w:r>
                              <w:rPr/>
                              <w:t xml:space="preserve"> </w:t>
                            </w:r>
                            <w:r>
                              <w:rPr>
                                <w:b/>
                              </w:rPr>
                              <w:t>Európy</w:t>
                            </w:r>
                          </w:p>
                        </w:txbxContent>
                      </wps:txbx>
                      <wps:bodyPr lIns="54000" rIns="54000" tIns="54000" bIns="54000">
                        <a:noAutofit/>
                      </wps:bodyPr>
                    </wps:wsp>
                  </a:graphicData>
                </a:graphic>
              </wp:anchor>
            </w:drawing>
          </mc:Choice>
          <mc:Fallback>
            <w:pict>
              <v:rect id="shape_0" ID="Rámec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Obrázok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Konferencia o</w:t>
                      </w:r>
                      <w:r>
                        <w:rPr>
                          <w:b/>
                        </w:rPr>
                        <w:t>budúcnosti</w:t>
                      </w:r>
                      <w:r>
                        <w:rPr/>
                        <w:t xml:space="preserve"> </w:t>
                      </w:r>
                      <w:r>
                        <w:rPr>
                          <w:b/>
                        </w:rPr>
                        <w:t>Európy</w:t>
                      </w:r>
                    </w:p>
                  </w:txbxContent>
                </v:textbox>
              </v:rect>
            </w:pict>
          </mc:Fallback>
        </mc:AlternateContent>
      </w:r>
      <w:r>
        <w:rPr>
          <w:b/>
          <w:color w:val="0000BE"/>
          <w:sz w:val="48"/>
        </w:rPr>
        <w:t>Budúcnosť</w:t>
      </w:r>
      <w:r>
        <w:rPr>
          <w:color w:val="0000BE"/>
          <w:sz w:val="48"/>
        </w:rPr>
        <w:t xml:space="preserve"> je</w:t>
      </w:r>
      <w:r>
        <w:rPr/>
        <w:t xml:space="preserve"> </w:t>
      </w:r>
    </w:p>
    <w:p>
      <w:pPr>
        <w:pStyle w:val="P68B1DB1Normal5"/>
        <w:widowControl w:val="false"/>
        <w:spacing w:lineRule="exact" w:line="576"/>
        <w:ind w:left="51" w:right="0" w:hanging="0"/>
        <w:jc w:val="left"/>
        <w:rPr/>
      </w:pPr>
      <w:r>
        <w:rPr/>
        <w:t>vo vašich rukách</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14">
                <wp:simplePos x="0" y="0"/>
                <wp:positionH relativeFrom="column">
                  <wp:posOffset>4445</wp:posOffset>
                </wp:positionH>
                <wp:positionV relativeFrom="paragraph">
                  <wp:posOffset>85725</wp:posOffset>
                </wp:positionV>
                <wp:extent cx="6020435" cy="8688070"/>
                <wp:effectExtent l="0" t="0" r="0" b="0"/>
                <wp:wrapSquare wrapText="bothSides"/>
                <wp:docPr id="6" name="Rámec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color w:val="auto"/>
                              </w:rPr>
                            </w:pPr>
                            <w:r>
                              <w:rPr>
                                <w:color w:val="auto"/>
                              </w:rPr>
                              <w:t>Dokument, ktorý pripravil Pierre Dieumegard</w:t>
                            </w:r>
                            <w:r>
                              <w:rPr>
                                <w:color w:val="auto"/>
                              </w:rPr>
                              <w:drawing>
                                <wp:inline distT="0" distB="0" distL="0" distR="0">
                                  <wp:extent cx="2494280" cy="765175"/>
                                  <wp:effectExtent l="0" t="0" r="0" b="0"/>
                                  <wp:docPr id="8" name="Obrázok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ok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color w:val="auto"/>
                              </w:rPr>
                            </w:pPr>
                            <w:r>
                              <w:rPr>
                                <w:color w:val="auto"/>
                              </w:rPr>
                              <w:t xml:space="preserve"> </w:t>
                            </w:r>
                            <w:r>
                              <w:rPr>
                                <w:color w:val="auto"/>
                              </w:rPr>
                              <w:t>pre Európu – demokracia-Esperanto</w:t>
                            </w:r>
                          </w:p>
                          <w:p>
                            <w:pPr>
                              <w:pStyle w:val="P68B1DB1Normal7"/>
                              <w:rPr>
                                <w:color w:val="auto"/>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Cieľom tohto „dočasného“ dokumentu je umožniť väčšiemu počtu ľudí v Európskej únii pochopiť dokumenty vypracované pre Európsku úniu (a financované z ich príspevkov). </w:t>
                            </w:r>
                            <w:hyperlink r:id="rId5">
                              <w:r>
                                <w:rPr>
                                  <w:rStyle w:val="LienInternet"/>
                                  <w:rFonts w:ascii="Times New Roman" w:hAnsi="Times New Roman"/>
                                  <w:color w:val="auto"/>
                                  <w:sz w:val="24"/>
                                </w:rPr>
                                <w:t xml:space="preserve">Pôvodný dokumentvo francúzštine vo formáte pdf </w:t>
                              </w:r>
                            </w:hyperlink>
                            <w:r>
                              <w:rPr>
                                <w:rFonts w:ascii="Times New Roman" w:hAnsi="Times New Roman"/>
                                <w:color w:val="auto"/>
                                <w:sz w:val="24"/>
                              </w:rPr>
                              <w:t xml:space="preserve">bol formátovaný pomocou softvéru Libre Office. Preklad do všetkých úradných jazykov Európskej únie sa uskutočňuje prostredníctvom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color w:val="auto"/>
                              </w:rPr>
                            </w:pPr>
                            <w:r>
                              <w:rPr>
                                <w:color w:val="auto"/>
                              </w:rPr>
                              <w:t xml:space="preserve">Túto prácu sme vykonali z dôvodu potreby lepšej viacjazyčnosti v Európskej únii: bez prekladov je veľká časť obyvateľstva z diskusie vylúčená. </w:t>
                            </w:r>
                            <w:r>
                              <w:rPr>
                                <w:b/>
                                <w:color w:val="auto"/>
                              </w:rPr>
                              <w:t>Je žiaduce, aby administratíva Európskej únie prevzala preklad dôležitých dokumentov, aby všetci Európania mohli pochopiť, o čom ide, a spoločne diskutovať o svojej spoločnej budúcnosti.</w:t>
                            </w:r>
                          </w:p>
                          <w:p>
                            <w:pPr>
                              <w:pStyle w:val="P68B1DB1Normal7"/>
                              <w:rPr>
                                <w:color w:val="auto"/>
                              </w:rPr>
                            </w:pPr>
                            <w:r>
                              <w:rPr>
                                <w:color w:val="auto"/>
                              </w:rPr>
                              <w:t xml:space="preserve"> </w:t>
                            </w:r>
                          </w:p>
                          <w:p>
                            <w:pPr>
                              <w:pStyle w:val="P68B1DB1Normal7"/>
                              <w:rPr>
                                <w:color w:val="auto"/>
                              </w:rPr>
                            </w:pPr>
                            <w:r>
                              <w:rPr>
                                <w:color w:val="auto"/>
                              </w:rPr>
                              <w:t xml:space="preserve">Pre dobrú priamu komunikáciu medzi európskymi občanmi a pre spoľahlivé preklady by bol medzinárodný esperantský jazyk veľmi užitočný z dôvodu jeho jednoduchosti, pravidelnosti a presnosti. </w:t>
                            </w:r>
                          </w:p>
                          <w:p>
                            <w:pPr>
                              <w:pStyle w:val="P68B1DB1Normal7"/>
                              <w:rPr>
                                <w:color w:val="auto"/>
                              </w:rPr>
                            </w:pPr>
                            <w:r>
                              <w:rPr>
                                <w:color w:val="auto"/>
                              </w:rPr>
                              <w:t xml:space="preserve"> </w:t>
                            </w:r>
                          </w:p>
                          <w:p>
                            <w:pPr>
                              <w:pStyle w:val="P68B1DB1Normal7"/>
                              <w:rPr>
                                <w:color w:val="auto"/>
                              </w:rPr>
                            </w:pPr>
                            <w:r>
                              <w:rPr>
                                <w:color w:val="auto"/>
                              </w:rPr>
                              <w:t xml:space="preserve"> </w:t>
                            </w:r>
                            <w:r>
                              <w:rPr>
                                <w:color w:val="auto"/>
                              </w:rPr>
                              <w:t xml:space="preserve">Na internete: </w:t>
                            </w:r>
                          </w:p>
                          <w:p>
                            <w:pPr>
                              <w:pStyle w:val="Normal"/>
                              <w:rPr/>
                            </w:pPr>
                            <w:r>
                              <w:rPr>
                                <w:rFonts w:ascii="Times New Roman" w:hAnsi="Times New Roman"/>
                                <w:color w:val="auto"/>
                                <w:sz w:val="24"/>
                              </w:rPr>
                              <w:t xml:space="preserve"> </w:t>
                            </w:r>
                            <w:r>
                              <w:rPr>
                                <w:rFonts w:ascii="Times New Roman" w:hAnsi="Times New Roman"/>
                                <w:color w:val="auto"/>
                                <w:sz w:val="24"/>
                              </w:rPr>
                              <w:t>Federácia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(alebo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Združenie Europe-Democracy-Esperanto (Francúzsko):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Európske dokumenty vo všetkých úradných jazykoch: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color w:val="auto"/>
                              </w:rPr>
                            </w:pPr>
                            <w:r>
                              <w:rPr>
                                <w:color w:val="auto"/>
                              </w:rPr>
                              <w:t xml:space="preserve">V porovnaní s pôvodným dokumentom existujú určité zmeny (zlepšenia?): </w:t>
                            </w:r>
                          </w:p>
                          <w:p>
                            <w:pPr>
                              <w:pStyle w:val="P68B1DB1Normal7"/>
                              <w:rPr>
                                <w:color w:val="auto"/>
                              </w:rPr>
                            </w:pPr>
                            <w:r>
                              <w:rPr>
                                <w:color w:val="auto"/>
                              </w:rPr>
                              <w:t xml:space="preserve">— </w:t>
                            </w:r>
                            <w:r>
                              <w:rPr>
                                <w:color w:val="auto"/>
                              </w:rPr>
                              <w:t>niektoré pravopisné chyby boli opravené. Možno došlo k iným chybám?</w:t>
                            </w:r>
                          </w:p>
                          <w:p>
                            <w:pPr>
                              <w:pStyle w:val="P68B1DB1Normal7"/>
                              <w:rPr>
                                <w:color w:val="auto"/>
                              </w:rPr>
                            </w:pPr>
                            <w:r>
                              <w:rPr>
                                <w:color w:val="auto"/>
                              </w:rPr>
                              <w:t xml:space="preserve">— </w:t>
                            </w:r>
                            <w:r>
                              <w:rPr>
                                <w:color w:val="auto"/>
                              </w:rPr>
                              <w:t>rozloženie bolo harmonizované a všetky strany sú vhodne očíslované (pôvodný dokument bol juxtapozíciou samostatných súborov vo formáte PDF s nezávislým číslovaním).</w:t>
                            </w:r>
                          </w:p>
                          <w:p>
                            <w:pPr>
                              <w:pStyle w:val="P68B1DB1Normal7"/>
                              <w:rPr>
                                <w:color w:val="auto"/>
                              </w:rPr>
                            </w:pPr>
                            <w:r>
                              <w:rPr>
                                <w:color w:val="auto"/>
                              </w:rPr>
                              <w:t xml:space="preserve">— </w:t>
                            </w:r>
                            <w:r>
                              <w:rPr>
                                <w:color w:val="auto"/>
                              </w:rPr>
                              <w:t>koncové poznámky boli premenené na poznámky na konci sekcie (v dolnej časti strán).</w:t>
                            </w:r>
                          </w:p>
                          <w:p>
                            <w:pPr>
                              <w:pStyle w:val="P68B1DB1Normal7"/>
                              <w:spacing w:before="57" w:after="57"/>
                              <w:rPr/>
                            </w:pPr>
                            <w:r>
                              <w:rPr>
                                <w:color w:val="auto"/>
                              </w:rPr>
                              <w:t xml:space="preserve">— </w:t>
                            </w:r>
                            <w:r>
                              <w:rPr>
                                <w:color w:val="auto"/>
                              </w:rPr>
                              <w:t>dokumenty pôvodne vo forme obrázkov boli premenené na tabuľky, ktoré sa dajú ľahko preložiť.</w:t>
                            </w:r>
                          </w:p>
                        </w:txbxContent>
                      </wps:txbx>
                      <wps:bodyPr lIns="54000" rIns="54000" tIns="54000" bIns="54000">
                        <a:noAutofit/>
                      </wps:bodyPr>
                    </wps:wsp>
                  </a:graphicData>
                </a:graphic>
              </wp:anchor>
            </w:drawing>
          </mc:Choice>
          <mc:Fallback>
            <w:pict>
              <v:rect id="shape_0" ID="Rámec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color w:val="auto"/>
                        </w:rPr>
                      </w:pPr>
                      <w:r>
                        <w:rPr>
                          <w:color w:val="auto"/>
                        </w:rPr>
                        <w:t>Dokument, ktorý pripravil Pierre Dieumegard</w:t>
                      </w:r>
                      <w:r>
                        <w:rPr>
                          <w:color w:val="auto"/>
                        </w:rPr>
                        <w:drawing>
                          <wp:inline distT="0" distB="0" distL="0" distR="0">
                            <wp:extent cx="2494280" cy="765175"/>
                            <wp:effectExtent l="0" t="0" r="0" b="0"/>
                            <wp:docPr id="9" name="Obrázok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ok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color w:val="auto"/>
                        </w:rPr>
                      </w:pPr>
                      <w:r>
                        <w:rPr>
                          <w:color w:val="auto"/>
                        </w:rPr>
                        <w:t xml:space="preserve"> </w:t>
                      </w:r>
                      <w:r>
                        <w:rPr>
                          <w:color w:val="auto"/>
                        </w:rPr>
                        <w:t>pre Európu – demokracia-Esperanto</w:t>
                      </w:r>
                    </w:p>
                    <w:p>
                      <w:pPr>
                        <w:pStyle w:val="P68B1DB1Normal7"/>
                        <w:rPr>
                          <w:color w:val="auto"/>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Cieľom tohto „dočasného“ dokumentu je umožniť väčšiemu počtu ľudí v Európskej únii pochopiť dokumenty vypracované pre Európsku úniu (a financované z ich príspevkov). </w:t>
                      </w:r>
                      <w:hyperlink r:id="rId11">
                        <w:r>
                          <w:rPr>
                            <w:rStyle w:val="LienInternet"/>
                            <w:rFonts w:ascii="Times New Roman" w:hAnsi="Times New Roman"/>
                            <w:color w:val="auto"/>
                            <w:sz w:val="24"/>
                          </w:rPr>
                          <w:t xml:space="preserve">Pôvodný dokumentvo francúzštine vo formáte pdf </w:t>
                        </w:r>
                      </w:hyperlink>
                      <w:r>
                        <w:rPr>
                          <w:rFonts w:ascii="Times New Roman" w:hAnsi="Times New Roman"/>
                          <w:color w:val="auto"/>
                          <w:sz w:val="24"/>
                        </w:rPr>
                        <w:t xml:space="preserve">bol formátovaný pomocou softvéru Libre Office. Preklad do všetkých úradných jazykov Európskej únie sa uskutočňuje prostredníctvom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color w:val="auto"/>
                        </w:rPr>
                      </w:pPr>
                      <w:r>
                        <w:rPr>
                          <w:color w:val="auto"/>
                        </w:rPr>
                        <w:t xml:space="preserve">Túto prácu sme vykonali z dôvodu potreby lepšej viacjazyčnosti v Európskej únii: bez prekladov je veľká časť obyvateľstva z diskusie vylúčená. </w:t>
                      </w:r>
                      <w:r>
                        <w:rPr>
                          <w:b/>
                          <w:color w:val="auto"/>
                        </w:rPr>
                        <w:t>Je žiaduce, aby administratíva Európskej únie prevzala preklad dôležitých dokumentov, aby všetci Európania mohli pochopiť, o čom ide, a spoločne diskutovať o svojej spoločnej budúcnosti.</w:t>
                      </w:r>
                    </w:p>
                    <w:p>
                      <w:pPr>
                        <w:pStyle w:val="P68B1DB1Normal7"/>
                        <w:rPr>
                          <w:color w:val="auto"/>
                        </w:rPr>
                      </w:pPr>
                      <w:r>
                        <w:rPr>
                          <w:color w:val="auto"/>
                        </w:rPr>
                        <w:t xml:space="preserve"> </w:t>
                      </w:r>
                    </w:p>
                    <w:p>
                      <w:pPr>
                        <w:pStyle w:val="P68B1DB1Normal7"/>
                        <w:rPr>
                          <w:color w:val="auto"/>
                        </w:rPr>
                      </w:pPr>
                      <w:r>
                        <w:rPr>
                          <w:color w:val="auto"/>
                        </w:rPr>
                        <w:t xml:space="preserve">Pre dobrú priamu komunikáciu medzi európskymi občanmi a pre spoľahlivé preklady by bol medzinárodný esperantský jazyk veľmi užitočný z dôvodu jeho jednoduchosti, pravidelnosti a presnosti. </w:t>
                      </w:r>
                    </w:p>
                    <w:p>
                      <w:pPr>
                        <w:pStyle w:val="P68B1DB1Normal7"/>
                        <w:rPr>
                          <w:color w:val="auto"/>
                        </w:rPr>
                      </w:pPr>
                      <w:r>
                        <w:rPr>
                          <w:color w:val="auto"/>
                        </w:rPr>
                        <w:t xml:space="preserve"> </w:t>
                      </w:r>
                    </w:p>
                    <w:p>
                      <w:pPr>
                        <w:pStyle w:val="P68B1DB1Normal7"/>
                        <w:rPr>
                          <w:color w:val="auto"/>
                        </w:rPr>
                      </w:pPr>
                      <w:r>
                        <w:rPr>
                          <w:color w:val="auto"/>
                        </w:rPr>
                        <w:t xml:space="preserve"> </w:t>
                      </w:r>
                      <w:r>
                        <w:rPr>
                          <w:color w:val="auto"/>
                        </w:rPr>
                        <w:t xml:space="preserve">Na internete: </w:t>
                      </w:r>
                    </w:p>
                    <w:p>
                      <w:pPr>
                        <w:pStyle w:val="Normal"/>
                        <w:rPr/>
                      </w:pPr>
                      <w:r>
                        <w:rPr>
                          <w:rFonts w:ascii="Times New Roman" w:hAnsi="Times New Roman"/>
                          <w:color w:val="auto"/>
                          <w:sz w:val="24"/>
                        </w:rPr>
                        <w:t xml:space="preserve"> </w:t>
                      </w:r>
                      <w:r>
                        <w:rPr>
                          <w:rFonts w:ascii="Times New Roman" w:hAnsi="Times New Roman"/>
                          <w:color w:val="auto"/>
                          <w:sz w:val="24"/>
                        </w:rPr>
                        <w:t>Federácia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(alebo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Združenie Europe-Democracy-Esperanto (Francúzsko):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Európske dokumenty vo všetkých úradných jazykoch: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color w:val="auto"/>
                        </w:rPr>
                      </w:pPr>
                      <w:r>
                        <w:rPr>
                          <w:color w:val="auto"/>
                        </w:rPr>
                        <w:t xml:space="preserve">V porovnaní s pôvodným dokumentom existujú určité zmeny (zlepšenia?): </w:t>
                      </w:r>
                    </w:p>
                    <w:p>
                      <w:pPr>
                        <w:pStyle w:val="P68B1DB1Normal7"/>
                        <w:rPr>
                          <w:color w:val="auto"/>
                        </w:rPr>
                      </w:pPr>
                      <w:r>
                        <w:rPr>
                          <w:color w:val="auto"/>
                        </w:rPr>
                        <w:t xml:space="preserve">— </w:t>
                      </w:r>
                      <w:r>
                        <w:rPr>
                          <w:color w:val="auto"/>
                        </w:rPr>
                        <w:t>niektoré pravopisné chyby boli opravené. Možno došlo k iným chybám?</w:t>
                      </w:r>
                    </w:p>
                    <w:p>
                      <w:pPr>
                        <w:pStyle w:val="P68B1DB1Normal7"/>
                        <w:rPr>
                          <w:color w:val="auto"/>
                        </w:rPr>
                      </w:pPr>
                      <w:r>
                        <w:rPr>
                          <w:color w:val="auto"/>
                        </w:rPr>
                        <w:t xml:space="preserve">— </w:t>
                      </w:r>
                      <w:r>
                        <w:rPr>
                          <w:color w:val="auto"/>
                        </w:rPr>
                        <w:t>rozloženie bolo harmonizované a všetky strany sú vhodne očíslované (pôvodný dokument bol juxtapozíciou samostatných súborov vo formáte PDF s nezávislým číslovaním).</w:t>
                      </w:r>
                    </w:p>
                    <w:p>
                      <w:pPr>
                        <w:pStyle w:val="P68B1DB1Normal7"/>
                        <w:rPr>
                          <w:color w:val="auto"/>
                        </w:rPr>
                      </w:pPr>
                      <w:r>
                        <w:rPr>
                          <w:color w:val="auto"/>
                        </w:rPr>
                        <w:t xml:space="preserve">— </w:t>
                      </w:r>
                      <w:r>
                        <w:rPr>
                          <w:color w:val="auto"/>
                        </w:rPr>
                        <w:t>koncové poznámky boli premenené na poznámky na konci sekcie (v dolnej časti strán).</w:t>
                      </w:r>
                    </w:p>
                    <w:p>
                      <w:pPr>
                        <w:pStyle w:val="P68B1DB1Normal7"/>
                        <w:spacing w:before="57" w:after="57"/>
                        <w:rPr/>
                      </w:pPr>
                      <w:r>
                        <w:rPr>
                          <w:color w:val="auto"/>
                        </w:rPr>
                        <w:t xml:space="preserve">— </w:t>
                      </w:r>
                      <w:r>
                        <w:rPr>
                          <w:color w:val="auto"/>
                        </w:rPr>
                        <w:t>dokumenty pôvodne vo forme obrázkov boli premenené na tabuľky, ktoré sa dajú ľahko preložiť.</w:t>
                      </w:r>
                    </w:p>
                  </w:txbxContent>
                </v:textbox>
              </v:rect>
            </w:pict>
          </mc:Fallback>
        </mc:AlternateContent>
      </w:r>
    </w:p>
    <w:p>
      <w:pPr>
        <w:pStyle w:val="Normal"/>
        <w:rPr/>
      </w:pPr>
      <w:r>
        <w:rPr/>
      </w:r>
      <w:r>
        <w:br w:type="page"/>
      </w:r>
    </w:p>
    <w:p>
      <w:pPr>
        <w:pStyle w:val="TOAHeading"/>
        <w:rPr/>
      </w:pPr>
      <w:r>
        <w:rPr/>
        <w:t>Obsah</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Architektúra konferencie</w:t>
          <w:tab/>
          <w:t>7</w:t>
        </w:r>
      </w:hyperlink>
    </w:p>
    <w:p>
      <w:pPr>
        <w:pStyle w:val="Tabledesmatiresniveau2"/>
        <w:tabs>
          <w:tab w:val="right" w:pos="9638" w:leader="dot"/>
        </w:tabs>
        <w:rPr/>
      </w:pPr>
      <w:hyperlink w:anchor="__RefHeading___Toc298048_1346298689">
        <w:r>
          <w:rPr>
            <w:rStyle w:val="Sautdindex"/>
          </w:rPr>
          <w:t>1. Spoločné vyhlásenie</w:t>
          <w:tab/>
          <w:t>8</w:t>
        </w:r>
      </w:hyperlink>
    </w:p>
    <w:p>
      <w:pPr>
        <w:pStyle w:val="Tabledesmatiresniveau2"/>
        <w:tabs>
          <w:tab w:val="right" w:pos="9638" w:leader="dot"/>
        </w:tabs>
        <w:rPr/>
      </w:pPr>
      <w:hyperlink w:anchor="__RefHeading___Toc298050_1346298689">
        <w:r>
          <w:rPr>
            <w:rStyle w:val="Sautdindex"/>
          </w:rPr>
          <w:t>2. Rokovací poriadok</w:t>
          <w:tab/>
          <w:t>9</w:t>
        </w:r>
      </w:hyperlink>
    </w:p>
    <w:p>
      <w:pPr>
        <w:pStyle w:val="Tabledesmatiresniveau2"/>
        <w:tabs>
          <w:tab w:val="right" w:pos="9638" w:leader="dot"/>
        </w:tabs>
        <w:rPr/>
      </w:pPr>
      <w:hyperlink w:anchor="__RefHeading___Toc298052_1346298689">
        <w:r>
          <w:rPr>
            <w:rStyle w:val="Sautdindex"/>
          </w:rPr>
          <w:t>3. Podujatia súvisiace s konferenciou</w:t>
          <w:tab/>
          <w:t>9</w:t>
        </w:r>
      </w:hyperlink>
    </w:p>
    <w:p>
      <w:pPr>
        <w:pStyle w:val="Tabledesmatiresniveau2"/>
        <w:tabs>
          <w:tab w:val="right" w:pos="9638" w:leader="dot"/>
        </w:tabs>
        <w:rPr/>
      </w:pPr>
      <w:hyperlink w:anchor="__RefHeading___Toc298054_1346298689">
        <w:r>
          <w:rPr>
            <w:rStyle w:val="Sautdindex"/>
          </w:rPr>
          <w:t>4. Implementácia viacjazyčnej digitálnej platformy</w:t>
          <w:tab/>
          <w:t>9</w:t>
        </w:r>
      </w:hyperlink>
    </w:p>
    <w:p>
      <w:pPr>
        <w:pStyle w:val="Tabledesmatiresniveau2"/>
        <w:tabs>
          <w:tab w:val="right" w:pos="9638" w:leader="dot"/>
        </w:tabs>
        <w:rPr/>
      </w:pPr>
      <w:hyperlink w:anchor="__RefHeading___Toc298056_1346298689">
        <w:r>
          <w:rPr>
            <w:rStyle w:val="Sautdindex"/>
          </w:rPr>
          <w:t>5. Európske panelové diskusie občanov</w:t>
          <w:tab/>
          <w:t>10</w:t>
        </w:r>
      </w:hyperlink>
    </w:p>
    <w:p>
      <w:pPr>
        <w:pStyle w:val="Tabledesmatiresniveau2"/>
        <w:tabs>
          <w:tab w:val="right" w:pos="9638" w:leader="dot"/>
        </w:tabs>
        <w:rPr/>
      </w:pPr>
      <w:hyperlink w:anchor="__RefHeading___Toc298058_1346298689">
        <w:r>
          <w:rPr>
            <w:rStyle w:val="Sautdindex"/>
          </w:rPr>
          <w:t>6. Národné panely občanov</w:t>
          <w:tab/>
          <w:t>10</w:t>
        </w:r>
      </w:hyperlink>
    </w:p>
    <w:p>
      <w:pPr>
        <w:pStyle w:val="Tabledesmatiresniveau1"/>
        <w:tabs>
          <w:tab w:val="right" w:pos="9638" w:leader="dot"/>
        </w:tabs>
        <w:rPr/>
      </w:pPr>
      <w:hyperlink w:anchor="__RefHeading___Toc298188_1346298689">
        <w:r>
          <w:rPr>
            <w:rStyle w:val="Sautdindex"/>
          </w:rPr>
          <w:t>NIE, NIE, NIE, NIE. Príspevky občanov na konferenciu</w:t>
          <w:tab/>
          <w:t>11</w:t>
        </w:r>
      </w:hyperlink>
    </w:p>
    <w:p>
      <w:pPr>
        <w:pStyle w:val="Tabledesmatiresniveau2"/>
        <w:tabs>
          <w:tab w:val="right" w:pos="9638" w:leader="dot"/>
        </w:tabs>
        <w:rPr/>
      </w:pPr>
      <w:hyperlink w:anchor="__RefHeading___Toc298190_1346298689">
        <w:r>
          <w:rPr>
            <w:rStyle w:val="Sautdindex"/>
          </w:rPr>
          <w:t>A. Multilingválna digitálna platforma</w:t>
          <w:tab/>
          <w:t>12</w:t>
        </w:r>
      </w:hyperlink>
    </w:p>
    <w:p>
      <w:pPr>
        <w:pStyle w:val="Tabledesmatiresniveau2"/>
        <w:tabs>
          <w:tab w:val="right" w:pos="9638" w:leader="dot"/>
        </w:tabs>
        <w:rPr/>
      </w:pPr>
      <w:hyperlink w:anchor="__RefHeading___Toc298192_1346298689">
        <w:r>
          <w:rPr>
            <w:rStyle w:val="Sautdindex"/>
          </w:rPr>
          <w:t>B. Občianske panely</w:t>
          <w:tab/>
          <w:t>16</w:t>
        </w:r>
      </w:hyperlink>
    </w:p>
    <w:p>
      <w:pPr>
        <w:pStyle w:val="Tabledesmatiresniveau2"/>
        <w:tabs>
          <w:tab w:val="right" w:pos="9638" w:leader="dot"/>
        </w:tabs>
        <w:rPr/>
      </w:pPr>
      <w:hyperlink w:anchor="__RefHeading___Toc298228_1346298689">
        <w:r>
          <w:rPr>
            <w:rStyle w:val="Sautdindex"/>
          </w:rPr>
          <w:t>C. Podujatia organizované v rámci konferencie</w:t>
          <w:tab/>
          <w:t>27</w:t>
        </w:r>
      </w:hyperlink>
    </w:p>
    <w:p>
      <w:pPr>
        <w:pStyle w:val="Tabledesmatiresniveau1"/>
        <w:tabs>
          <w:tab w:val="right" w:pos="9638" w:leader="dot"/>
        </w:tabs>
        <w:rPr/>
      </w:pPr>
      <w:hyperlink w:anchor="__RefHeading___Toc298238_1346298689">
        <w:r>
          <w:rPr>
            <w:rStyle w:val="Sautdindex"/>
          </w:rPr>
          <w:t>III. Plenárne zhromaždenie konferencie</w:t>
          <w:tab/>
          <w:t>37</w:t>
        </w:r>
      </w:hyperlink>
    </w:p>
    <w:p>
      <w:pPr>
        <w:pStyle w:val="Tabledesmatiresniveau2"/>
        <w:tabs>
          <w:tab w:val="right" w:pos="9638" w:leader="dot"/>
        </w:tabs>
        <w:rPr/>
      </w:pPr>
      <w:hyperlink w:anchor="__RefHeading___Toc298240_1346298689">
        <w:r>
          <w:rPr>
            <w:rStyle w:val="Sautdindex"/>
          </w:rPr>
          <w:t>A. Úloha a fungovanie plenárneho zhromaždenia</w:t>
          <w:tab/>
          <w:t>38</w:t>
        </w:r>
      </w:hyperlink>
    </w:p>
    <w:p>
      <w:pPr>
        <w:pStyle w:val="Tabledesmatiresniveau2"/>
        <w:tabs>
          <w:tab w:val="right" w:pos="9638" w:leader="dot"/>
        </w:tabs>
        <w:rPr/>
      </w:pPr>
      <w:hyperlink w:anchor="__RefHeading___Toc298242_1346298689">
        <w:r>
          <w:rPr>
            <w:rStyle w:val="Sautdindex"/>
          </w:rPr>
          <w:t>B. Pracovné skupiny</w:t>
          <w:tab/>
          <w:t>39</w:t>
        </w:r>
      </w:hyperlink>
    </w:p>
    <w:p>
      <w:pPr>
        <w:pStyle w:val="Tabledesmatiresniveau2"/>
        <w:tabs>
          <w:tab w:val="right" w:pos="9638" w:leader="dot"/>
        </w:tabs>
        <w:rPr/>
      </w:pPr>
      <w:hyperlink w:anchor="__RefHeading___Toc298244_1346298689">
        <w:r>
          <w:rPr>
            <w:rStyle w:val="Sautdindex"/>
          </w:rPr>
          <w:t>C. Chronologický súhrn</w:t>
          <w:tab/>
          <w:t>40</w:t>
        </w:r>
      </w:hyperlink>
    </w:p>
    <w:p>
      <w:pPr>
        <w:pStyle w:val="Tabledesmatiresniveau1"/>
        <w:tabs>
          <w:tab w:val="right" w:pos="9638" w:leader="dot"/>
        </w:tabs>
        <w:rPr/>
      </w:pPr>
      <w:hyperlink w:anchor="__RefHeading___Toc298246_1346298689">
        <w:r>
          <w:rPr>
            <w:rStyle w:val="Sautdindex"/>
          </w:rPr>
          <w:t>IV. Návrhy plenárneho zhromaždenia</w:t>
          <w:tab/>
          <w:t>46</w:t>
        </w:r>
      </w:hyperlink>
    </w:p>
    <w:p>
      <w:pPr>
        <w:pStyle w:val="Tabledesmatiresniveau2"/>
        <w:tabs>
          <w:tab w:val="right" w:pos="9638" w:leader="dot"/>
        </w:tabs>
        <w:rPr/>
      </w:pPr>
      <w:hyperlink w:anchor="__RefHeading___Toc298248_1346298689">
        <w:r>
          <w:rPr>
            <w:rStyle w:val="Sautdindex"/>
          </w:rPr>
          <w:t>Zmena klímy a životné prostredie</w:t>
          <w:tab/>
          <w:t>47</w:t>
        </w:r>
      </w:hyperlink>
    </w:p>
    <w:p>
      <w:pPr>
        <w:pStyle w:val="Tabledesmatiresniveau2"/>
        <w:tabs>
          <w:tab w:val="right" w:pos="9638" w:leader="dot"/>
        </w:tabs>
        <w:rPr/>
      </w:pPr>
      <w:hyperlink w:anchor="__RefHeading___Toc298272_1346298689">
        <w:r>
          <w:rPr>
            <w:rStyle w:val="Sautdindex"/>
          </w:rPr>
          <w:t>„</w:t>
        </w:r>
        <w:r>
          <w:rPr>
            <w:rStyle w:val="Sautdindex"/>
          </w:rPr>
          <w:t>Zdravie“</w:t>
          <w:tab/>
          <w:t>53</w:t>
        </w:r>
      </w:hyperlink>
    </w:p>
    <w:p>
      <w:pPr>
        <w:pStyle w:val="Tabledesmatiresniveau2"/>
        <w:tabs>
          <w:tab w:val="right" w:pos="9638" w:leader="dot"/>
        </w:tabs>
        <w:rPr/>
      </w:pPr>
      <w:hyperlink w:anchor="__RefHeading___Toc298288_1346298689">
        <w:r>
          <w:rPr>
            <w:rStyle w:val="Sautdindex"/>
          </w:rPr>
          <w:t>Silnejšia ekonomika, sociálna spravodlivosť a zamestnanosť</w:t>
          <w:tab/>
          <w:t>57</w:t>
        </w:r>
      </w:hyperlink>
    </w:p>
    <w:p>
      <w:pPr>
        <w:pStyle w:val="Tabledesmatiresniveau2"/>
        <w:tabs>
          <w:tab w:val="right" w:pos="9638" w:leader="dot"/>
        </w:tabs>
        <w:rPr/>
      </w:pPr>
      <w:hyperlink w:anchor="__RefHeading___Toc298302_1346298689">
        <w:r>
          <w:rPr>
            <w:rStyle w:val="Sautdindex"/>
          </w:rPr>
          <w:t>„</w:t>
        </w:r>
        <w:r>
          <w:rPr>
            <w:rStyle w:val="Sautdindex"/>
          </w:rPr>
          <w:t>EÚ vo svete“</w:t>
          <w:tab/>
          <w:t>66</w:t>
        </w:r>
      </w:hyperlink>
    </w:p>
    <w:p>
      <w:pPr>
        <w:pStyle w:val="Tabledesmatiresniveau2"/>
        <w:tabs>
          <w:tab w:val="right" w:pos="9638" w:leader="dot"/>
        </w:tabs>
        <w:rPr/>
      </w:pPr>
      <w:hyperlink w:anchor="__RefHeading___Toc298320_1346298689">
        <w:r>
          <w:rPr>
            <w:rStyle w:val="Sautdindex"/>
          </w:rPr>
          <w:t>Hodnoty a práva, právny štát, bezpečnosť</w:t>
          <w:tab/>
          <w:t>73</w:t>
        </w:r>
      </w:hyperlink>
    </w:p>
    <w:p>
      <w:pPr>
        <w:pStyle w:val="Tabledesmatiresniveau2"/>
        <w:tabs>
          <w:tab w:val="right" w:pos="9638" w:leader="dot"/>
        </w:tabs>
        <w:rPr/>
      </w:pPr>
      <w:hyperlink w:anchor="__RefHeading___Toc298334_1346298689">
        <w:r>
          <w:rPr>
            <w:rStyle w:val="Sautdindex"/>
          </w:rPr>
          <w:t>„</w:t>
        </w:r>
        <w:r>
          <w:rPr>
            <w:rStyle w:val="Sautdindex"/>
          </w:rPr>
          <w:t>Digitálna transformácia“</w:t>
          <w:tab/>
          <w:t>78</w:t>
        </w:r>
      </w:hyperlink>
    </w:p>
    <w:p>
      <w:pPr>
        <w:pStyle w:val="Tabledesmatiresniveau2"/>
        <w:tabs>
          <w:tab w:val="right" w:pos="9638" w:leader="dot"/>
        </w:tabs>
        <w:rPr/>
      </w:pPr>
      <w:hyperlink w:anchor="__RefHeading___Toc298346_1346298689">
        <w:r>
          <w:rPr>
            <w:rStyle w:val="Sautdindex"/>
          </w:rPr>
          <w:t>„</w:t>
        </w:r>
        <w:r>
          <w:rPr>
            <w:rStyle w:val="Sautdindex"/>
          </w:rPr>
          <w:t>Európska demokracia“</w:t>
          <w:tab/>
          <w:t>83</w:t>
        </w:r>
      </w:hyperlink>
    </w:p>
    <w:p>
      <w:pPr>
        <w:pStyle w:val="Tabledesmatiresniveau2"/>
        <w:tabs>
          <w:tab w:val="right" w:pos="9638" w:leader="dot"/>
        </w:tabs>
        <w:rPr/>
      </w:pPr>
      <w:hyperlink w:anchor="__RefHeading___Toc298358_1346298689">
        <w:r>
          <w:rPr>
            <w:rStyle w:val="Sautdindex"/>
          </w:rPr>
          <w:t>„</w:t>
        </w:r>
        <w:r>
          <w:rPr>
            <w:rStyle w:val="Sautdindex"/>
          </w:rPr>
          <w:t>Migrácie“</w:t>
          <w:tab/>
          <w:t>89</w:t>
        </w:r>
      </w:hyperlink>
    </w:p>
    <w:p>
      <w:pPr>
        <w:pStyle w:val="Tabledesmatiresniveau2"/>
        <w:tabs>
          <w:tab w:val="right" w:pos="9638" w:leader="dot"/>
        </w:tabs>
        <w:rPr/>
      </w:pPr>
      <w:hyperlink w:anchor="__RefHeading___Toc298370_1346298689">
        <w:r>
          <w:rPr>
            <w:rStyle w:val="Sautdindex"/>
          </w:rPr>
          <w:t>Vzdelávanie, kultúra, mládež a šport</w:t>
          <w:tab/>
          <w:t>93</w:t>
        </w:r>
      </w:hyperlink>
    </w:p>
    <w:p>
      <w:pPr>
        <w:pStyle w:val="Tabledesmatiresniveau1"/>
        <w:tabs>
          <w:tab w:val="right" w:pos="9638" w:leader="dot"/>
        </w:tabs>
        <w:rPr/>
      </w:pPr>
      <w:hyperlink w:anchor="__RefHeading___Toc298380_1346298689">
        <w:r>
          <w:rPr>
            <w:rStyle w:val="Sautdindex"/>
          </w:rPr>
          <w:t>Záverečné úvahy výkonnej rady</w:t>
          <w:tab/>
          <w:t>97</w:t>
        </w:r>
      </w:hyperlink>
    </w:p>
    <w:p>
      <w:pPr>
        <w:pStyle w:val="Tabledesmatiresniveau1"/>
        <w:tabs>
          <w:tab w:val="right" w:pos="9638" w:leader="dot"/>
        </w:tabs>
        <w:rPr/>
      </w:pPr>
      <w:hyperlink w:anchor="__RefHeading___Toc297141_1346298689">
        <w:r>
          <w:rPr>
            <w:rStyle w:val="Sautdindex"/>
          </w:rPr>
          <w:t>Príloha I – Odporúčania štyroch európskych panelových diskusií občanov</w:t>
          <w:tab/>
          <w:t>100</w:t>
        </w:r>
      </w:hyperlink>
    </w:p>
    <w:p>
      <w:pPr>
        <w:pStyle w:val="Tabledesmatiresniveau2"/>
        <w:tabs>
          <w:tab w:val="right" w:pos="9638" w:leader="dot"/>
        </w:tabs>
        <w:rPr/>
      </w:pPr>
      <w:hyperlink w:anchor="__RefHeading___Toc297143_1346298689">
        <w:r>
          <w:rPr>
            <w:rStyle w:val="Sautdindex"/>
          </w:rPr>
          <w:t>Európsky panel občanov 1: Silnejšia ekonomika, sociálna spravodlivosť a zamestnanosť/vzdelávanie, kultúra, mládež a šport/digitálna transformácia</w:t>
          <w:tab/>
          <w:t>101</w:t>
        </w:r>
      </w:hyperlink>
    </w:p>
    <w:p>
      <w:pPr>
        <w:pStyle w:val="Tabledesmatiresniveau2"/>
        <w:tabs>
          <w:tab w:val="right" w:pos="9638" w:leader="dot"/>
        </w:tabs>
        <w:rPr/>
      </w:pPr>
      <w:hyperlink w:anchor="__RefHeading___Toc297195_1346298689">
        <w:r>
          <w:rPr>
            <w:rStyle w:val="Sautdindex"/>
          </w:rPr>
          <w:t>Európska panelová diskusia občanov 2: „Európska demokracia; hodnoty a práva, právny štát, bezpečnosť</w:t>
          <w:tab/>
          <w:t>118</w:t>
        </w:r>
      </w:hyperlink>
    </w:p>
    <w:p>
      <w:pPr>
        <w:pStyle w:val="Tabledesmatiresniveau2"/>
        <w:tabs>
          <w:tab w:val="right" w:pos="9638" w:leader="dot"/>
        </w:tabs>
        <w:rPr/>
      </w:pPr>
      <w:hyperlink w:anchor="__RefHeading___Toc297245_1346298689">
        <w:r>
          <w:rPr>
            <w:rStyle w:val="Sautdindex"/>
          </w:rPr>
          <w:t>Európsky panel občanov 3: Zmena klímy a životné prostredie/zdravie</w:t>
          <w:tab/>
          <w:t>131</w:t>
        </w:r>
      </w:hyperlink>
    </w:p>
    <w:p>
      <w:pPr>
        <w:pStyle w:val="Tabledesmatiresniveau2"/>
        <w:tabs>
          <w:tab w:val="right" w:pos="9638" w:leader="dot"/>
        </w:tabs>
        <w:rPr/>
      </w:pPr>
      <w:hyperlink w:anchor="__RefHeading___Toc297297_1346298689">
        <w:r>
          <w:rPr>
            <w:rStyle w:val="Sautdindex"/>
          </w:rPr>
          <w:t>Európsky panel občanov č. 4: „EÚ vo svete/migrácia“</w:t>
          <w:tab/>
          <w:t>148</w:t>
        </w:r>
      </w:hyperlink>
    </w:p>
    <w:p>
      <w:pPr>
        <w:pStyle w:val="Tabledesmatiresniveau1"/>
        <w:tabs>
          <w:tab w:val="right" w:pos="9638" w:leader="dot"/>
        </w:tabs>
        <w:rPr/>
      </w:pPr>
      <w:hyperlink w:anchor="__RefHeading___Toc297345_1346298689">
        <w:r>
          <w:rPr>
            <w:rStyle w:val="Sautdindex"/>
          </w:rPr>
          <w:t>II A – Vnútroštátne panely: Belgicko</w:t>
          <w:tab/>
          <w:t>161</w:t>
        </w:r>
      </w:hyperlink>
    </w:p>
    <w:p>
      <w:pPr>
        <w:pStyle w:val="Tabledesmatiresniveau1"/>
        <w:tabs>
          <w:tab w:val="right" w:pos="9638" w:leader="dot"/>
        </w:tabs>
        <w:rPr/>
      </w:pPr>
      <w:hyperlink w:anchor="__RefHeading___Toc297349_1346298689">
        <w:r>
          <w:rPr>
            <w:rStyle w:val="Sautdindex"/>
          </w:rPr>
          <w:t>II B Národné panely: Francúzsko</w:t>
          <w:tab/>
          <w:t>176</w:t>
        </w:r>
      </w:hyperlink>
    </w:p>
    <w:p>
      <w:pPr>
        <w:pStyle w:val="Tabledesmatiresniveau2"/>
        <w:tabs>
          <w:tab w:val="right" w:pos="9638" w:leader="dot"/>
        </w:tabs>
        <w:rPr/>
      </w:pPr>
      <w:hyperlink w:anchor="__RefHeading___Toc300448_1346298689">
        <w:r>
          <w:rPr>
            <w:rStyle w:val="Sautdindex"/>
          </w:rPr>
          <w:t>Úvod</w:t>
          <w:tab/>
          <w:t>179</w:t>
        </w:r>
      </w:hyperlink>
    </w:p>
    <w:p>
      <w:pPr>
        <w:pStyle w:val="Tabledesmatiresniveau2"/>
        <w:tabs>
          <w:tab w:val="right" w:pos="9638" w:leader="dot"/>
        </w:tabs>
        <w:rPr/>
      </w:pPr>
      <w:hyperlink w:anchor="__RefHeading___Toc300450_1346298689">
        <w:r>
          <w:rPr>
            <w:rStyle w:val="Sautdindex"/>
          </w:rPr>
          <w:t>Prezentácia hlavných výsledkov</w:t>
          <w:tab/>
          <w:t>182</w:t>
        </w:r>
      </w:hyperlink>
    </w:p>
    <w:p>
      <w:pPr>
        <w:pStyle w:val="Tabledesmatiresniveau2"/>
        <w:tabs>
          <w:tab w:val="right" w:pos="9638" w:leader="dot"/>
        </w:tabs>
        <w:rPr/>
      </w:pPr>
      <w:hyperlink w:anchor="__RefHeading___Toc300452_1346298689">
        <w:r>
          <w:rPr>
            <w:rStyle w:val="Sautdindex"/>
          </w:rPr>
          <w:t>Prezentácia panelov regionálnych konferencií</w:t>
          <w:tab/>
          <w:t>184</w:t>
        </w:r>
      </w:hyperlink>
    </w:p>
    <w:p>
      <w:pPr>
        <w:pStyle w:val="Tabledesmatiresniveau2"/>
        <w:tabs>
          <w:tab w:val="right" w:pos="9638" w:leader="dot"/>
        </w:tabs>
        <w:rPr/>
      </w:pPr>
      <w:hyperlink w:anchor="__RefHeading___Toc300454_1346298689">
        <w:r>
          <w:rPr>
            <w:rStyle w:val="Sautdindex"/>
          </w:rPr>
          <w:t>Metodické záväzky a zaujatosti</w:t>
          <w:tab/>
          <w:t>186</w:t>
        </w:r>
      </w:hyperlink>
    </w:p>
    <w:p>
      <w:pPr>
        <w:pStyle w:val="Tabledesmatiresniveau2"/>
        <w:tabs>
          <w:tab w:val="right" w:pos="9638" w:leader="dot"/>
        </w:tabs>
        <w:rPr/>
      </w:pPr>
      <w:hyperlink w:anchor="__RefHeading___Toc297351_1346298689">
        <w:r>
          <w:rPr>
            <w:rStyle w:val="Sautdindex"/>
          </w:rPr>
          <w:t>Druhá časť: prezentácia výsledkov konzultácie „Sláva pre mládež“</w:t>
          <w:tab/>
          <w:t>202</w:t>
        </w:r>
      </w:hyperlink>
    </w:p>
    <w:p>
      <w:pPr>
        <w:pStyle w:val="Tabledesmatiresniveau2"/>
        <w:tabs>
          <w:tab w:val="right" w:pos="9638" w:leader="dot"/>
        </w:tabs>
        <w:rPr/>
      </w:pPr>
      <w:hyperlink w:anchor="__RefHeading___Toc300458_1346298689">
        <w:r>
          <w:rPr>
            <w:rStyle w:val="Sautdindex"/>
          </w:rPr>
          <w:t>Záver</w:t>
          <w:tab/>
          <w:t>205</w:t>
        </w:r>
      </w:hyperlink>
    </w:p>
    <w:p>
      <w:pPr>
        <w:pStyle w:val="Tabledesmatiresniveau1"/>
        <w:tabs>
          <w:tab w:val="right" w:pos="9638" w:leader="dot"/>
        </w:tabs>
        <w:rPr/>
      </w:pPr>
      <w:hyperlink w:anchor="__RefHeading___Toc297353_1346298689">
        <w:r>
          <w:rPr>
            <w:rStyle w:val="Sautdindex"/>
          </w:rPr>
          <w:t>II C Národné panely: Nemecko</w:t>
          <w:tab/>
          <w:t>207</w:t>
        </w:r>
      </w:hyperlink>
    </w:p>
    <w:p>
      <w:pPr>
        <w:pStyle w:val="Tabledesmatiresniveau1"/>
        <w:tabs>
          <w:tab w:val="right" w:pos="9638" w:leader="dot"/>
        </w:tabs>
        <w:rPr/>
      </w:pPr>
      <w:hyperlink w:anchor="__RefHeading___Toc297355_1346298689">
        <w:r>
          <w:rPr>
            <w:rStyle w:val="Sautdindex"/>
          </w:rPr>
          <w:t>II D Národné panely: Taliansko</w:t>
          <w:tab/>
          <w:t>213</w:t>
        </w:r>
      </w:hyperlink>
    </w:p>
    <w:p>
      <w:pPr>
        <w:pStyle w:val="Tabledesmatiresniveau2"/>
        <w:tabs>
          <w:tab w:val="right" w:pos="9638" w:leader="dot"/>
        </w:tabs>
        <w:rPr/>
      </w:pPr>
      <w:hyperlink w:anchor="__RefHeading___Toc300314_1346298689">
        <w:r>
          <w:rPr>
            <w:rStyle w:val="Sautdindex"/>
          </w:rPr>
          <w:t>4. Pracovný program</w:t>
          <w:tab/>
          <w:t>219</w:t>
        </w:r>
      </w:hyperlink>
    </w:p>
    <w:p>
      <w:pPr>
        <w:pStyle w:val="Tabledesmatiresniveau2"/>
        <w:tabs>
          <w:tab w:val="right" w:pos="9638" w:leader="dot"/>
        </w:tabs>
        <w:rPr/>
      </w:pPr>
      <w:hyperlink w:anchor="__RefHeading___Toc300322_1346298689">
        <w:r>
          <w:rPr>
            <w:rStyle w:val="Sautdindex"/>
          </w:rPr>
          <w:t>6. Záverečné hodnotenie účastníkmi</w:t>
          <w:tab/>
          <w:t>228</w:t>
        </w:r>
      </w:hyperlink>
    </w:p>
    <w:p>
      <w:pPr>
        <w:pStyle w:val="Tabledesmatiresniveau1"/>
        <w:tabs>
          <w:tab w:val="right" w:pos="9638" w:leader="dot"/>
        </w:tabs>
        <w:rPr/>
      </w:pPr>
      <w:hyperlink w:anchor="__RefHeading___Toc298382_1346298689">
        <w:r>
          <w:rPr>
            <w:rStyle w:val="Sautdindex"/>
          </w:rPr>
          <w:t>II E Národné panely: Litva</w:t>
          <w:tab/>
          <w:t>231</w:t>
        </w:r>
      </w:hyperlink>
    </w:p>
    <w:p>
      <w:pPr>
        <w:pStyle w:val="Tabledesmatiresniveau1"/>
        <w:tabs>
          <w:tab w:val="right" w:pos="9638" w:leader="dot"/>
        </w:tabs>
        <w:rPr/>
      </w:pPr>
      <w:hyperlink w:anchor="__RefHeading___Toc297357_1346298689">
        <w:r>
          <w:rPr>
            <w:rStyle w:val="Sautdindex"/>
          </w:rPr>
          <w:t>II F Národné panely: Holandsko</w:t>
          <w:tab/>
          <w:t>239</w:t>
        </w:r>
      </w:hyperlink>
    </w:p>
    <w:p>
      <w:pPr>
        <w:pStyle w:val="Tabledesmatiresniveau1"/>
        <w:tabs>
          <w:tab w:val="right" w:pos="9638" w:leader="dot"/>
        </w:tabs>
        <w:rPr/>
      </w:pPr>
      <w:hyperlink w:anchor="__RefHeading___Toc297359_1346298689">
        <w:r>
          <w:rPr>
            <w:rStyle w:val="Sautdindex"/>
          </w:rPr>
          <w:t>III – Odkazy na výsledky národných podujatí</w:t>
          <w:tab/>
          <w:t>291</w:t>
        </w:r>
      </w:hyperlink>
    </w:p>
    <w:p>
      <w:pPr>
        <w:pStyle w:val="Tabledesmatiresniveau1"/>
        <w:tabs>
          <w:tab w:val="right" w:pos="9638" w:leader="dot"/>
        </w:tabs>
        <w:rPr/>
      </w:pPr>
      <w:hyperlink w:anchor="__RefHeading___Toc344888_2081073262">
        <w:r>
          <w:rPr>
            <w:rStyle w:val="Sautdindex"/>
          </w:rPr>
          <w:t>IV – Odkaz na správu viacjazyčnej digitálnej platformy</w:t>
          <w:tab/>
          <w:t>292</w:t>
        </w:r>
      </w:hyperlink>
    </w:p>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20">
            <wp:simplePos x="0" y="0"/>
            <wp:positionH relativeFrom="column">
              <wp:align>center</wp:align>
            </wp:positionH>
            <wp:positionV relativeFrom="paragraph">
              <wp:posOffset>635</wp:posOffset>
            </wp:positionV>
            <wp:extent cx="6120130" cy="8663305"/>
            <wp:effectExtent l="0" t="0" r="0" b="0"/>
            <wp:wrapSquare wrapText="largest"/>
            <wp:docPr id="10" name="Obrázok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ok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Úvod</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Predseda Európskeho parlamentu David Sassoli, portugalský predseda vlády António Costa v mene Rady EÚ, a predsedníčka Európskej komisie Ursula von der Leyen podpísali 10. marca 2021 spoločné vyhlásenie o Konferencii o budúcnosti Európy. Záväzok, ktorý prijali, bol jednoduchý: bolo to cvičenie zamerané na občanov založené na prístupe zdola nahor s cieľom zabezpečiť, aby všetci Európania mali možnosť vyjadriť sa k tomu, čo očakávajú od Európskej únie, a zohrávať významnejšiu úlohu pri formovaní budúcnosti Únie. Ich úloha bola na druhej strane veľmi náročná: cieľom bolo po prvýkrát zorganizovať nadnárodný, viacjazyčný a medziinštitucionálny výkon deliberatívnej demokracie zahŕňajúci tisíce európskych občanov, ako aj politických aktérov, sociálnych partnerov, zástupcov občianskej spoločnosti a kľúčových zainteresovaných strán v zmysle článku 16 rokovacieho poriadku konferencie.</w:t>
      </w:r>
    </w:p>
    <w:p>
      <w:pPr>
        <w:pStyle w:val="Normal"/>
        <w:rPr/>
      </w:pPr>
      <w:r>
        <w:rPr/>
        <w:t>Konferencia 9. mája 2022 po mesiacoch intenzívnych rokovaní dokončila svoju prácu a trom inštitúciám EÚ predložila správu o svojich konečných výsledkoch so 49 návrhmi. Tieto návrhy zodpovedajú očakávaniam európskych občanov, pokiaľ ide o deväť tém: Silnejšie hospodárstvo, sociálna spravodlivosť a zamestnanosť; Vzdelávanie, kultúra, mládež a šport; Digitálna transformácia; Európska demokracia; Hodnoty a práva, právny štát, bezpečnosť; Zmena klímy a životné prostredie; Zdravie; EÚ vo svete; migrácia. Všetky tieto témy sú uvedené v tejto záverečnej správe, ktorej cieľom je poskytnúť aj prehľad rôznych činností uskutočnených v rámci tohto jedinečného procesu, Konferencie o budúcnosti Európy.</w:t>
      </w:r>
    </w:p>
    <w:p>
      <w:pPr>
        <w:pStyle w:val="Corpsdetexte"/>
        <w:rPr/>
      </w:pPr>
      <w:r>
        <w:rPr/>
        <w:t>Pod vedením troch spolupredsedov (Guy Verhofstadt za Európsky parlament; Ana Paula Zacarias, Gašper Dovžan a Clément Beaune, postupne pre Radu EÚ; a Dubravka Šuica za Európsku komisiu) a pod vedením výkonnej rady (rovnako zloženej zo zástupcov troch inštitúcií, ako aj z pozorovateľov z hlavných zainteresovaných strán) bola konferencia bezprecedentnou skúsenosťou nadnárodnej deliberatívnej demokracie. Takisto preukázala svoj historický význam a význam v kontexte pandémie COVID-19 a ruskej agresie voči Ukrajine. Výsledkom Konferencie o budúcnosti Európy bolo vytvorenie viacjazyčnej digitálnej platformy pre európskych občanov s cieľom prispieť vo všetkých 24 jazykoch EÚ a organizácia štyroch európskych panelových diskusií občanov, šiestich národných panelových diskusií občanov, tisícok vnútroštátnych a miestnych podujatí a siedmich plenárnych zhromaždení konferencie. Je výsledkom bezprecedentnej ochoty inštitúcií EÚ, členských štátov, ale predovšetkým európskych občanov diskutovať o prioritách Európskej únie a výzvach, ktorým čelí, a prijať nový prístup k európskemu projektu.</w:t>
      </w:r>
    </w:p>
    <w:p>
      <w:pPr>
        <w:pStyle w:val="Corpsdetexte"/>
        <w:rPr/>
      </w:pPr>
      <w:r>
        <w:rPr/>
        <w:t>To je však len začiatok. V súlade so zakladajúcim textom konferencie teraz tieto tri inštitúcie rýchlo zvážia, ako účinne vykonávať túto správu v rámci svojich právomocí a v súlade so zmluvami. Určenie troch inštitúcií je v tejto súvislosti prvoradé.</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Architektúra konferencie</w:t>
      </w:r>
    </w:p>
    <w:p>
      <w:pPr>
        <w:pStyle w:val="Corpsdetexte"/>
        <w:rPr/>
      </w:pPr>
      <w:r>
        <w:rPr>
          <w:sz w:val="40"/>
        </w:rPr>
        <w:t>Konferencia o budúcnosti Európy</w:t>
      </w:r>
      <w:r>
        <w:rPr>
          <w:rStyle w:val="Ancredenotedebasdepage"/>
          <w:rStyle w:val="Ancredenotedebasdepage"/>
          <w:sz w:val="40"/>
        </w:rPr>
        <w:footnoteReference w:id="2"/>
      </w:r>
      <w:r>
        <w:rPr>
          <w:sz w:val="40"/>
        </w:rPr>
        <w:t xml:space="preserve"> bola novým a inovatívnym procesom, ktorý otvoril nový priestor na diskusiu s občanmi s cieľom preskúmať priority a výzvy Európy s cieľom stanoviť demokratickú legitimitu európskeho projektu a podporiť dodržiavanie našich spoločných hodnôt a cieľov občanmi. Konferencia bola zameraná na občanov na základe prístupu zdola nahor s cieľom zabezpečiť, aby sa Európania mohli vyjadriť k tomu, čo od Európskej únie očakávajú. Bola to spoločná iniciatíva Európskeho parlamentu, Rady a Európskej komisie, ktorá konala za rovnakých podmienok ako členské štáty Európskej únie.</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Spoločné vyhlásenie</w:t>
      </w:r>
    </w:p>
    <w:p>
      <w:pPr>
        <w:pStyle w:val="Normal"/>
        <w:rPr/>
      </w:pPr>
      <w:r>
        <w:rPr/>
      </w:r>
    </w:p>
    <w:p>
      <w:pPr>
        <w:pStyle w:val="Normal"/>
        <w:rPr/>
      </w:pPr>
      <w:r>
        <w:rPr/>
        <w:t>Dňa 10. marca 2021 podpísal zosnulý predseda Európskeho parlamentu David Sassoli, portugalský predseda vlády António Costa, a predsedníčka Európskej komisie Ursula von der Leyenová spoločné vyhlásenie o Konferencii o budúcnosti Európy (ďalej len „spoločné vyhlásenie“), čím pripravila pôdu pre toto bezprecedentné, otvorené a inkluzívne európske demokratické cvičenie, ktoré dáva občanom ústredné miesto.</w:t>
      </w:r>
    </w:p>
    <w:p>
      <w:pPr>
        <w:pStyle w:val="Normal"/>
        <w:rPr/>
      </w:pPr>
      <w:r>
        <w:rPr/>
        <w:t>Konferencia bola poverená predsedami troch inštitúcií, ktorí pôsobili ako spoločné predsedníctvo. Spoločnému predsedníctvu pomáhala výkonná rada, ktorej spolupredsedal jeden člen z každej z troch inštitúcií EÚ.</w:t>
      </w:r>
    </w:p>
    <w:p>
      <w:pPr>
        <w:pStyle w:val="Normal"/>
        <w:rPr/>
      </w:pPr>
      <w:r>
        <w:rPr/>
        <w:t xml:space="preserve">V súlade so spoločným vyhlásením sa zriadili tieto štruktúry: </w:t>
      </w:r>
    </w:p>
    <w:p>
      <w:pPr>
        <w:pStyle w:val="Alineanegatifpuce"/>
        <w:numPr>
          <w:ilvl w:val="0"/>
          <w:numId w:val="3"/>
        </w:numPr>
        <w:rPr/>
      </w:pPr>
      <w:r>
        <w:rPr/>
        <w:t>výkonný výbor, ktorý dohliadal na organizáciu konferencie. Pozostávala zo zástupcov troch inštitúcií EÚ (tri členovia a štyria pozorovatelia), ako aj z pozorovateľov z prezidentskej trojky Konferencie orgánov pre záležitosti Spoločenstva (COSAC) národných parlamentov Európskej únie. Výbor regiónov, Európsky hospodársky a sociálny výbor a zástupcovia sociálnych partnerov boli pozvaní ako pozorovatelia;</w:t>
      </w:r>
    </w:p>
    <w:p>
      <w:pPr>
        <w:pStyle w:val="Alineanegatifpuce"/>
        <w:numPr>
          <w:ilvl w:val="0"/>
          <w:numId w:val="3"/>
        </w:numPr>
        <w:rPr/>
      </w:pPr>
      <w:r>
        <w:rPr/>
        <w:t>spoločný sekretariát zabezpečujúci rovnaké zastúpenie troch inštitúcií, ktorý podporuje prácu výkonnej rady. Tím pod vedením troch spolupredsedov troch inštitúcií dohliadal najmä na organizáciu a prípravu zasadnutí výkonnej rady, plenárnych zhromaždení konferencie a európskych panelových diskusií občanov. V spolupráci s poskytovateľmi služieb bola zodpovedná za riadenie viacjazyčnej digitálnej platformy a podávanie správ o kľúčových míľnikoch počas celého procesu.</w:t>
        <w:br/>
        <w:t xml:space="preserve">Jedinečné zloženie tohto tímu umožnilo neustálu kolegialitu práce a zabezpečilo synergie a zvýšenie efektívnosti vo všetkých oblastiach; </w:t>
      </w:r>
    </w:p>
    <w:p>
      <w:pPr>
        <w:pStyle w:val="Alineanegatifpuce"/>
        <w:numPr>
          <w:ilvl w:val="0"/>
          <w:numId w:val="3"/>
        </w:numPr>
        <w:rPr/>
      </w:pPr>
      <w:r>
        <w:rPr/>
        <w:t>plenárne zhromaždenie konferencie (viac informácií pozri kapitolu III), ktoré umožnilo diskutovať o odporúčaniach národných a európskych panelových diskusií občanov, zoskupených podľa tém, pri plnom rešpektovaní hodnôt EÚ a charty konferencie</w:t>
      </w:r>
      <w:r>
        <w:rPr>
          <w:rStyle w:val="Ancredenotedebasdepage"/>
          <w:rStyle w:val="Ancredenotedebasdepage"/>
        </w:rPr>
        <w:footnoteReference w:id="3"/>
      </w:r>
      <w:r>
        <w:rPr/>
        <w:t>a bez toho, aby sa výsledok diskusií vopred určil alebo ich rozsah sa obmedzil na vopred vymedzené oblasti politiky. V prípade potreby sa diskutovalo aj o príspevkoch zhromaždených na viacjazyčnej digitálnej platforme. Bolo zriadených deväť tematických pracovných skupín, ktoré budú prispievať k príprave rozpráv a návrhov plenárneho zasadnutia.</w:t>
      </w:r>
    </w:p>
    <w:p>
      <w:pPr>
        <w:pStyle w:val="Alineanegatifpuce"/>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3">
            <wp:simplePos x="0" y="0"/>
            <wp:positionH relativeFrom="column">
              <wp:posOffset>0</wp:posOffset>
            </wp:positionH>
            <wp:positionV relativeFrom="paragraph">
              <wp:posOffset>99695</wp:posOffset>
            </wp:positionV>
            <wp:extent cx="2970530" cy="8561705"/>
            <wp:effectExtent l="0" t="0" r="0" b="0"/>
            <wp:wrapSquare wrapText="largest"/>
            <wp:docPr id="11" name="Obrázok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ok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Rokovací poriadok</w:t>
      </w:r>
    </w:p>
    <w:p>
      <w:pPr>
        <w:pStyle w:val="Normal"/>
        <w:rPr/>
      </w:pPr>
      <w:r>
        <w:rPr/>
        <w:t>Výkonná rada 9. mája 2021 schválila rokovací poriadok konferencie vytvorenú v súlade so spoločným vyhlásením o Konferencii o budúcnosti Európy, v ktorom sa stanovujú základy a zásady konferencie.</w:t>
      </w:r>
    </w:p>
    <w:p>
      <w:pPr>
        <w:pStyle w:val="Normal"/>
        <w:rPr/>
      </w:pPr>
      <w:r>
        <w:rPr/>
        <w:t>Rokovací poriadok stanovuje rámec pre prácu rôznych štruktúr konferencie a ich vzájomné pôsobenie.</w:t>
      </w:r>
    </w:p>
    <w:p>
      <w:pPr>
        <w:pStyle w:val="Titre2"/>
        <w:numPr>
          <w:ilvl w:val="1"/>
          <w:numId w:val="2"/>
        </w:numPr>
        <w:rPr/>
      </w:pPr>
      <w:bookmarkStart w:id="3" w:name="__RefHeading___Toc298052_1346298689"/>
      <w:bookmarkEnd w:id="3"/>
      <w:r>
        <w:rPr/>
        <w:t>3. Podujatia súvisiace s konferenciou</w:t>
      </w:r>
    </w:p>
    <w:p>
      <w:pPr>
        <w:pStyle w:val="Corpsdetexte"/>
        <w:rPr/>
      </w:pPr>
      <w:r>
        <w:rPr/>
        <w:t>Podľa spoločného vyhlásenia by každý členský štát alebo inštitúcia EÚ mohol organizovať podujatia pod záštitou konferencie v závislosti od vnútroštátnych alebo inštitucionálnych špecifík a prispieť ku konferencii (viac informácií pozri v kapitole II.C).</w:t>
      </w:r>
    </w:p>
    <w:p>
      <w:pPr>
        <w:pStyle w:val="Corpsdetexte"/>
        <w:rPr/>
      </w:pPr>
      <w:r>
        <w:rPr/>
        <w:t>Inštitúcie a orgány EÚ, členské štáty, regionálne a miestne orgány, organizovaná občianska spoločnosť, sociálni partneri a občania boli preto vyzvané, aby organizovali podujatia v partnerstve s občianskou spoločnosťou a zainteresovanými stranami na európskej, vnútroštátnej, regionálnej a miestnej úrovni v širokej škále formátov v celej Európe a aby výsledky týchto podujatí zverejňovali na digitálnej platforme. Uskutočnilo sa niekoľko tisíc takýchto podujatí, na ktorých sa zúčastnilo približne 650 000 účastníkov.</w:t>
      </w:r>
    </w:p>
    <w:p>
      <w:pPr>
        <w:pStyle w:val="Titre2"/>
        <w:numPr>
          <w:ilvl w:val="1"/>
          <w:numId w:val="2"/>
        </w:numPr>
        <w:rPr/>
      </w:pPr>
      <w:bookmarkStart w:id="4" w:name="__RefHeading___Toc298054_1346298689"/>
      <w:bookmarkEnd w:id="4"/>
      <w:r>
        <w:rPr/>
        <w:t>4.</w:t>
        <w:tab/>
        <w:t>Implementácia viacjazyčnej digitálnej platformy</w:t>
      </w:r>
    </w:p>
    <w:p>
      <w:pPr>
        <w:pStyle w:val="Normal"/>
        <w:rPr/>
      </w:pPr>
      <w:r>
        <w:rPr/>
        <w:t>Viacjazyčná digitálna platforma (viac informácií pozri v kapitole II.A) bola zriadená s cieľom umožniť občanom podeliť sa o svoje nápady a posielať príspevky online v súlade so spoločným vyhlásením. Bola hlavným centrom pre príspevky a informovanie občanov o rôznych častiach konferencie a interaktívnym nástrojom na zdieľanie a diskusiu o nápadoch a príspevkoch mnohých podujatí organizovaných v rámci konferencie. Platforma bola oficiálne spustená 19. apríla 2021. Na platforme bolo zverejnených viac ako 17 000 nápadov.</w:t>
      </w:r>
    </w:p>
    <w:p>
      <w:pPr>
        <w:pStyle w:val="Corpsdetexte"/>
        <w:rPr/>
      </w:pPr>
      <w:r>
        <w:rPr/>
        <w:t>Počas konferencie boli vypracované správy o príspevkoch predložených na platforme.</w:t>
      </w:r>
    </w:p>
    <w:p>
      <w:pPr>
        <w:pStyle w:val="Normal"/>
        <w:rPr/>
      </w:pPr>
      <w:r>
        <w:rPr/>
        <w:t>Príspevky získané prostredníctvom platformy boli zohľadnené v európskych paneloch občanov a boli prediskutované a prediskutované na plenárnom zasadnutí konferencie.</w:t>
      </w:r>
    </w:p>
    <w:p>
      <w:pPr>
        <w:pStyle w:val="Titre2"/>
        <w:numPr>
          <w:ilvl w:val="1"/>
          <w:numId w:val="2"/>
        </w:numPr>
        <w:rPr/>
      </w:pPr>
      <w:bookmarkStart w:id="5" w:name="__RefHeading___Toc298056_1346298689"/>
      <w:bookmarkEnd w:id="5"/>
      <w:r>
        <w:rPr/>
        <w:t>5.</w:t>
        <w:tab/>
        <w:t>Európske panelové diskusie občanov</w:t>
      </w:r>
    </w:p>
    <w:p>
      <w:pPr>
        <w:pStyle w:val="Normal"/>
        <w:rPr/>
      </w:pPr>
      <w:r>
        <w:rPr/>
        <w:t>V súlade so spoločným vyhlásením boli európske panelové diskusie občanov organizované okolo hlavných tém konferencie ústredným a obzvlášť inovatívnym prvkom konferencie (viac informácií pozri v kapitole II.B).</w:t>
      </w:r>
    </w:p>
    <w:p>
      <w:pPr>
        <w:pStyle w:val="Normal"/>
        <w:rPr/>
      </w:pPr>
      <w:r>
        <w:rPr/>
        <w:t>Celkovo 800 náhodne vybraných občanov zastupujúcich sociologickú a geografickú rozmanitosť EÚ a zoskupených do štyroch panelov s 200 občanmi sa stretlo na troch diskusných zasadnutiach na paneli. Európske panelové diskusie občanov vydali odporúčania, ktoré boli podkladom pre všeobecné rokovania konferencie, najmä na plenárnom zasadnutí konferencie.</w:t>
      </w:r>
    </w:p>
    <w:p>
      <w:pPr>
        <w:pStyle w:val="Normal"/>
        <w:rPr/>
      </w:pPr>
      <w:r>
        <w:rPr/>
        <w:t>Spolupredsedovia výkonnej rady spoločne stanovili praktické opatrenia na organizáciu európskych panelových diskusií občanov v súlade so spoločným vyhlásením a rokovacím poriadkom a vopred informovali výkonnú radu.</w:t>
      </w:r>
    </w:p>
    <w:p>
      <w:pPr>
        <w:pStyle w:val="Normal"/>
        <w:rPr/>
      </w:pPr>
      <w:r>
        <w:rPr/>
        <w:t>Výkonná rada bola pravidelne informovaná o pokroku pri zriaďovaní a organizovaní európskych panelových diskusií občanov.</w:t>
      </w:r>
    </w:p>
    <w:p>
      <w:pPr>
        <w:pStyle w:val="Normal"/>
        <w:rPr/>
      </w:pPr>
      <w:r>
        <w:rPr/>
      </w:r>
    </w:p>
    <w:p>
      <w:pPr>
        <w:pStyle w:val="Titre2"/>
        <w:numPr>
          <w:ilvl w:val="1"/>
          <w:numId w:val="2"/>
        </w:numPr>
        <w:rPr/>
      </w:pPr>
      <w:bookmarkStart w:id="6" w:name="__RefHeading___Toc298058_1346298689"/>
      <w:bookmarkEnd w:id="6"/>
      <w:r>
        <w:rPr/>
        <w:t>6.</w:t>
        <w:tab/>
        <w:t>Národné panely občanov</w:t>
      </w:r>
    </w:p>
    <w:p>
      <w:pPr>
        <w:pStyle w:val="Normal"/>
        <w:rPr/>
      </w:pPr>
      <w:r>
        <w:rPr/>
        <w:t>Podľa spoločného vyhlásenia by členské štáty mohli organizovať národné panely. Spolupredsedovia schválili usmernenia s cieľom pomôcť členským štátom pri plánovaní organizovania vnútroštátnych panelov občanov a 26. mája 2021 ich postúpili výkonnej rade s cieľom zabezpečiť, aby sa národné panely organizovali podľa rovnakých zásad ako európske panelové diskusie občanov. Tieto usmernenia zahŕňali zásady dobrej diskusie založené na usmerneniach OECD</w:t>
      </w:r>
      <w:r>
        <w:rPr>
          <w:rStyle w:val="Ancredenotedebasdepage"/>
          <w:rStyle w:val="Ancredenotedebasdepage"/>
        </w:rPr>
        <w:footnoteReference w:id="4"/>
      </w:r>
      <w:r>
        <w:rPr/>
        <w:t>. Každý členský štát by sa mohol rozhodnúť, či usporiada alebo nezorganizuje panel vnútroštátnych občanov. Jeden z nich zorganizovalo šesť členských štátov (Belgicko, Francúzsko, Nemecko, Taliansko, Litva a Holandsko).</w:t>
      </w:r>
    </w:p>
    <w:p>
      <w:pPr>
        <w:pStyle w:val="Normal"/>
        <w:rPr/>
      </w:pPr>
      <w:r>
        <w:rPr/>
        <w:t>V súlade so spoločným vyhlásením boli odporúčania národných panelových diskusií občanov predložené a prerokované na plenárnych zasadnutiach konferencie súbežne s odporúčaniami európskych panelových diskusií občanov.</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NIE, NIE, NIE, NIE. Príspevky občanov na konferenciu</w:t>
      </w:r>
    </w:p>
    <w:p>
      <w:pPr>
        <w:pStyle w:val="Normal"/>
        <w:rPr/>
      </w:pPr>
      <w:r>
        <w:rPr/>
      </w:r>
      <w:r>
        <w:br w:type="page"/>
      </w:r>
    </w:p>
    <w:p>
      <w:pPr>
        <w:pStyle w:val="Titre2"/>
        <w:numPr>
          <w:ilvl w:val="1"/>
          <w:numId w:val="2"/>
        </w:numPr>
        <w:rPr/>
      </w:pPr>
      <w:bookmarkStart w:id="8" w:name="__RefHeading___Toc298190_1346298689"/>
      <w:bookmarkEnd w:id="8"/>
      <w:r>
        <w:rPr/>
        <w:t>A. Multilingválna digitálna platforma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Viacjazyčná digitálna platforma bola spustená 19. apríla 2021 a bola ústredným kontaktným bodom konferencie. Prostredníctvom nej sa každý mohol zúčastniť konferencie: všetci občania v EÚ a inde, občianska spoločnosť, sociálni partneri a rôzne ďalšie zainteresované strany.</w:t>
      </w:r>
    </w:p>
    <w:p>
      <w:pPr>
        <w:pStyle w:val="Normal"/>
        <w:rPr/>
      </w:pPr>
      <w:r>
        <w:rPr/>
        <w:t>Platforma bola vyvinutá špeciálne pre konferenciu s využitím európskeho slobodného softvéru Decidim venovaného účasti občanov. V takom rozsahu a úrovni interaktivity a viacjazyčnosti bol tento úspech prvým, nielen európskym, ale aj globálnym. Všetky príspevky boli dostupné vo všetkých 24 úradných jazykoch EÚ prostredníctvom strojového prekladu. Diskusia bola štruktúrovaná na desať tém: „Zmena klímy a životné prostredie“, „Zdravie“, „Silnejšie hospodárstvo, sociálna spravodlivosť a zamestnanosť“, „EÚ vo svete“, „Hodnoty a práva, právny štát, bezpečnosť“, „digitálna transformácia“, „európska demokracia“, „migrácia“, „Vzdelávanie, kultúra, mládež a šport“ a „Iné myšlienky“.</w:t>
      </w:r>
    </w:p>
    <w:p>
      <w:pPr>
        <w:pStyle w:val="Normal"/>
        <w:rPr/>
      </w:pPr>
      <w:r>
        <w:rPr/>
        <w:t>Na platforme bolo možné zapojiť sa rôznymi spôsobmi.</w:t>
      </w:r>
    </w:p>
    <w:p>
      <w:pPr>
        <w:pStyle w:val="Normal"/>
        <w:rPr/>
      </w:pPr>
      <w:r>
        <w:rPr/>
        <w:t>Každý, kto to chcel, sa mohol podeliť o svoje predstavy o jednej z desiatich tém. Bolo tiež možné komentovať myšlienky iných. Platforma tak umožnila skutočnú celoeurópsku diskusiu medzi občanmi.</w:t>
      </w:r>
    </w:p>
    <w:p>
      <w:pPr>
        <w:pStyle w:val="Normal"/>
        <w:rPr/>
      </w:pPr>
      <w:r>
        <w:rPr/>
        <w:t>Účastníci by tiež mohli podporiť nápady a uviesť, že podporujú vstup od iného používateľa.</w:t>
      </w:r>
    </w:p>
    <w:p>
      <w:pPr>
        <w:pStyle w:val="Normal"/>
        <w:rPr/>
      </w:pPr>
      <w:r>
        <w:rPr/>
        <w:t xml:space="preserve">Ďalším dôležitým spôsobom, ako prispieť ku konferencii, bolo organizovať podujatia (virtuálne, face-to-face alebo hybridné), oznamovať ich na platforme, podávať správy o ich výsledkoch a prepojiť ich s nápadmi. Organizátorom </w:t>
      </w:r>
      <w:hyperlink r:id="rId23">
        <w:r>
          <w:rPr>
            <w:rStyle w:val="LienInternet"/>
          </w:rPr>
          <w:t>boli na platforme sprístupnenépríručky a informačné materiály</w:t>
        </w:r>
      </w:hyperlink>
      <w:r>
        <w:rPr/>
        <w:t xml:space="preserve"> na podporu participatívnej a inkluzívnej povahy podujatí.</w:t>
      </w:r>
    </w:p>
    <w:p>
      <w:pPr>
        <w:pStyle w:val="Normal"/>
        <w:rPr/>
      </w:pPr>
      <w:r>
        <w:rPr/>
        <w:t xml:space="preserve">Platforma zohrávala zásadnú úlohu v transparentnosti celého procesu a pri prístupe ku všetkým informáciám súvisiacim s konferenciou. To bolo miesto, kde každý mohol nájsť informácie o pracovných metódach a organizácii samotnej konferencie, napríklad o samotnom procese konferencie (plénum konferencie a jej pracovné skupiny, </w:t>
      </w:r>
      <w:hyperlink r:id="rId24">
        <w:r>
          <w:rPr>
            <w:rStyle w:val="LienInternet"/>
          </w:rPr>
          <w:t>európske panelové diskusie občanov</w:t>
        </w:r>
      </w:hyperlink>
      <w:r>
        <w:rPr/>
        <w:t xml:space="preserve">, </w:t>
      </w:r>
      <w:hyperlink r:id="rId25">
        <w:r>
          <w:rPr>
            <w:rStyle w:val="LienInternet"/>
          </w:rPr>
          <w:t>národné panely a podujatia a</w:t>
        </w:r>
      </w:hyperlink>
      <w:r>
        <w:rPr/>
        <w:t xml:space="preserve"> </w:t>
      </w:r>
      <w:hyperlink r:id="rId26">
        <w:r>
          <w:rPr>
            <w:rStyle w:val="LienInternet"/>
          </w:rPr>
          <w:t>výkonná rada</w:t>
        </w:r>
      </w:hyperlink>
      <w:r>
        <w:rPr/>
        <w:t>). Diskusie plenárneho zasadnutia a jeho pracovných skupín sa vysielali naživo na internete, ako aj na stretnutiach európskych panelových diskusií občanov. Všetky tieto informácie zostanú dostupné na platforme.</w:t>
      </w:r>
    </w:p>
    <w:p>
      <w:pPr>
        <w:pStyle w:val="Normal"/>
        <w:rPr/>
      </w:pPr>
      <w:r>
        <w:rPr/>
        <w:t>Počas celej práce boli na platforme vždy, keď to bolo možné, vylepšené, napríklad pridaním funkcií alebo vizuálnych médií. V priebehu času sa platforma stala prístupnejšou aj pre ľudí so zdravotným postihnutím.</w:t>
      </w:r>
    </w:p>
    <w:p>
      <w:pPr>
        <w:pStyle w:val="Normal"/>
        <w:rPr/>
      </w:pPr>
      <w:r>
        <w:rPr/>
        <w:t>Všetky príspevky na platforme boli verejné: každý mal prístup k nim, ako aj k otvoreným dátovým súborom prepojeným s digitálnou platformou, čím sa zabezpečila úplná transparentnosť. S cieľom uľahčiť zber a analýzu príspevkov Spoločné výskumné centrum Komisie vyvinulo nástroj na automatizovanú analýzu textu a analytickú platformu, ktorá umožnila viacjazyčný výklad a hĺbkovú analýzu obsahu platformy. Analytická platforma je nástrojom, ktorý sa ukázal ako nevyhnutný na poskytovanie pravidelných správ o jednotnej úrovni kvality vo všetkých jazykoch. Okrem toho „datathon“, ktorý v marci 2022 zorganizovala Európska komisia, podporil nové prístupy pri analýze súborov otvorených údajov a prispel k transparentnosti procesu analýzy údajov.</w:t>
      </w:r>
    </w:p>
    <w:p>
      <w:pPr>
        <w:pStyle w:val="Normal"/>
        <w:rPr/>
      </w:pPr>
      <w:r>
        <w:rPr/>
        <w:t>S cieľom poskytnúť prehľad príspevkov na platforme vypracoval externý poskytovateľ služieb správy, ktoré boli uverejnené na samotnej platforme.</w:t>
      </w:r>
    </w:p>
    <w:p>
      <w:pPr>
        <w:pStyle w:val="Normal"/>
        <w:rPr/>
      </w:pPr>
      <w:hyperlink r:id="rId27">
        <w:r>
          <w:rPr>
            <w:rStyle w:val="LienInternet"/>
          </w:rPr>
          <w:t>Prvá predbežná správa</w:t>
        </w:r>
      </w:hyperlink>
      <w:r>
        <w:rPr/>
        <w:t xml:space="preserve"> bola uverejnená v septembri: zameriava sa na príspevky</w:t>
      </w:r>
    </w:p>
    <w:p>
      <w:pPr>
        <w:pStyle w:val="Normal"/>
        <w:rPr/>
      </w:pPr>
      <w:r>
        <w:rPr/>
        <w:t xml:space="preserve">doručené do 2. augusta 2021. </w:t>
      </w:r>
      <w:hyperlink r:id="rId28">
        <w:r>
          <w:rPr>
            <w:rStyle w:val="LienInternet"/>
          </w:rPr>
          <w:t>Druhá priebežná správa</w:t>
        </w:r>
      </w:hyperlink>
      <w:r>
        <w:rPr/>
        <w:t xml:space="preserve">bola uverejnená v polovici októbra 2021 a zahŕňala príspevky predložené do 7. septembra 2021. </w:t>
      </w:r>
      <w:hyperlink r:id="rId29">
        <w:r>
          <w:rPr>
            <w:rStyle w:val="LienInternet"/>
          </w:rPr>
          <w:t>Tretia priebežná správa</w:t>
        </w:r>
      </w:hyperlink>
      <w:r>
        <w:rPr/>
        <w:t xml:space="preserve"> bola uverejnená v decembri 2021 a týkala sa príspevkov do 3. novembra 2021. Keďže práca na konferencii vstúpila do záverečnej fázy, posledná správa, ktorá inšpirovala prácu plenárnych zhromaždení konferencie, bola uverejnená v polovici marca 2022, pričom sa zohľadnili príspevky predložené na digitálnej platforme do 20. februára 2022. Tento kalendár bol jasne oznámený na platforme a inde, čo viedlo k zvýšeniu príspevkov v januári a februári 2022. Príspevky prijaté do 9. mája sa budú riešiť v dodatočnej správe. V rovnakom čase ako správy zo septembra, decembra 2021 a marca 2022 boli sprístupnené aj dodatočné správy o príspevkoch predložených na platforme podľa členských štátov.</w:t>
      </w:r>
    </w:p>
    <w:p>
      <w:pPr>
        <w:pStyle w:val="Normal"/>
        <w:rPr/>
      </w:pPr>
      <w:r>
        <w:rPr/>
        <w:t xml:space="preserve">Tieto správy sa zameriavali najmä na kvalitatívnu analýzu príspevkov uverejnených na platforme s cieľom poskytnúť všeobecný prehľad o rozsahu a rozmanitosti myšlienok, </w:t>
      </w:r>
      <w:r>
        <w:drawing>
          <wp:anchor behindDoc="0" distT="0" distB="0" distL="0" distR="0" simplePos="0" locked="0" layoutInCell="1" allowOverlap="1" relativeHeight="24">
            <wp:simplePos x="0" y="0"/>
            <wp:positionH relativeFrom="column">
              <wp:posOffset>60325</wp:posOffset>
            </wp:positionH>
            <wp:positionV relativeFrom="paragraph">
              <wp:posOffset>1607820</wp:posOffset>
            </wp:positionV>
            <wp:extent cx="5779135" cy="3321685"/>
            <wp:effectExtent l="0" t="0" r="0" b="0"/>
            <wp:wrapTopAndBottom/>
            <wp:docPr id="12" name="Obrázok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ok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k</w:t>
      </w:r>
      <w:r>
        <w:rPr/>
        <w:t>toré boli navrhnuté na platforme a prediskutované na podujatiach. Na tento účel výskumný tím vykonal manuálnu textovú analýzu a združovanie príspevkov s použitím analytických nástrojov, ktoré poskytlo Spoločné výskumné centrum Komisie. To umožnilo identifikovať spoločné témy a podkategórie predmetu, ktoré boli podrobne opísané v rámci každej témy a syntetizované v koncepčných schémach, ktoré umožňujú ich rýchlu vizualizáciu. S cieľom doplniť tento kvalitatívny prístup o kvantitatívne prvky boli v každej zo správ uvedené témy, podtémy alebo myšlienky, ktoré sa často vrátili alebo ktoré boli vysoko komentované alebo podporované. Cieľom bolo odzrkadliť stav diskusií v rôznych fázach konferencie vrátane vysokej úrovne záujmu alebo diskusie vyvolanej určitými myšlienkami. V správach sa poskytol aj prehľad sociálno-demografických údajov účastníkov. Prispievatelia boli požiadaní, aby poskytli informácie o krajine svojho pobytu, úrovni vzdelania, veku, pohlaví a profesijnom postavení; dobrovoľná povaha týchto informácií však obmedzuje jasnosť, ktorú možno vyvodiť z profilu účastníkov. Napríklad 26,9 % všetkých príspevkov pochádzalo od účastníkov, ktorí neuviedli krajinu svojho bydliska.</w:t>
      </w:r>
    </w:p>
    <w:p>
      <w:pPr>
        <w:pStyle w:val="Normal"/>
        <w:rPr/>
      </w:pPr>
      <w:r>
        <w:rPr/>
      </w:r>
      <w:r>
        <w:br w:type="page"/>
      </w:r>
    </w:p>
    <w:p>
      <w:pPr>
        <w:pStyle w:val="Normal"/>
        <w:rPr/>
      </w:pPr>
      <w:r>
        <w:rPr/>
        <w:t>Od spustenia platformy je témou „Európska demokracia“ ten, pre ktorý bol zaznamenaný najväčší počet príspevkov (názory, pripomienky a podujatia). Témou je „Zmena klímy a životné prostredie“. Príspevky prezentované v rámci „Iné myšlienky“ sa umiestnili na treťom mieste pred „Hodnoty a práva, právny štát, bezpečnosť“ a „Silnejšia ekonomika, sociálna spravodlivosť a zamestnanosť“.</w:t>
      </w:r>
    </w:p>
    <w:p>
      <w:pPr>
        <w:pStyle w:val="Normal"/>
        <w:rPr/>
      </w:pPr>
      <w:r>
        <w:rPr/>
        <w:t>Správy o príspevkoch zhromaždených na platforme vrátane koncepčných systémov významne prispeli k práci európskych panelových diskusií občanov. Na začiatku každého z troch zasadnutí panelu boli panelom, ktoré dostali odkazy na úplné správy, predložené hlavné zistenia správy a koncepčné schémy. Toľko nápadov, ktoré sa objavili na platforme, sa odráža v odporúčaniach európskych panelových diskusií občanov.</w:t>
      </w:r>
    </w:p>
    <w:p>
      <w:pPr>
        <w:pStyle w:val="Normal"/>
        <w:spacing w:before="2802" w:after="57"/>
        <w:rPr/>
      </w:pPr>
      <w:r>
        <mc:AlternateContent>
          <mc:Choice Requires="wps">
            <w:drawing>
              <wp:anchor behindDoc="0" distT="72390" distB="72390" distL="72390" distR="72390" simplePos="0" locked="0" layoutInCell="1" allowOverlap="1" relativeHeight="28">
                <wp:simplePos x="0" y="0"/>
                <wp:positionH relativeFrom="column">
                  <wp:posOffset>22860</wp:posOffset>
                </wp:positionH>
                <wp:positionV relativeFrom="paragraph">
                  <wp:posOffset>2617470</wp:posOffset>
                </wp:positionV>
                <wp:extent cx="6036310" cy="1779905"/>
                <wp:effectExtent l="0" t="0" r="0" b="0"/>
                <wp:wrapSquare wrapText="bothSides"/>
                <wp:docPr id="13" name="Rámec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Čo sa deje na Konferencii o budúcnosti Európy?</w:t>
                                  </w:r>
                                </w:p>
                              </w:tc>
                            </w:tr>
                            <w:tr>
                              <w:trPr/>
                              <w:tc>
                                <w:tcPr>
                                  <w:tcW w:w="3111" w:type="dxa"/>
                                  <w:tcBorders/>
                                  <w:shd w:fill="auto" w:val="clear"/>
                                </w:tcPr>
                                <w:p>
                                  <w:pPr>
                                    <w:pStyle w:val="P68B1DB1Contenudetableau8"/>
                                    <w:spacing w:before="57" w:after="57"/>
                                    <w:jc w:val="center"/>
                                    <w:rPr/>
                                  </w:pPr>
                                  <w:r>
                                    <w:rPr/>
                                    <w:t xml:space="preserve">52 346 </w:t>
                                  </w:r>
                                </w:p>
                                <w:p>
                                  <w:pPr>
                                    <w:pStyle w:val="Contenudetableau"/>
                                    <w:spacing w:before="57" w:after="57"/>
                                    <w:jc w:val="center"/>
                                    <w:rPr/>
                                  </w:pPr>
                                  <w:r>
                                    <w:rPr/>
                                    <w:t>účastníci konferencie</w:t>
                                  </w:r>
                                </w:p>
                              </w:tc>
                              <w:tc>
                                <w:tcPr>
                                  <w:tcW w:w="3111" w:type="dxa"/>
                                  <w:tcBorders/>
                                  <w:shd w:fill="auto" w:val="clear"/>
                                </w:tcPr>
                                <w:p>
                                  <w:pPr>
                                    <w:pStyle w:val="P68B1DB1Contenudetableau8"/>
                                    <w:spacing w:before="57" w:after="57"/>
                                    <w:jc w:val="center"/>
                                    <w:rPr/>
                                  </w:pPr>
                                  <w:r>
                                    <w:rPr/>
                                    <w:t xml:space="preserve">652 532 </w:t>
                                  </w:r>
                                </w:p>
                                <w:p>
                                  <w:pPr>
                                    <w:pStyle w:val="Contenudetableau"/>
                                    <w:spacing w:before="57" w:after="57"/>
                                    <w:jc w:val="center"/>
                                    <w:rPr/>
                                  </w:pPr>
                                  <w:r>
                                    <w:rPr/>
                                    <w:t>účastníci podujatia</w:t>
                                  </w:r>
                                </w:p>
                              </w:tc>
                              <w:tc>
                                <w:tcPr>
                                  <w:tcW w:w="3111" w:type="dxa"/>
                                  <w:tcBorders/>
                                  <w:shd w:fill="auto" w:val="clear"/>
                                </w:tcPr>
                                <w:p>
                                  <w:pPr>
                                    <w:pStyle w:val="P68B1DB1Contenudetableau8"/>
                                    <w:spacing w:before="57" w:after="57"/>
                                    <w:jc w:val="center"/>
                                    <w:rPr/>
                                  </w:pPr>
                                  <w:r>
                                    <w:rPr/>
                                    <w:t xml:space="preserve">17671 </w:t>
                                  </w:r>
                                </w:p>
                                <w:p>
                                  <w:pPr>
                                    <w:pStyle w:val="Contenudetableau"/>
                                    <w:spacing w:before="57" w:after="57"/>
                                    <w:jc w:val="center"/>
                                    <w:rPr/>
                                  </w:pPr>
                                  <w:r>
                                    <w:rPr/>
                                    <w:t>nápady</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komentáre</w:t>
                                  </w:r>
                                </w:p>
                              </w:tc>
                              <w:tc>
                                <w:tcPr>
                                  <w:tcW w:w="3111" w:type="dxa"/>
                                  <w:tcBorders/>
                                  <w:shd w:fill="auto" w:val="clear"/>
                                </w:tcPr>
                                <w:p>
                                  <w:pPr>
                                    <w:pStyle w:val="P68B1DB1Contenudetableau8"/>
                                    <w:spacing w:before="57" w:after="57"/>
                                    <w:jc w:val="center"/>
                                    <w:rPr/>
                                  </w:pPr>
                                  <w:r>
                                    <w:rPr/>
                                    <w:t xml:space="preserve">6465 </w:t>
                                  </w:r>
                                </w:p>
                                <w:p>
                                  <w:pPr>
                                    <w:pStyle w:val="Contenudetableau"/>
                                    <w:spacing w:before="57" w:after="57"/>
                                    <w:jc w:val="center"/>
                                    <w:rPr/>
                                  </w:pPr>
                                  <w:r>
                                    <w:rPr/>
                                    <w:t>podujatia</w:t>
                                  </w:r>
                                </w:p>
                              </w:tc>
                              <w:tc>
                                <w:tcPr>
                                  <w:tcW w:w="3111" w:type="dxa"/>
                                  <w:tcBorders/>
                                  <w:shd w:fill="auto" w:val="clear"/>
                                </w:tcPr>
                                <w:p>
                                  <w:pPr>
                                    <w:pStyle w:val="P68B1DB1Contenudetableau8"/>
                                    <w:spacing w:before="57" w:after="57"/>
                                    <w:jc w:val="center"/>
                                    <w:rPr/>
                                  </w:pPr>
                                  <w:r>
                                    <w:rPr/>
                                    <w:t xml:space="preserve">72528 </w:t>
                                  </w:r>
                                </w:p>
                                <w:p>
                                  <w:pPr>
                                    <w:pStyle w:val="Contenudetableau"/>
                                    <w:spacing w:before="57" w:after="57"/>
                                    <w:jc w:val="center"/>
                                    <w:rPr/>
                                  </w:pPr>
                                  <w:r>
                                    <w:rPr/>
                                    <w:t>schválenie</w:t>
                                  </w:r>
                                </w:p>
                              </w:tc>
                            </w:tr>
                          </w:tbl>
                          <w:p>
                            <w:pPr>
                              <w:pStyle w:val="Contenudecadre"/>
                              <w:spacing w:before="57" w:after="57"/>
                              <w:rPr/>
                            </w:pPr>
                            <w:r>
                              <w:rPr>
                                <w:color w:val="auto"/>
                              </w:rPr>
                              <w:t xml:space="preserve">Stav účasti k 20. aprílu 2022 (zdroj: </w:t>
                            </w:r>
                            <w:hyperlink r:id="rId31">
                              <w:r>
                                <w:rPr>
                                  <w:rStyle w:val="LienInternet"/>
                                  <w:color w:val="auto"/>
                                </w:rPr>
                                <w:t>Konferencia o budúcnosti Európy (europa.eu</w:t>
                              </w:r>
                            </w:hyperlink>
                            <w:r>
                              <w:rPr>
                                <w:color w:val="auto"/>
                              </w:rPr>
                              <w:t>)</w:t>
                            </w:r>
                          </w:p>
                        </w:txbxContent>
                      </wps:txbx>
                      <wps:bodyPr lIns="54000" rIns="54000" tIns="54000" bIns="54000">
                        <a:noAutofit/>
                      </wps:bodyPr>
                    </wps:wsp>
                  </a:graphicData>
                </a:graphic>
              </wp:anchor>
            </w:drawing>
          </mc:Choice>
          <mc:Fallback>
            <w:pict>
              <v:rect id="shape_0" ID="Rámec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Čo sa deje na Konferencii o budúcnosti Európy?</w:t>
                            </w:r>
                          </w:p>
                        </w:tc>
                      </w:tr>
                      <w:tr>
                        <w:trPr/>
                        <w:tc>
                          <w:tcPr>
                            <w:tcW w:w="3111" w:type="dxa"/>
                            <w:tcBorders/>
                            <w:shd w:fill="auto" w:val="clear"/>
                          </w:tcPr>
                          <w:p>
                            <w:pPr>
                              <w:pStyle w:val="P68B1DB1Contenudetableau8"/>
                              <w:spacing w:before="57" w:after="57"/>
                              <w:jc w:val="center"/>
                              <w:rPr/>
                            </w:pPr>
                            <w:r>
                              <w:rPr/>
                              <w:t xml:space="preserve">52 346 </w:t>
                            </w:r>
                          </w:p>
                          <w:p>
                            <w:pPr>
                              <w:pStyle w:val="Contenudetableau"/>
                              <w:spacing w:before="57" w:after="57"/>
                              <w:jc w:val="center"/>
                              <w:rPr/>
                            </w:pPr>
                            <w:r>
                              <w:rPr/>
                              <w:t>účastníci konferencie</w:t>
                            </w:r>
                          </w:p>
                        </w:tc>
                        <w:tc>
                          <w:tcPr>
                            <w:tcW w:w="3111" w:type="dxa"/>
                            <w:tcBorders/>
                            <w:shd w:fill="auto" w:val="clear"/>
                          </w:tcPr>
                          <w:p>
                            <w:pPr>
                              <w:pStyle w:val="P68B1DB1Contenudetableau8"/>
                              <w:spacing w:before="57" w:after="57"/>
                              <w:jc w:val="center"/>
                              <w:rPr/>
                            </w:pPr>
                            <w:r>
                              <w:rPr/>
                              <w:t xml:space="preserve">652 532 </w:t>
                            </w:r>
                          </w:p>
                          <w:p>
                            <w:pPr>
                              <w:pStyle w:val="Contenudetableau"/>
                              <w:spacing w:before="57" w:after="57"/>
                              <w:jc w:val="center"/>
                              <w:rPr/>
                            </w:pPr>
                            <w:r>
                              <w:rPr/>
                              <w:t>účastníci podujatia</w:t>
                            </w:r>
                          </w:p>
                        </w:tc>
                        <w:tc>
                          <w:tcPr>
                            <w:tcW w:w="3111" w:type="dxa"/>
                            <w:tcBorders/>
                            <w:shd w:fill="auto" w:val="clear"/>
                          </w:tcPr>
                          <w:p>
                            <w:pPr>
                              <w:pStyle w:val="P68B1DB1Contenudetableau8"/>
                              <w:spacing w:before="57" w:after="57"/>
                              <w:jc w:val="center"/>
                              <w:rPr/>
                            </w:pPr>
                            <w:r>
                              <w:rPr/>
                              <w:t xml:space="preserve">17671 </w:t>
                            </w:r>
                          </w:p>
                          <w:p>
                            <w:pPr>
                              <w:pStyle w:val="Contenudetableau"/>
                              <w:spacing w:before="57" w:after="57"/>
                              <w:jc w:val="center"/>
                              <w:rPr/>
                            </w:pPr>
                            <w:r>
                              <w:rPr/>
                              <w:t>nápady</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komentáre</w:t>
                            </w:r>
                          </w:p>
                        </w:tc>
                        <w:tc>
                          <w:tcPr>
                            <w:tcW w:w="3111" w:type="dxa"/>
                            <w:tcBorders/>
                            <w:shd w:fill="auto" w:val="clear"/>
                          </w:tcPr>
                          <w:p>
                            <w:pPr>
                              <w:pStyle w:val="P68B1DB1Contenudetableau8"/>
                              <w:spacing w:before="57" w:after="57"/>
                              <w:jc w:val="center"/>
                              <w:rPr/>
                            </w:pPr>
                            <w:r>
                              <w:rPr/>
                              <w:t xml:space="preserve">6465 </w:t>
                            </w:r>
                          </w:p>
                          <w:p>
                            <w:pPr>
                              <w:pStyle w:val="Contenudetableau"/>
                              <w:spacing w:before="57" w:after="57"/>
                              <w:jc w:val="center"/>
                              <w:rPr/>
                            </w:pPr>
                            <w:r>
                              <w:rPr/>
                              <w:t>podujatia</w:t>
                            </w:r>
                          </w:p>
                        </w:tc>
                        <w:tc>
                          <w:tcPr>
                            <w:tcW w:w="3111" w:type="dxa"/>
                            <w:tcBorders/>
                            <w:shd w:fill="auto" w:val="clear"/>
                          </w:tcPr>
                          <w:p>
                            <w:pPr>
                              <w:pStyle w:val="P68B1DB1Contenudetableau8"/>
                              <w:spacing w:before="57" w:after="57"/>
                              <w:jc w:val="center"/>
                              <w:rPr/>
                            </w:pPr>
                            <w:r>
                              <w:rPr/>
                              <w:t xml:space="preserve">72528 </w:t>
                            </w:r>
                          </w:p>
                          <w:p>
                            <w:pPr>
                              <w:pStyle w:val="Contenudetableau"/>
                              <w:spacing w:before="57" w:after="57"/>
                              <w:jc w:val="center"/>
                              <w:rPr/>
                            </w:pPr>
                            <w:r>
                              <w:rPr/>
                              <w:t>schválenie</w:t>
                            </w:r>
                          </w:p>
                        </w:tc>
                      </w:tr>
                    </w:tbl>
                    <w:p>
                      <w:pPr>
                        <w:pStyle w:val="Contenudecadre"/>
                        <w:spacing w:before="57" w:after="57"/>
                        <w:rPr/>
                      </w:pPr>
                      <w:r>
                        <w:rPr>
                          <w:color w:val="auto"/>
                        </w:rPr>
                        <w:t xml:space="preserve">Stav účasti k 20. aprílu 2022 (zdroj: </w:t>
                      </w:r>
                      <w:hyperlink r:id="rId32">
                        <w:r>
                          <w:rPr>
                            <w:rStyle w:val="LienInternet"/>
                            <w:color w:val="auto"/>
                          </w:rPr>
                          <w:t>Konferencia o budúcnosti Európy (europa.eu</w:t>
                        </w:r>
                      </w:hyperlink>
                      <w:r>
                        <w:rPr>
                          <w:color w:val="auto"/>
                        </w:rPr>
                        <w:t>)</w:t>
                      </w:r>
                    </w:p>
                  </w:txbxContent>
                </v:textbox>
              </v:rect>
            </w:pict>
          </mc:Fallback>
        </mc:AlternateContent>
      </w:r>
      <w:r>
        <w:rPr/>
        <w:t>O správach sa rokovalo aj na plenárnych zasadnutiach konferencie, počnúc plenárnym zasadnutím 23. októbra 2021, ako aj na predchádzajúcich zasadnutiach pracovných skupín. Príspevky platformy preto naďalej obohacovali návrhy vypracované na plenárnom zasadnutí konferencie.</w:t>
      </w:r>
    </w:p>
    <w:p>
      <w:pPr>
        <w:pStyle w:val="Normal"/>
        <w:rPr/>
      </w:pPr>
      <w:r>
        <w:rPr/>
        <w:t>K 20. aprílu 2022 navštívilo viacjazyčnú digitálnu platformu takmer päť miliónov jedinečných návštevníkov, na ktorej bolo aktívnych viac ako 50 000 účastníkov, diskutovalo sa o 17 000 nápadoch a viac ako 6 000 registrovaných podujatí. Za týmito číslami stoja tisíce odhodlaných občanov, ktorí zdieľajú a diskutujú o mnohých nápadoch a organizujú množstvo originálnych a inovatívnych podujatí v rôznych členských štátoch.</w:t>
      </w:r>
    </w:p>
    <w:p>
      <w:pPr>
        <w:pStyle w:val="Normal"/>
        <w:rPr/>
      </w:pPr>
      <w:r>
        <w:rPr/>
        <w:t xml:space="preserve">Aby sa zabezpečilo, že platforma bude miestom, kde sa občania zo všetkých oblastí života a zo všetkých kútov Európy cítia pohodlne a povzbudení, aby prispeli do diskusie, každý, kto používa platformu, sa musel prihlásiť k </w:t>
      </w:r>
      <w:hyperlink r:id="rId33">
        <w:r>
          <w:rPr>
            <w:rStyle w:val="LienInternet"/>
          </w:rPr>
          <w:t>charte konferencie</w:t>
        </w:r>
      </w:hyperlink>
      <w:r>
        <w:rPr/>
        <w:t xml:space="preserve"> a </w:t>
      </w:r>
      <w:hyperlink r:id="rId34">
        <w:r>
          <w:rPr>
            <w:rStyle w:val="LienInternet"/>
          </w:rPr>
          <w:t>pravidlám účasti</w:t>
        </w:r>
      </w:hyperlink>
      <w:r>
        <w:rPr/>
        <w:t>. Bol zriadený zmierňujúci tím, ktorý pracuje počas konferencie pod dohľadom spoločného sekretariátu v mene výkonnej rady s cieľom zabezpečiť súlad s chartou a pravidlami účasti. Nedošlo k žiadnemu predchádzajúcemu moderovaniu obsahu. Keď bol príspevok skrytý, používateľ dostal správu od moderačného tímu, v ktorej vysvetlil dôvod. Podrobnosti o zásadách a procese moderovania boli sprístupnené v</w:t>
      </w:r>
      <w:hyperlink r:id="rId35">
        <w:r>
          <w:rPr>
            <w:rStyle w:val="LienInternet"/>
          </w:rPr>
          <w:t>časti často kladené</w:t>
        </w:r>
      </w:hyperlink>
      <w:r>
        <w:rPr/>
        <w:t xml:space="preserve"> otázky (FAQ) platformy.</w:t>
      </w:r>
    </w:p>
    <w:p>
      <w:pPr>
        <w:pStyle w:val="Normal"/>
        <w:rPr/>
      </w:pPr>
      <w:r>
        <w:rPr/>
        <w:t>Od 19. apríla 2021 do 20. apríla 2022 bolo zamaskovaných 430 nápadov (2,4 %), 312 pripomienok (1,4 %) a 396 podujatí (6,0 %). Približne 71 % nápadov bolo maskovaných, pretože neobsahovali návrhy, či už ide o spam, požiadavky používateľov, alebo preto, že obsahovali osobné informácie alebo nevhodný súvisiaci obrázok; asi 17 % skrytých nápadov bolo duplicitných. Len 11 % skrytých nápadov bolo kvôli ich urážlivému obsahu. Drvivá väčšina podujatí, 76 %, boli maskované, pretože boli duplicitné, alebo preto, že informácie o podujatí boli neúplné, na žiadosť organizátorov alebo preto, že s konferenciou nesúviseli.</w:t>
      </w:r>
    </w:p>
    <w:p>
      <w:pPr>
        <w:pStyle w:val="Normal"/>
        <w:rPr/>
      </w:pPr>
      <w:r>
        <w:rPr/>
        <w:t>Možnosť prispieť k platforme zostala otvorená do 9. mája 2022. Po tomto dátume je naplánovaná dodatočná správa na vyplnenie súhrnu všetkých príspevkov prijatých počas konferencie.</w:t>
      </w:r>
    </w:p>
    <w:p>
      <w:pPr>
        <w:pStyle w:val="Normal"/>
        <w:rPr/>
      </w:pPr>
      <w:r>
        <w:rPr/>
        <w:t>Účasť na platforme sa počas konferencie naďalej zvyšovala, ale medzi členskými štátmi a sociálno-demografickými profilmi účastníkov zostala nerovnomerná. Platforma vo všeobecnosti poskytla inovatívny priestor na diskusiu, ktorý umožnil niekoľkým tisícom občanov a rôznym zainteresovaným stranám z celej Európy a mimo nej zúčastniť sa na online viacjazyčnej diskusii o európskych otázkach vo všetkých členských štátoch. Ukázalo sa, že je cenným nástrojom deliberatívnej demokracie na úrovni EÚ.</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42">
            <wp:simplePos x="0" y="0"/>
            <wp:positionH relativeFrom="column">
              <wp:align>center</wp:align>
            </wp:positionH>
            <wp:positionV relativeFrom="paragraph">
              <wp:posOffset>635</wp:posOffset>
            </wp:positionV>
            <wp:extent cx="5691505" cy="4577080"/>
            <wp:effectExtent l="0" t="0" r="0" b="0"/>
            <wp:wrapSquare wrapText="largest"/>
            <wp:docPr id="15" name="Obrázok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ok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Občianske panely</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Európske panelové diskusie občanov</w:t>
      </w:r>
    </w:p>
    <w:p>
      <w:pPr>
        <w:pStyle w:val="Corpsdetexte"/>
        <w:rPr/>
      </w:pPr>
      <w:r>
        <w:rPr/>
        <w:t>Európske panelové diskusie občanov boli jedným z hlavných pilierov konferencie s národnými panelmi, multilingválnou digitálnou platformou a plenárnym zasadnutím konferencie. Sú stredobodom Konferencie o budúcnosti Európy a združujú približne 800 občanov zo všetkých prostredí a regiónov Európskej únie. Zatiaľ čo koncepcia občianskych panelov alebo zhromaždení sa už desaťročia používa na komunálnej úrovni a je čoraz viditeľnejšia na vnútroštátnej alebo regionálnej úrovni, paneurópsky rozmer zostáva v tejto oblasti do veľkej miery nepreskúmaný. Európske panelové diskusie občanov boli prvou nadnárodnou a viacjazyčnou skúsenosťou tohto rozsahu a ambícií. Pozoruhodný systém tlmočenia, ktorý sprevádzal tento proces, viedol k inkluzívnemu, úctivému a účinnému dialógu medzi zainteresovanými stranami, ktorý zabezpečil rešpektovanie viacjazyčnosti.</w:t>
      </w:r>
    </w:p>
    <w:p>
      <w:pPr>
        <w:pStyle w:val="Corpsdetexte"/>
        <w:rPr/>
      </w:pPr>
      <w:r>
        <w:rPr/>
        <w:t>Európske panelové diskusie občanov zorganizovali tri inštitúcie na základe spoločného vyhlásenia, rokovacieho poriadku a dojednaní stanovených spolupredsedami pod dohľadom výkonnej rady. Podporilo ich konzorcium externých poskytovateľov služieb zložené z rôznych odborníkov v oblasti deliberatívnej demokracie a podporného tímu pre logistiku. Výkonná rada bola priebežne informovaná o práci panelov, poskytli sa aktualizované praktické opatrenia a podľa potreby upravili predbežný harmonogram zasadnutí európskych panelových diskusií občanov.</w:t>
      </w:r>
    </w:p>
    <w:p>
      <w:pPr>
        <w:pStyle w:val="Corpsdetexte"/>
        <w:rPr/>
      </w:pPr>
      <w:r>
        <w:rPr/>
        <w:t>Účastníci európskych panelových diskusií občanov boli vybraní v lete 2021. Občania EÚ boli náhodne vybraní (najmä kontaktovaní 27 národnými výskumnými inštitútmi koordinovanými externým poskytovateľom služieb) s cieľom vytvoriť „panely“, ktoré reprezentujú rozmanitosť EÚ, a to na základe piatich kritérií: pohlavie, vek, zemepisný pôvod (štátna príslušnosť, ako aj mestské/vidiecke prostredie), sociálno-ekonomické zázemie a úroveň vzdelania. Počet občanov za každý členský štát sa vypočítal podľa zásady zostupnej proporcionality uplatňovanej na zloženie Európskeho parlamentu, pričom sa zohľadnilo, že každý panel by mal zahŕňať aspoň jedného občana a jedného občana za každý členský štát. Vzhľadom na to, že konferencia venovala osobitnú pozornosť mladým ľuďom, tretina občanov v každej skupine mala 16 až 24 rokov. Pre každú skupinu 200 ľudí bolo vybraných 50 ďalších občanov, ktorí vytvorili rezervu.</w:t>
      </w:r>
    </w:p>
    <w:p>
      <w:pPr>
        <w:pStyle w:val="Corpsdetexte"/>
        <w:rPr/>
      </w:pPr>
      <w:r>
        <w:rPr/>
        <w:t>Zorganizovali sa štyri európske panelové diskusie občanov. Pre každú z nich témy na diskusiu zodpovedali témam identifikovaným na viacjazyčnej digitálnej platforme a boli zoskupené takto:</w:t>
      </w:r>
    </w:p>
    <w:p>
      <w:pPr>
        <w:pStyle w:val="Puce3"/>
        <w:rPr/>
      </w:pPr>
      <w:r>
        <w:rPr/>
        <w:t>1. Silnejšie hospodárstvo, sociálna spravodlivosť a zamestnanosť; vzdelávanie, kultúra, mládež a šport; digitálna transformácia;</w:t>
      </w:r>
    </w:p>
    <w:p>
      <w:pPr>
        <w:pStyle w:val="Puce3"/>
        <w:rPr/>
      </w:pPr>
      <w:r>
        <w:rPr/>
        <w:t>2. Európska demokracia; hodnoty a práva, právny štát, bezpečnosť;</w:t>
      </w:r>
    </w:p>
    <w:p>
      <w:pPr>
        <w:pStyle w:val="Puce3"/>
        <w:rPr/>
      </w:pPr>
      <w:r>
        <w:rPr/>
        <w:t>3.Klimatické zmeny a životné prostredie; zdravie;</w:t>
      </w:r>
    </w:p>
    <w:p>
      <w:pPr>
        <w:pStyle w:val="Puce3"/>
        <w:tabs>
          <w:tab w:val="clear" w:pos="720"/>
        </w:tabs>
        <w:rPr/>
      </w:pPr>
      <w:r>
        <w:rPr/>
        <w:t>4.EÚ vo svete; migrácia.</w:t>
      </w:r>
    </w:p>
    <w:p>
      <w:pPr>
        <w:pStyle w:val="Corpsdetexte"/>
        <w:rPr/>
      </w:pPr>
      <w:r>
        <w:rPr/>
        <w:t>Každý panel sa stretol počas troch víkendov. Prvá séria zasadnutí sa konala v Štrasburgu, druhá online a tretia v štyroch mestách (Dublin, Florencia, Varšava/Natolin a Maastricht), vo verejných inštitúciách vysokoškolského vzdelávania a s podporou miestnych orgánov.</w:t>
      </w:r>
    </w:p>
    <w:p>
      <w:pPr>
        <w:pStyle w:val="Titre4"/>
        <w:numPr>
          <w:ilvl w:val="3"/>
          <w:numId w:val="2"/>
        </w:numPr>
        <w:rPr/>
      </w:pPr>
      <w:bookmarkStart w:id="11" w:name="__RefHeading___Toc298196_1346298689"/>
      <w:bookmarkEnd w:id="11"/>
      <w:r>
        <w:rPr/>
        <w:t>PRVÉ KOLO PANELOVÝCH ZASADNUTÍ</w:t>
      </w:r>
    </w:p>
    <w:p>
      <w:pPr>
        <w:pStyle w:val="Corpsdetexte"/>
        <w:rPr/>
      </w:pPr>
      <w:r>
        <w:rPr/>
        <w:t>Počas prvej schôdze každého panelu sa účastníci fyzicky stretli v Štrasburgu. Cieľom zasadnutia bolo vymedziť program rokovaní. Občania, ktorí sa zapojili do panelových diskusií, začali odzrkadľovať a rozvíjať svoju víziu Európy, počnúc prázdnou stránkou a identifikovaním otázok, o ktorých sa má diskutovať, v rámci hlavných tém panelu. Potom uprednostnili témy, na ktoré sa chceli podrobnejšie zamerať s cieľom predložiť inštitúciám EÚ konkrétne odporúčania na nadväzujúce opatrenia. Diskusie a kolektívna práca sa uskutočnili v týchto dvoch formátoch:</w:t>
      </w:r>
    </w:p>
    <w:p>
      <w:pPr>
        <w:pStyle w:val="Alineanegatifpuce"/>
        <w:numPr>
          <w:ilvl w:val="0"/>
          <w:numId w:val="3"/>
        </w:numPr>
        <w:rPr/>
      </w:pPr>
      <w:r>
        <w:rPr/>
        <w:t xml:space="preserve"> </w:t>
      </w:r>
      <w:r>
        <w:rPr/>
        <w:t>v podskupinách zložených z 12 až 14 občanov. V každej podskupine sa hovorilo štyrmi až piatimi jazykmi, v ktorých sa občania mohli vyjadrovať vo svojom vlastnom jazyku. Prácu podskupín viedli profesionálni sprostredkovatelia, ktorých vybralo konzorcium externých poskytovateľov služieb.</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43">
                <wp:simplePos x="0" y="0"/>
                <wp:positionH relativeFrom="column">
                  <wp:posOffset>105410</wp:posOffset>
                </wp:positionH>
                <wp:positionV relativeFrom="paragraph">
                  <wp:posOffset>2555875</wp:posOffset>
                </wp:positionV>
                <wp:extent cx="6053455" cy="2495550"/>
                <wp:effectExtent l="0" t="0" r="0" b="0"/>
                <wp:wrapSquare wrapText="bothSides"/>
                <wp:docPr id="16" name="Rámec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2"/>
                            </w:tblGrid>
                            <w:tr>
                              <w:trPr/>
                              <w:tc>
                                <w:tcPr>
                                  <w:tcW w:w="9360" w:type="dxa"/>
                                  <w:gridSpan w:val="6"/>
                                  <w:tcBorders/>
                                  <w:shd w:fill="auto" w:val="clear"/>
                                </w:tcPr>
                                <w:p>
                                  <w:pPr>
                                    <w:pStyle w:val="P68B1DB1Contenudetableau9"/>
                                    <w:spacing w:before="57" w:after="57"/>
                                    <w:jc w:val="center"/>
                                    <w:rPr/>
                                  </w:pPr>
                                  <w:r>
                                    <w:rPr/>
                                    <w:t>ZASADNUTIE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DEŇ 1 </w:t>
                                  </w:r>
                                </w:p>
                                <w:p>
                                  <w:pPr>
                                    <w:pStyle w:val="P68B1DB1Contenudetableau9"/>
                                    <w:spacing w:before="57" w:after="57"/>
                                    <w:jc w:val="center"/>
                                    <w:rPr/>
                                  </w:pPr>
                                  <w:r>
                                    <w:rPr/>
                                    <w:t>Nové stretnutie pre panel a príprava na víkend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DEŇ 2 </w:t>
                                  </w:r>
                                </w:p>
                                <w:p>
                                  <w:pPr>
                                    <w:pStyle w:val="P68B1DB1Contenudetableau9"/>
                                    <w:spacing w:before="57" w:after="57"/>
                                    <w:jc w:val="center"/>
                                    <w:rPr/>
                                  </w:pPr>
                                  <w:r>
                                    <w:rPr/>
                                    <w:t>Odborný vstup, identifikácia problémov, usmerňovacia výroba</w:t>
                                  </w:r>
                                </w:p>
                              </w:tc>
                              <w:tc>
                                <w:tcPr>
                                  <w:tcW w:w="3121"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DEŇ 3 </w:t>
                                  </w:r>
                                </w:p>
                                <w:p>
                                  <w:pPr>
                                    <w:pStyle w:val="P68B1DB1Contenudetableau9"/>
                                    <w:spacing w:before="57" w:after="57"/>
                                    <w:jc w:val="center"/>
                                    <w:rPr/>
                                  </w:pPr>
                                  <w:r>
                                    <w:rPr/>
                                    <w:t>Finalizácia usmernení, záverečné poznámky</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pPr>
                                  <w:r>
                                    <w:rPr/>
                                    <w:t>Príspevky odborníkov k čiastkovým témam</w:t>
                                  </w:r>
                                </w:p>
                              </w:tc>
                              <w:tc>
                                <w:tcPr>
                                  <w:tcW w:w="3121" w:type="dxa"/>
                                  <w:gridSpan w:val="2"/>
                                  <w:tcBorders/>
                                  <w:shd w:fill="0000FF" w:val="clear"/>
                                </w:tcPr>
                                <w:p>
                                  <w:pPr>
                                    <w:pStyle w:val="P68B1DB1Contenudetableau9"/>
                                    <w:spacing w:before="57" w:after="57"/>
                                    <w:jc w:val="center"/>
                                    <w:rPr/>
                                  </w:pPr>
                                  <w:r>
                                    <w:rPr/>
                                    <w:t>Dodatočné príspevky od odborníkov</w:t>
                                  </w:r>
                                </w:p>
                              </w:tc>
                            </w:tr>
                            <w:tr>
                              <w:trPr/>
                              <w:tc>
                                <w:tcPr>
                                  <w:tcW w:w="3119" w:type="dxa"/>
                                  <w:gridSpan w:val="2"/>
                                  <w:vMerge w:val="restart"/>
                                  <w:tcBorders/>
                                  <w:shd w:fill="800000" w:val="clear"/>
                                </w:tcPr>
                                <w:p>
                                  <w:pPr>
                                    <w:pStyle w:val="P68B1DB1Contenudetableau9"/>
                                    <w:spacing w:before="57" w:after="57"/>
                                    <w:jc w:val="center"/>
                                    <w:rPr/>
                                  </w:pPr>
                                  <w:r>
                                    <w:rPr/>
                                    <w:t xml:space="preserve">Vitajte, </w:t>
                                  </w:r>
                                </w:p>
                                <w:p>
                                  <w:pPr>
                                    <w:pStyle w:val="P68B1DB1Contenudetableau9"/>
                                    <w:spacing w:before="57" w:after="57"/>
                                    <w:jc w:val="center"/>
                                    <w:rPr/>
                                  </w:pPr>
                                  <w:r>
                                    <w:rPr/>
                                    <w:t xml:space="preserve">Slová veľvyslancom občanov na ich spätnú väzbu, </w:t>
                                    <w:br/>
                                    <w:t>Aktualizácia platformy, agenda</w:t>
                                  </w:r>
                                </w:p>
                              </w:tc>
                              <w:tc>
                                <w:tcPr>
                                  <w:tcW w:w="3120" w:type="dxa"/>
                                  <w:gridSpan w:val="2"/>
                                  <w:tcBorders/>
                                  <w:shd w:fill="00FF00" w:val="clear"/>
                                </w:tcPr>
                                <w:p>
                                  <w:pPr>
                                    <w:pStyle w:val="P68B1DB1Contenudetableau9"/>
                                    <w:spacing w:before="57" w:after="57"/>
                                    <w:jc w:val="center"/>
                                    <w:rPr/>
                                  </w:pPr>
                                  <w:r>
                                    <w:rPr/>
                                    <w:t>Vypracovanie usmernení</w:t>
                                  </w:r>
                                </w:p>
                              </w:tc>
                              <w:tc>
                                <w:tcPr>
                                  <w:tcW w:w="3121" w:type="dxa"/>
                                  <w:gridSpan w:val="2"/>
                                  <w:tcBorders/>
                                  <w:shd w:fill="00FF00" w:val="clear"/>
                                </w:tcPr>
                                <w:p>
                                  <w:pPr>
                                    <w:pStyle w:val="P68B1DB1Contenudetableau9"/>
                                    <w:spacing w:before="57" w:after="57"/>
                                    <w:jc w:val="center"/>
                                    <w:rPr/>
                                  </w:pPr>
                                  <w:r>
                                    <w:rPr/>
                                    <w:t xml:space="preserve"> </w:t>
                                  </w:r>
                                  <w:r>
                                    <w:rPr/>
                                    <w:t>Finalizácia usmernení</w:t>
                                  </w:r>
                                </w:p>
                              </w:tc>
                            </w:tr>
                            <w:tr>
                              <w:trPr/>
                              <w:tc>
                                <w:tcPr>
                                  <w:tcW w:w="3119" w:type="dxa"/>
                                  <w:gridSpan w:val="2"/>
                                  <w:vMerge w:val="continue"/>
                                  <w:tcBorders/>
                                  <w:shd w:fill="800000" w:val="clear"/>
                                </w:tcPr>
                                <w:p>
                                  <w:pPr>
                                    <w:pStyle w:val="Normal"/>
                                    <w:widowControl/>
                                    <w:suppressAutoHyphens w:val="true"/>
                                    <w:overflowPunct w:val="false"/>
                                    <w:bidi w:val="0"/>
                                    <w:spacing w:before="57" w:after="57"/>
                                    <w:ind w:left="0" w:right="0" w:hanging="0"/>
                                    <w:jc w:val="left"/>
                                    <w:rPr/>
                                  </w:pPr>
                                  <w:r>
                                    <w:rPr/>
                                  </w:r>
                                </w:p>
                              </w:tc>
                              <w:tc>
                                <w:tcPr>
                                  <w:tcW w:w="3120" w:type="dxa"/>
                                  <w:gridSpan w:val="2"/>
                                  <w:tcBorders/>
                                  <w:shd w:fill="auto" w:val="clear"/>
                                </w:tcPr>
                                <w:p>
                                  <w:pPr>
                                    <w:pStyle w:val="Contenudetableau"/>
                                    <w:spacing w:before="57" w:after="57"/>
                                    <w:jc w:val="center"/>
                                    <w:rPr>
                                      <w:sz w:val="16"/>
                                    </w:rPr>
                                  </w:pPr>
                                  <w:r>
                                    <w:rPr>
                                      <w:sz w:val="16"/>
                                    </w:rPr>
                                  </w:r>
                                </w:p>
                              </w:tc>
                              <w:tc>
                                <w:tcPr>
                                  <w:tcW w:w="3121" w:type="dxa"/>
                                  <w:gridSpan w:val="2"/>
                                  <w:tcBorders/>
                                  <w:shd w:fill="800000" w:val="clear"/>
                                </w:tcPr>
                                <w:p>
                                  <w:pPr>
                                    <w:pStyle w:val="P68B1DB1Contenudetableau9"/>
                                    <w:spacing w:before="57" w:after="57"/>
                                    <w:jc w:val="center"/>
                                    <w:rPr/>
                                  </w:pPr>
                                  <w:r>
                                    <w:rPr/>
                                    <w:t xml:space="preserve">Zdieľanie určitých smerov, </w:t>
                                    <w:br/>
                                    <w:t>Záverečné poznámky</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2"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pPr>
                                  <w:r>
                                    <w:rPr/>
                                    <w:t>Plenárne zasadnutie</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pPr>
                                  <w:r>
                                    <w:rPr/>
                                    <w:t>Plenárne zasadnutie témy</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pPr>
                                  <w:r>
                                    <w:rPr/>
                                    <w:t>Zasadnutie podskupiny</w:t>
                                  </w:r>
                                </w:p>
                              </w:tc>
                              <w:tc>
                                <w:tcPr>
                                  <w:tcW w:w="402" w:type="dxa"/>
                                  <w:tcBorders/>
                                  <w:shd w:fill="00FF00" w:val="clear"/>
                                </w:tcPr>
                                <w:p>
                                  <w:pPr>
                                    <w:pStyle w:val="Contenudetableau"/>
                                    <w:spacing w:before="57" w:after="57"/>
                                    <w:rPr>
                                      <w:sz w:val="16"/>
                                    </w:rPr>
                                  </w:pPr>
                                  <w:r>
                                    <w:rPr>
                                      <w:sz w:val="16"/>
                                    </w:rPr>
                                  </w:r>
                                </w:p>
                              </w:tc>
                            </w:tr>
                          </w:tbl>
                          <w:p>
                            <w:pPr>
                              <w:pStyle w:val="Contenudecadre"/>
                              <w:spacing w:before="57" w:after="57"/>
                              <w:rPr/>
                            </w:pPr>
                            <w:r>
                              <w:rPr/>
                            </w:r>
                          </w:p>
                        </w:txbxContent>
                      </wps:txbx>
                      <wps:bodyPr lIns="54000" rIns="54000" tIns="54000" bIns="54000">
                        <a:noAutofit/>
                      </wps:bodyPr>
                    </wps:wsp>
                  </a:graphicData>
                </a:graphic>
              </wp:anchor>
            </w:drawing>
          </mc:Choice>
          <mc:Fallback>
            <w:pict>
              <v:rect id="shape_0" ID="Rámec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2"/>
                      </w:tblGrid>
                      <w:tr>
                        <w:trPr/>
                        <w:tc>
                          <w:tcPr>
                            <w:tcW w:w="9360" w:type="dxa"/>
                            <w:gridSpan w:val="6"/>
                            <w:tcBorders/>
                            <w:shd w:fill="auto" w:val="clear"/>
                          </w:tcPr>
                          <w:p>
                            <w:pPr>
                              <w:pStyle w:val="P68B1DB1Contenudetableau9"/>
                              <w:spacing w:before="57" w:after="57"/>
                              <w:jc w:val="center"/>
                              <w:rPr/>
                            </w:pPr>
                            <w:r>
                              <w:rPr/>
                              <w:t>ZASADNUTIE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DEŇ 1 </w:t>
                            </w:r>
                          </w:p>
                          <w:p>
                            <w:pPr>
                              <w:pStyle w:val="P68B1DB1Contenudetableau9"/>
                              <w:spacing w:before="57" w:after="57"/>
                              <w:jc w:val="center"/>
                              <w:rPr/>
                            </w:pPr>
                            <w:r>
                              <w:rPr/>
                              <w:t>Nové stretnutie pre panel a príprava na víkend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DEŇ 2 </w:t>
                            </w:r>
                          </w:p>
                          <w:p>
                            <w:pPr>
                              <w:pStyle w:val="P68B1DB1Contenudetableau9"/>
                              <w:spacing w:before="57" w:after="57"/>
                              <w:jc w:val="center"/>
                              <w:rPr/>
                            </w:pPr>
                            <w:r>
                              <w:rPr/>
                              <w:t>Odborný vstup, identifikácia problémov, usmerňovacia výroba</w:t>
                            </w:r>
                          </w:p>
                        </w:tc>
                        <w:tc>
                          <w:tcPr>
                            <w:tcW w:w="3121"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DEŇ 3 </w:t>
                            </w:r>
                          </w:p>
                          <w:p>
                            <w:pPr>
                              <w:pStyle w:val="P68B1DB1Contenudetableau9"/>
                              <w:spacing w:before="57" w:after="57"/>
                              <w:jc w:val="center"/>
                              <w:rPr/>
                            </w:pPr>
                            <w:r>
                              <w:rPr/>
                              <w:t>Finalizácia usmernení, záverečné poznámky</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pPr>
                            <w:r>
                              <w:rPr/>
                              <w:t>Príspevky odborníkov k čiastkovým témam</w:t>
                            </w:r>
                          </w:p>
                        </w:tc>
                        <w:tc>
                          <w:tcPr>
                            <w:tcW w:w="3121" w:type="dxa"/>
                            <w:gridSpan w:val="2"/>
                            <w:tcBorders/>
                            <w:shd w:fill="0000FF" w:val="clear"/>
                          </w:tcPr>
                          <w:p>
                            <w:pPr>
                              <w:pStyle w:val="P68B1DB1Contenudetableau9"/>
                              <w:spacing w:before="57" w:after="57"/>
                              <w:jc w:val="center"/>
                              <w:rPr/>
                            </w:pPr>
                            <w:r>
                              <w:rPr/>
                              <w:t>Dodatočné príspevky od odborníkov</w:t>
                            </w:r>
                          </w:p>
                        </w:tc>
                      </w:tr>
                      <w:tr>
                        <w:trPr/>
                        <w:tc>
                          <w:tcPr>
                            <w:tcW w:w="3119" w:type="dxa"/>
                            <w:gridSpan w:val="2"/>
                            <w:vMerge w:val="restart"/>
                            <w:tcBorders/>
                            <w:shd w:fill="800000" w:val="clear"/>
                          </w:tcPr>
                          <w:p>
                            <w:pPr>
                              <w:pStyle w:val="P68B1DB1Contenudetableau9"/>
                              <w:spacing w:before="57" w:after="57"/>
                              <w:jc w:val="center"/>
                              <w:rPr/>
                            </w:pPr>
                            <w:r>
                              <w:rPr/>
                              <w:t xml:space="preserve">Vitajte, </w:t>
                            </w:r>
                          </w:p>
                          <w:p>
                            <w:pPr>
                              <w:pStyle w:val="P68B1DB1Contenudetableau9"/>
                              <w:spacing w:before="57" w:after="57"/>
                              <w:jc w:val="center"/>
                              <w:rPr/>
                            </w:pPr>
                            <w:r>
                              <w:rPr/>
                              <w:t xml:space="preserve">Slová veľvyslancom občanov na ich spätnú väzbu, </w:t>
                              <w:br/>
                              <w:t>Aktualizácia platformy, agenda</w:t>
                            </w:r>
                          </w:p>
                        </w:tc>
                        <w:tc>
                          <w:tcPr>
                            <w:tcW w:w="3120" w:type="dxa"/>
                            <w:gridSpan w:val="2"/>
                            <w:tcBorders/>
                            <w:shd w:fill="00FF00" w:val="clear"/>
                          </w:tcPr>
                          <w:p>
                            <w:pPr>
                              <w:pStyle w:val="P68B1DB1Contenudetableau9"/>
                              <w:spacing w:before="57" w:after="57"/>
                              <w:jc w:val="center"/>
                              <w:rPr/>
                            </w:pPr>
                            <w:r>
                              <w:rPr/>
                              <w:t>Vypracovanie usmernení</w:t>
                            </w:r>
                          </w:p>
                        </w:tc>
                        <w:tc>
                          <w:tcPr>
                            <w:tcW w:w="3121" w:type="dxa"/>
                            <w:gridSpan w:val="2"/>
                            <w:tcBorders/>
                            <w:shd w:fill="00FF00" w:val="clear"/>
                          </w:tcPr>
                          <w:p>
                            <w:pPr>
                              <w:pStyle w:val="P68B1DB1Contenudetableau9"/>
                              <w:spacing w:before="57" w:after="57"/>
                              <w:jc w:val="center"/>
                              <w:rPr/>
                            </w:pPr>
                            <w:r>
                              <w:rPr/>
                              <w:t xml:space="preserve"> </w:t>
                            </w:r>
                            <w:r>
                              <w:rPr/>
                              <w:t>Finalizácia usmernení</w:t>
                            </w:r>
                          </w:p>
                        </w:tc>
                      </w:tr>
                      <w:tr>
                        <w:trPr/>
                        <w:tc>
                          <w:tcPr>
                            <w:tcW w:w="3119" w:type="dxa"/>
                            <w:gridSpan w:val="2"/>
                            <w:vMerge w:val="continue"/>
                            <w:tcBorders/>
                            <w:shd w:fill="800000" w:val="clear"/>
                          </w:tcPr>
                          <w:p>
                            <w:pPr>
                              <w:pStyle w:val="Normal"/>
                              <w:widowControl/>
                              <w:suppressAutoHyphens w:val="true"/>
                              <w:overflowPunct w:val="false"/>
                              <w:bidi w:val="0"/>
                              <w:spacing w:before="57" w:after="57"/>
                              <w:ind w:left="0" w:right="0" w:hanging="0"/>
                              <w:jc w:val="left"/>
                              <w:rPr/>
                            </w:pPr>
                            <w:r>
                              <w:rPr/>
                            </w:r>
                          </w:p>
                        </w:tc>
                        <w:tc>
                          <w:tcPr>
                            <w:tcW w:w="3120" w:type="dxa"/>
                            <w:gridSpan w:val="2"/>
                            <w:tcBorders/>
                            <w:shd w:fill="auto" w:val="clear"/>
                          </w:tcPr>
                          <w:p>
                            <w:pPr>
                              <w:pStyle w:val="Contenudetableau"/>
                              <w:spacing w:before="57" w:after="57"/>
                              <w:jc w:val="center"/>
                              <w:rPr>
                                <w:sz w:val="16"/>
                              </w:rPr>
                            </w:pPr>
                            <w:r>
                              <w:rPr>
                                <w:sz w:val="16"/>
                              </w:rPr>
                            </w:r>
                          </w:p>
                        </w:tc>
                        <w:tc>
                          <w:tcPr>
                            <w:tcW w:w="3121" w:type="dxa"/>
                            <w:gridSpan w:val="2"/>
                            <w:tcBorders/>
                            <w:shd w:fill="800000" w:val="clear"/>
                          </w:tcPr>
                          <w:p>
                            <w:pPr>
                              <w:pStyle w:val="P68B1DB1Contenudetableau9"/>
                              <w:spacing w:before="57" w:after="57"/>
                              <w:jc w:val="center"/>
                              <w:rPr/>
                            </w:pPr>
                            <w:r>
                              <w:rPr/>
                              <w:t xml:space="preserve">Zdieľanie určitých smerov, </w:t>
                              <w:br/>
                              <w:t>Záverečné poznámky</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2"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pPr>
                            <w:r>
                              <w:rPr/>
                              <w:t>Plenárne zasadnutie</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pPr>
                            <w:r>
                              <w:rPr/>
                              <w:t>Plenárne zasadnutie témy</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pPr>
                            <w:r>
                              <w:rPr/>
                              <w:t>Zasadnutie podskupiny</w:t>
                            </w:r>
                          </w:p>
                        </w:tc>
                        <w:tc>
                          <w:tcPr>
                            <w:tcW w:w="402" w:type="dxa"/>
                            <w:tcBorders/>
                            <w:shd w:fill="00FF00" w:val="clear"/>
                          </w:tcPr>
                          <w:p>
                            <w:pPr>
                              <w:pStyle w:val="Contenudetableau"/>
                              <w:spacing w:before="57" w:after="57"/>
                              <w:rPr>
                                <w:sz w:val="16"/>
                              </w:rPr>
                            </w:pPr>
                            <w:r>
                              <w:rPr>
                                <w:sz w:val="16"/>
                              </w:rPr>
                            </w:r>
                          </w:p>
                        </w:tc>
                      </w:tr>
                    </w:tbl>
                    <w:p>
                      <w:pPr>
                        <w:pStyle w:val="Contenudecadre"/>
                        <w:spacing w:before="57" w:after="57"/>
                        <w:rPr/>
                      </w:pPr>
                      <w:r>
                        <w:rPr/>
                      </w:r>
                    </w:p>
                  </w:txbxContent>
                </v:textbox>
              </v:rect>
            </w:pict>
          </mc:Fallback>
        </mc:AlternateContent>
      </w:r>
      <w:r>
        <w:rPr/>
        <w:t xml:space="preserve"> </w:t>
      </w:r>
      <w:r>
        <w:rPr/>
        <w:t>v pléne so všetkými účastníkmi. Plenárne zasadnutia viedli dvaja hlavní moderátori. Prioritné témy vyplývajúce z diskusií boli rozdelené na „os“ (zodpovedajúce tematickým klastrom) a „podos“ a slúžili ako základ pre druhú sériu zasadnutí. Na tento účel účastníci dostali podkladové informácie o témach, ako aj príslušné vstupy vrátane analýz a koncepčných schém od prvej predbežnej správy multilingválnej digitálnej platformy a prezentácie externých odborníkov na vysokej úrovni.</w:t>
      </w:r>
    </w:p>
    <w:p>
      <w:pPr>
        <w:pStyle w:val="Corpsdetexte"/>
        <w:rPr/>
      </w:pPr>
      <w:r>
        <w:rPr/>
        <w:t>Počas prvých zasadnutí bolo spomedzi dobrovoľných občanov vybraných 20 osôb, ktoré boli požiadané o zastupovanie každého panelu na plenárnom zasadnutí; pri tom bol pozorovaný na rozmanitosť veku a pohlavia.</w:t>
      </w:r>
    </w:p>
    <w:p>
      <w:pPr>
        <w:pStyle w:val="Titre4"/>
        <w:numPr>
          <w:ilvl w:val="3"/>
          <w:numId w:val="2"/>
        </w:numPr>
        <w:rPr/>
      </w:pPr>
      <w:bookmarkStart w:id="12" w:name="__RefHeading___Toc298198_1346298689"/>
      <w:bookmarkEnd w:id="12"/>
      <w:r>
        <w:rPr/>
        <w:t>DRUHÉ KOLO PANELOVÝCH ZASADNUTÍ</w:t>
      </w:r>
    </w:p>
    <w:p>
      <w:pPr>
        <w:pStyle w:val="Corpsdetexte"/>
        <w:rPr/>
      </w:pPr>
      <w:r>
        <w:rPr/>
        <w:t>Európske panelové diskusie občanov pokračovali vo svojej práci tak, že sa v novembri stretli online. Na tento účel sa zaviedla osobitná úprava: hlavné moderačné a plenárne zasadnutia hostilo štúdio v Bruseli, pričom zúčastnení občania z celej EÚ by mohli zasiahnuť prostredníctvom systému prepojenia a tlmočenia.</w:t>
      </w:r>
    </w:p>
    <w:p>
      <w:pPr>
        <w:pStyle w:val="Corpsdetexte"/>
        <w:rPr/>
      </w:pPr>
      <w:r>
        <w:rPr/>
        <w:t>V druhom kole zasadnutí občania s podporou odborníkov a overovateľov faktov identifikovali a prediskutovali sériu konkrétnych otázok a vypracovali usmernenia pre každú z tematických osí, ktoré identifikovali počas prvého zasadnutia. Osobitná pozornosť sa venovala rodovej a geografickej rovnováhe v rámci expertnej skupiny a že každý z týchto expertov prostredníctvom svojich príspevkov podrobne informuje občanov tým, že komunikuje s faktami a/alebo pokrokom v diskusii a vyhýba sa poskytovaniu osobných názorov. Občanom boli poskytnuté aj priebežné správy viacjazyčnej digitálnej platformy.</w:t>
      </w:r>
    </w:p>
    <w:p>
      <w:pPr>
        <w:pStyle w:val="Corpsdetexte"/>
        <w:rPr/>
      </w:pPr>
      <w:r>
        <w:rPr/>
        <w:t>Počas rokovaní počas druhého kola zasadnutí tak dokázali identifikovať a prediskutovať otázky týkajúce sa tém, ktoré im boli pridelené, a to na základe príspevkov odborníkov k týmto témam a ich vlastným znalostiam a skúsenostiam. Problémy boli definované ako problémy vyžadujúce riešenia alebo situácie, ktoré si vyžadujú zmenu.</w:t>
      </w:r>
    </w:p>
    <w:p>
      <w:pPr>
        <w:pStyle w:val="Corpsdetexte"/>
        <w:rPr/>
      </w:pPr>
      <w:r>
        <w:rPr/>
        <w:t>Občania sa potom zaoberali týmito otázkami vypracovaním usmernení, čo je prvý krok k formulovaniu odporúčaní, čo bolo cieľom tretej série zasadnutí. Občania boli tiež požiadaní, aby odôvodnili tieto usmernenia.</w:t>
      </w:r>
    </w:p>
    <w:p>
      <w:pPr>
        <w:pStyle w:val="Corpsdetexte"/>
        <w:rPr/>
      </w:pPr>
      <w:r>
        <w:rPr/>
        <w:t>Diskusie a kolektívna práca sa uskutočnili v troch formátoch:</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54">
                <wp:simplePos x="0" y="0"/>
                <wp:positionH relativeFrom="column">
                  <wp:posOffset>46990</wp:posOffset>
                </wp:positionH>
                <wp:positionV relativeFrom="paragraph">
                  <wp:posOffset>1572260</wp:posOffset>
                </wp:positionV>
                <wp:extent cx="6087745" cy="3075305"/>
                <wp:effectExtent l="0" t="0" r="0" b="0"/>
                <wp:wrapSquare wrapText="bothSides"/>
                <wp:docPr id="18" name="Rámec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pPr>
                                  <w:r>
                                    <w:rPr/>
                                    <w:t>ZASADNUTIE 3</w:t>
                                  </w:r>
                                </w:p>
                              </w:tc>
                            </w:tr>
                            <w:tr>
                              <w:trPr/>
                              <w:tc>
                                <w:tcPr>
                                  <w:tcW w:w="3138" w:type="dxa"/>
                                  <w:tcBorders/>
                                  <w:shd w:fill="0000FF" w:val="clear"/>
                                </w:tcPr>
                                <w:p>
                                  <w:pPr>
                                    <w:pStyle w:val="P68B1DB1Contenudetableau10"/>
                                    <w:spacing w:before="57" w:after="57"/>
                                    <w:jc w:val="center"/>
                                    <w:rPr/>
                                  </w:pPr>
                                  <w:r>
                                    <w:rPr/>
                                    <w:t xml:space="preserve">DEŇ 1 </w:t>
                                  </w:r>
                                </w:p>
                                <w:p>
                                  <w:pPr>
                                    <w:pStyle w:val="Contenudetableau"/>
                                    <w:spacing w:before="57" w:after="57"/>
                                    <w:jc w:val="center"/>
                                    <w:rPr/>
                                  </w:pPr>
                                  <w:r>
                                    <w:rPr/>
                                    <w:t>Opätovné pripojenie, stanovenie priorít a začiatok práce</w:t>
                                  </w:r>
                                </w:p>
                              </w:tc>
                              <w:tc>
                                <w:tcPr>
                                  <w:tcW w:w="3138" w:type="dxa"/>
                                  <w:tcBorders/>
                                  <w:shd w:fill="0000FF" w:val="clear"/>
                                </w:tcPr>
                                <w:p>
                                  <w:pPr>
                                    <w:pStyle w:val="P68B1DB1Contenudetableau10"/>
                                    <w:spacing w:before="57" w:after="57"/>
                                    <w:jc w:val="center"/>
                                    <w:rPr/>
                                  </w:pPr>
                                  <w:r>
                                    <w:rPr/>
                                    <w:t xml:space="preserve">DEŇ 2 </w:t>
                                  </w:r>
                                </w:p>
                                <w:p>
                                  <w:pPr>
                                    <w:pStyle w:val="Contenudetableau"/>
                                    <w:jc w:val="center"/>
                                    <w:rPr/>
                                  </w:pPr>
                                  <w:r>
                                    <w:rPr/>
                                    <w:t xml:space="preserve">Transformácia usmernení </w:t>
                                  </w:r>
                                </w:p>
                                <w:p>
                                  <w:pPr>
                                    <w:pStyle w:val="Contenudetableau"/>
                                    <w:spacing w:before="57" w:after="57"/>
                                    <w:jc w:val="center"/>
                                    <w:rPr/>
                                  </w:pPr>
                                  <w:r>
                                    <w:rPr/>
                                    <w:t>záverečné odporúčania</w:t>
                                  </w:r>
                                </w:p>
                              </w:tc>
                              <w:tc>
                                <w:tcPr>
                                  <w:tcW w:w="3138" w:type="dxa"/>
                                  <w:tcBorders/>
                                  <w:shd w:fill="0000FF" w:val="clear"/>
                                </w:tcPr>
                                <w:p>
                                  <w:pPr>
                                    <w:pStyle w:val="P68B1DB1Contenudetableau10"/>
                                    <w:spacing w:before="57" w:after="57"/>
                                    <w:jc w:val="center"/>
                                    <w:rPr/>
                                  </w:pPr>
                                  <w:r>
                                    <w:rPr/>
                                    <w:t xml:space="preserve">DEŇ 3 </w:t>
                                  </w:r>
                                </w:p>
                                <w:p>
                                  <w:pPr>
                                    <w:pStyle w:val="Contenudetableau"/>
                                    <w:spacing w:before="57" w:after="57"/>
                                    <w:jc w:val="center"/>
                                    <w:rPr/>
                                  </w:pPr>
                                  <w:r>
                                    <w:rPr/>
                                    <w:t>Hlasovanie o konečných odporúčaniach</w:t>
                                  </w:r>
                                </w:p>
                              </w:tc>
                            </w:tr>
                            <w:tr>
                              <w:trPr/>
                              <w:tc>
                                <w:tcPr>
                                  <w:tcW w:w="3138" w:type="dxa"/>
                                  <w:tcBorders/>
                                  <w:shd w:fill="800000" w:val="clear"/>
                                </w:tcPr>
                                <w:p>
                                  <w:pPr>
                                    <w:pStyle w:val="Contenudetableau"/>
                                    <w:spacing w:before="57" w:after="57"/>
                                    <w:jc w:val="center"/>
                                    <w:rPr/>
                                  </w:pPr>
                                  <w:r>
                                    <w:rPr/>
                                    <w:t>Privítanie a ciele víkendu</w:t>
                                  </w:r>
                                </w:p>
                              </w:tc>
                              <w:tc>
                                <w:tcPr>
                                  <w:tcW w:w="3138" w:type="dxa"/>
                                  <w:tcBorders/>
                                  <w:shd w:fill="00FF00" w:val="clear"/>
                                </w:tcPr>
                                <w:p>
                                  <w:pPr>
                                    <w:pStyle w:val="Contenudetableau"/>
                                    <w:spacing w:before="57" w:after="57"/>
                                    <w:jc w:val="center"/>
                                    <w:rPr/>
                                  </w:pPr>
                                  <w:r>
                                    <w:rPr/>
                                    <w:t>Transformácia usmernení na odporúčania</w:t>
                                  </w:r>
                                </w:p>
                              </w:tc>
                              <w:tc>
                                <w:tcPr>
                                  <w:tcW w:w="3138" w:type="dxa"/>
                                  <w:tcBorders/>
                                  <w:shd w:fill="800000" w:val="clear"/>
                                </w:tcPr>
                                <w:p>
                                  <w:pPr>
                                    <w:pStyle w:val="Contenudetableau"/>
                                    <w:spacing w:before="57" w:after="57"/>
                                    <w:jc w:val="center"/>
                                    <w:rPr/>
                                  </w:pPr>
                                  <w:r>
                                    <w:rPr/>
                                    <w:t>Hlasovanie o konečných odporúčaniach</w:t>
                                  </w:r>
                                </w:p>
                              </w:tc>
                            </w:tr>
                            <w:tr>
                              <w:trPr/>
                              <w:tc>
                                <w:tcPr>
                                  <w:tcW w:w="3138" w:type="dxa"/>
                                  <w:tcBorders/>
                                  <w:shd w:fill="0000FF" w:val="clear"/>
                                </w:tcPr>
                                <w:p>
                                  <w:pPr>
                                    <w:pStyle w:val="Contenudetableau"/>
                                    <w:spacing w:before="57" w:after="57"/>
                                    <w:jc w:val="center"/>
                                    <w:rPr/>
                                  </w:pPr>
                                  <w:r>
                                    <w:rPr/>
                                    <w:t xml:space="preserve">Otvorené fórum, </w:t>
                                  </w:r>
                                </w:p>
                                <w:p>
                                  <w:pPr>
                                    <w:pStyle w:val="Contenudetableau"/>
                                    <w:spacing w:before="57" w:after="57"/>
                                    <w:jc w:val="center"/>
                                    <w:rPr/>
                                  </w:pPr>
                                  <w:r>
                                    <w:rPr/>
                                    <w:t>Čítanie a prioritizácia usmernení</w:t>
                                  </w:r>
                                </w:p>
                              </w:tc>
                              <w:tc>
                                <w:tcPr>
                                  <w:tcW w:w="3138" w:type="dxa"/>
                                  <w:tcBorders/>
                                  <w:shd w:fill="00FF00" w:val="clear"/>
                                </w:tcPr>
                                <w:p>
                                  <w:pPr>
                                    <w:pStyle w:val="Contenudetableau"/>
                                    <w:spacing w:before="57" w:after="57"/>
                                    <w:jc w:val="center"/>
                                    <w:rPr/>
                                  </w:pPr>
                                  <w:r>
                                    <w:rPr/>
                                    <w:t>Spätná väzba pre iné skupiny, finalizácia odporúčaní</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Transformácia usmernení na odporúčania</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3"/>
                            </w:tblGrid>
                            <w:tr>
                              <w:trPr/>
                              <w:tc>
                                <w:tcPr>
                                  <w:tcW w:w="2790" w:type="dxa"/>
                                  <w:tcBorders/>
                                  <w:shd w:fill="auto" w:val="clear"/>
                                </w:tcPr>
                                <w:p>
                                  <w:pPr>
                                    <w:pStyle w:val="P68B1DB1Contenudetableau9"/>
                                    <w:spacing w:before="57" w:after="57"/>
                                    <w:jc w:val="right"/>
                                    <w:rPr>
                                      <w:color w:val="auto"/>
                                    </w:rPr>
                                  </w:pPr>
                                  <w:r>
                                    <w:rPr>
                                      <w:color w:val="auto"/>
                                    </w:rPr>
                                    <w:t>Plenárne zasadnutie</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color w:val="auto"/>
                                    </w:rPr>
                                  </w:pPr>
                                  <w:r>
                                    <w:rPr>
                                      <w:color w:val="auto"/>
                                    </w:rPr>
                                    <w:t>Otvoriť fórum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color w:val="auto"/>
                                    </w:rPr>
                                  </w:pPr>
                                  <w:r>
                                    <w:rPr>
                                      <w:color w:val="auto"/>
                                    </w:rPr>
                                    <w:t>Práca podskupiny</w:t>
                                  </w:r>
                                </w:p>
                              </w:tc>
                              <w:tc>
                                <w:tcPr>
                                  <w:tcW w:w="403"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pPr>
                            <w:r>
                              <w:rPr/>
                            </w:r>
                          </w:p>
                        </w:txbxContent>
                      </wps:txbx>
                      <wps:bodyPr lIns="54000" rIns="54000" tIns="54000" bIns="54000">
                        <a:noAutofit/>
                      </wps:bodyPr>
                    </wps:wsp>
                  </a:graphicData>
                </a:graphic>
              </wp:anchor>
            </w:drawing>
          </mc:Choice>
          <mc:Fallback>
            <w:pict>
              <v:rect id="shape_0" ID="Rámec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pPr>
                            <w:r>
                              <w:rPr/>
                              <w:t>ZASADNUTIE 3</w:t>
                            </w:r>
                          </w:p>
                        </w:tc>
                      </w:tr>
                      <w:tr>
                        <w:trPr/>
                        <w:tc>
                          <w:tcPr>
                            <w:tcW w:w="3138" w:type="dxa"/>
                            <w:tcBorders/>
                            <w:shd w:fill="0000FF" w:val="clear"/>
                          </w:tcPr>
                          <w:p>
                            <w:pPr>
                              <w:pStyle w:val="P68B1DB1Contenudetableau10"/>
                              <w:spacing w:before="57" w:after="57"/>
                              <w:jc w:val="center"/>
                              <w:rPr/>
                            </w:pPr>
                            <w:r>
                              <w:rPr/>
                              <w:t xml:space="preserve">DEŇ 1 </w:t>
                            </w:r>
                          </w:p>
                          <w:p>
                            <w:pPr>
                              <w:pStyle w:val="Contenudetableau"/>
                              <w:spacing w:before="57" w:after="57"/>
                              <w:jc w:val="center"/>
                              <w:rPr/>
                            </w:pPr>
                            <w:r>
                              <w:rPr/>
                              <w:t>Opätovné pripojenie, stanovenie priorít a začiatok práce</w:t>
                            </w:r>
                          </w:p>
                        </w:tc>
                        <w:tc>
                          <w:tcPr>
                            <w:tcW w:w="3138" w:type="dxa"/>
                            <w:tcBorders/>
                            <w:shd w:fill="0000FF" w:val="clear"/>
                          </w:tcPr>
                          <w:p>
                            <w:pPr>
                              <w:pStyle w:val="P68B1DB1Contenudetableau10"/>
                              <w:spacing w:before="57" w:after="57"/>
                              <w:jc w:val="center"/>
                              <w:rPr/>
                            </w:pPr>
                            <w:r>
                              <w:rPr/>
                              <w:t xml:space="preserve">DEŇ 2 </w:t>
                            </w:r>
                          </w:p>
                          <w:p>
                            <w:pPr>
                              <w:pStyle w:val="Contenudetableau"/>
                              <w:jc w:val="center"/>
                              <w:rPr/>
                            </w:pPr>
                            <w:r>
                              <w:rPr/>
                              <w:t xml:space="preserve">Transformácia usmernení </w:t>
                            </w:r>
                          </w:p>
                          <w:p>
                            <w:pPr>
                              <w:pStyle w:val="Contenudetableau"/>
                              <w:spacing w:before="57" w:after="57"/>
                              <w:jc w:val="center"/>
                              <w:rPr/>
                            </w:pPr>
                            <w:r>
                              <w:rPr/>
                              <w:t>záverečné odporúčania</w:t>
                            </w:r>
                          </w:p>
                        </w:tc>
                        <w:tc>
                          <w:tcPr>
                            <w:tcW w:w="3138" w:type="dxa"/>
                            <w:tcBorders/>
                            <w:shd w:fill="0000FF" w:val="clear"/>
                          </w:tcPr>
                          <w:p>
                            <w:pPr>
                              <w:pStyle w:val="P68B1DB1Contenudetableau10"/>
                              <w:spacing w:before="57" w:after="57"/>
                              <w:jc w:val="center"/>
                              <w:rPr/>
                            </w:pPr>
                            <w:r>
                              <w:rPr/>
                              <w:t xml:space="preserve">DEŇ 3 </w:t>
                            </w:r>
                          </w:p>
                          <w:p>
                            <w:pPr>
                              <w:pStyle w:val="Contenudetableau"/>
                              <w:spacing w:before="57" w:after="57"/>
                              <w:jc w:val="center"/>
                              <w:rPr/>
                            </w:pPr>
                            <w:r>
                              <w:rPr/>
                              <w:t>Hlasovanie o konečných odporúčaniach</w:t>
                            </w:r>
                          </w:p>
                        </w:tc>
                      </w:tr>
                      <w:tr>
                        <w:trPr/>
                        <w:tc>
                          <w:tcPr>
                            <w:tcW w:w="3138" w:type="dxa"/>
                            <w:tcBorders/>
                            <w:shd w:fill="800000" w:val="clear"/>
                          </w:tcPr>
                          <w:p>
                            <w:pPr>
                              <w:pStyle w:val="Contenudetableau"/>
                              <w:spacing w:before="57" w:after="57"/>
                              <w:jc w:val="center"/>
                              <w:rPr/>
                            </w:pPr>
                            <w:r>
                              <w:rPr/>
                              <w:t>Privítanie a ciele víkendu</w:t>
                            </w:r>
                          </w:p>
                        </w:tc>
                        <w:tc>
                          <w:tcPr>
                            <w:tcW w:w="3138" w:type="dxa"/>
                            <w:tcBorders/>
                            <w:shd w:fill="00FF00" w:val="clear"/>
                          </w:tcPr>
                          <w:p>
                            <w:pPr>
                              <w:pStyle w:val="Contenudetableau"/>
                              <w:spacing w:before="57" w:after="57"/>
                              <w:jc w:val="center"/>
                              <w:rPr/>
                            </w:pPr>
                            <w:r>
                              <w:rPr/>
                              <w:t>Transformácia usmernení na odporúčania</w:t>
                            </w:r>
                          </w:p>
                        </w:tc>
                        <w:tc>
                          <w:tcPr>
                            <w:tcW w:w="3138" w:type="dxa"/>
                            <w:tcBorders/>
                            <w:shd w:fill="800000" w:val="clear"/>
                          </w:tcPr>
                          <w:p>
                            <w:pPr>
                              <w:pStyle w:val="Contenudetableau"/>
                              <w:spacing w:before="57" w:after="57"/>
                              <w:jc w:val="center"/>
                              <w:rPr/>
                            </w:pPr>
                            <w:r>
                              <w:rPr/>
                              <w:t>Hlasovanie o konečných odporúčaniach</w:t>
                            </w:r>
                          </w:p>
                        </w:tc>
                      </w:tr>
                      <w:tr>
                        <w:trPr/>
                        <w:tc>
                          <w:tcPr>
                            <w:tcW w:w="3138" w:type="dxa"/>
                            <w:tcBorders/>
                            <w:shd w:fill="0000FF" w:val="clear"/>
                          </w:tcPr>
                          <w:p>
                            <w:pPr>
                              <w:pStyle w:val="Contenudetableau"/>
                              <w:spacing w:before="57" w:after="57"/>
                              <w:jc w:val="center"/>
                              <w:rPr/>
                            </w:pPr>
                            <w:r>
                              <w:rPr/>
                              <w:t xml:space="preserve">Otvorené fórum, </w:t>
                            </w:r>
                          </w:p>
                          <w:p>
                            <w:pPr>
                              <w:pStyle w:val="Contenudetableau"/>
                              <w:spacing w:before="57" w:after="57"/>
                              <w:jc w:val="center"/>
                              <w:rPr/>
                            </w:pPr>
                            <w:r>
                              <w:rPr/>
                              <w:t>Čítanie a prioritizácia usmernení</w:t>
                            </w:r>
                          </w:p>
                        </w:tc>
                        <w:tc>
                          <w:tcPr>
                            <w:tcW w:w="3138" w:type="dxa"/>
                            <w:tcBorders/>
                            <w:shd w:fill="00FF00" w:val="clear"/>
                          </w:tcPr>
                          <w:p>
                            <w:pPr>
                              <w:pStyle w:val="Contenudetableau"/>
                              <w:spacing w:before="57" w:after="57"/>
                              <w:jc w:val="center"/>
                              <w:rPr/>
                            </w:pPr>
                            <w:r>
                              <w:rPr/>
                              <w:t>Spätná väzba pre iné skupiny, finalizácia odporúčaní</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Transformácia usmernení na odporúčania</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3"/>
                      </w:tblGrid>
                      <w:tr>
                        <w:trPr/>
                        <w:tc>
                          <w:tcPr>
                            <w:tcW w:w="2790" w:type="dxa"/>
                            <w:tcBorders/>
                            <w:shd w:fill="auto" w:val="clear"/>
                          </w:tcPr>
                          <w:p>
                            <w:pPr>
                              <w:pStyle w:val="P68B1DB1Contenudetableau9"/>
                              <w:spacing w:before="57" w:after="57"/>
                              <w:jc w:val="right"/>
                              <w:rPr>
                                <w:color w:val="auto"/>
                              </w:rPr>
                            </w:pPr>
                            <w:r>
                              <w:rPr>
                                <w:color w:val="auto"/>
                              </w:rPr>
                              <w:t>Plenárne zasadnutie</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color w:val="auto"/>
                              </w:rPr>
                            </w:pPr>
                            <w:r>
                              <w:rPr>
                                <w:color w:val="auto"/>
                              </w:rPr>
                              <w:t>Otvoriť fórum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color w:val="auto"/>
                              </w:rPr>
                            </w:pPr>
                            <w:r>
                              <w:rPr>
                                <w:color w:val="auto"/>
                              </w:rPr>
                              <w:t>Práca podskupiny</w:t>
                            </w:r>
                          </w:p>
                        </w:tc>
                        <w:tc>
                          <w:tcPr>
                            <w:tcW w:w="403"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pPr>
                      <w:r>
                        <w:rPr/>
                      </w:r>
                    </w:p>
                  </w:txbxContent>
                </v:textbox>
              </v:rect>
            </w:pict>
          </mc:Fallback>
        </mc:AlternateContent>
      </w:r>
      <w:r>
        <w:rPr/>
        <w:t xml:space="preserve"> </w:t>
      </w:r>
      <w:r>
        <w:rPr/>
        <w:t>v podskupinách. Každá z pätnástich podskupín pozostávala z dvanástich až štrnástich občanov. V každej podskupine sa používali štyri až päť jazykov, aby sa občania mohli vyjadrovať vo svojom vlastnom jazyku alebo v jazyku, v ktorom sa cítili pohodlne. Každá podskupina mala profesionálneho sprostredkovateľa z konzorcia externých poskytovateľov služieb.</w:t>
      </w:r>
    </w:p>
    <w:p>
      <w:pPr>
        <w:pStyle w:val="Alineanegatifpuce"/>
        <w:numPr>
          <w:ilvl w:val="0"/>
          <w:numId w:val="3"/>
        </w:numPr>
        <w:rPr/>
      </w:pPr>
      <w:r>
        <w:rPr/>
        <w:t xml:space="preserve"> </w:t>
      </w:r>
      <w:r>
        <w:rPr/>
        <w:t>na plenárnom zasadnutí venovanom pracovnému okruhu. Každé plenárne zasadnutie venované pracovnej osi združovalo podskupiny pracujúce na tej istej tematickej osi. Plenárne zasadnutia venované pracovnému okruhu uľahčili profesionálni sprostredkovatelia, pričom tlmočenie zahŕňalo všetky jazyky požadované účastníkmi.</w:t>
      </w:r>
    </w:p>
    <w:p>
      <w:pPr>
        <w:pStyle w:val="Alineanegatifpuce"/>
        <w:numPr>
          <w:ilvl w:val="0"/>
          <w:numId w:val="3"/>
        </w:numPr>
        <w:rPr/>
      </w:pPr>
      <w:r>
        <w:rPr/>
        <w:t xml:space="preserve"> </w:t>
      </w:r>
      <w:r>
        <w:rPr/>
        <w:t>v pléne, so všetkými zúčastnenými občanmi, prezentovať a ukončiť zasadnutie. Plenárne zasadnutia viedli dvaja hlavní moderátori konzorcia s tlmočením v 24 úradných jazykoch EÚ.</w:t>
      </w:r>
    </w:p>
    <w:p>
      <w:pPr>
        <w:pStyle w:val="Alineanegatifpuce"/>
        <w:ind w:left="0" w:right="0" w:hanging="0"/>
        <w:rPr/>
      </w:pPr>
      <w:r>
        <w:rPr/>
      </w:r>
      <w:r>
        <w:br w:type="page"/>
      </w:r>
    </w:p>
    <w:p>
      <w:pPr>
        <w:pStyle w:val="Titre4"/>
        <w:numPr>
          <w:ilvl w:val="3"/>
          <w:numId w:val="2"/>
        </w:numPr>
        <w:rPr/>
      </w:pPr>
      <w:bookmarkStart w:id="13" w:name="__RefHeading___Toc298200_1346298689"/>
      <w:bookmarkEnd w:id="13"/>
      <w:r>
        <w:rPr/>
        <w:t>TRETIE KOLO PANELOVÝCH ZASADNUTÍ</w:t>
      </w:r>
    </w:p>
    <w:p>
      <w:pPr>
        <w:pStyle w:val="Corpsdetexte"/>
        <w:rPr/>
      </w:pPr>
      <w:r>
        <w:rPr/>
        <w:t>Tretie a posledné kolo panelových zasadnutí sa uskutočnilo osobne vo vzdelávacích inštitúciách v štyroch členských štátoch. Vzhľadom na pandémiu COVID-19 a súvisiace opatrenia v Írsku a Holandsku tretie zasadnutie panelov 1 (Silnejšie hospodárstvo, sociálna spravodlivosť a zamestnanosť); vzdelávanie, kultúra, mládež a šport; digitálna transformácia) a 4 (EÚ vo svete; migrácia) sa musela odložiť na február 2022 po konzultácii s vnútroštátnymi orgánmi a pridruženými partnermi.</w:t>
      </w:r>
    </w:p>
    <w:p>
      <w:pPr>
        <w:pStyle w:val="Corpsdetexte"/>
        <w:rPr/>
      </w:pPr>
      <w:r>
        <w:rPr/>
        <w:t xml:space="preserve">Diskusie a kolektívna práca sa uskutočnili v týchto formátoch: </w:t>
      </w:r>
    </w:p>
    <w:p>
      <w:pPr>
        <w:pStyle w:val="Alineanegatifpuce"/>
        <w:numPr>
          <w:ilvl w:val="0"/>
          <w:numId w:val="3"/>
        </w:numPr>
        <w:rPr/>
      </w:pPr>
      <w:r>
        <w:rPr/>
        <w:t xml:space="preserve"> </w:t>
      </w:r>
      <w:r>
        <w:rPr/>
        <w:t>v pléne so všetkými účastníkmi, na začiatku zasadnutia, aby predstavili program a na konci zasadnutia, ako je vysvetlené nižšie. Plenárne zasadnutia viedli dvaja hlavní moderátori rokovacej skupiny s tlmočením v 24 úradných jazykoch EÚ.</w:t>
      </w:r>
    </w:p>
    <w:p>
      <w:pPr>
        <w:pStyle w:val="Alineanegatifpuce"/>
        <w:numPr>
          <w:ilvl w:val="0"/>
          <w:numId w:val="3"/>
        </w:numPr>
        <w:rPr/>
      </w:pPr>
      <w:r>
        <w:rPr/>
        <w:t xml:space="preserve"> </w:t>
      </w:r>
      <w:r>
        <w:rPr/>
        <w:t>Občania začali preskúmaním všetkých usmernení vypracovaných panelom počas 2. zasadnutia ako súčasť „otvoreného fóra“. Každý občan potom uprednostnil maximálne desať orientácií na každú pracovnú os. Po ukončení tohto procesu stanovovania priorít na úrovni panelu sa občania pripojili k podskupine, v ktorej už pracovali počas 2. zasadnutia, a spoločne vzali na vedomie usmernenia skupiny, ktoré boli uprednostnené zvyškom panelu – príležitosť porovnať túto voľbu s ich vlastným hodnotením. Na prípravu odporúčaní bola každej podskupine poskytnutá orientačná škála počtu odporúčaní, ktoré sa majú vypracovať: od jedného do troch, s maximálne piatimi.</w:t>
      </w:r>
    </w:p>
    <w:p>
      <w:pPr>
        <w:pStyle w:val="Alineanegatifpuce"/>
        <w:numPr>
          <w:ilvl w:val="0"/>
          <w:numId w:val="3"/>
        </w:numPr>
        <w:rPr/>
      </w:pPr>
      <w:r>
        <w:rPr/>
        <w:t xml:space="preserve"> </w:t>
      </w:r>
      <w:r>
        <w:rPr/>
        <w:t xml:space="preserve">Každá z 15 podskupín pracovala na vypracovaní usmernení pre odporúčania. Občania diskutovali o usmerneniach, ktoré dostali najväčšiu podporu (v poradí podľa priority), a začali proces vypracúvania odporúčaní. </w:t>
      </w:r>
    </w:p>
    <w:p>
      <w:pPr>
        <w:pStyle w:val="Normal"/>
        <w:rPr/>
      </w:pPr>
      <w:r>
        <w:rPr/>
        <w:t>Počas tretej série zasadnutí sa odborné znalosti a informácie nepriniesli do priamej interakcie s občanmi, ale prostredníctvom špeciálne navrhnutého systému, „zdrojov a informácií“. Tento systém sa používa na centralizáciu všetkých žiadostí o informácie a overovanie faktov na mieste a na poskytovanie stručných a faktických odpovedí podskupín od odborníkov a overovateľov faktov. Tento systém bol navrhnutý tak, aby sa zabezpečilo, že vstupy odborníkov a overovateľov faktov budú pripravené v súlade s najvyššími normami kvality a aby sa zabránilo neprimeranému vplyvu v tejto fáze procesu. Občanom boli poskytnuté aj priebežné správy viacjazyčnej digitálnej platformy.</w:t>
      </w:r>
    </w:p>
    <w:p>
      <w:pPr>
        <w:pStyle w:val="Corpsdetexte"/>
        <w:rPr/>
      </w:pPr>
      <w:r>
        <w:rPr/>
        <w:t>Počas práce podskupiny sa organizovali stretnutia so spätnou väzbou s cieľom pomôcť účastníkom pochopiť prácu ostatných podskupín a posilniť ich odporúčania.</w:t>
      </w:r>
    </w:p>
    <w:p>
      <w:pPr>
        <w:pStyle w:val="Corpsdetexte"/>
        <w:rPr/>
      </w:pPr>
      <w:r>
        <w:rPr/>
        <w:t>O odporúčaniach každej podskupiny sa potom hlasovalo v posledný deň zasadnutia. Pred hlasovaním dostali všetci účastníci dokument obsahujúci všetky návrhy odporúčaní vypracované deň predtým, aby si ich mohli prečítať vo svojom vlastnom jazyku (automatický preklad z angličtiny). Každé odporúčanie bolo v pléne prečítané v angličtine, aby si občania mohli vypočuť tlmočenie súčasne. Po jednom za druhým boli odporúčania predložené na hlasovanie účastníkom prostredníctvom online formulára.</w:t>
      </w:r>
    </w:p>
    <w:p>
      <w:pPr>
        <w:pStyle w:val="Corpsdetexte"/>
        <w:rPr/>
      </w:pPr>
      <w:r>
        <w:rPr/>
        <w:t>Na základe výsledkov záverečného hlasovania sa odporúčania klasifikovali takto:</w:t>
      </w:r>
    </w:p>
    <w:p>
      <w:pPr>
        <w:pStyle w:val="Corpsdetexte"/>
        <w:rPr/>
      </w:pPr>
      <w:r>
        <w:rPr/>
        <w:t>Výbor prijal odporúčania, ktoré získali 70 % alebo viac odovzdaných hlasov; odporúčania, ktoré túto prahovú hodnotu nesplnili, výbor nepotvrdil. Európske panelové diskusie občanov prijali celkovo 178 odporúčaní.</w:t>
      </w:r>
    </w:p>
    <w:p>
      <w:pPr>
        <w:pStyle w:val="Corpsdetexte"/>
        <w:rPr/>
      </w:pPr>
      <w:r>
        <w:rPr/>
        <w:t>Na postup hlasovania dohliadal hlasovací výbor zložený z dvoch občanov, ktorí navrhli plniť túto úlohu.</w:t>
      </w:r>
    </w:p>
    <w:p>
      <w:pPr>
        <w:pStyle w:val="Titre4"/>
        <w:numPr>
          <w:ilvl w:val="3"/>
          <w:numId w:val="2"/>
        </w:numPr>
        <w:rPr/>
      </w:pPr>
      <w:bookmarkStart w:id="14" w:name="__RefHeading___Toc298202_1346298689"/>
      <w:bookmarkEnd w:id="14"/>
      <w:r>
        <w:rPr/>
        <w:t>ZÁSTUPCOVIA PANELOVÝCH DISKUSIÍ EURÓPSKYCH OBČANOV V PLÉNE</w:t>
      </w:r>
    </w:p>
    <w:p>
      <w:pPr>
        <w:pStyle w:val="Corpsdetexte"/>
        <w:rPr/>
      </w:pPr>
      <w:r>
        <w:rPr/>
        <w:t>Odporúčania prijaté štyrmi európskymi panelovými skupinami občanov potom predstavilo a prediskutovalo 80 zástupcov európskych panelových diskusií občanov na plenárnom zasadnutí konferencie a v pracovných skupinách 21. – 22. januára 2022 (panel 2 a 3) a 11. – 12. marca 2022 (panel 1 a 4). 80 zástupcov európskych panelových diskusií občanov (v priemere 70 na mieste a 10 online) potom pokračovalo v propagácii a vysvetľovaní odporúčaní európskych panelových diskusií občanov na troch po sebe nasledujúcich schôdzach plenárneho zhromaždenia a pracovných skupín (25. – 26. marca, 8. – 9. apríla a 29. – 30. apríla).</w:t>
      </w:r>
    </w:p>
    <w:p>
      <w:pPr>
        <w:pStyle w:val="Corpsdetexte"/>
        <w:rPr/>
      </w:pPr>
      <w:r>
        <w:rPr/>
        <w:t>Uskutočnili tiež pravidelné výmeny názorov na zasadnutiach v rámci zložky „občania“ (na online prípravných schôdzach a plenárnych zasadnutiach na mieste), medzi sebou a s 27 zástupcami národných podujatí a/alebo národných panelov. Zástupcovia európskych panelových diskusií občanov sa 23. apríla stretli online so všetkými svojimi partnermi, aby vysvetlili, ako boli odporúčania prediskutované a začlenené do návrhov plenárneho zasadnutia, a aby dostali spätnú väzbu od ostatných účastníkov panelu. Skupina členov spoločného sekretariátu a konzorcia podporila zložku občanov počas plenárneho zasadnutia.</w:t>
      </w:r>
    </w:p>
    <w:p>
      <w:pPr>
        <w:pStyle w:val="Titre4"/>
        <w:numPr>
          <w:ilvl w:val="3"/>
          <w:numId w:val="2"/>
        </w:numPr>
        <w:rPr/>
      </w:pPr>
      <w:bookmarkStart w:id="15" w:name="__RefHeading___Toc298204_1346298689"/>
      <w:bookmarkEnd w:id="15"/>
      <w:r>
        <w:rPr/>
        <w:t>TRANSPARENTNOSŤ PROCESU</w:t>
      </w:r>
    </w:p>
    <w:p>
      <w:pPr>
        <w:pStyle w:val="Corpsdetexte"/>
        <w:rPr/>
      </w:pPr>
      <w:r>
        <w:rPr/>
        <w:t xml:space="preserve"> </w:t>
      </w:r>
      <w:r>
        <w:rPr/>
        <w:t>Celý proces prebiehal transparentným spôsobom. Plenárne zasadnutia európskych panelových diskusií občanov sa vysielali naživo, zatiaľ čo dokumenty vyplývajúce z ich diskusií a rokovaní boli sprístupnené verejnosti na viacjazyčnej digitálnej platforme. Záverečná správa z každého zasadnutia panelu je k dispozícii na platforme spolu s odporúčaniami. Správy obsahujú aj informácie o všetkých odborníkoch, ktorí podporili prácu panelov.</w:t>
      </w:r>
    </w:p>
    <w:p>
      <w:pPr>
        <w:pStyle w:val="Corpsdetexte"/>
        <w:rPr/>
      </w:pPr>
      <w:r>
        <w:rPr/>
        <w:t>Ako skutočná demokratická inovácia sa európskym panelom občanov venovala veľká pozornosť vedeckej komunity. Výskumníci sa mohli zúčastniť na stretnutiach európskych panelových diskusií občanov a v súlade s určitými pravidlami sledovať priebeh vykonanej práce a súkromia účastníkov.</w:t>
      </w:r>
    </w:p>
    <w:p>
      <w:pPr>
        <w:pStyle w:val="Corpsdetexte"/>
        <w:rPr/>
      </w:pPr>
      <w:r>
        <w:rPr/>
      </w:r>
      <w:r>
        <w:br w:type="page"/>
      </w:r>
    </w:p>
    <w:p>
      <w:pPr>
        <w:pStyle w:val="Titre4"/>
        <w:numPr>
          <w:ilvl w:val="3"/>
          <w:numId w:val="2"/>
        </w:numPr>
        <w:rPr/>
      </w:pPr>
      <w:bookmarkStart w:id="16" w:name="__RefHeading___Toc298206_1346298689"/>
      <w:bookmarkEnd w:id="16"/>
      <w:r>
        <w:rPr/>
        <w:t xml:space="preserve">Panel 1 </w:t>
        <w:br/>
        <w:t>Silnejšie hospodárstvo, sociálna spravodlivosť a zamestnanosť; vzdelávanie, kultúra, mládež a šport; digitálna transformácia</w:t>
      </w:r>
    </w:p>
    <w:p>
      <w:pPr>
        <w:pStyle w:val="Corpsdetexte"/>
        <w:rPr/>
      </w:pPr>
      <w:r>
        <w:rPr/>
        <w:t>Prvé zasadnutie panelu na tému Silnejšie hospodárstvo, sociálna spravodlivosť a zamestnanosť; vzdelávanie, kultúra, mládež a šport; digitálna transformácia“ sa uskutočnila od 17. do 19. septembra 2021 v Štrasburgu. Tento panel sa zaoberal budúcnosťou našich hospodárstiev a pracovných miest, najmä po pandémii, pričom venoval náležitú pozornosť súvisiacim otázkam sociálnej spravodlivosti. Venoval sa aj príležitostiam a výzvam digitálnej transformácie, jednej z najdôležitejších tém diskusie medzi tými, ktoré sa týkajú budúcnosti.</w:t>
      </w:r>
    </w:p>
    <w:p>
      <w:pPr>
        <w:pStyle w:val="Corpsdetexte"/>
        <w:spacing w:before="3316" w:after="57"/>
        <w:rPr/>
      </w:pPr>
      <w:r>
        <mc:AlternateContent>
          <mc:Choice Requires="wps">
            <w:drawing>
              <wp:anchor behindDoc="0" distT="0" distB="0" distL="0" distR="0" simplePos="0" locked="0" layoutInCell="1" allowOverlap="1" relativeHeight="61">
                <wp:simplePos x="0" y="0"/>
                <wp:positionH relativeFrom="column">
                  <wp:posOffset>476885</wp:posOffset>
                </wp:positionH>
                <wp:positionV relativeFrom="paragraph">
                  <wp:posOffset>23768685</wp:posOffset>
                </wp:positionV>
                <wp:extent cx="6120765" cy="2106295"/>
                <wp:effectExtent l="0" t="0" r="0" b="0"/>
                <wp:wrapSquare wrapText="largest"/>
                <wp:docPr id="20" name="Rámec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pPr>
                            <w:r>
                              <w:rPr>
                                <w:color w:val="auto"/>
                              </w:rPr>
                              <w:drawing>
                                <wp:inline distT="0" distB="0" distL="0" distR="0">
                                  <wp:extent cx="6120130" cy="2105660"/>
                                  <wp:effectExtent l="0" t="0" r="0" b="0"/>
                                  <wp:docPr id="22" name="Obrázok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ok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Fotografia: panel 1 európskych občanov </w:t>
                              <w:tab/>
                              <w:t>Fotografia: panel 2 európskych občanov</w:t>
                            </w:r>
                          </w:p>
                        </w:txbxContent>
                      </wps:txbx>
                      <wps:bodyPr lIns="0" rIns="0" tIns="0" bIns="0">
                        <a:noAutofit/>
                      </wps:bodyPr>
                    </wps:wsp>
                  </a:graphicData>
                </a:graphic>
              </wp:anchor>
            </w:drawing>
          </mc:Choice>
          <mc:Fallback>
            <w:pict>
              <v:rect id="shape_0" ID="Rámec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pPr>
                      <w:r>
                        <w:rPr>
                          <w:color w:val="auto"/>
                        </w:rPr>
                        <w:drawing>
                          <wp:inline distT="0" distB="0" distL="0" distR="0">
                            <wp:extent cx="6120130" cy="2105660"/>
                            <wp:effectExtent l="0" t="0" r="0" b="0"/>
                            <wp:docPr id="23" name="Obrázok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ok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Fotografia: panel 1 európskych občanov </w:t>
                        <w:tab/>
                        <w:t>Fotografia: panel 2 európskych občanov</w:t>
                      </w:r>
                    </w:p>
                  </w:txbxContent>
                </v:textbox>
              </v:rect>
            </w:pict>
          </mc:Fallback>
        </mc:AlternateContent>
      </w:r>
      <w:r>
        <w:rPr/>
        <w:t>Panel rokoval aj o budúcnosti Európy v oblasti mládeže, športu, kultúry a vzdelávania. Spolupredseda Guy Verhofstadt privítal občanov, ktorí sa zúčastnili na paneli. Práca na prvom zasadnutí sa skončila v súvislosti so schválením piatich oblastí práce: „Pracujeme v Európe“, „Ekonomika pre budúcnosť“, „Spravodlivá spoločnosť“, „Učenie v Európe“ a „Etická a bezpečná digitálna transformácia“.</w:t>
      </w:r>
    </w:p>
    <w:p>
      <w:pPr>
        <w:pStyle w:val="Corpsdetexte"/>
        <w:rPr/>
      </w:pPr>
      <w:r>
        <w:rPr/>
        <w:t>Od 5. do 7. novembra 2021 sa panel 1 zasadal druhýkrát, tentoraz vo virtuálnom formáte, a pokračoval v rokovaniach o prvom zasadnutí. Počas druhého zasadnutia členovia panelu stanovili „usmernenia“ na vypracovanie konkrétnych odporúčaní (na svojom treťom zasadnutí) pre každú z piatich osí určených na prvom zasadnutí. Občania, ktorí sa zúčastnili skupiny 1, vytvorili spolu 142 usmerňovacích skupín.</w:t>
      </w:r>
    </w:p>
    <w:p>
      <w:pPr>
        <w:pStyle w:val="Corpsdetexte"/>
        <w:rPr/>
      </w:pPr>
      <w:r>
        <w:rPr/>
        <w:t>Od 25. do 27. februára 2022 sa občania, ktorí sa zúčastnili panelu 1, stretli tretíkrát, pričom pokračovali v rokovaniach, ktoré sa konali počas zasadnutí 1 a 2. Na tomto záverečnom zasadnutí boli účastníci panelu 1 hostení na Dublinskom hrade Inštitútom pre medzinárodné a európske záležitosti (IIEA) s možnosťou zúčastniť sa online.</w:t>
      </w:r>
    </w:p>
    <w:p>
      <w:pPr>
        <w:pStyle w:val="Corpsdetexte"/>
        <w:rPr/>
      </w:pPr>
      <w:r>
        <w:rPr/>
        <w:t>na základe usmernení, ktoré vypracovali na 2. zasadnutí ako základ pre svoju prácu, občania vypracovali a schválili 48 konečných odporúčaní.</w:t>
      </w:r>
    </w:p>
    <w:p>
      <w:pPr>
        <w:pStyle w:val="Titre4"/>
        <w:numPr>
          <w:ilvl w:val="3"/>
          <w:numId w:val="2"/>
        </w:numPr>
        <w:rPr/>
      </w:pPr>
      <w:bookmarkStart w:id="17" w:name="__RefHeading___Toc298208_1346298689"/>
      <w:bookmarkEnd w:id="17"/>
      <w:r>
        <w:rPr/>
        <w:t xml:space="preserve">Panel 2 </w:t>
        <w:br/>
        <w:t>Európska demokracia; hodnoty a práva, právny štát, bezpečnosť</w:t>
      </w:r>
    </w:p>
    <w:p>
      <w:pPr>
        <w:pStyle w:val="Corpsdetexte"/>
        <w:rPr/>
      </w:pPr>
      <w:r>
        <w:rPr/>
        <w:t>Zasadnutie skupiny na tému „Európska demokracia; hodnoty a práva, právny štát, bezpečnosť“ sa uskutočnilo od 24. do 26. septembra v Štrasburgu. Panel sa zameral na otázky týkajúce sa demokracie, ako sú voľby, účasť mimo volebných období, vnímaná vzdialenosť medzi občanmi a ich volenými zástupcami, sloboda médií a dezinformácie. Zaoberala sa aj otázkami týkajúcimi sa základných práv a hodnôt, právneho štátu a boja proti všetkým formám diskriminácie. Zároveň sa zameral na vnútornú bezpečnosť EÚ, ako je ochrana Európanov pred teroristickými činmi a inými trestnými činmi. Spolupredseda Gašper Dovžan privítal rečníkov.</w:t>
      </w:r>
    </w:p>
    <w:p>
      <w:pPr>
        <w:pStyle w:val="Corpsdetexte"/>
        <w:rPr/>
      </w:pPr>
      <w:r>
        <w:rPr/>
        <w:t>Práca na tomto prvom zasadnutí sa skončila v súvislosti so schválením piatich oblastí činnosti: „Zabezpečenie dodržiavania práv a nediskriminácie“, „Ochrana demokracie a právneho štátu“, „Reformácia EÚ“, „Budovanie európskej identity“ a „posilnenie účasti občanov“.</w:t>
      </w:r>
    </w:p>
    <w:p>
      <w:pPr>
        <w:pStyle w:val="Corpsdetexte"/>
        <w:rPr/>
      </w:pPr>
      <w:r>
        <w:rPr/>
        <w:t>Od 12. do 14. novembra 2021 zasadal druhý panel vo virtuálnom formáte a pokračoval v rokovaniach o prvom zasadnutí. Počas druhého zasadnutia členovia panelu stanovili „usmernenia“ na vypracovanie konkrétnych odporúčaní (na svojom treťom zasadnutí) pre každú z piatich osí určených na prvom zasadnutí. Občania, ktorí sa zúčastnili skupiny 2, vytvorili celkovo 124 usmerňovacích skupín.</w:t>
      </w:r>
    </w:p>
    <w:p>
      <w:pPr>
        <w:pStyle w:val="Corpsdetexte"/>
        <w:rPr/>
      </w:pPr>
      <w:r>
        <w:rPr/>
        <w:t>Od 10. do 12. decembra 2021 sa občania zúčastňujúci sa na paneli 2 stretli na záverečnom zasadnutí organizovanom v Európskom univerzitnom inštitúte vo Florencii s možnosťou zúčastniť sa online. Na základe usmernení, ktoré vypracovali na 2. zasadnutí ako základ pre svoju prácu, občania vypracovali a schválili 39 konečných odporúčaní.</w:t>
      </w:r>
    </w:p>
    <w:p>
      <w:pPr>
        <w:pStyle w:val="Titre4"/>
        <w:numPr>
          <w:ilvl w:val="3"/>
          <w:numId w:val="2"/>
        </w:numPr>
        <w:rPr/>
      </w:pPr>
      <w:bookmarkStart w:id="18" w:name="__RefHeading___Toc298210_1346298689"/>
      <w:bookmarkEnd w:id="18"/>
      <w:r>
        <w:rPr/>
        <w:t>Panel 3 Zmena klímy a životné prostredie; zdravie</w:t>
      </w:r>
    </w:p>
    <w:p>
      <w:pPr>
        <w:pStyle w:val="Corpsdetexte"/>
        <w:rPr/>
      </w:pPr>
      <w:r>
        <w:rPr/>
        <w:t>Panel pre zmenu klímy a životné prostredie; prvá schôdza sa konala od 1.</w:t>
      </w:r>
      <w:r>
        <w:rPr>
          <w:vertAlign w:val="superscript"/>
        </w:rPr>
        <w:t>do 3.</w:t>
      </w:r>
      <w:r>
        <w:rPr/>
        <w:t xml:space="preserve"> októbra v Štrasburgu. Panel sa zameral na účinky zmeny klímy, environmentálne otázky a nové výzvy v oblasti zdravia pre Európsku úniu. Týkala sa aj cieľov a stratégií EÚ, ako sú poľnohospodárstvo, doprava a mobilita, energetika a prechod na spoločnosti po skončení emisií uhlíka, výskum, systémy zdravotnej starostlivosti, reakcie na zdravotné krízy, prevenciu a zdravý životný štýl. Práca na tomto prvom zasadnutí sa skončila schválením piatich oblastí práce: „Lepší životný štýl“, „Ochrana životného prostredia a zdravia“, „Preorientovanie nášho hospodárstva a spotreby“, „Smerom k udržateľnej spoločnosti“ a „starostlivosť o všetkých“. Záverečná správa zo zasadnutia je k dispozícii na viacjazyčnej digitálnej platforme.</w:t>
      </w:r>
    </w:p>
    <w:p>
      <w:pPr>
        <w:pStyle w:val="Corpsdetexte"/>
        <w:rPr/>
      </w:pPr>
      <w:r>
        <w:rPr/>
        <w:t>Od 19. do 21. novembra 2021 sa panel 3 zasadal druhýkrát, tentoraz vo virtuálnom formáte, s cieľom pokračovať v rokovaniach o prvom zasadnutí. Počas druhého zasadnutia členovia panelu stanovili „usmernenia“ na vypracovanie konkrétnych odporúčaní (na svojom treťom zasadnutí) pre každú z piatich osí určených na prvom zasadnutí. Občania, ktorí sa zúčastnili skupiny 3, vytvorili spolu 130 usmerňovacích skupín.</w:t>
      </w:r>
    </w:p>
    <w:p>
      <w:pPr>
        <w:pStyle w:val="Corpsdetexte"/>
        <w:rPr/>
      </w:pPr>
      <w:r>
        <w:rPr/>
        <w:t>Od 7. do 9. januára 2022 sa občania panelu 3 zišli na záverečnom zasadnutí, ktoré zorganizovali na College of Europe v Natoline a v Paláci kultúry a vedy s podporou mesta Varšava. Bolo možné sa zúčastniť online. Na základe usmernení, ktoré vypracovali na 2. zasadnutí ako základ pre svoju prácu, občania vypracovali a schválili 51 konečných odporúčaní.</w:t>
      </w:r>
    </w:p>
    <w:p>
      <w:pPr>
        <w:pStyle w:val="Titre4"/>
        <w:numPr>
          <w:ilvl w:val="3"/>
          <w:numId w:val="2"/>
        </w:numPr>
        <w:rPr/>
      </w:pPr>
      <w:bookmarkStart w:id="19" w:name="__RefHeading___Toc298212_1346298689"/>
      <w:bookmarkEnd w:id="19"/>
      <w:r>
        <w:rPr/>
        <w:t>Panel 4 EÚ vo svete; migrácia</w:t>
      </w:r>
    </w:p>
    <w:p>
      <w:pPr>
        <w:pStyle w:val="Corpsdetexte"/>
        <w:rPr/>
      </w:pPr>
      <w:r>
        <w:rPr/>
        <mc:AlternateContent>
          <mc:Choice Requires="wps">
            <w:drawing>
              <wp:anchor behindDoc="0" distT="0" distB="0" distL="0" distR="0" simplePos="0" locked="0" layoutInCell="1" allowOverlap="1" relativeHeight="75">
                <wp:simplePos x="0" y="0"/>
                <wp:positionH relativeFrom="column">
                  <wp:align>center</wp:align>
                </wp:positionH>
                <wp:positionV relativeFrom="paragraph">
                  <wp:posOffset>635</wp:posOffset>
                </wp:positionV>
                <wp:extent cx="2971165" cy="2242185"/>
                <wp:effectExtent l="0" t="0" r="0" b="0"/>
                <wp:wrapSquare wrapText="largest"/>
                <wp:docPr id="24" name="Rámec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3905"/>
                                  <wp:effectExtent l="0" t="0" r="0" b="0"/>
                                  <wp:docPr id="26" name="Obrázok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ok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Fotografia: panel 3 európskych občanov</w:t>
                            </w:r>
                          </w:p>
                        </w:txbxContent>
                      </wps:txbx>
                      <wps:bodyPr lIns="0" rIns="0" tIns="0" bIns="0">
                        <a:noAutofit/>
                      </wps:bodyPr>
                    </wps:wsp>
                  </a:graphicData>
                </a:graphic>
              </wp:anchor>
            </w:drawing>
          </mc:Choice>
          <mc:Fallback>
            <w:pict>
              <v:rect id="shape_0" ID="Rámec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3905"/>
                            <wp:effectExtent l="0" t="0" r="0" b="0"/>
                            <wp:docPr id="27" name="Obrázok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ok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Fotografia: panel 3 európskych občanov</w:t>
                      </w:r>
                    </w:p>
                  </w:txbxContent>
                </v:textbox>
              </v:rect>
            </w:pict>
          </mc:Fallback>
        </mc:AlternateContent>
      </w:r>
    </w:p>
    <w:p>
      <w:pPr>
        <w:pStyle w:val="Corpsdetexte"/>
        <w:rPr/>
      </w:pPr>
      <w:r>
        <w:rPr/>
        <w:t>Štvrtý panel s názvom „EÚ vo svete“; migrácia“ sa prvýkrát stretla od 15. do 17. októbra v Štrasburgu, počas ktorej účastníci diskutovali najmä o úlohe EÚ na medzinárodnej scéne.</w:t>
      </w:r>
    </w:p>
    <w:p>
      <w:pPr>
        <w:pStyle w:val="Corpsdetexte"/>
        <w:rPr/>
      </w:pPr>
      <w:r>
        <mc:AlternateContent>
          <mc:Choice Requires="wps">
            <w:drawing>
              <wp:anchor behindDoc="0" distT="0" distB="0" distL="0" distR="0" simplePos="0" locked="0" layoutInCell="1" allowOverlap="1" relativeHeight="79">
                <wp:simplePos x="0" y="0"/>
                <wp:positionH relativeFrom="column">
                  <wp:align>center</wp:align>
                </wp:positionH>
                <wp:positionV relativeFrom="paragraph">
                  <wp:posOffset>635</wp:posOffset>
                </wp:positionV>
                <wp:extent cx="2570480" cy="2101215"/>
                <wp:effectExtent l="0" t="0" r="0" b="0"/>
                <wp:wrapTopAndBottom/>
                <wp:docPr id="28" name="Rámec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6445"/>
                                  <wp:effectExtent l="0" t="0" r="0" b="0"/>
                                  <wp:docPr id="30" name="Obrázok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ok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Fotografia: panel 4 o európskych občanoch</w:t>
                              <w:br/>
                            </w:r>
                          </w:p>
                        </w:txbxContent>
                      </wps:txbx>
                      <wps:bodyPr lIns="0" rIns="0" tIns="0" bIns="0">
                        <a:noAutofit/>
                      </wps:bodyPr>
                    </wps:wsp>
                  </a:graphicData>
                </a:graphic>
              </wp:anchor>
            </w:drawing>
          </mc:Choice>
          <mc:Fallback>
            <w:pict>
              <v:rect id="shape_0" ID="Rámec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6445"/>
                            <wp:effectExtent l="0" t="0" r="0" b="0"/>
                            <wp:docPr id="31" name="Obrázok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ok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Fotografia: panel 4 o európskych občanoch</w:t>
                        <w:br/>
                      </w:r>
                    </w:p>
                  </w:txbxContent>
                </v:textbox>
              </v:rect>
            </w:pict>
          </mc:Fallback>
        </mc:AlternateContent>
      </w:r>
      <w:r>
        <w:rPr/>
        <w:t>Diskutovalo sa najmä o cieľoch a stratégiách EÚ v oblasti bezpečnosti, obrany, obchodnej politiky, humanitárnej pomoci a rozvojovej spolupráce, zahraničnej politiky, susedskej politiky EÚ a rozširovania a o tom, ako by EÚ mala riešiť migráciu. Občanov privítala spolupredsedníčka Dubravka Šuica. Práca na tomto prvom zasadnutí sa skončila v súvislosti so schválením piatich oblastí činnosti: „Osoba a stabilita“, „EÚ ako medzinárodný partner“, „Silná EÚ vo svete v mieri“, „Migrácia z ľudského hľadiska“ a „zodpovednosť a solidarita v celej EÚ“. Záverečná správa zo zasadnutia je k dispozícii na viacjazyčnej digitálnej platforme.</w:t>
      </w:r>
    </w:p>
    <w:p>
      <w:pPr>
        <w:pStyle w:val="Corpsdetexte"/>
        <w:rPr/>
      </w:pPr>
      <w:r>
        <w:rPr/>
        <w:t>Od 16. do 28. novembra 2021 sa druhé online zasadnutie panelu 4 uskutočnilo na základe práce vykonanej počas prvého zasadnutia. Počas druhého zasadnutia členovia panelu stanovili „usmernenia“ na vypracovanie konkrétnych odporúčaní (na svojom treťom zasadnutí) pre každú z piatich osí určených na prvom zasadnutí. Občania, ktorí sa zúčastnili skupiny 4, vytvorili celkovo 95 usmerňovacích skupín.</w:t>
      </w:r>
    </w:p>
    <w:p>
      <w:pPr>
        <w:pStyle w:val="Corpsdetexte"/>
        <w:rPr/>
      </w:pPr>
      <w:r>
        <w:rPr/>
        <w:t>Od 11. do 13. februára 2022 sa na záverečnom zasadnutí, ktoré v Maastrichtskom výstavnom a konferenčnom centre (MECC) zorganizovalo štúdio Europa Maastricht, v spolupráci s Maastrichtskou univerzitou a Európskym inštitútom verejnej správy (IEAP) zhromaždili 4 členovia panelu. Bolo možné sa zúčastniť online.</w:t>
      </w:r>
    </w:p>
    <w:p>
      <w:pPr>
        <w:pStyle w:val="Corpsdetexte"/>
        <w:rPr/>
      </w:pPr>
      <w:r>
        <w:rPr/>
        <w:t>na základe usmernení, ktoré vypracovali na 2. zasadnutí ako základ pre svoju prácu, občania vypracovali a schválili 40 konečných odporúčaní.</w:t>
      </w:r>
    </w:p>
    <w:p>
      <w:pPr>
        <w:pStyle w:val="Normal"/>
        <w:rPr/>
      </w:pPr>
      <w:r>
        <w:rPr/>
      </w:r>
    </w:p>
    <w:p>
      <w:pPr>
        <w:pStyle w:val="Titre3"/>
        <w:numPr>
          <w:ilvl w:val="2"/>
          <w:numId w:val="2"/>
        </w:numPr>
        <w:rPr/>
      </w:pPr>
      <w:bookmarkStart w:id="20" w:name="__RefHeading___Toc298214_1346298689"/>
      <w:bookmarkEnd w:id="20"/>
      <w:r>
        <w:rPr/>
        <w:t>2.</w:t>
        <w:tab/>
        <w:t>Národné panely občanov</w:t>
      </w:r>
    </w:p>
    <w:p>
      <w:pPr>
        <w:pStyle w:val="Corpsdetexte"/>
        <w:rPr/>
      </w:pPr>
      <w:r>
        <w:rPr/>
        <w:t>V súlade so spoločným vyhlásením sa na plenárnom zasadnutí konferencie diskutovalo o odporúčaniach národných a európskych panelových diskusií občanov, ktoré boli zoskupené podľa témy. Spolupredsedovia schválili usmernenia s cieľom pomôcť členským štátom pri plánovaní organizovania vnútroštátnych panelov občanov a 26. mája 2021 ich postúpili výkonnej rade. Riadili sa rovnakými zásadami ako európske panelové diskusie občanov a zahŕňali zásady dobrej diskusie na základe správy OECD</w:t>
      </w:r>
      <w:r>
        <w:rPr>
          <w:rStyle w:val="Ancredenotedebasdepage"/>
          <w:rStyle w:val="Ancredenotedebasdepage"/>
        </w:rPr>
        <w:footnoteReference w:id="5"/>
      </w:r>
      <w:r>
        <w:rPr/>
        <w:t>.</w:t>
      </w:r>
    </w:p>
    <w:p>
      <w:pPr>
        <w:pStyle w:val="Corpsdetexte"/>
        <w:rPr/>
      </w:pPr>
      <w:r>
        <w:rPr/>
        <w:t>Šesť členských štátov – Belgicko, Francúzsko, Nemecko, Taliansko, Litva a Holandsko – zorganizovalo panelové diskusie štátnych občanov, ktoré rešpektovali zásady stanovené v týchto usmerneniach. Odporúčania týchto národných panelových diskusií občanov boli prezentované a prerokované na januárových a marcových plenárnych schôdzach, ako aj v pracovných skupinách v pléne, a to súbežne s odporúčaniami európskych panelových diskusií občanov týkajúcich sa rovnakých tém.</w:t>
      </w:r>
    </w:p>
    <w:p>
      <w:pPr>
        <w:pStyle w:val="Titre4"/>
        <w:numPr>
          <w:ilvl w:val="3"/>
          <w:numId w:val="2"/>
        </w:numPr>
        <w:rPr/>
      </w:pPr>
      <w:bookmarkStart w:id="21" w:name="__RefHeading___Toc298216_1346298689"/>
      <w:bookmarkEnd w:id="21"/>
      <w:r>
        <w:rPr/>
        <w:t>1)</w:t>
        <w:tab/>
        <w:t>BELGICKO</w:t>
      </w:r>
    </w:p>
    <w:p>
      <w:pPr>
        <w:pStyle w:val="Normal"/>
        <w:rPr/>
      </w:pPr>
      <w:r>
        <w:rPr/>
        <mc:AlternateContent>
          <mc:Choice Requires="wps">
            <w:drawing>
              <wp:anchor behindDoc="0" distT="0" distB="0" distL="0" distR="0" simplePos="0" locked="0" layoutInCell="1" allowOverlap="1" relativeHeight="82">
                <wp:simplePos x="0" y="0"/>
                <wp:positionH relativeFrom="column">
                  <wp:align>center</wp:align>
                </wp:positionH>
                <wp:positionV relativeFrom="paragraph">
                  <wp:posOffset>635</wp:posOffset>
                </wp:positionV>
                <wp:extent cx="2783205" cy="2115185"/>
                <wp:effectExtent l="0" t="0" r="0" b="0"/>
                <wp:wrapSquare wrapText="largest"/>
                <wp:docPr id="32" name="Rámec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5810"/>
                                  <wp:effectExtent l="0" t="0" r="0" b="0"/>
                                  <wp:docPr id="34" name="Obrázok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ok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Fotografia: Belgický panel občanov</w:t>
                            </w:r>
                          </w:p>
                        </w:txbxContent>
                      </wps:txbx>
                      <wps:bodyPr lIns="0" rIns="0" tIns="0" bIns="0">
                        <a:noAutofit/>
                      </wps:bodyPr>
                    </wps:wsp>
                  </a:graphicData>
                </a:graphic>
              </wp:anchor>
            </w:drawing>
          </mc:Choice>
          <mc:Fallback>
            <w:pict>
              <v:rect id="shape_0" ID="Rámec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5810"/>
                            <wp:effectExtent l="0" t="0" r="0" b="0"/>
                            <wp:docPr id="35" name="Obrázok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ok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Fotografia: Belgický panel občanov</w:t>
                      </w:r>
                    </w:p>
                  </w:txbxContent>
                </v:textbox>
              </v:rect>
            </w:pict>
          </mc:Fallback>
        </mc:AlternateContent>
      </w:r>
    </w:p>
    <w:p>
      <w:pPr>
        <w:pStyle w:val="Corpsdetexte"/>
        <w:rPr/>
      </w:pPr>
      <w:r>
        <w:rPr/>
        <w:t>V októbri 2021 sa na paneli občanov zišlo počas troch víkendov 50 náhodne vybraných občanov, ktorí zastupujú širokú verejnosť, aby diskutovali o téme európskej demokracie a o tom, ako by sa občania mohli viac zapájať do európskych záležitostí.</w:t>
      </w:r>
    </w:p>
    <w:p>
      <w:pPr>
        <w:pStyle w:val="Corpsdetexte"/>
        <w:rPr/>
      </w:pPr>
      <w:r>
        <w:rPr/>
        <w:t>Tento panel bol organizovaný pod záštitou belgickej podpredsedníčky vlády a ministerky zahraničných vecí a európskych záležitostí Sophie Wilmèsovej.</w:t>
      </w:r>
    </w:p>
    <w:p>
      <w:pPr>
        <w:pStyle w:val="Corpsdetexte"/>
        <w:rPr/>
      </w:pPr>
      <w:r>
        <w:rPr/>
        <w:t>Občania vydali odporúčania týkajúce sa piatich tém, ktoré si zvolili, a to:</w:t>
      </w:r>
    </w:p>
    <w:p>
      <w:pPr>
        <w:pStyle w:val="Alineanegatifpuce"/>
        <w:numPr>
          <w:ilvl w:val="0"/>
          <w:numId w:val="3"/>
        </w:numPr>
        <w:rPr/>
      </w:pPr>
      <w:r>
        <w:rPr/>
        <w:t xml:space="preserve"> </w:t>
      </w:r>
      <w:r>
        <w:rPr/>
        <w:t>zlepšenie komunikácie o Európskej únii,</w:t>
      </w:r>
    </w:p>
    <w:p>
      <w:pPr>
        <w:pStyle w:val="Alineanegatifpuce"/>
        <w:numPr>
          <w:ilvl w:val="0"/>
          <w:numId w:val="3"/>
        </w:numPr>
        <w:rPr/>
      </w:pPr>
      <w:r>
        <w:rPr/>
        <w:t xml:space="preserve"> </w:t>
      </w:r>
      <w:r>
        <w:rPr/>
        <w:t>identifikovať dezinformácie o EÚ a bojovať proti nim,</w:t>
      </w:r>
    </w:p>
    <w:p>
      <w:pPr>
        <w:pStyle w:val="Alineanegatifpuce"/>
        <w:numPr>
          <w:ilvl w:val="0"/>
          <w:numId w:val="3"/>
        </w:numPr>
        <w:rPr/>
      </w:pPr>
      <w:r>
        <w:rPr/>
        <w:t xml:space="preserve"> </w:t>
      </w:r>
      <w:r>
        <w:rPr/>
        <w:t>panely občanov ako nástroj účasti,</w:t>
      </w:r>
    </w:p>
    <w:p>
      <w:pPr>
        <w:pStyle w:val="Alineanegatifpuce"/>
        <w:numPr>
          <w:ilvl w:val="0"/>
          <w:numId w:val="3"/>
        </w:numPr>
        <w:rPr/>
      </w:pPr>
      <w:r>
        <w:rPr/>
        <w:t xml:space="preserve"> </w:t>
      </w:r>
      <w:r>
        <w:rPr/>
        <w:t>referenda o európskych záležitostiach,</w:t>
      </w:r>
    </w:p>
    <w:p>
      <w:pPr>
        <w:pStyle w:val="Alineanegatifpuce"/>
        <w:numPr>
          <w:ilvl w:val="0"/>
          <w:numId w:val="3"/>
        </w:numPr>
        <w:rPr/>
      </w:pPr>
      <w:r>
        <w:rPr/>
        <w:t xml:space="preserve"> </w:t>
      </w:r>
      <w:r>
        <w:rPr/>
        <w:t>zlepšiť existujúce participatívne nástroje v Európskej únii.</w:t>
      </w:r>
    </w:p>
    <w:p>
      <w:pPr>
        <w:pStyle w:val="Corpsdetexte"/>
        <w:rPr/>
      </w:pPr>
      <w:r>
        <w:rPr/>
        <w:t>Výsledkom práce belgického občianskeho panelu bolo 115 odporúčaní, ktoré boli vypracované, prediskutované a odhlasované 50 náhodne vybranými belgickými občanmi.</w:t>
      </w:r>
    </w:p>
    <w:p>
      <w:pPr>
        <w:pStyle w:val="Corpsdetexte"/>
        <w:rPr/>
      </w:pPr>
      <w:r>
        <w:rPr/>
      </w:r>
    </w:p>
    <w:p>
      <w:pPr>
        <w:pStyle w:val="Titre4"/>
        <w:numPr>
          <w:ilvl w:val="3"/>
          <w:numId w:val="2"/>
        </w:numPr>
        <w:rPr/>
      </w:pPr>
      <w:bookmarkStart w:id="22" w:name="__RefHeading___Toc298218_1346298689"/>
      <w:bookmarkEnd w:id="22"/>
      <w:r>
        <w:rPr/>
        <w:t>2)</w:t>
        <w:tab/>
        <w:t>NEMECKO</w:t>
      </w:r>
    </w:p>
    <w:p>
      <w:pPr>
        <w:pStyle w:val="Corpsdetexte"/>
        <w:rPr/>
      </w:pPr>
      <w:r>
        <w:rPr/>
        <w:t>V januári 2022 nemecké ministerstvo zahraničných vecí zorganizovalo panel štátnych občanov. Na tomto online paneli sa zúčastnilo 100 náhodne vybraných občanov, ktorí zastupujú obyvateľstvo.</w:t>
      </w:r>
    </w:p>
    <w:p>
      <w:pPr>
        <w:pStyle w:val="Corpsdetexte"/>
        <w:rPr/>
      </w:pPr>
      <w:r>
        <w:rPr/>
        <w:t>V dňoch 5. a 8. januára 2022 sa online zorganizovalo päť úvodných seminárov, z ktorých sa zúčastnilo 20 účastníkov na tieto témy:</w:t>
      </w:r>
    </w:p>
    <w:p>
      <w:pPr>
        <w:pStyle w:val="Corpsdetexte"/>
        <w:rPr/>
      </w:pPr>
      <w:r>
        <w:rPr/>
        <w:t xml:space="preserve">— </w:t>
      </w:r>
      <w:r>
        <w:rPr/>
        <w:t>úloha Európy vo svete, klíma a životné prostredie,</w:t>
      </w:r>
    </w:p>
    <w:p>
      <w:pPr>
        <w:pStyle w:val="Corpsdetexte"/>
        <w:rPr/>
      </w:pPr>
      <w:r>
        <w:rPr/>
        <w:t>právny štát a hodnoty,</w:t>
      </w:r>
    </w:p>
    <w:p>
      <w:pPr>
        <w:pStyle w:val="Corpsdetexte"/>
        <w:rPr/>
      </w:pPr>
      <w:r>
        <w:rPr/>
        <w:t>silnejšia ekonomika a sociálna spravodlivosť.</w:t>
      </w:r>
    </w:p>
    <w:p>
      <w:pPr>
        <w:pStyle w:val="Corpsdetexte"/>
        <w:rPr/>
      </w:pPr>
      <w:r>
        <w:rPr/>
        <mc:AlternateContent>
          <mc:Choice Requires="wps">
            <w:drawing>
              <wp:anchor behindDoc="0" distT="0" distB="0" distL="0" distR="0" simplePos="0" locked="0" layoutInCell="1" allowOverlap="1" relativeHeight="86">
                <wp:simplePos x="0" y="0"/>
                <wp:positionH relativeFrom="column">
                  <wp:align>center</wp:align>
                </wp:positionH>
                <wp:positionV relativeFrom="paragraph">
                  <wp:posOffset>635</wp:posOffset>
                </wp:positionV>
                <wp:extent cx="2971165" cy="2132965"/>
                <wp:effectExtent l="0" t="0" r="0" b="0"/>
                <wp:wrapSquare wrapText="largest"/>
                <wp:docPr id="36" name="Rámec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1900555"/>
                                  <wp:effectExtent l="0" t="0" r="0" b="0"/>
                                  <wp:docPr id="38" name="Obrázok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ok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Fotografia: Nemecký panel občanov</w:t>
                            </w:r>
                          </w:p>
                        </w:txbxContent>
                      </wps:txbx>
                      <wps:bodyPr lIns="0" rIns="0" tIns="0" bIns="0">
                        <a:noAutofit/>
                      </wps:bodyPr>
                    </wps:wsp>
                  </a:graphicData>
                </a:graphic>
              </wp:anchor>
            </w:drawing>
          </mc:Choice>
          <mc:Fallback>
            <w:pict>
              <v:rect id="shape_0" ID="Rámec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1900555"/>
                            <wp:effectExtent l="0" t="0" r="0" b="0"/>
                            <wp:docPr id="39" name="Obrázok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ok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Fotografia: Nemecký panel občanov</w:t>
                      </w:r>
                    </w:p>
                  </w:txbxContent>
                </v:textbox>
              </v:rect>
            </w:pict>
          </mc:Fallback>
        </mc:AlternateContent>
      </w:r>
    </w:p>
    <w:p>
      <w:pPr>
        <w:pStyle w:val="Corpsdetexte"/>
        <w:rPr/>
      </w:pPr>
      <w:r>
        <w:rPr/>
        <w:t>100 náhodne vybraných občanov sa 15. a 16. januára 2022 zišlo, aby diskutovali o výzvach súvisiacich s týmito otázkami a možnými riešeniami, a prijali svoje odporúčania. Účastníci vypracovali dva konkrétne návrhy pre každú z vyššie uvedených tém.</w:t>
      </w:r>
    </w:p>
    <w:p>
      <w:pPr>
        <w:pStyle w:val="Corpsdetexte"/>
        <w:rPr/>
      </w:pPr>
      <w:r>
        <w:rPr/>
        <w:t>Výsledky boli prezentované 16. januára na záverečnej online konferencii, na ktorej sa zúčastnili nemecká ministerka zahraničných vecí Annalena Baerbock a námestníčka ministra pre Európu a klímu Anna Lührmannová.</w:t>
      </w:r>
    </w:p>
    <w:p>
      <w:pPr>
        <w:pStyle w:val="Corpsdetexte"/>
        <w:rPr/>
      </w:pPr>
      <w:r>
        <w:rPr/>
      </w:r>
    </w:p>
    <w:p>
      <w:pPr>
        <w:pStyle w:val="Titre4"/>
        <w:numPr>
          <w:ilvl w:val="3"/>
          <w:numId w:val="2"/>
        </w:numPr>
        <w:rPr/>
      </w:pPr>
      <w:bookmarkStart w:id="23" w:name="__RefHeading___Toc298220_1346298689"/>
      <w:bookmarkEnd w:id="23"/>
      <w:r>
        <w:rPr/>
        <w:t>3)</w:t>
        <w:tab/>
        <w:t>FRANCÚZSKO</w:t>
      </w:r>
    </w:p>
    <w:p>
      <w:pPr>
        <w:pStyle w:val="Corpsdetexte"/>
        <w:rPr/>
      </w:pPr>
      <w:r>
        <w:rPr/>
        <w:t>Panely občanov zorganizovalo vo Francúzsku francúzske ministerstvo Európy a zahraničných vecí s podporou ministerstva pre vzťahy s parlamentom a účasťou občanov.</w:t>
      </w:r>
    </w:p>
    <w:p>
      <w:pPr>
        <w:pStyle w:val="Normal"/>
        <w:rPr/>
      </w:pPr>
      <w:r>
        <w:rPr/>
        <mc:AlternateContent>
          <mc:Choice Requires="wps">
            <w:drawing>
              <wp:anchor behindDoc="0" distT="0" distB="0" distL="0" distR="0" simplePos="0" locked="0" layoutInCell="1" allowOverlap="1" relativeHeight="88">
                <wp:simplePos x="0" y="0"/>
                <wp:positionH relativeFrom="column">
                  <wp:align>center</wp:align>
                </wp:positionH>
                <wp:positionV relativeFrom="paragraph">
                  <wp:posOffset>635</wp:posOffset>
                </wp:positionV>
                <wp:extent cx="2971165" cy="2244090"/>
                <wp:effectExtent l="0" t="0" r="0" b="0"/>
                <wp:wrapSquare wrapText="largest"/>
                <wp:docPr id="40" name="Rámec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5810"/>
                                  <wp:effectExtent l="0" t="0" r="0" b="0"/>
                                  <wp:docPr id="42" name="Obrázok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ok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Fotografia: panel francúzskych občanov</w:t>
                            </w:r>
                          </w:p>
                        </w:txbxContent>
                      </wps:txbx>
                      <wps:bodyPr lIns="0" rIns="0" tIns="0" bIns="0">
                        <a:noAutofit/>
                      </wps:bodyPr>
                    </wps:wsp>
                  </a:graphicData>
                </a:graphic>
              </wp:anchor>
            </w:drawing>
          </mc:Choice>
          <mc:Fallback>
            <w:pict>
              <v:rect id="shape_0" ID="Rámec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5810"/>
                            <wp:effectExtent l="0" t="0" r="0" b="0"/>
                            <wp:docPr id="43" name="Obrázok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ok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Fotografia: panel francúzskych občanov</w:t>
                      </w:r>
                    </w:p>
                  </w:txbxContent>
                </v:textbox>
              </v:rect>
            </w:pict>
          </mc:Fallback>
        </mc:AlternateContent>
      </w:r>
    </w:p>
    <w:p>
      <w:pPr>
        <w:pStyle w:val="Corpsdetexte"/>
        <w:rPr/>
      </w:pPr>
      <w:r>
        <w:rPr/>
        <w:t>V septembri a začiatkom októbra 2021 sa zorganizovalo osemnásť panelových diskusií občanov vo všetkých regiónoch Francúzska, metropoly a zámoria. Každý panel združil 30 až 50 náhodne vybraných občanov, ktorí reprezentujú rozmanitosť obyvateľstva regiónov. Celkovo sa na diskusiách zúčastnilo viac ako 700 občanov. Výsledkom práce regionálnych panelov bol zoznam 101 ambícií s 515 pozmeňujúcimi a doplňujúcimi návrhmi a 1 301 konkrétnymi návrhmi.</w:t>
      </w:r>
    </w:p>
    <w:p>
      <w:pPr>
        <w:pStyle w:val="Corpsdetexte"/>
        <w:rPr/>
      </w:pPr>
      <w:r>
        <mc:AlternateContent>
          <mc:Choice Requires="wps">
            <w:drawing>
              <wp:anchor behindDoc="0" distT="0" distB="0" distL="0" distR="0" simplePos="0" locked="0" layoutInCell="1" allowOverlap="1" relativeHeight="92">
                <wp:simplePos x="0" y="0"/>
                <wp:positionH relativeFrom="column">
                  <wp:posOffset>82550</wp:posOffset>
                </wp:positionH>
                <wp:positionV relativeFrom="paragraph">
                  <wp:posOffset>2325370</wp:posOffset>
                </wp:positionV>
                <wp:extent cx="2806700" cy="2136140"/>
                <wp:effectExtent l="0" t="0" r="0" b="0"/>
                <wp:wrapSquare wrapText="largest"/>
                <wp:docPr id="44" name="Rámec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40890"/>
                                  <wp:effectExtent l="0" t="0" r="0" b="0"/>
                                  <wp:docPr id="46" name="Obrázok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ok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Fotografia: Panel talianskych občanov</w:t>
                            </w:r>
                          </w:p>
                        </w:txbxContent>
                      </wps:txbx>
                      <wps:bodyPr lIns="0" rIns="0" tIns="0" bIns="0">
                        <a:noAutofit/>
                      </wps:bodyPr>
                    </wps:wsp>
                  </a:graphicData>
                </a:graphic>
              </wp:anchor>
            </w:drawing>
          </mc:Choice>
          <mc:Fallback>
            <w:pict>
              <v:rect id="shape_0" ID="Rámec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40890"/>
                            <wp:effectExtent l="0" t="0" r="0" b="0"/>
                            <wp:docPr id="47" name="Obrázok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ok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Fotografia: Panel talianskych občanov</w:t>
                      </w:r>
                    </w:p>
                  </w:txbxContent>
                </v:textbox>
              </v:rect>
            </w:pict>
          </mc:Fallback>
        </mc:AlternateContent>
      </w:r>
      <w:r>
        <w:rPr/>
        <w:t>Spolu 100 občanov zastupujúcich panely sa 16. – 17. októbra 2021 stretli v Paríži na konferencii o národnej syntéze s cieľom vypracovať a prijať odporúčania. V rámci tohto procesu bolo identifikovaných celkovo 14 prioritných odporúčaní. Odporúčania týkajúce sa deviatich tém konferencie boli predložené francúzskej vláde vrátane ministra zahraničných vecí Clément Beaune a predstavovali príspevok francúzskej vlády na konferencii.</w:t>
      </w:r>
    </w:p>
    <w:p>
      <w:pPr>
        <w:pStyle w:val="Titre4"/>
        <w:numPr>
          <w:ilvl w:val="3"/>
          <w:numId w:val="2"/>
        </w:numPr>
        <w:rPr/>
      </w:pPr>
      <w:bookmarkStart w:id="24" w:name="__RefHeading___Toc298222_1346298689"/>
      <w:bookmarkEnd w:id="24"/>
      <w:r>
        <w:rPr/>
        <w:t>4)</w:t>
        <w:tab/>
        <w:t>TALIANSKO</w:t>
      </w:r>
    </w:p>
    <w:p>
      <w:pPr>
        <w:pStyle w:val="Corpsdetexte"/>
        <w:rPr/>
      </w:pPr>
      <w:r>
        <w:rPr/>
        <w:t>Panel občanov zorganizovala v marci 2022 nezávislá tretia strana pod dohľadom talianskeho ministerstva pre európske politiky predsedníctva Rady ministrov.</w:t>
      </w:r>
    </w:p>
    <w:p>
      <w:pPr>
        <w:pStyle w:val="Corpsdetexte"/>
        <w:rPr/>
      </w:pPr>
      <w:r>
        <w:rPr/>
      </w:r>
    </w:p>
    <w:p>
      <w:pPr>
        <w:pStyle w:val="Corpsdetexte"/>
        <w:rPr/>
      </w:pPr>
      <w:r>
        <w:rPr/>
        <w:t>Zúčastnilo sa na ňom 55 náhodne vybraných občanov, ktorí zastupovali taliansku spoločnosť a jej regióny. Účastníci boli náhodne vybraní s cieľom zabezpečiť prítomnosť rôzneho pohlavia, veku, sociálneho pôvodu, miesta bydliska a profesijného postavenia.</w:t>
      </w:r>
    </w:p>
    <w:p>
      <w:pPr>
        <w:pStyle w:val="Corpsdetexte"/>
        <w:rPr/>
      </w:pPr>
      <w:r>
        <w:rPr/>
        <w:t>Občania sa 11. a 12. marca 2022 stretli online, aby diskutovali o dvoch témach konferencie:</w:t>
      </w:r>
    </w:p>
    <w:p>
      <w:pPr>
        <w:pStyle w:val="Alineanegatifpuce"/>
        <w:numPr>
          <w:ilvl w:val="0"/>
          <w:numId w:val="3"/>
        </w:numPr>
        <w:rPr/>
      </w:pPr>
      <w:r>
        <w:rPr/>
        <w:t xml:space="preserve"> „</w:t>
      </w:r>
      <w:r>
        <w:rPr/>
        <w:t>Silnejšie hospodárstvo, sociálna spravodlivosť a zamestnanosť“ a</w:t>
      </w:r>
    </w:p>
    <w:p>
      <w:pPr>
        <w:pStyle w:val="Alineanegatifpuce"/>
        <w:numPr>
          <w:ilvl w:val="0"/>
          <w:numId w:val="3"/>
        </w:numPr>
        <w:rPr/>
      </w:pPr>
      <w:r>
        <w:rPr/>
        <w:t xml:space="preserve"> „</w:t>
      </w:r>
      <w:r>
        <w:rPr/>
        <w:t>Európa vo svete“.</w:t>
      </w:r>
    </w:p>
    <w:p>
      <w:pPr>
        <w:pStyle w:val="Corpsdetexte"/>
        <w:rPr/>
      </w:pPr>
      <w:r>
        <w:rPr/>
        <w:t>Skupina prijala 12. marca 2022 celkovo 58 odporúčaní vrátane 33 odporúčaní týkajúcich sa silnejšieho hospodárstva, sociálnej spravodlivosti a zamestnanosti a 25 odporúčaní týkajúcich sa Globálnej Európy. V posledný deň účastníci vykonali overenie a validáciu prvého návrhu odporúčaní predložených počas prvej fázy práce.</w:t>
      </w:r>
    </w:p>
    <w:p>
      <w:pPr>
        <w:pStyle w:val="Corpsdetexte"/>
        <w:rPr/>
      </w:pPr>
      <w:r>
        <w:rPr/>
      </w:r>
    </w:p>
    <w:p>
      <w:pPr>
        <w:pStyle w:val="Titre4"/>
        <w:numPr>
          <w:ilvl w:val="3"/>
          <w:numId w:val="2"/>
        </w:numPr>
        <w:rPr/>
      </w:pPr>
      <w:bookmarkStart w:id="25" w:name="__RefHeading___Toc298224_1346298689"/>
      <w:bookmarkEnd w:id="25"/>
      <w:r>
        <w:rPr/>
        <w:t>5)</w:t>
        <w:tab/>
        <w:t>LITVA</w:t>
      </w:r>
    </w:p>
    <w:p>
      <w:pPr>
        <w:pStyle w:val="Corpsdetexte"/>
        <w:rPr/>
      </w:pPr>
      <w:r>
        <w:rPr/>
        <w:t>V mene ministerstva zahraničných vecí zorganizovala v januári 2022 nezávislá tretia strana národný panel občanov.</w:t>
      </w:r>
    </w:p>
    <w:p>
      <w:pPr>
        <w:pStyle w:val="Corpsdetexte"/>
        <w:rPr/>
      </w:pPr>
      <w:r>
        <w:rPr/>
        <mc:AlternateContent>
          <mc:Choice Requires="wps">
            <w:drawing>
              <wp:anchor behindDoc="0" distT="0" distB="0" distL="0" distR="0" simplePos="0" locked="0" layoutInCell="1" allowOverlap="1" relativeHeight="93">
                <wp:simplePos x="0" y="0"/>
                <wp:positionH relativeFrom="column">
                  <wp:align>center</wp:align>
                </wp:positionH>
                <wp:positionV relativeFrom="paragraph">
                  <wp:posOffset>635</wp:posOffset>
                </wp:positionV>
                <wp:extent cx="2971165" cy="2247265"/>
                <wp:effectExtent l="0" t="0" r="0" b="0"/>
                <wp:wrapSquare wrapText="largest"/>
                <wp:docPr id="48" name="Rámec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8985"/>
                                  <wp:effectExtent l="0" t="0" r="0" b="0"/>
                                  <wp:docPr id="50" name="Obrázok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ok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Fotografia: Litovský panel občanov</w:t>
                            </w:r>
                          </w:p>
                        </w:txbxContent>
                      </wps:txbx>
                      <wps:bodyPr lIns="0" rIns="0" tIns="0" bIns="0">
                        <a:noAutofit/>
                      </wps:bodyPr>
                    </wps:wsp>
                  </a:graphicData>
                </a:graphic>
              </wp:anchor>
            </w:drawing>
          </mc:Choice>
          <mc:Fallback>
            <w:pict>
              <v:rect id="shape_0" ID="Rámec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8985"/>
                            <wp:effectExtent l="0" t="0" r="0" b="0"/>
                            <wp:docPr id="51" name="Obrázok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ok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Fotografia: Litovský panel občanov</w:t>
                      </w:r>
                    </w:p>
                  </w:txbxContent>
                </v:textbox>
              </v:rect>
            </w:pict>
          </mc:Fallback>
        </mc:AlternateContent>
      </w:r>
    </w:p>
    <w:p>
      <w:pPr>
        <w:pStyle w:val="Corpsdetexte"/>
        <w:rPr/>
      </w:pPr>
      <w:r>
        <w:rPr/>
        <w:t>Združuje 25 náhodne vybraných občanov vo veku 18 až 65 rokov, ktorí zastupujú rôzne sociálno-ekonomické skupiny a regióny Litvy.</w:t>
      </w:r>
    </w:p>
    <w:p>
      <w:pPr>
        <w:pStyle w:val="Corpsdetexte"/>
        <w:rPr/>
      </w:pPr>
      <w:r>
        <w:rPr/>
        <w:t>Dňa 4. januára 2022 sa zorganizovalo otváracie zasadnutie online a občania diskutovali o dvoch témach:</w:t>
      </w:r>
    </w:p>
    <w:p>
      <w:pPr>
        <w:pStyle w:val="Alineanegatifpuce"/>
        <w:numPr>
          <w:ilvl w:val="0"/>
          <w:numId w:val="3"/>
        </w:numPr>
        <w:rPr/>
      </w:pPr>
      <w:r>
        <w:rPr/>
        <w:t xml:space="preserve"> </w:t>
      </w:r>
      <w:r>
        <w:rPr/>
        <w:t>úloha a právomoci EÚ v zahraničnej politike;</w:t>
      </w:r>
    </w:p>
    <w:p>
      <w:pPr>
        <w:pStyle w:val="Alineanegatifpuce"/>
        <w:numPr>
          <w:ilvl w:val="0"/>
          <w:numId w:val="3"/>
        </w:numPr>
        <w:rPr/>
      </w:pPr>
      <w:r>
        <w:rPr/>
        <w:t xml:space="preserve"> </w:t>
      </w:r>
      <w:r>
        <w:rPr/>
        <w:t>hospodárska úloha EÚ.</w:t>
      </w:r>
    </w:p>
    <w:p>
      <w:pPr>
        <w:pStyle w:val="Normal"/>
        <w:rPr/>
      </w:pPr>
      <w:r>
        <w:rPr/>
      </w:r>
    </w:p>
    <w:p>
      <w:pPr>
        <w:pStyle w:val="Corpsdetexte"/>
        <w:rPr/>
      </w:pPr>
      <w:r>
        <w:rPr/>
        <w:t>Účastníci sa 15. januára 2022 osobne stretli, aby sformulovali hlavné závery svojich diskusií. Dňa 25. januára 2022 prijali na virtuálnom zasadnutí 21 odporúčaní, z ktorých 10 sa zameralo na úlohu a právomoci EÚ v oblasti zahraničnej politiky a 11 na hospodársku úlohu EÚ.</w:t>
      </w:r>
    </w:p>
    <w:p>
      <w:pPr>
        <w:pStyle w:val="Corpsdetexte"/>
        <w:rPr/>
      </w:pPr>
      <w:r>
        <w:rPr/>
      </w:r>
    </w:p>
    <w:p>
      <w:pPr>
        <w:pStyle w:val="Titre4"/>
        <w:numPr>
          <w:ilvl w:val="3"/>
          <w:numId w:val="2"/>
        </w:numPr>
        <w:rPr/>
      </w:pPr>
      <w:bookmarkStart w:id="26" w:name="__RefHeading___Toc298226_1346298689"/>
      <w:bookmarkEnd w:id="26"/>
      <w:r>
        <w:rPr/>
        <w:t>6)</w:t>
        <w:tab/>
        <w:t>HOLANDSKO</w:t>
      </w:r>
    </w:p>
    <w:p>
      <w:pPr>
        <w:pStyle w:val="Corpsdetexte"/>
        <w:rPr/>
      </w:pPr>
      <w:r>
        <w:rPr/>
        <w:t>Panel občanov zorganizovala nezávislá tretia strana, pričom dialógy s názvom „Vízia Európy“ sa začali</w:t>
      </w:r>
      <w:r>
        <w:rPr>
          <w:vertAlign w:val="superscript"/>
        </w:rPr>
        <w:t>1.</w:t>
      </w:r>
      <w:r>
        <w:rPr/>
        <w:t xml:space="preserve"> septembra. Boli rozdelené do niekoľkých častí.</w:t>
      </w:r>
    </w:p>
    <w:p>
      <w:pPr>
        <w:pStyle w:val="Corpsdetexte"/>
        <w:rPr/>
      </w:pPr>
      <w:r>
        <w:rPr/>
        <w:t>Online časť, ktorá bola spustená 1.</w:t>
      </w:r>
      <w:r>
        <w:rPr>
          <w:vertAlign w:val="superscript"/>
        </w:rPr>
        <w:t>septembra</w:t>
      </w:r>
      <w:r>
        <w:rPr/>
        <w:t xml:space="preserve"> 2021, obsahovala</w:t>
      </w:r>
      <w:r>
        <w:drawing>
          <wp:anchor behindDoc="0" distT="0" distB="0" distL="0" distR="0" simplePos="0" locked="0" layoutInCell="1" allowOverlap="1" relativeHeight="33">
            <wp:simplePos x="0" y="0"/>
            <wp:positionH relativeFrom="column">
              <wp:posOffset>1356995</wp:posOffset>
            </wp:positionH>
            <wp:positionV relativeFrom="paragraph">
              <wp:posOffset>1277620</wp:posOffset>
            </wp:positionV>
            <wp:extent cx="3610610" cy="2474595"/>
            <wp:effectExtent l="0" t="0" r="0" b="0"/>
            <wp:wrapTopAndBottom/>
            <wp:docPr id="52" name="Obrázok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ok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q</w:t>
      </w:r>
      <w:r>
        <w:rPr/>
        <w:t>uestio nary a zjednodušený výberový nástroj, ktorý občanom umožnil vyjadriť svoje preferencie, želania a odporúčania týkajúce sa deviatich tém konferencie. Dotazník bol zaslaný vybraným reprezentatívnym a inkluzívnym skupinám 4 000 občanov.</w:t>
      </w:r>
    </w:p>
    <w:p>
      <w:pPr>
        <w:pStyle w:val="Corpsdetexte"/>
        <w:rPr/>
      </w:pPr>
      <w:r>
        <w:rPr/>
      </w:r>
    </w:p>
    <w:p>
      <w:pPr>
        <w:pStyle w:val="Corpsdetexte"/>
        <w:rPr/>
      </w:pPr>
      <w:r>
        <w:rPr/>
        <w:t>V októbri a novembri 2021 sa uskutočnili hĺbkové diskusie s občanmi online aj offline, najmä s cieľom osloviť mladých ľudí a ťažko dosiahnuteľné cieľové skupiny.</w:t>
      </w:r>
    </w:p>
    <w:p>
      <w:pPr>
        <w:pStyle w:val="Corpsdetexte"/>
        <w:rPr/>
      </w:pPr>
      <w:r>
        <w:rPr/>
        <w:t>Boli uverejnené dve správy s názvom Naša vízia pre Európu; stanoviská, nápady a odporúčania (Elze kijk op Europa; Meningen, ideeën en Aanbevelingen) a spája 30 odporúčaní občanov týkajúcich sa deviatich tém konferencie.</w:t>
      </w:r>
    </w:p>
    <w:p>
      <w:pPr>
        <w:pStyle w:val="Corpsdetexte"/>
        <w:rPr/>
      </w:pPr>
      <w:r>
        <w:rPr/>
        <mc:AlternateContent>
          <mc:Choice Requires="wps">
            <w:drawing>
              <wp:anchor behindDoc="0" distT="0" distB="0" distL="0" distR="0" simplePos="0" locked="0" layoutInCell="1" allowOverlap="1" relativeHeight="32">
                <wp:simplePos x="0" y="0"/>
                <wp:positionH relativeFrom="column">
                  <wp:posOffset>25400</wp:posOffset>
                </wp:positionH>
                <wp:positionV relativeFrom="paragraph">
                  <wp:posOffset>591820</wp:posOffset>
                </wp:positionV>
                <wp:extent cx="2971165" cy="2225675"/>
                <wp:effectExtent l="0" t="0" r="0" b="0"/>
                <wp:wrapSquare wrapText="largest"/>
                <wp:docPr id="53" name="Rámec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17395"/>
                                  <wp:effectExtent l="0" t="0" r="0" b="0"/>
                                  <wp:docPr id="55" name="Obrázok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ok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Panel holandských občanov</w:t>
                            </w:r>
                          </w:p>
                        </w:txbxContent>
                      </wps:txbx>
                      <wps:bodyPr lIns="0" rIns="0" tIns="0" bIns="0">
                        <a:noAutofit/>
                      </wps:bodyPr>
                    </wps:wsp>
                  </a:graphicData>
                </a:graphic>
              </wp:anchor>
            </w:drawing>
          </mc:Choice>
          <mc:Fallback>
            <w:pict>
              <v:rect id="shape_0" ID="Rámec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17395"/>
                            <wp:effectExtent l="0" t="0" r="0" b="0"/>
                            <wp:docPr id="56" name="Obrázok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ok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Panel holandských občanov</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Podujatia organizované v rámci konferencie</w:t>
      </w:r>
    </w:p>
    <w:p>
      <w:pPr>
        <w:pStyle w:val="Titre3"/>
        <w:numPr>
          <w:ilvl w:val="2"/>
          <w:numId w:val="2"/>
        </w:numPr>
        <w:rPr/>
      </w:pPr>
      <w:bookmarkStart w:id="28" w:name="__RefHeading___Toc298230_1346298689"/>
      <w:bookmarkEnd w:id="28"/>
      <w:r>
        <w:rPr/>
        <w:t>1.</w:t>
        <w:tab/>
        <w:t>Národné podujatia</w:t>
      </w:r>
    </w:p>
    <w:p>
      <w:pPr>
        <w:pStyle w:val="Corpsdetexte"/>
        <w:rPr/>
      </w:pPr>
      <w:r>
        <w:rPr/>
        <w:t xml:space="preserve">Členské štáty prispeli ku konferencii prostredníctvom širokej škály podujatí a iniciatív. Na týchto podujatiach sa zúčastnilo niekoľko tisíc občanov z celej EÚ. </w:t>
      </w:r>
      <w:hyperlink r:id="rId47">
        <w:r>
          <w:rPr>
            <w:rStyle w:val="LienInternet"/>
          </w:rPr>
          <w:t>Osobitný okruh</w:t>
        </w:r>
      </w:hyperlink>
      <w:r>
        <w:rPr/>
        <w:t xml:space="preserve"> viacjazyčnej digitálnej platformy poskytuje prehľad hlavných činností, ktoré orgány členských štátov zorganizovali alebo podporili. Podujatia boli predstavené na plenárnych zhromaždeniach konferencie 23. októbra 2021 a 25. marca 2022 zástupcami národných podujatí a/alebo národných panelových diskusií občanov, ale prispeli aj ku konferencii prostredníctvom </w:t>
      </w:r>
      <w:hyperlink r:id="rId48">
        <w:r>
          <w:rPr>
            <w:rStyle w:val="LienInternet"/>
          </w:rPr>
          <w:t>správ platformy</w:t>
        </w:r>
      </w:hyperlink>
      <w:r>
        <w:rPr/>
        <w:t>, čím obohatili diskusiu na európskej úrovni.</w:t>
      </w:r>
    </w:p>
    <w:p>
      <w:pPr>
        <w:pStyle w:val="Corpsdetexte"/>
        <w:rPr/>
      </w:pPr>
      <w:r>
        <w:rPr/>
        <w:t xml:space="preserve"> </w:t>
      </w:r>
      <w:r>
        <w:rPr/>
        <w:t>Hlavným cieľom týchto podujatí a iniciatív bolo vypočuť občanov a zapojiť ich do diskusií o Európskej únii. Prioritou bolo aj začlenenie a dialóg s občanmi s cieľom zapojiť ľudí, ktorí sa zvyčajne nezúčastňujú na diskusiách týkajúcich sa EÚ.</w:t>
      </w:r>
    </w:p>
    <w:p>
      <w:pPr>
        <w:pStyle w:val="Corpsdetexte"/>
        <w:rPr/>
      </w:pPr>
      <w:r>
        <w:rPr/>
        <w:t>Uskutočnili sa rôzne typy podujatí, v ktorých sa kombinovali centralizované a decentralizované prístupy, a to aj s rôznymi formami podpory iniciatív zdola nahor. Činnosti a podujatia v členských štátoch organizovali rôzne inštitúcie a subjekty vrátane vnútroštátnych, regionálnych a miestnych orgánov, organizácií občianskej spoločnosti, sociálnych partnerov, združení a občanov. V niektorých prípadoch sa na organizovaní podujatí na konferencii aktívne podieľali aj mimovládne organizácie, kultúrne inštitúcie, think tanky, univerzity a výskumné ústavy. V mnohých z týchto aktivít a podujatí sa osobitný dôraz kladie na účasť mladšej generácie.</w:t>
      </w:r>
    </w:p>
    <w:p>
      <w:pPr>
        <w:pStyle w:val="Corpsdetexte"/>
        <w:rPr/>
      </w:pPr>
      <w:r>
        <w:rPr/>
        <w:drawing>
          <wp:anchor behindDoc="0" distT="0" distB="0" distL="0" distR="0" simplePos="0" locked="0" layoutInCell="1" allowOverlap="1" relativeHeight="71">
            <wp:simplePos x="0" y="0"/>
            <wp:positionH relativeFrom="column">
              <wp:posOffset>31750</wp:posOffset>
            </wp:positionH>
            <wp:positionV relativeFrom="paragraph">
              <wp:posOffset>123190</wp:posOffset>
            </wp:positionV>
            <wp:extent cx="2518410" cy="7244080"/>
            <wp:effectExtent l="0" t="0" r="0" b="0"/>
            <wp:wrapTopAndBottom/>
            <wp:docPr id="57" name="Obrázok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ok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Prehľad hlavných podujatí a iniciatív v členských štátoch:</w:t>
      </w:r>
    </w:p>
    <w:p>
      <w:pPr>
        <w:pStyle w:val="P68B1DB1Corpsdetexte12"/>
        <w:rPr/>
      </w:pPr>
      <w:r>
        <w:rPr/>
        <w:t>1 Belgicko</w:t>
      </w:r>
    </w:p>
    <w:p>
      <w:pPr>
        <w:pStyle w:val="Corpsdetexte"/>
        <w:rPr/>
      </w:pPr>
      <w:r>
        <w:rPr/>
        <w:t>Federálne a regionálne orgány zorganizovali niekoľko podujatí. Uskutočnilo sa niekoľko diskusií s občanmi, napríklad o EÚ vo svete a o zmene klímy a životnom prostredí. Uskutočnil sa aj štruktúrovaný dialóg s občanmi o „Žití v pohraničnom regióne“ a hackathon na tému „Vplyv zdravého životného štýlu a zmeny klímy na kvalitu života“ a „prekážky zamestnanosti mladých ľudí“.</w:t>
      </w:r>
    </w:p>
    <w:p>
      <w:pPr>
        <w:pStyle w:val="Corpsdetexte"/>
        <w:rPr/>
      </w:pPr>
      <w:r>
        <w:rPr/>
        <w:t>Okrem toho sa zorganizovalo podujatie o digitalizácii a udržateľnom hospodárstve a uskutočnila sa séria diskusií medzi mladými ľuďmi a politikmi na tému „Európa počúva vás“.</w:t>
      </w:r>
    </w:p>
    <w:p>
      <w:pPr>
        <w:pStyle w:val="P68B1DB1Corpsdetexte12"/>
        <w:rPr/>
      </w:pPr>
      <w:r>
        <w:rPr/>
        <w:t>2 Bulharsko</w:t>
      </w:r>
    </w:p>
    <w:p>
      <w:pPr>
        <w:pStyle w:val="Corpsdetexte"/>
        <w:rPr/>
      </w:pPr>
      <w:r>
        <w:rPr/>
        <w:t>Bulharské cvičenie sa začalo na ceremoniáli s názvom „Ako počuť hlas občanov prostredníctvom Konferencie o budúcnosti Európy?“ za účasti verejných orgánov a zástupcov občanov. V rámci organizovaných podujatí sa nadviazal dialóg o demografii a demokracii.</w:t>
      </w:r>
    </w:p>
    <w:p>
      <w:pPr>
        <w:pStyle w:val="Corpsdetexte"/>
        <w:rPr/>
      </w:pPr>
      <w:r>
        <w:rPr/>
        <w:t>Vo veľkých univerzitných mestách sa uskutočnilo niekoľko miestnych podujatí s pomocou centier Europe Direct.</w:t>
      </w:r>
    </w:p>
    <w:p>
      <w:pPr>
        <w:pStyle w:val="P68B1DB1Corpsdetexte12"/>
        <w:rPr/>
      </w:pPr>
      <w:r>
        <w:rPr/>
        <w:t>3 Česká republika</w:t>
      </w:r>
    </w:p>
    <w:p>
      <w:pPr>
        <w:pStyle w:val="Corpsdetexte"/>
        <w:rPr/>
      </w:pPr>
      <w:r>
        <w:rPr/>
        <w:t>Česká republika zorganizovala centrálne diskusie so širokou verejnosťou a informačné podujatia pre príslušné zainteresované strany. Tieto podujatia dopĺňali mládežnícke podujatia a podujatia s medzinárodnou účasťou. Zorganizovalo sa najmä nadnárodné podujatie s nemeckými a českými občanmi. V celej krajine sa uskutočnilo niekoľko regionálnych diskusií, ako aj regionálne semináre pre študentov stredných škôl na tému „Rozhodnutie o Európe“.</w:t>
      </w:r>
    </w:p>
    <w:p>
      <w:pPr>
        <w:pStyle w:val="Normal"/>
        <w:rPr/>
      </w:pPr>
      <w:r>
        <w:rPr/>
      </w:r>
    </w:p>
    <w:p>
      <w:pPr>
        <w:pStyle w:val="P68B1DB1Corpsdetexte12"/>
        <w:tabs>
          <w:tab w:val="left" w:pos="1391" w:leader="none"/>
        </w:tabs>
        <w:rPr/>
      </w:pPr>
      <w:r>
        <w:rPr/>
        <w:t>4 Dánsko</w:t>
      </w:r>
    </w:p>
    <w:p>
      <w:pPr>
        <w:pStyle w:val="Corpsdetexte"/>
        <w:rPr/>
      </w:pPr>
      <w:r>
        <w:rPr/>
        <w:t>Zorganizovala sa široká a inkluzívna celoštátna diskusia, v ktorej zohrávala ústrednú úlohu občianska spoločnosť a iní mimovládni aktéri. Skupine rôznych organizácií vrátane mimovládnych organizácií, médií, mládežníckych organizácií, kultúrnych inštitúcií, think-tankov a výskumných ústavov sa poskytla určená skupina verejných finančných prostriedkov na podporu diskusií a iniciatív zriadených mimovládnymi organizáciami. Uskutočnilo sa viac ako 180 diskusií, z ktorých polovica bola špecificky zameraná na mladých ľudí. Okrem toho vláda a parlament zorganizovali sériu oficiálnych podujatí, ako sú konzultácie s občanmi a diskusie.</w:t>
      </w:r>
    </w:p>
    <w:p>
      <w:pPr>
        <w:pStyle w:val="P68B1DB1Corpsdetexte12"/>
        <w:rPr/>
      </w:pPr>
      <w:r>
        <w:rPr/>
        <w:t>5 Nemecko</w:t>
      </w:r>
    </w:p>
    <w:p>
      <w:pPr>
        <w:pStyle w:val="Corpsdetexte"/>
        <w:rPr/>
      </w:pPr>
      <w:r>
        <w:rPr/>
        <w:t>Podujatia v Nemecku sa týkali spolkovej vlády, Spolkového snemu, spolkových štátov a občianskej spoločnosti. Okrem podujatí, ktoré vytvorila federálna vláda, zorganizovalo viac ako 50 regionálnych podujatí šestnásť spolkových štátov Nemecka a približne 300 zástupcov občianskej spoločnosti.</w:t>
      </w:r>
    </w:p>
    <w:p>
      <w:pPr>
        <w:pStyle w:val="Corpsdetexte"/>
        <w:rPr/>
      </w:pPr>
      <w:r>
        <w:rPr/>
        <w:t>Cezhraničné podujatia a dialógy so študentmi a mladými ľuďmi boli ústredným prvkom mnohých iniciatív, vďaka ktorým sa mladí ľudia dostali do popredia diskusií zameraných na formovanie budúcnosti Európy.</w:t>
      </w:r>
    </w:p>
    <w:p>
      <w:pPr>
        <w:pStyle w:val="P68B1DB1Corpsdetexte12"/>
        <w:rPr/>
      </w:pPr>
      <w:r>
        <w:rPr/>
        <w:t>6 Estónsko</w:t>
      </w:r>
    </w:p>
    <w:p>
      <w:pPr>
        <w:pStyle w:val="Corpsdetexte"/>
        <w:rPr/>
      </w:pPr>
      <w:r>
        <w:rPr/>
        <w:t>Štátny kancelár zorganizoval rôzne podujatia, semináre a diskusie v spolupráci so zastúpením Európskej komisie v Estónsku, ministerstvom zahraničných vecí a inými ministerstvami, ako aj s občianskou spoločnosťou a mládežníckymi organizáciami. Uskutočnila sa najmä diskusia pre študentov stredných škôl o kľúčových otázkach týkajúcich sa zmeny klímy, energetickej politiky a konferencie vo všeobecnosti. Začala sa aj diskusia na tému „Estónska diplomacia za dosiahnutie cieľov v oblasti klímy“.</w:t>
      </w:r>
    </w:p>
    <w:p>
      <w:pPr>
        <w:pStyle w:val="P68B1DB1Corpsdetexte12"/>
        <w:rPr/>
      </w:pPr>
      <w:r>
        <w:rPr/>
        <w:t>7 Írsko</w:t>
      </w:r>
    </w:p>
    <w:p>
      <w:pPr>
        <w:pStyle w:val="Corpsdetexte"/>
        <w:rPr/>
      </w:pPr>
      <w:r>
        <w:rPr/>
        <w:t>Hlavnou témou aktivít organizovaných v Írsku bolo začlenenie a dialóg s celým obyvateľstvom, najmä s mladými ľuďmi.</w:t>
      </w:r>
    </w:p>
    <w:p>
      <w:pPr>
        <w:pStyle w:val="Corpsdetexte"/>
        <w:rPr/>
      </w:pPr>
      <w:r>
        <w:rPr/>
        <w:t>V spolupráci s Európskym hnutím Írsko (EMI) bol v rokoch 2021 a 2022 spustený program regionálnych a odvetvových záväzkov. Prvá fáza regionálnych stretnutí sa uskutočnila v júni a júli vo forme virtuálnych konzultácií. Druhá fáza regionálnych podujatí mala formu osobných verejných stretnutí na začiatku roka 2022. Od júla prebieha program vládnych podujatí.</w:t>
      </w:r>
    </w:p>
    <w:p>
      <w:pPr>
        <w:pStyle w:val="P68B1DB1Corpsdetexte12"/>
        <w:rPr/>
      </w:pPr>
      <w:r>
        <w:rPr/>
        <w:t>8 Grécko</w:t>
      </w:r>
    </w:p>
    <w:p>
      <w:pPr>
        <w:pStyle w:val="Corpsdetexte"/>
        <w:rPr/>
      </w:pPr>
      <w:r>
        <w:rPr/>
        <w:t>Za koordináciu národného dialógu bolo zodpovedné ministerstvo zahraničných vecí. Orgány ústrednej a miestnej samosprávy a občianska spoločnosť boli dôrazne nabádané, aby organizovali diskusie a iné podujatia. Uskutočnili sa napríklad podujatia týkajúce sa euro-stredozemskej spolupráce, západného Balkánu, demografickej výzvy, migrácie a demokracie s účasťou občanov a rôznych zainteresovaných strán.</w:t>
      </w:r>
    </w:p>
    <w:p>
      <w:pPr>
        <w:pStyle w:val="P68B1DB1Corpsdetexte12"/>
        <w:rPr/>
      </w:pPr>
      <w:r>
        <w:rPr/>
        <w:t>9 Španielsko</w:t>
      </w:r>
    </w:p>
    <w:p>
      <w:pPr>
        <w:pStyle w:val="Corpsdetexte"/>
        <w:rPr/>
      </w:pPr>
      <w:r>
        <w:rPr/>
        <w:t>Španielsky rámec zahŕňal šesť podujatí na vnútroštátnej úrovni (napr. konzultácie so španielskymi občanmi o budúcnosti Európy) a približne 20 podujatí na regionálnej úrovni. Zorganizovalo sa aj podujatie s portugalskými a španielskymi občanmi s cieľom diskutovať o kľúčových témach záujmu o budúcnosť ich regiónov a EÚ. Na regionálnej a miestnej úrovni orgány organizovali podujatia zamerané na viaceré témy, ako je cezhraničná spolupráca, vplyv demografických zmien, udržateľná doprava a mobilita, zmena klímy, migrácia a budúcnosť najvzdialenejších regiónov.</w:t>
      </w:r>
    </w:p>
    <w:p>
      <w:pPr>
        <w:pStyle w:val="Normal"/>
        <w:rPr/>
      </w:pPr>
      <w:r>
        <w:rPr/>
      </w:r>
    </w:p>
    <w:p>
      <w:pPr>
        <w:pStyle w:val="P68B1DB1Corpsdetexte12"/>
        <w:rPr/>
      </w:pPr>
      <w:r>
        <w:rPr/>
        <w:t>10 Francúzsko</w:t>
      </w:r>
    </w:p>
    <w:p>
      <w:pPr>
        <w:pStyle w:val="Corpsdetexte"/>
        <w:rPr/>
      </w:pPr>
      <w:r>
        <w:rPr/>
        <w:t>Francúzska vláda uskutočnila od mája do júla 2021 rozsiahlu online konzultáciu s mladými ľuďmi. Päťdesiattisíc mladých Francúzov vyjadrilo svoje názory a podporilo šestnásť hlavných myšlienok pre budúcnosť Európy. Výsledky tohto postupu boli spolu s výsledkami francúzskeho panelu občanov uvedené v záverečnej správe, ktorá predstavuje príspevok Francúzska na konferencii. Francúzska vláda tiež vyzvala všetkých francúzskych aktérov, ktorí si to želajú (združenia, miestne orgány, volení úradníci, zástupcovia občianskej spoločnosti), aby organizovali podujatia.</w:t>
      </w:r>
    </w:p>
    <w:p>
      <w:pPr>
        <w:pStyle w:val="P68B1DB1Corpsdetexte12"/>
        <w:rPr/>
      </w:pPr>
      <w:r>
        <w:rPr/>
        <w:t>11 Chorvátsko</w:t>
      </w:r>
    </w:p>
    <w:p>
      <w:pPr>
        <w:pStyle w:val="Corpsdetexte"/>
        <w:rPr/>
      </w:pPr>
      <w:r>
        <w:rPr/>
        <w:t>Zriadila sa pracovná skupina pre koordináciu činností, ktorá zhromaždila nápady a plány na vykonávanie činností na vnútroštátnej úrovni. Ministerstvá, ústredné štátne úrady, agentúry regionálneho rozvoja, univerzity, mimovládne organizácie a inštitúty organizovali podujatia vo forme konferencií, občianskych dialógov a diskusií s občanmi, verejných diskusií a vzdelávacích seminárov s osobitným zameraním na mladých ľudí.</w:t>
      </w:r>
    </w:p>
    <w:p>
      <w:pPr>
        <w:pStyle w:val="Corpsdetexte"/>
        <w:rPr/>
      </w:pPr>
      <w:r>
        <w:rPr/>
        <w:t>Medzi témy patria migrácia, demografia, klimatická neutralita a obehové hospodárstvo. Niektoré podujatia sa organizovali s inými členskými štátmi a susednými krajinami mimo EÚ.</w:t>
      </w:r>
    </w:p>
    <w:p>
      <w:pPr>
        <w:pStyle w:val="P68B1DB1Corpsdetexte12"/>
        <w:rPr/>
      </w:pPr>
      <w:r>
        <w:rPr/>
        <w:t>12 Taliansko</w:t>
      </w:r>
    </w:p>
    <w:p>
      <w:pPr>
        <w:pStyle w:val="Corpsdetexte"/>
        <w:rPr/>
      </w:pPr>
      <w:r>
        <w:rPr/>
        <w:t>Zorganizovalo sa niekoľko podujatí zameraných najmä na mladých ľudí s cieľom osloviť čo najviac občanov, a to aj s aktívnou podporou miestnych orgánov. Spustila sa mediálna kampaň s cieľom čo najviac zvýšiť informovanosť o týchto podujatiach. Medzi tieto činnosti patrí mládežnícke fórum EÚ – balkánske fórum organizované s mladými ľuďmi zo západného Balkánu, fórum mládeže „Med Dialógy“, na ktorom sa zúčastňujú mladí ľudia z južného susedstva, ako aj súťaže pre stredoškolských a univerzitných študentov s názvom „Európa je vo vašich rukách“.</w:t>
      </w:r>
    </w:p>
    <w:p>
      <w:pPr>
        <w:pStyle w:val="P68B1DB1Corpsdetexte12"/>
        <w:rPr/>
      </w:pPr>
      <w:r>
        <w:rPr/>
        <w:t>13 Cyprus</w:t>
      </w:r>
    </w:p>
    <w:p>
      <w:pPr>
        <w:pStyle w:val="Corpsdetexte"/>
        <w:rPr/>
      </w:pPr>
      <w:r>
        <w:rPr/>
        <w:t>Zorganizovalo sa niekoľko aktivít zameraných na mládež, do ktorých sa zapojili mnohí aktéri. Uskutočnilo sa úvodné podujatie vrátane diskusie s mladšou generáciou o jej očakávaniach, obavách a vízii pre Európu a Cyprus v rámci EÚ. Viedol sa aj otvorený dialóg o úlohe mladých ľudí v diskusii o Európe a o problémoch, ktorým čelia na vnútroštátnej a európskej úrovni. Uskutočnilo sa aj podujatie s cieľom diskutovať o budúcnosti európskej bezpečnosti a obrany.</w:t>
      </w:r>
    </w:p>
    <w:p>
      <w:pPr>
        <w:pStyle w:val="P68B1DB1Corpsdetexte12"/>
        <w:rPr/>
      </w:pPr>
      <w:r>
        <w:rPr/>
        <w:t>14 Lotyšsko</w:t>
      </w:r>
    </w:p>
    <w:p>
      <w:pPr>
        <w:pStyle w:val="Corpsdetexte"/>
        <w:rPr/>
      </w:pPr>
      <w:r>
        <w:rPr/>
        <w:t>Zorganizovalo sa niekoľko podujatí vrátane celonárodnej online diskusie so študentmi s názvom „Budúcnosť je vo vašich rukách“ o ekonomických, sociálnych a bezpečnostných otázkach. Bol vytvorený národný prieskum a diskusie v think-tankoch s cieľom zhromaždiť verejnú mienku o názoroch občanov na budúce priority Európskej únie na všetky témy konferencie. Uskutočnili sa regionálne osobné diskusie s cieľom zvýšiť informovanosť o konferencii medzi ľuďmi vo veku 55 rokov a viac a uskutočnili sa osobné diskusie so študentmi stredných škôl.</w:t>
      </w:r>
    </w:p>
    <w:p>
      <w:pPr>
        <w:pStyle w:val="P68B1DB1Corpsdetexte12"/>
        <w:rPr/>
      </w:pPr>
      <w:r>
        <w:rPr/>
        <w:t>15 Litva</w:t>
      </w:r>
    </w:p>
    <w:p>
      <w:pPr>
        <w:pStyle w:val="Corpsdetexte"/>
        <w:rPr/>
      </w:pPr>
      <w:r>
        <w:rPr/>
        <w:t>Podujatia sa organizovali najmä na decentralizovanom základe a dôraz sa kládol na rôzne regióny Litvy a mladých ľudí (napr. v rámci diskusie o mládeži v pobaltských štátoch). Uskutočnila sa séria dialógov s občanmi (o demokracii, digitalizácii, zmene klímy atď.), nadnárodných dialógoch (napr. s Francúzskom, Írskom a Talianskom) a podujatiach občianskej spoločnosti. Okrem toho boli školy nabádané, aby riešili otázku budúcnosti Európy.</w:t>
      </w:r>
    </w:p>
    <w:p>
      <w:pPr>
        <w:pStyle w:val="Normal"/>
        <w:rPr/>
      </w:pPr>
      <w:r>
        <w:rPr/>
      </w:r>
    </w:p>
    <w:p>
      <w:pPr>
        <w:pStyle w:val="P68B1DB1Corpsdetexte12"/>
        <w:rPr/>
      </w:pPr>
      <w:r>
        <w:rPr/>
        <w:t>16 Luxembursko</w:t>
      </w:r>
    </w:p>
    <w:p>
      <w:pPr>
        <w:pStyle w:val="Corpsdetexte"/>
        <w:rPr/>
      </w:pPr>
      <w:r>
        <w:rPr/>
        <w:t>Na vnútroštátnej úrovni sa zorganizovalo niekoľko podujatí s otvoreným, inkluzívnym a transparentným prístupom. Parlament napríklad zorganizoval niekoľko podujatí v nových formátoch, ako napríklad „bistrotné rozhovory“. Zorganizoval sa aj hackathon pre študentov a mladých podnikateľov s cieľom diskutovať o digitálnom kompase a priemyselnej stratégii EÚ.</w:t>
      </w:r>
    </w:p>
    <w:p>
      <w:pPr>
        <w:pStyle w:val="Corpsdetexte"/>
        <w:rPr/>
      </w:pPr>
      <w:r>
        <w:rPr/>
        <w:t>Okrem toho sa uskutočnila trojnárodná výmena medzi nemeckými, francúzskymi a luxemburskými študentmi stredných škôl.</w:t>
      </w:r>
    </w:p>
    <w:p>
      <w:pPr>
        <w:pStyle w:val="P68B1DB1Corpsdetexte12"/>
        <w:rPr/>
      </w:pPr>
      <w:r>
        <w:rPr/>
        <w:t>17 Maďarsko</w:t>
      </w:r>
    </w:p>
    <w:p>
      <w:pPr>
        <w:pStyle w:val="Corpsdetexte"/>
        <w:rPr/>
      </w:pPr>
      <w:r>
        <w:rPr/>
        <w:t>Zorganizovala sa široká škála podujatí v celej spoločnosti (viac ako 800). Medzi inštitucionálne podujatia patria medzinárodné konferencie na vysokej úrovni organizované niekoľkými ministerstvami (napr. o rozšírení EÚ a digitálnej agende) a okrúhle stoly so študentmi a mládežníckymi organizáciami (napr. o európskej integrácii). Niekoľko organizácií usporiadalo panely s cieľom diskutovať o týchto témach: inštitúcie EÚ; silnejšie hospodárstvo, sociálna spravodlivosť a zamestnanosť, digitálna transformácia, vzdelávanie, kultúra, mládež a šport; hodnoty a práva, právny štát a bezpečnosť; MVO; migrácia; rovnako ako demografia, rodina, zdravie, zmena klímy a životné prostredie.</w:t>
      </w:r>
    </w:p>
    <w:p>
      <w:pPr>
        <w:pStyle w:val="P68B1DB1Corpsdetexte12"/>
        <w:rPr/>
      </w:pPr>
      <w:r>
        <w:rPr/>
        <w:t>18 Malta</w:t>
      </w:r>
    </w:p>
    <w:p>
      <w:pPr>
        <w:pStyle w:val="Corpsdetexte"/>
        <w:rPr/>
      </w:pPr>
      <w:r>
        <w:rPr/>
        <w:t>Po úvodnom podujatí bol zriadený národný koordinačný výbor na podporu iniciatívy prostredníctvom rôznych komunikačných kanálov a pomáhal usmerňovať diskusiu prostredníctvom národných a miestnych podujatí.</w:t>
      </w:r>
    </w:p>
    <w:p>
      <w:pPr>
        <w:pStyle w:val="Corpsdetexte"/>
        <w:rPr/>
      </w:pPr>
      <w:r>
        <w:rPr/>
        <w:t>Tematické verejné dialógy (napr. o zdraví, európskych hodnotách a budúcnosti práce pre spravodlivú spoločnosť), tlačové konferencie, konzultácie so zainteresovanými stranami z príslušných sektorov a interaktívne stretnutia s deťmi a študentmi sa organizovali vo fyzickom alebo hybridnom formáte.</w:t>
      </w:r>
    </w:p>
    <w:p>
      <w:pPr>
        <w:pStyle w:val="Corpsdetexte"/>
        <w:rPr/>
      </w:pPr>
      <w:r>
        <w:rPr/>
      </w:r>
    </w:p>
    <w:p>
      <w:pPr>
        <w:pStyle w:val="P68B1DB1Corpsdetexte12"/>
        <w:rPr/>
      </w:pPr>
      <w:r>
        <w:rPr/>
        <w:t>19 Holandsko</w:t>
      </w:r>
    </w:p>
    <w:p>
      <w:pPr>
        <w:pStyle w:val="Corpsdetexte"/>
        <w:rPr/>
      </w:pPr>
      <w:r>
        <w:rPr/>
        <w:t>V Holandsku sa dôraz kládol na organizáciu národného panelu občanov „Visions of Europe – Kijk op Europa“, ktorý sa konal online aj osobne. Vychádzalo sa z dvojfázového prístupu: prvým bolo zhromaždiť úvahy a názory občanov na „čo“, konkrétne na to, čo očakávali a chceli; druhá fáza sa potom snažila pochopiť ich základné názory („prečo“ a „ako“) prostredníctvom skupinových dialógov.</w:t>
      </w:r>
    </w:p>
    <w:p>
      <w:pPr>
        <w:pStyle w:val="Corpsdetexte"/>
        <w:rPr/>
      </w:pPr>
      <w:r>
        <w:rPr/>
      </w:r>
    </w:p>
    <w:p>
      <w:pPr>
        <w:pStyle w:val="P68B1DB1Corpsdetexte12"/>
        <w:rPr/>
      </w:pPr>
      <w:r>
        <w:rPr/>
        <w:t>20 Rakúsko</w:t>
      </w:r>
    </w:p>
    <w:p>
      <w:pPr>
        <w:pStyle w:val="Corpsdetexte"/>
        <w:rPr/>
      </w:pPr>
      <w:r>
        <w:rPr/>
        <w:t>Diskusie prebiehali v rôznych formátoch na federálnej, regionálnej a miestnej úrovni. „Budúce laboratóriá“ a „budúce dialógy“ umožnili hĺbkovú výmenu názorov s odborníkmi na vysokej úrovni o rôznych témach a hľadanie komplexnejších riešení pre budúcnosť. Okrem toho zorganizovali a pre rakúskych obecných zastupiteľstiev viaceré podujatia, ktoré sú zodpovedné za európske záležitosti. Niekoľko podujatí zameraných priamo na mladých ľudí a študentov.</w:t>
      </w:r>
    </w:p>
    <w:p>
      <w:pPr>
        <w:pStyle w:val="P68B1DB1Corpsdetexte12"/>
        <w:rPr/>
      </w:pPr>
      <w:r>
        <w:rPr/>
        <w:t>21 Poľsko</w:t>
      </w:r>
    </w:p>
    <w:p>
      <w:pPr>
        <w:pStyle w:val="Corpsdetexte"/>
        <w:rPr/>
      </w:pPr>
      <w:r>
        <w:rPr/>
        <w:t>Podujatia sa organizovali najmä v rámci decentralizovaného prístupu. Na regionálnej úrovni regionálne centrá pre medzinárodnú diskusiu organizovali verejné podujatia v 16 poľských regiónoch vo fyzickom a virtuálnom formáte. Témy na diskusiu sa týkali tematických oblastí konferencie, ako je solidarita v časoch krízy, poľnohospodárstvo a nové technológie.</w:t>
      </w:r>
    </w:p>
    <w:p>
      <w:pPr>
        <w:pStyle w:val="Corpsdetexte"/>
        <w:rPr/>
      </w:pPr>
      <w:r>
        <w:rPr/>
        <w:t>Uskutočnila sa aj diskusia na vnútroštátnej úrovni o klíme, digitalizácii, vnútornom trhu, zdraví, EÚ vo svete a migrácii.</w:t>
      </w:r>
    </w:p>
    <w:p>
      <w:pPr>
        <w:pStyle w:val="P68B1DB1Corpsdetexte12"/>
        <w:rPr/>
      </w:pPr>
      <w:r>
        <w:rPr/>
        <w:t>22 Portugalsko</w:t>
      </w:r>
    </w:p>
    <w:p>
      <w:pPr>
        <w:pStyle w:val="Corpsdetexte"/>
        <w:rPr/>
      </w:pPr>
      <w:r>
        <w:rPr/>
        <w:t>Po prvom podujatí občanov v Lisabone, ktoré odštartovalo účasť občanov na konferencii, sa mnohé podujatia organizovali v spolupráci s miestnymi orgánmi, univerzitami, školami, sociálnymi partnermi, mládežníckymi organizáciami a miestnymi organizáciami občianskej spoločnosti. Napríklad so Španielskom sa zorganizovalo nadnárodné podujatie s cieľom diskutovať o kľúčových témach záujmu o budúcnosť regiónov oboch krajín a EÚ. Okrem toho sa uskutočnili decentralizované vnútroštátne podujatia zamerané na rôzne témy, ako sú migrácia a medzinárodné partnerstvá, budúcnosť európskej demokracie a digitálna transformácia.</w:t>
      </w:r>
    </w:p>
    <w:p>
      <w:pPr>
        <w:pStyle w:val="P68B1DB1Corpsdetexte12"/>
        <w:rPr/>
      </w:pPr>
      <w:r>
        <w:rPr/>
        <w:t>23 Rumunsko</w:t>
      </w:r>
    </w:p>
    <w:p>
      <w:pPr>
        <w:pStyle w:val="Corpsdetexte"/>
        <w:rPr/>
      </w:pPr>
      <w:r>
        <w:rPr/>
        <w:t>Podujatia organizovali alebo spoločne organizovali najmä administratíva a inštitúty s aktívnou účasťou občianskej spoločnosti a mládežníckych organizácií.</w:t>
      </w:r>
    </w:p>
    <w:p>
      <w:pPr>
        <w:pStyle w:val="Corpsdetexte"/>
        <w:rPr/>
      </w:pPr>
      <w:r>
        <w:rPr/>
        <w:t>Diskusie sa zamerali na širokú škálu tém, ako je digitálna transformácia, vzdelávanie, zdravotníctvo, životné prostredie, udržateľný rozvoj, hospodárstvo, poľnohospodárstvo a strategické partnerstvá EÚ. Podujatia sa konali v hlavnom meste a na miestnej úrovni a zúčastnili sa na ňom všetky vekové skupiny.</w:t>
      </w:r>
    </w:p>
    <w:p>
      <w:pPr>
        <w:pStyle w:val="P68B1DB1Corpsdetexte12"/>
        <w:rPr/>
      </w:pPr>
      <w:r>
        <w:rPr/>
        <w:t>24 Slovinsko</w:t>
      </w:r>
    </w:p>
    <w:p>
      <w:pPr>
        <w:pStyle w:val="Corpsdetexte"/>
        <w:rPr/>
      </w:pPr>
      <w:r>
        <w:rPr/>
        <w:t>Zámerom bolo podnietiť širokú diskusiu, v ktorej zohrávala kľúčovú úlohu občianska spoločnosť, ako aj najmä účasť mladých ľudí.</w:t>
      </w:r>
    </w:p>
    <w:p>
      <w:pPr>
        <w:pStyle w:val="Corpsdetexte"/>
        <w:rPr/>
      </w:pPr>
      <w:r>
        <w:rPr/>
        <w:t>Vláda zorganizovala úvodné podujatie, po ktorom nasledovalo niekoľko iniciatív, ako napríklad strategické fórum Bled, ktorého hlavnou témou bola budúcnosť Európy, s osobitným zameraním na rozšírenie EÚ a západný Balkán. Ďalšie podujatia sa zamerali na témy, ako je menová politika, klimatická neutralita, mládež a úloha EÚ v multipolárnom medzinárodnom prostredí.</w:t>
      </w:r>
    </w:p>
    <w:p>
      <w:pPr>
        <w:pStyle w:val="P68B1DB1Corpsdetexte12"/>
        <w:rPr/>
      </w:pPr>
      <w:r>
        <w:rPr/>
        <w:t>25 Slovensko</w:t>
      </w:r>
    </w:p>
    <w:p>
      <w:pPr>
        <w:pStyle w:val="Corpsdetexte"/>
        <w:rPr/>
      </w:pPr>
      <w:r>
        <w:rPr/>
        <w:t>Organizované podujatia sa organizovali v rámci dvoch hlavných pilierov. Prvým pilierom bol projekt „WeAreEU“, ktorý sa zameriaval na širokú verejnosť vrátane diskusií so študentmi a verejných konzultácií a zahŕňal sériu regionálnych podujatí organizovaných v rámci cestnej prehliadky WeAreEU. Druhým pilierom bol národný dohovor o EÚ, ktorý sa zameriaval na odborné vstupy a analýzy na témy ako jednotný trh, dezinformácie a populizmus a digitálna a ekologická transformácia.</w:t>
      </w:r>
    </w:p>
    <w:p>
      <w:pPr>
        <w:pStyle w:val="P68B1DB1Corpsdetexte12"/>
        <w:rPr/>
      </w:pPr>
      <w:r>
        <w:rPr/>
        <w:t>26 Fínsko</w:t>
      </w:r>
    </w:p>
    <w:p>
      <w:pPr>
        <w:pStyle w:val="Corpsdetexte"/>
        <w:rPr/>
      </w:pPr>
      <w:r>
        <w:rPr/>
        <w:t>Vláda zorganizovala sériu regionálnych konzultácií vrátane „podujatia najsevernejšej konferencie v EÚ“ o rôznych témach, ako je udržateľný rast, vzdelávanie a právny štát. Takisto sa uskutočnil prieskum s cieľom informovať o diskusii.</w:t>
      </w:r>
    </w:p>
    <w:p>
      <w:pPr>
        <w:pStyle w:val="Corpsdetexte"/>
        <w:spacing w:before="6264" w:after="57"/>
        <w:rPr/>
      </w:pPr>
      <w:r>
        <w:rPr/>
        <w:t xml:space="preserve">Podujatia zorganizovala vláda v spolupráci s mestami, miestnymi orgánmi, univerzitami, mimovládnymi organizáciami a mládežníckymi organizáciami, ako aj s fínskym parlamentom, Európskym parlamentom a informačnými </w:t>
      </w:r>
      <w:r>
        <w:drawing>
          <wp:anchor behindDoc="0" distT="0" distB="0" distL="0" distR="0" simplePos="0" locked="0" layoutInCell="1" allowOverlap="1" relativeHeight="30">
            <wp:simplePos x="0" y="0"/>
            <wp:positionH relativeFrom="column">
              <wp:posOffset>5080</wp:posOffset>
            </wp:positionH>
            <wp:positionV relativeFrom="paragraph">
              <wp:posOffset>3077845</wp:posOffset>
            </wp:positionV>
            <wp:extent cx="6120130" cy="3977640"/>
            <wp:effectExtent l="0" t="0" r="0" b="0"/>
            <wp:wrapSquare wrapText="largest"/>
            <wp:docPr id="58" name="Obrázok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ok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k</w:t>
      </w:r>
      <w:r>
        <w:rPr/>
        <w:t>anceláriami Európskej komisie vo Fínsku.</w:t>
      </w:r>
    </w:p>
    <w:p>
      <w:pPr>
        <w:pStyle w:val="Normal"/>
        <w:rPr/>
      </w:pPr>
      <w:r>
        <w:rPr/>
      </w:r>
    </w:p>
    <w:p>
      <w:pPr>
        <w:pStyle w:val="P68B1DB1Corpsdetexte12"/>
        <w:rPr/>
      </w:pPr>
      <w:r>
        <w:rPr/>
        <w:t>27 Švédsko</w:t>
      </w:r>
    </w:p>
    <w:p>
      <w:pPr>
        <w:pStyle w:val="Corpsdetexte"/>
        <w:rPr/>
      </w:pPr>
      <w:r>
        <w:rPr/>
        <w:t>Podujatia sa organizovali najmä na decentralizovanom základe ako spoločné cvičenie medzi vládou, národným parlamentom, politickými stranami, sociálnymi partnermi, miestnymi a regionálnymi zástupcami, organizáciami občianskej spoločnosti a ďalšími relevantnými aktérmi v spoločnosti.</w:t>
      </w:r>
    </w:p>
    <w:p>
      <w:pPr>
        <w:pStyle w:val="Corpsdetexte"/>
        <w:rPr/>
      </w:pPr>
      <w:r>
        <w:rPr/>
        <w:t>Napríklad švédsky minister pre európske záležitosti diskutoval o budúcnosti Európy so študentmi z rôznych škôl a zúčastnil sa stretnutí na komunálnej úrovni s cieľom diskutovať s občanmi o budúcnosti Európy a demokracii. Digitálne médiá sa používajú aj na účasť na dialógoch s občanmi, napríklad prostredníctvom stretnutí s otázkami a odpoveďami.</w:t>
      </w:r>
    </w:p>
    <w:p>
      <w:pPr>
        <w:pStyle w:val="Corpsdetexte"/>
        <w:rPr/>
      </w:pPr>
      <w:r>
        <w:rPr/>
        <w:t>Vyššie uvedené opisy nie sú vyčerpávajúce. Viac informácií o vnútroštátnych podujatiach nájdete v osobitnej časti viacjazyčnej digitálnej platformy.</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Stretnutie mladých Európanov </w:t>
      </w:r>
    </w:p>
    <w:p>
      <w:pPr>
        <w:pStyle w:val="Normal"/>
        <w:rPr/>
      </w:pPr>
      <w:hyperlink r:id="rId51">
        <w:r>
          <w:rPr>
            <w:rStyle w:val="LienInternet"/>
          </w:rPr>
          <w:t>Európske podujatie pre mládež (EYE 2021)</w:t>
        </w:r>
      </w:hyperlink>
      <w:r>
        <w:rPr/>
        <w:t xml:space="preserve"> sa konalo 8. – 9. októbra 2021 a zúčastnilo sa na ňom 10 000 mladých ľudí online a Európsky parlament v Štrasburgu s cieľom formovať a vymieňať si nápady o budúcnosti Európy. Podujatie EYE </w:t>
      </w:r>
      <w:r>
        <w:rPr>
          <w:i/>
        </w:rPr>
        <w:t>bolo jedinečnou príležitosťou pre mladých ľudí vo veku od 16 do 30 rokov komunikovať osobne a online, navzájom sa inšpirovať a vymieňať si názory s odborníkmi, aktivistami, vplyvníkmi a činiteľmi s rozhodovacou právomocou, ktoré sú jadrom európskej demokracie</w:t>
      </w:r>
      <w:r>
        <w:rPr/>
        <w:t>.</w:t>
      </w:r>
    </w:p>
    <w:p>
      <w:pPr>
        <w:pStyle w:val="Normal"/>
        <w:spacing w:before="6132" w:after="57"/>
        <w:rPr/>
      </w:pPr>
      <w:r>
        <w:rPr/>
        <w:t xml:space="preserve">Od mája 2021 sa v spolupráci s celoeurópskymi mládežníckymi organizáciami zhromaždilo </w:t>
      </w:r>
      <w:r>
        <w:drawing>
          <wp:anchor behindDoc="0" distT="0" distB="0" distL="0" distR="0" simplePos="0" locked="0" layoutInCell="1" allowOverlap="1" relativeHeight="94">
            <wp:simplePos x="0" y="0"/>
            <wp:positionH relativeFrom="column">
              <wp:posOffset>53340</wp:posOffset>
            </wp:positionH>
            <wp:positionV relativeFrom="paragraph">
              <wp:posOffset>2400300</wp:posOffset>
            </wp:positionV>
            <wp:extent cx="5980430" cy="3893820"/>
            <wp:effectExtent l="0" t="0" r="0" b="0"/>
            <wp:wrapTopAndBottom/>
            <wp:docPr id="59" name="Obrázok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ok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o</w:t>
      </w:r>
      <w:r>
        <w:rPr/>
        <w:t xml:space="preserve">nline viac ako 2 000 návrhov od mladých občanov z celej Európskej únie. Okrem toho sa niekoľko zasadnutí online pred podujatím, ako aj počas podujatia EYE v Štrasburgu zameralo na Konferenciu o budúcnosti Európy. Po tomto podujatí sa v </w:t>
      </w:r>
      <w:hyperlink r:id="rId53">
        <w:r>
          <w:rPr>
            <w:rStyle w:val="LienInternet"/>
          </w:rPr>
          <w:t>správe o nápadoch mládeže pre Konferenciu o budúcnosti Európy, ktorá bola uverejnená v 23 jazykoch,</w:t>
        </w:r>
      </w:hyperlink>
      <w:r>
        <w:rPr/>
        <w:t xml:space="preserve"> zhromaždilo 20 hlavných myšlienok účastníkov, dve myšlienky na tému konferencie.</w:t>
      </w:r>
    </w:p>
    <w:p>
      <w:pPr>
        <w:pStyle w:val="Normal"/>
        <w:rPr/>
      </w:pPr>
      <w:r>
        <w:rPr/>
        <w:t xml:space="preserve">Správa o nápadoch pre mládež bola 23. októbra predložená na plenárnom zasadnutí konferencie mladými účastníkmi z európskych panelových diskusií občanov, ktorí sa zúčastnili aj na podujatí EYE 2021. Všetky zhromaždené nápady sú k dispozícii na: </w:t>
      </w:r>
      <w:hyperlink r:id="rId54">
        <w:r>
          <w:rPr>
            <w:rStyle w:val="LienInternet"/>
          </w:rPr>
          <w:t>Search.youthideas.eu.</w:t>
        </w:r>
      </w:hyperlink>
    </w:p>
    <w:p>
      <w:pPr>
        <w:pStyle w:val="Titre3"/>
        <w:numPr>
          <w:ilvl w:val="2"/>
          <w:numId w:val="2"/>
        </w:numPr>
        <w:rPr/>
      </w:pPr>
      <w:bookmarkStart w:id="31" w:name="__RefHeading___Toc298236_1346298689"/>
      <w:bookmarkEnd w:id="31"/>
      <w:r>
        <w:rPr/>
        <w:t>3.</w:t>
        <w:tab/>
        <w:t>Ďalšie podujatia</w:t>
      </w:r>
    </w:p>
    <w:p>
      <w:pPr>
        <w:pStyle w:val="Normal"/>
        <w:rPr/>
      </w:pPr>
      <w:r>
        <w:rPr/>
        <w:t>Okrem uvedených podujatí mnohé ďalšie inštitúcie a zainteresované strany spojili občanov, aby diskutovali o budúcnosti Európy</w:t>
      </w:r>
      <w:r>
        <w:rPr>
          <w:rStyle w:val="Ancredenotedebasdepage"/>
          <w:rStyle w:val="Ancredenotedebasdepage"/>
        </w:rPr>
        <w:footnoteReference w:id="6"/>
      </w:r>
      <w:r>
        <w:rPr/>
        <w:t>.</w:t>
      </w:r>
    </w:p>
    <w:p>
      <w:pPr>
        <w:pStyle w:val="Normal"/>
        <w:rPr/>
      </w:pPr>
      <w:r>
        <w:rPr/>
        <w:t>Európsky hospodársky a sociálny výbor (EHSV) počas Konferencie o budúcnosti Európy pracoval na tom, aby bol informovaný a pomáhal svojej rozsiahlej sieti organizácií občianskej spoločnosti v členských štátoch organizovať vnútroštátne konzultácie. Celkovo podporila nasadenie 75 podujatí, z toho 33 na vnútroštátnej úrovni a 42 na ústrednej úrovni. Z týchto podujatí 60 % publikovalo správy na platforme konferencie a na týchto 45 podujatiach sa zúčastnilo viac ako 7 300 účastníkov. EHSV začal svoju činnosť najmä v júni 2021 významnou konferenciou – priviesť</w:t>
      </w:r>
      <w:hyperlink r:id="rId55">
        <w:r>
          <w:rPr>
            <w:rStyle w:val="LienInternet"/>
          </w:rPr>
          <w:t>európsky projekt späť k občanom</w:t>
        </w:r>
      </w:hyperlink>
      <w:r>
        <w:rPr/>
        <w:t>– a v novembri 2021 zorganizoval seminár „</w:t>
      </w:r>
      <w:hyperlink r:id="rId56">
        <w:r>
          <w:rPr>
            <w:rStyle w:val="LienInternet"/>
          </w:rPr>
          <w:t>Spájame EÚ“</w:t>
        </w:r>
      </w:hyperlink>
      <w:r>
        <w:rPr/>
        <w:t>v Lisabone a vo februári 2022 v Bruseli podujatie na vysokej úrovni s</w:t>
      </w:r>
      <w:hyperlink r:id="rId57">
        <w:r>
          <w:rPr>
            <w:rStyle w:val="LienInternet"/>
          </w:rPr>
          <w:t>názvom Formovanie Európy</w:t>
        </w:r>
      </w:hyperlink>
      <w:r>
        <w:rPr/>
        <w:t>. Výbor tiež podporil využívanie online platformy, na ktorej nahrala 60 nových nápadov, a spustila rozsiahlu komunikačnú kampaň v sociálnych médiách s potenciálnym počtom 32 miliónov ľudí len na Twitteri s cieľom propagovať národné podujatia v angličtine a v miestnom jazyku a poskytovať informácie pred každým plenárnym zhromaždením a po každom plenárnom zasadnutí a schôdzi súvisiacej s konferenciou.</w:t>
      </w:r>
    </w:p>
    <w:p>
      <w:pPr>
        <w:pStyle w:val="Normal"/>
        <w:rPr/>
      </w:pPr>
      <w:r>
        <w:rPr/>
        <w:t xml:space="preserve">Európsky výbor regiónov (VR) zorganizoval tematické diskusie vo svojich komisiách a plenárnych zasadnutiach, ako aj 140 podujatí na miestnej, cezhraničnej a medziregionálnej úrovni, na ktorých sa zúčastnilo 10 000 občanov a 200 miestnych politikov. Okrem toho bol v októbri 2021 uverejnený </w:t>
      </w:r>
      <w:hyperlink r:id="rId58">
        <w:r>
          <w:rPr>
            <w:rStyle w:val="LienInternet"/>
          </w:rPr>
          <w:t>vôbec prvý prieskum 1,2 milióna miestnych politikov</w:t>
        </w:r>
      </w:hyperlink>
      <w:r>
        <w:rPr/>
        <w:t xml:space="preserve"> v EÚ-27 o ich názoroch na budúcnosť Európy. Okrem toho Cdr navrhla </w:t>
      </w:r>
      <w:hyperlink r:id="rId59">
        <w:r>
          <w:rPr>
            <w:rStyle w:val="LienInternet"/>
          </w:rPr>
          <w:t>44 nápadov</w:t>
        </w:r>
      </w:hyperlink>
      <w:r>
        <w:rPr/>
        <w:t xml:space="preserve"> na viacjazyčnej digitálnej platforme. Začiatkom roka 2022 predstavila</w:t>
      </w:r>
      <w:hyperlink r:id="rId60">
        <w:r>
          <w:rPr>
            <w:rStyle w:val="LienInternet"/>
          </w:rPr>
          <w:t xml:space="preserve"> nezávislá skupina na vysokej úrovni pre európsku demokraciu</w:t>
        </w:r>
      </w:hyperlink>
      <w:r>
        <w:rPr/>
        <w:t xml:space="preserve"> nápady, ako zlepšiť demokraciu v EÚ. VR prijal uznesenie s návrhmi na záverečnú správu konferencie a na </w:t>
      </w:r>
      <w:hyperlink r:id="rId61">
        <w:r>
          <w:rPr>
            <w:rStyle w:val="LienInternet"/>
          </w:rPr>
          <w:t>Európskom samite regiónov a miest v marci 2022 bol schválený 12-bodový manifest vypracovaný v mene milióna miestnych a</w:t>
        </w:r>
      </w:hyperlink>
      <w:r>
        <w:rPr/>
        <w:t xml:space="preserve"> regionálnych politikov v EÚ. V správe</w:t>
      </w:r>
      <w:hyperlink r:id="rId62">
        <w:r>
          <w:rPr>
            <w:rStyle w:val="LienInternet"/>
          </w:rPr>
          <w:t>s názvom Občania, miestni politici a budúcnosť Európy</w:t>
        </w:r>
      </w:hyperlink>
      <w:r>
        <w:rPr/>
        <w:t>(marec 2022) sú zhrnuté všetky činnosti VR v kontexte konferencie.</w:t>
      </w:r>
    </w:p>
    <w:p>
      <w:pPr>
        <w:pStyle w:val="Normal"/>
        <w:rPr/>
      </w:pPr>
      <w:r>
        <w:rPr/>
      </w:r>
    </w:p>
    <w:p>
      <w:pPr>
        <w:pStyle w:val="Normal"/>
        <w:rPr/>
      </w:pPr>
      <w:r>
        <w:rPr/>
        <w:t xml:space="preserve">Tri organizácie zamestnávateľov zapojené do sociálneho partnerstva EÚ, </w:t>
      </w:r>
      <w:hyperlink r:id="rId63">
        <w:r>
          <w:rPr>
            <w:rStyle w:val="LienInternet"/>
          </w:rPr>
          <w:t>BusinessEurope</w:t>
        </w:r>
      </w:hyperlink>
      <w:r>
        <w:rPr/>
        <w:t xml:space="preserve">, </w:t>
      </w:r>
      <w:hyperlink r:id="rId64">
        <w:r>
          <w:rPr>
            <w:rStyle w:val="LienInternet"/>
          </w:rPr>
          <w:t>SGI Europe</w:t>
        </w:r>
      </w:hyperlink>
      <w:r>
        <w:rPr/>
        <w:t xml:space="preserve"> a </w:t>
      </w:r>
      <w:hyperlink r:id="rId65">
        <w:r>
          <w:rPr>
            <w:rStyle w:val="LienInternet"/>
          </w:rPr>
          <w:t>UEAPME</w:t>
        </w:r>
      </w:hyperlink>
      <w:r>
        <w:rPr/>
        <w:t xml:space="preserve"> publikovali svoje priority a príspevky na digitálnej platforme a predložili ich príslušným pracovným skupinám a plénu. Okrem toho všetci podporili konferenciu, a to interne aj externe, a zorganizovali podujatia a zapojili sa do dialógu so zainteresovanými stranami na rôznych fórach. Európska konfederácia odborových zväzov (ETUC) sa mobilizovala s cieľom prispieť ku konferencii a zúčastnila sa na zasadnutiach plenárneho zhromaždenia a pracovných skupín. ETUC identifikovala návrhy odborových zväzov na spravodlivejšiu budúcnosť Európy a uverejnila ich na online platforme (tieto návrhy boli jedným z najviac podporovaných návrhov). ETUC a jej pridružené spoločnosti organizovali podujatia a komunikačné aktivity s cieľom prezentovať a diskutovať o návrhoch odborových zväzov.</w:t>
      </w:r>
    </w:p>
    <w:p>
      <w:pPr>
        <w:pStyle w:val="Normal"/>
        <w:rPr/>
      </w:pPr>
      <w:r>
        <w:rPr/>
        <w:t xml:space="preserve">Zástupcovia občianskej spoločnosti – </w:t>
      </w:r>
      <w:hyperlink r:id="rId66">
        <w:r>
          <w:rPr>
            <w:rStyle w:val="LienInternet"/>
          </w:rPr>
          <w:t>Dohovor občianskej spoločnosti pre Konferenciu o budúcnosti</w:t>
        </w:r>
      </w:hyperlink>
      <w:r>
        <w:rPr/>
        <w:t xml:space="preserve"> Európy a </w:t>
      </w:r>
      <w:hyperlink r:id="rId67">
        <w:r>
          <w:rPr>
            <w:rStyle w:val="LienInternet"/>
          </w:rPr>
          <w:t>Európske medzinárodné hnutie</w:t>
        </w:r>
      </w:hyperlink>
      <w:r>
        <w:rPr/>
        <w:t xml:space="preserve"> – organizovali </w:t>
      </w:r>
      <w:hyperlink r:id="rId68">
        <w:r>
          <w:rPr>
            <w:rStyle w:val="LienInternet"/>
          </w:rPr>
          <w:t>mnohé podujatia</w:t>
        </w:r>
      </w:hyperlink>
      <w:r>
        <w:rPr/>
        <w:t xml:space="preserve"> v celej Európe a boli </w:t>
      </w:r>
      <w:hyperlink r:id="rId69">
        <w:r>
          <w:rPr>
            <w:rStyle w:val="LienInternet"/>
          </w:rPr>
          <w:t>aktívni na úrovni plenárnych zasadnutí</w:t>
        </w:r>
      </w:hyperlink>
      <w:r>
        <w:rPr/>
        <w:t xml:space="preserve">. Občianska spoločnosť zapojila stovky organizácií občianskej spoločnosti do prístupu zdola nahor prostredníctvom </w:t>
      </w:r>
      <w:hyperlink r:id="rId70">
        <w:r>
          <w:rPr>
            <w:rStyle w:val="LienInternet"/>
          </w:rPr>
          <w:t>tematických skupín</w:t>
        </w:r>
      </w:hyperlink>
      <w:r>
        <w:rPr/>
        <w:t xml:space="preserve"> s cieľom vypracovať spoločné a komplexné návrhy v </w:t>
      </w:r>
      <w:hyperlink r:id="rId71">
        <w:r>
          <w:rPr>
            <w:rStyle w:val="LienInternet"/>
          </w:rPr>
          <w:t>rôznych oblastiach politiky, ktorých sa konferencia týka</w:t>
        </w:r>
      </w:hyperlink>
      <w:r>
        <w:rPr/>
        <w:t>. Tieto myšlienky boli podkladom pre konferenciu prostredníctvom platformy, pracovných skupín, plenárnych zasadnutí a v priamom kontakte s výkonnou radou, spolupredsedami a spoločným sekretariátom.</w:t>
      </w:r>
    </w:p>
    <w:p>
      <w:pPr>
        <w:pStyle w:val="Normal"/>
        <w:rPr/>
      </w:pPr>
      <w:r>
        <w:rPr/>
        <w:t>Zastúpenia Európskej komisie v členských štátoch, centrá Europe Direct, európske dokumentačné centrá a styčné kancelárie EP aktívne informovali občanov o Konferencii o budúcnosti Európy. Zastúpenia Európskej komisie informovali o 1400 aktivitách, ktoré pomohli komunikovať a realizovať konferenciu v celej Európe. Zorganizovali alebo sa aktívne zúčastňovali na viac ako 850 podujatiach, z ktorých približne 65 % sa zameralo na mladých ľudí a ženy s cieľom podporiť ich účasť na konferencii vo všeobecnosti. Styčné kancelárie EP zorganizovali viac ako 1300 propagačných činností v členských štátoch.</w:t>
      </w:r>
    </w:p>
    <w:p>
      <w:pPr>
        <w:pStyle w:val="Normal"/>
        <w:rPr/>
      </w:pPr>
      <w:r>
        <w:rPr/>
        <w:t>Tematické semináre o hlavných témach konferencie sa organizovali aj za účasti poslancov EP, občanov, zainteresovaných strán, vnútroštátnych a regionálnych orgánov a miestnych médií s cieľom zvýšiť viditeľnosť konferencie. Európske dokumentačné centrá oznámili viac ako 120 opatrení súvisiacich s komunikáciou konferencie.</w:t>
      </w:r>
    </w:p>
    <w:p>
      <w:pPr>
        <w:pStyle w:val="Normal"/>
        <w:rPr/>
      </w:pPr>
      <w:r>
        <w:rPr/>
        <w:t>Centrá Europe Direct informovali o viac ako 1000 tematických podujatiach na konferencii a viac ako 600 propagačných aktivitách vrátane širokej škály mládežníckych skupín a organizácií. Európske dokumentačné centrá oznámili viac ako 120 opatrení súvisiacich s komunikáciou konferencie.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Plenárne zhromaždenie konferencie</w:t>
      </w:r>
    </w:p>
    <w:p>
      <w:pPr>
        <w:pStyle w:val="Normal"/>
        <w:rPr/>
      </w:pPr>
      <w:r>
        <w:rPr/>
      </w:r>
      <w:r>
        <w:br w:type="page"/>
      </w:r>
    </w:p>
    <w:p>
      <w:pPr>
        <w:pStyle w:val="Titre2"/>
        <w:numPr>
          <w:ilvl w:val="1"/>
          <w:numId w:val="2"/>
        </w:numPr>
        <w:rPr/>
      </w:pPr>
      <w:bookmarkStart w:id="33" w:name="__RefHeading___Toc298240_1346298689"/>
      <w:bookmarkEnd w:id="33"/>
      <w:r>
        <w:rPr/>
        <w:t>A. Úloha a fungovanie plenárneho zhromaždenia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Bolo zriadené plenárne zhromaždenie konferencie s cieľom prediskutovať odporúčania národných a európskych panelových diskusií občanov zoskupených podľa témy a bez toho, aby bol výsledok diskusií vopred určený alebo ich rozsah sa obmedzil na vopred vymedzené oblasti politiky.</w:t>
      </w:r>
    </w:p>
    <w:p>
      <w:pPr>
        <w:pStyle w:val="Corpsdetexte"/>
        <w:rPr/>
      </w:pPr>
      <w:r>
        <w:rPr/>
        <w:t>V prípade potreby sa diskutovalo aj o príspevkoch zhromaždených na viacjazyčnej platforme. Plenárne zhromaždenie malo jedinečné zloženie: po prvýkrát zahŕňala občanov zastupujúcich európske a vnútroštátne podujatia a panely občanov, zástupcov inštitúcií EÚ a jej poradných orgánov, volených zástupcov na vnútroštátnej, regionálnej a miestnej úrovni, ako aj zástupcov občianskej spoločnosti a sociálnych partnerov.</w:t>
      </w:r>
    </w:p>
    <w:p>
      <w:pPr>
        <w:pStyle w:val="Corpsdetexte"/>
        <w:rPr/>
      </w:pPr>
      <w:r>
        <w:rPr/>
        <w:t>Odporúčania predložili občania a diskutovali s nimi; plénum potom muselo predložiť svoje návrhy</w:t>
      </w:r>
      <w:r>
        <w:rPr>
          <w:rStyle w:val="Ancredenotedebasdepage"/>
          <w:rStyle w:val="Ancredenotedebasdepage"/>
        </w:rPr>
        <w:footnoteReference w:id="7"/>
      </w:r>
      <w:r>
        <w:rPr/>
        <w:t xml:space="preserve"> na základe konsenzu výkonnej rade. Plenárne zasadnutie konferencie sa konalo sedemkrát v období od júna 2021 do apríla 2022.</w:t>
      </w:r>
    </w:p>
    <w:p>
      <w:pPr>
        <w:pStyle w:val="Corpsdetexte"/>
        <w:rPr/>
      </w:pPr>
      <w:r>
        <w:rPr/>
        <w:t>Plenárne zhromaždenie konferencie pozostávalo zo 108 zástupcov Európskeho parlamentu, 54 zástupcov Rady a troch zástupcov</w:t>
      </w:r>
      <w:r>
        <w:rPr>
          <w:rStyle w:val="Ancredenotedebasdepage"/>
          <w:rStyle w:val="Ancredenotedebasdepage"/>
        </w:rPr>
        <w:footnoteReference w:id="8"/>
      </w:r>
      <w:r>
        <w:rPr/>
        <w:t>Európskej komisie, ako aj zo 108 zástupcov všetkých národných parlamentov za rovnakých podmienok a z občanov.</w:t>
      </w:r>
    </w:p>
    <w:p>
      <w:pPr>
        <w:pStyle w:val="Corpsdetexte"/>
        <w:rPr/>
      </w:pPr>
      <w:r>
        <w:rPr/>
        <w:t>Zúčastnilo sa aj osemdesiat zástupcov európskych panelových diskusií občanov, z ktorých aspoň jedna tretina mala menej ako 25 rokov, predseda Európskeho fóra mládeže a 27</w:t>
      </w:r>
      <w:r>
        <w:rPr>
          <w:rStyle w:val="Ancredenotedebasdepage"/>
          <w:rStyle w:val="Ancredenotedebasdepage"/>
        </w:rPr>
        <w:footnoteReference w:id="9"/>
      </w:r>
      <w:r>
        <w:rPr/>
        <w:t xml:space="preserve"> zástupcov národných podujatí a/alebo národných panelových diskusií občanov.</w:t>
      </w:r>
    </w:p>
    <w:p>
      <w:pPr>
        <w:pStyle w:val="Corpsdetexte"/>
        <w:rPr/>
      </w:pPr>
      <w:r>
        <w:rPr/>
        <w:t>Zúčastnilo sa na ňom osemnásť zástupcov Výboru regiónov a 18 zástupcov Hospodárskeho a sociálneho výboru, šesť volených zástupcov regionálnych orgánov a šesť volených zástupcov miestnych orgánov, 12 zástupcov sociálnych partnerov a osem zástupcov občianskej spoločnosti. Vysoká predstaviteľka Únie pre zahraničné veci a bezpečnostnú politiku bola vyzvaná, aby rokovala o medzinárodnej úlohe EÚ.</w:t>
      </w:r>
    </w:p>
    <w:p>
      <w:pPr>
        <w:pStyle w:val="Corpsdetexte"/>
        <w:rPr/>
      </w:pPr>
      <w:r>
        <w:rPr/>
        <w:t>Pozvaní boli aj zástupcovia kľúčových zainteresovaných strán, ako sú zástupcovia partnerov zo západného Balkánu, Ukrajiny, náboženských, filozofických a nekonfesionálnych skupín.</w:t>
      </w:r>
    </w:p>
    <w:p>
      <w:pPr>
        <w:pStyle w:val="Corpsdetexte"/>
        <w:rPr/>
      </w:pPr>
      <w:r>
        <w:rPr/>
        <w:t>Zasadnutiam plenárneho zhromaždenia spoločne predsedali spolupredsedovia konferencie. Plenárne schôdze konferencie sa konali v budovách Európskeho parlamentu v Štrasburgu. Vzhľadom na platné zdravotné a bezpečnostné predpisy sa prvých päť zasadnutí plenárneho zasadnutia konferencie konalo v hybridnom formáte, pričom posledné dve sa konali osobne. Plenárne zasadnutia konferencie sa vysielali naživo a všetky dokumenty zo schôdzí boli sprístupnené verejnosti na viacjazyčnej digitálnej platforme.</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Pracovné skupiny</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V súlade s rokovacím poriadkom konferencie spolupredsedovia navrhli plenárnemu zasadnutiu konferencie, aby sa na základe tém viacjazyčnej digitálnej platformy zriadilo deväť tematických pracovných skupín s cieľom poskytnúť podklady na prípravu diskusií a návrhov plenárneho zasadnutia konferencie v súlade s parametrami spoločného vyhlásenia. V októbri 2021 sa spolupredsedovia dohodli na mandáte pracovných skupín. Rôzne pracovné skupiny sa zaoberali týmito témami: Zmena klímy a životné prostredie; Zdravie; Silnejšie hospodárstvo, sociálna spravodlivosť a zamestnanosť; EÚ vo svete; Hodnoty a práva, právny štát, bezpečnosť; Digitálna transformácia; Európska demokracia; Migrácia; vzdelávanie, kultúra, mládež a šport.</w:t>
      </w:r>
    </w:p>
    <w:p>
      <w:pPr>
        <w:pStyle w:val="Normal"/>
        <w:rPr/>
      </w:pPr>
      <w:r>
        <w:rPr/>
        <w:t>Pracovné skupiny predložili svoj príspevok na plenárnom zasadnutí konferencie preskúmaním odporúčaní príslušných národných a európskych panelových diskusií občanov, ako aj príspevkov uverejnených na multilingválnej digitálnej platforme o deviatich témach zhromaždených v rámci konferencie. Členovia plenárneho zhromaždenia konferencie boli rozdelení medzi deväť pracovných skupín takto: dvanásť členov z každej pracovnej skupiny pre Európsky parlament a národné parlamenty, šesť pre Radu, traja pre zástupcov národných panelových diskusií občanov alebo národných podujatí, dvaja za Výbor regiónov a dvaja za Hospodársky a sociálny výbor, jeden alebo dvaja pre sociálnych partnerov, jeden pre občiansku spoločnosť a jeden pre volených členov miestnych a regionálnych orgánov a zástupcovia európskych panelových diskusií občanov. Zástupcovia európskych panelových diskusií občanov sa zúčastnili na práci pracovnej skupiny zodpovednej za ich panel. Okrem toho sa prijali osobitné opatrenia s cieľom umožniť členom kolégia komisárov zúčastňovať sa v pracovných skupinách podľa ich portfólií.</w:t>
      </w:r>
    </w:p>
    <w:p>
      <w:pPr>
        <w:pStyle w:val="Normal"/>
        <w:rPr/>
      </w:pPr>
      <w:r>
        <w:rPr/>
        <w:t>Pracovné skupiny viedli živé diskusie a pracovali na návrhoch návrhov vypracovaných pod vedením predsedu a hovorcu, vybraných spomedzi zástupcov európskych panelových diskusií občanov v pracovnej skupine za pomoci spoločného sekretariátu. Pracovné skupiny mali pracovať na základe konsenzu stanoveného v článku 17 rokovacieho poriadku konferencie. Predseda a hovorca potom predstavili výsledky pracovnej skupiny plenárnemu zhromaždeniu. Predsedovi pracovnej skupiny pomáhal spoločný sekretariát. Sekretariát spoločnej konferencie pripravil súhrnné správy z každej schôdze pracovnej skupiny pod vedením predsedu a po porade s členmi pracovnej skupiny.</w:t>
      </w:r>
    </w:p>
    <w:p>
      <w:pPr>
        <w:pStyle w:val="Normal"/>
        <w:rPr/>
      </w:pPr>
      <w:r>
        <w:rPr/>
        <w:t>Pracovné skupiny sa stretli popri plenárnych zasadnutiach konferencie v období od októbra 2021 do 8. apríla 2022, ako aj online v decembri 2021. Niektoré pracovné skupiny usporiadali ďalšie schôdze. Schôdze pracovnej skupiny sa vysielali naživo od 20. januára 2022. Ich súhrnné správy boli náležite uverejnené v sekcii „Plenárne zhromaždenie konferencie“ o multilingválnej digitálnej platforme.</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Chronologický súhrn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USTANOVUJÚCE PLENÁRNE ZHROMAŽDENIE KONFERENCIE, 19. JÚNA 2021</w:t>
      </w:r>
    </w:p>
    <w:p>
      <w:pPr>
        <w:pStyle w:val="Normal"/>
        <w:rPr/>
      </w:pPr>
      <w:r>
        <w:rPr/>
        <w:t>Ustanovujúce plenárne zasadnutie konferencie sa konalo 19. júna 2021 v hybridnom formáte</w:t>
      </w:r>
      <w:r>
        <w:rPr>
          <w:rStyle w:val="Ancredenotedebasdepage"/>
          <w:rStyle w:val="Ancredenotedebasdepage"/>
        </w:rPr>
        <w:footnoteReference w:id="10"/>
      </w:r>
      <w:r>
        <w:rPr/>
        <w:t>. Umožnila členom pléna vypočuť si prezentáciu a usporiadať všeobecnú rozpravu o účele a očakávaniach konferencie. Spolupredsedovia zdôraznili bezprecedentnú povahu tohto uplatňovania poradnej demokracie na úrovni EÚ, ktorá posilnila zastupiteľskú demokraciu a postavila občanov do centra tvorby politík v Európskej únii. Spolupredsedovia tiež načrtli fungovanie troch pilierov konferencie: viacjazyčná digitálna platforma, panely európskych a vnútroštátnych občanov a plenárne zhromaždenie.</w:t>
      </w:r>
    </w:p>
    <w:p>
      <w:pPr>
        <w:pStyle w:val="Normal"/>
        <w:rPr/>
      </w:pPr>
      <w:r>
        <w:rPr/>
        <w:t>Členovia plenárneho zasadnutia boli okrem toho informovaní o zámere zriadiť deväť tematických pracovných skupín, ako aj o harmonograme konferencie. V následnej diskusii, v ktorej vystúpilo viac ako 150 účastníkov, sa diskutovalo o širokej škále tém. Keďže výber účastníkov európskych panelových diskusií občanov ešte nebol ukončený, zúčastnil sa na ňom predseda Európskeho fóra mládeže a 27 zástupcov národných podujatí a/alebo národných panelových diskusií občanov, aby zastupovali občiansku zložku.</w:t>
      </w:r>
    </w:p>
    <w:p>
      <w:pPr>
        <w:pStyle w:val="Normal"/>
        <w:rPr/>
      </w:pPr>
      <w:r>
        <w:rPr>
          <w:b/>
          <w:i/>
          <w:u w:val="single"/>
        </w:rPr>
        <w:t>DRUHÉ PLENÁRNE ZHROMAŽDENIE KONFERENCIE, 22. – 23. OKTÓBRA 2021</w:t>
      </w:r>
      <w:r>
        <w:rPr/>
        <w:t xml:space="preserve"> </w:t>
      </w:r>
    </w:p>
    <w:p>
      <w:pPr>
        <w:pStyle w:val="Normal"/>
        <w:rPr/>
      </w:pPr>
      <w:r>
        <w:rPr/>
        <w:t>Druhé plenárne zhromaždenie konferencie sa konalo 22. – 23. októbra 2021 v hybridnom formáte, na ktorom sa po prvýkrát zúčastnili zástupcovia európskych panelových diskusií občanov. Členovia plenárneho zasadnutia mali možnosť vypočuť si prezentáciu o súčasnom stave štyroch európskych panelových diskusií občanov a usporiadať rozpravu. Okrem toho zástupcovia národných podujatí a panelov mohli prezentovať podujatia organizované na vnútroštátnej úrovni. Na plenárnom zasadnutí konferencie bola predložená správa o Európskom podujatí pre mládež (EYE); poskytla prehľad 20 konkrétnych nápadov vybraných mladými občanmi, ktorí sa zúčastnili na stretnutí.</w:t>
      </w:r>
    </w:p>
    <w:p>
      <w:pPr>
        <w:pStyle w:val="Normal"/>
        <w:rPr/>
      </w:pPr>
      <w:r>
        <w:rPr/>
        <w:t>V následnej diskusii sa kládol dôraz na inovatívny charakter viacjazyčnej digitálnej platformy, ktorá občanom poskytla hlas v tejto kapitole a priestor na diskusiu vo všetkých úradných jazykoch EÚ. Táto rozprava vychádzala z druhej predbežnej správy o platforme. Partneri zo západného Balkánu boli pozvaní, aby sa zúčastnili na tomto plenárnom zasadnutí ako kľúčové zainteresované strany.</w:t>
      </w:r>
    </w:p>
    <w:p>
      <w:pPr>
        <w:pStyle w:val="Normal"/>
        <w:rPr/>
      </w:pPr>
      <w:r>
        <w:rPr>
          <w:b/>
          <w:i/>
          <w:u w:val="single"/>
        </w:rPr>
        <w:t>TRETIE PLENÁRNE ZHROMAŽDENIE KONFERENCIE, 21. – 22. JANUÁRA 2022</w:t>
      </w:r>
      <w:r>
        <w:rPr/>
        <w:t xml:space="preserve"> </w:t>
      </w:r>
    </w:p>
    <w:p>
      <w:pPr>
        <w:pStyle w:val="Normal"/>
        <w:rPr/>
      </w:pPr>
      <w:r>
        <w:rPr/>
        <w:t>Tretie plenárne zhromaždenie konferencie, ktoré sa konalo 21. – 22. januára 2022, bolo prvým zasadnutím venovaným oficiálnej prezentácii odporúčaní európskych panelových diskusií občanov, ako aj súvisiacich národných panelových diskusií občanov. Toto plenárne zasadnutie sa uskutočnilo ako prvé po finalizácii odporúčaní niektorých európskych panelových diskusií občanov, konkrétne: panely 2 (Európska demokracia; hodnoty a práva, právny štát, bezpečnosť) a 3 (zmena klímy a životné prostredie; zdravie). Plenárne zasadnutie sa konalo v hybridnom formáte, na ktorom sa zúčastnilo viac ako 400 členov plenárneho zasadnutia konferencie, či už na mieste alebo na diaľku.</w:t>
      </w:r>
    </w:p>
    <w:p>
      <w:pPr>
        <w:pStyle w:val="Normal"/>
        <w:rPr/>
      </w:pPr>
      <w:r>
        <w:rPr/>
        <w:t>Toto plenárne zasadnutie bolo poznačené aj smrťou, krátko predtým, predsedu Európskeho parlamentu Davida Maria Sassoliho. Spolupredsedovia vzdali hold svojej pamiatke na začiatku schôdze. Diskusie v rámci tohto plenárneho zasadnutia sa organizovali v rámci témy, ktorej sa venovali európske panelové diskusie občanov č. 2 a 3.</w:t>
      </w:r>
    </w:p>
    <w:p>
      <w:pPr>
        <w:pStyle w:val="Normal"/>
        <w:rPr/>
      </w:pPr>
      <w:r>
        <w:rPr/>
        <w:t>Diskusie sa uskutočnili v inovatívnom interaktívnom formáte vrátane momentov venovaných spätnej väzbe občanov, ako aj osobitného systému otázok „modrej karty“, ktorý umožnil spontánnu a živú výmenu odporúčaní občanov.</w:t>
      </w:r>
    </w:p>
    <w:p>
      <w:pPr>
        <w:pStyle w:val="Normal"/>
        <w:rPr/>
      </w:pPr>
      <w:r>
        <w:rPr>
          <w:b/>
          <w:i/>
          <w:u w:val="single"/>
        </w:rPr>
        <w:t>ŠTVRTÉ PLENÁRNE ZHROMAŽDENIE KONFERENCIE, 11. – 12. MARCA 2022</w:t>
      </w:r>
      <w:r>
        <w:rPr/>
        <w:t xml:space="preserve"> </w:t>
      </w:r>
    </w:p>
    <w:p>
      <w:pPr>
        <w:pStyle w:val="Normal"/>
        <w:rPr/>
      </w:pPr>
      <w:r>
        <w:rPr/>
        <w:t>Štvrté plenárne zhromaždenie konferencie bolo venované aj predloženiu odporúčaní európskych panelových diskusií občanov, ako aj súvisiacich národných panelových diskusií občanov. Toto plenárne zasadnutie sa uskutočnilo po konečnom finalizácii odporúčaní dvoch zostávajúcich európskych panelových diskusií občanov, a to: panely 1 (Silnejšie hospodárstvo, sociálna spravodlivosť a zamestnanosť; vzdelávanie, kultúra, mládež a šport; digitálna transformácia) a 4 (EÚ vo svete; migrácia).</w:t>
      </w:r>
    </w:p>
    <w:p>
      <w:pPr>
        <w:pStyle w:val="Normal"/>
        <w:rPr/>
      </w:pPr>
      <w:r>
        <w:rPr/>
        <w:t>Podobne ako na januárovom plenárnom zasadnutí sa rozpravy tohto plenárneho zasadnutia organizovali podľa témy. Témy, o ktorých sa tentokrát diskutovalo, boli témy európskych panelových diskusií občanov č. 1 a 4. Diskusie o odporúčaniach občanov opäť viedli k živej a hĺbkovej výmene s podporou inovatívneho interaktívneho formátu.</w:t>
      </w:r>
    </w:p>
    <w:p>
      <w:pPr>
        <w:pStyle w:val="Normal"/>
        <w:rPr/>
      </w:pPr>
      <w:r>
        <w:rPr>
          <w:b/>
          <w:i/>
          <w:u w:val="single"/>
        </w:rPr>
        <w:t>PIATE PLENÁRNE ZHROMAŽDENIE KONFERENCIE, 25. – 26. MARCA 2022</w:t>
      </w:r>
      <w:r>
        <w:rPr/>
        <w:t xml:space="preserve"> </w:t>
      </w:r>
    </w:p>
    <w:p>
      <w:pPr>
        <w:pStyle w:val="Normal"/>
        <w:rPr/>
      </w:pPr>
      <w:r>
        <w:rPr/>
        <w:t>Piate plenárne zhromaždenie bolo vstupom konferencie do ďalšej fázy, pričom sa začal proces definovania návrhov plenárneho zasadnutia na základe odporúčaní občanov. Členovia plenárneho zasadnutia sa preto po prvýkrát pripravili v menšom tematickom rámci pracovných skupín na tému deviatich tém konferencie: silnejšie hospodárstvo, sociálna spravodlivosť a zamestnanosť; vzdelávanie, kultúra, mládež a šport; digitálna transformácia; Európska demokracia; hodnoty a práva, právny štát, bezpečnosť; zmena klímy a životné prostredie; zdravie; EÚ vo svete; migrácia. Toto plenárne zasadnutie bolo tiež príležitosťou pre zástupcov národných podujatí organizovaných v 27 členských štátoch EÚ, aby prezentovali výsledky svojich iniciatív.</w:t>
      </w:r>
    </w:p>
    <w:p>
      <w:pPr>
        <w:pStyle w:val="Normal"/>
        <w:rPr/>
      </w:pPr>
      <w:r>
        <w:rPr>
          <w:b/>
          <w:i/>
          <w:u w:val="single"/>
        </w:rPr>
        <w:t>ŠIESTE PLENÁRNE ZHROMAŽDENIE KONFERENCIE 8. – 9. APRÍLA 2022</w:t>
      </w:r>
      <w:r>
        <w:rPr/>
        <w:t xml:space="preserve"> </w:t>
      </w:r>
    </w:p>
    <w:p>
      <w:pPr>
        <w:pStyle w:val="Normal"/>
        <w:rPr/>
      </w:pPr>
      <w:r>
        <w:rPr/>
        <w:t>Na šiestom plenárnom zasadnutí konferencie sa dokončila finalizácia návrhov plenárneho zasadnutia.</w:t>
      </w:r>
    </w:p>
    <w:p>
      <w:pPr>
        <w:pStyle w:val="Normal"/>
        <w:rPr/>
      </w:pPr>
      <w:r>
        <w:rPr/>
        <w:t>Po ukončení posledných schôdzí tematických pracovných skupín vyjadrili všetci členovia plenárneho zasadnutia prostredníctvom deviatich zásadných diskusií svoje názory a pripomienky k návrhom, ktoré pripravili v posledných mesiacoch. Táto výmena bola tiež príležitosťou na zamyslenie sa nad jedinečným procesom vypracúvania návrhov plenárneho zasadnutia na základe odporúčaní občanov a na prácu vykonanú od ich vypracovania. Najmä občania zdôraznili jedinečnú ľudskú skúsenosť a pridanú hodnotu tohto procesu rokovania, ktorý ich spájal s týmto spoločným projektom. Táto rozprava bola podkladom pre konečný návrh, ktorý sa má predložiť poslednému plenárnemu zhromaždeniu konferencie.</w:t>
      </w:r>
    </w:p>
    <w:p>
      <w:pPr>
        <w:pStyle w:val="Normal"/>
        <w:rPr/>
      </w:pPr>
      <w:r>
        <w:rPr>
          <w:b/>
          <w:i/>
          <w:u w:val="single"/>
        </w:rPr>
        <w:t>SIEDME PLENÁRNE ZHROMAŽDENIE KONFERENCIE, 29. – 30. APRÍLA 2022</w:t>
      </w:r>
      <w:r>
        <w:rPr/>
        <w:t xml:space="preserve"> </w:t>
      </w:r>
    </w:p>
    <w:p>
      <w:pPr>
        <w:pStyle w:val="Normal"/>
        <w:rPr/>
      </w:pPr>
      <w:r>
        <w:rPr/>
        <w:t>Siedme a záverečné plenárne zasadnutie Konferencie o budúcnosti Európy bolo dôležitým míľnikom, ktorým sa ukončil proces intenzívnych rokovaní, ktoré trvali niekoľko mesiacov, s formuláciou 49 návrhov. Plénum predložilo a sformulovalo 49 návrhov výkonnej rade na základe konsenzu. Tento konsenzus sa dosiahol medzi zástupcami Európskeho parlamentu, Rady, Európskej komisie a národných parlamentov.</w:t>
      </w:r>
    </w:p>
    <w:p>
      <w:pPr>
        <w:pStyle w:val="Normal"/>
        <w:rPr/>
      </w:pPr>
      <w:r>
        <w:rPr/>
        <w:t xml:space="preserve">Zástupcovia Výboru regiónov a Európskeho hospodárskeho a sociálneho výboru, volení regionálni a miestni zástupcovia, ako aj zástupcovia sociálnych partnerov a občianskej spoločnosti tiež vyjadrili podporu tomuto procesu a podporili návrhy. </w:t>
      </w:r>
    </w:p>
    <w:p>
      <w:pPr>
        <w:pStyle w:val="Normal"/>
        <w:rPr/>
      </w:pPr>
      <w:r>
        <w:rPr/>
        <w:t>Občianska zložka predstavila svoje konečné stanovisko k návrhom (pozri kľúčové posolstvá nižšie).</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fill="EEEEEE" w:val="clear"/>
        <w:rPr/>
      </w:pPr>
      <w:r>
        <w:rPr/>
        <w:t>Na záverečnom plenárnom zasadnutí (29. – 30. apríla 2022) predstavilo 108 občanov zložky občania svoju konečnú pozíciu k návrhom plenárneho zasadnutia. Ich prezentácia bola koncipovaná kolektívne a počas záverečnej rozpravy ich prezentovalo 17 vo forme rozprávacieho prejavu. Text uvedený nižšie je súhrnom kľúčových posolstiev ich intervencií.</w:t>
      </w:r>
    </w:p>
    <w:p>
      <w:pPr>
        <w:pStyle w:val="P68B1DB1Normal14"/>
        <w:shd w:fill="EEEEEE" w:val="clear"/>
        <w:jc w:val="center"/>
        <w:rPr/>
      </w:pPr>
      <w:r>
        <w:rPr/>
        <w:t>**</w:t>
      </w:r>
    </w:p>
    <w:p>
      <w:pPr>
        <w:pStyle w:val="P68B1DB1Normal14"/>
        <w:shd w:fill="EEEEEE" w:val="clear"/>
        <w:rPr/>
      </w:pPr>
      <w:r>
        <w:rPr/>
        <w:t>Začíname poďakovaním Európskemu parlamentu, Rade a Komisii za to, že nám poskytli príležitosť pomôcť formovať budúcnosť Európy. Stretli sme sa s európskymi kolegami z celej Únie, z rôznych panelov a podujatí, s politickými zástupcami a sociálnymi aktérmi a rozšírili sme naše obzory. Vyrastali sme ako Európania. Preto sme všetci prinášali obety: boli sme vyňatí z nášho každodenného života, vzaté dni voľna a strávili sme pre členov európskych panelových diskusií občanov deväť víkendov ďaleko od našich rodín. Mali sme však neuveriteľnú a jedinečnú skúsenosť. Pre nás to nebola strata času.</w:t>
      </w:r>
    </w:p>
    <w:p>
      <w:pPr>
        <w:pStyle w:val="P68B1DB1Normal14"/>
        <w:shd w:fill="EEEEEE" w:val="clear"/>
        <w:rPr/>
      </w:pPr>
      <w:r>
        <w:rPr/>
        <w:t>Na ceste boli vzostupy a pády. Nie vždy sme dostali odpoveď na naše otázky. Vieme, že bude trvať určitý čas na realizáciu návrhov. Sme však presvedčení, že urobíte, čo je potrebné, aby ste to dosiahli, z úcty k našej spoločnej práci. Ak sme my občania dokázali prekonať naše rozdiely, jazykové bariéry, spolupracovať a pozdvihnúť sa na vašu úroveň, môžete aj vy.</w:t>
      </w:r>
    </w:p>
    <w:p>
      <w:pPr>
        <w:pStyle w:val="P68B1DB1Normal14"/>
        <w:shd w:fill="EEEEEE" w:val="clear"/>
        <w:jc w:val="center"/>
        <w:rPr/>
      </w:pPr>
      <w:r>
        <w:rPr/>
        <w:t>**</w:t>
      </w:r>
    </w:p>
    <w:p>
      <w:pPr>
        <w:pStyle w:val="P68B1DB1Normal14"/>
        <w:shd w:fill="EEEEEE" w:val="clear"/>
        <w:rPr/>
      </w:pPr>
      <w:r>
        <w:rPr/>
        <w:t>Všetci sme prešli dlhú cestu a teraz, keď naša práca v pléne skončila, môžeme byť na ňu hrdí. Vidíme 8 prierezových tém, ktoré dávajú jasný a silný mandát pre budúcnosť Európy.</w:t>
      </w:r>
    </w:p>
    <w:p>
      <w:pPr>
        <w:pStyle w:val="P68B1DB1Normal14"/>
        <w:shd w:fill="EEEEEE" w:val="clear"/>
        <w:rPr/>
      </w:pPr>
      <w:r>
        <w:rPr>
          <w:b/>
        </w:rPr>
        <w:t>Po prvé</w:t>
      </w:r>
      <w:r>
        <w:rPr/>
        <w:t>, Európska únia založená na solidarite, sociálnej spravodlivosti a rovnosti. Veľkým záujmom občanov je skutočne nájsť rovnaké podmienky a práva v rôznych oblastiach: zdravotná starostlivosť, sociálne služby, celoživotné vzdelávanie, rovnaké príležitosti pre ľudí žijúcich vo vidieckych a mestských oblastiach, berúc do úvahy demografické hľadiská. V budúcnosti by Európania vo všetkých členských štátoch a regiónoch už nemali byť diskriminovaní z dôvodu ich veku, miesta bydliska, štátnej príslušnosti, pohlavia, náboženstva alebo politických preferencií. Mali by mať k dispozícii dôstojnú životnú úroveň, mzdy a pracovné podmienky. EÚ musí byť viac ako len hospodárska únia. Členské štáty musia navzájom prejavovať väčšiu solidaritu. Sme rodina a ako taká sa musíme správať v krízových situáciách.</w:t>
      </w:r>
    </w:p>
    <w:p>
      <w:pPr>
        <w:pStyle w:val="P68B1DB1Normal14"/>
        <w:shd w:fill="EEEEEE" w:val="clear"/>
        <w:rPr/>
      </w:pPr>
      <w:r>
        <w:rPr>
          <w:b/>
        </w:rPr>
        <w:t>Po druhé</w:t>
      </w:r>
      <w:r>
        <w:rPr/>
        <w:t>, EÚ sa musí odvážiť a konať rýchlo, aby sa stala lídrom v oblasti životného prostredia a klímy, urýchliť prechod na ekologickú energiu, zlepšiť svoju železničnú sieť, podporiť udržateľnú dopravu a skutočne obehové hospodárstvo. Nie je čas strácať čas. EÚ musí stimulovať zmeny v mnohých oblastiach politiky: poľnohospodárstvo, biodiverzita, hospodárstvo, energetika, doprava, vzdelávanie, zdravotníctvo, digitálna transformácia a diplomacia v oblasti klímy. Máme na to výskumné schopnosti, ekonomickú silu a geopolitický vplyv. Ak považujeme klímu za prioritu, môžeme dúfať v prosperujúcu budúcnosť.</w:t>
      </w:r>
    </w:p>
    <w:p>
      <w:pPr>
        <w:pStyle w:val="P68B1DB1Normal14"/>
        <w:shd w:fill="EEEEEE" w:val="clear"/>
        <w:rPr/>
      </w:pPr>
      <w:r>
        <w:rPr>
          <w:b/>
        </w:rPr>
        <w:t>Po tretie</w:t>
      </w:r>
      <w:r>
        <w:rPr/>
        <w:t>, Európa potrebuje demokratickejšiu Úniu. Európski občania milujú EÚ, ale buďme úprimní: nie je to vždy ľahké. Vyzvali ste nás, aby sme vám pomohli a požiadali ste nás: ako by mala vyzerať európska demokracia v budúcnosti? A my sme vám odpovedali: My občania chceme Európu, v ktorej sa rozhodnutia prijímajú transparentným a rýchlym spôsobom, v ktorej sa prehodnocuje zásada jednomyseľnosti a do ktorej sme pravidelne a vážne zapojení my, občania.</w:t>
      </w:r>
    </w:p>
    <w:p>
      <w:pPr>
        <w:pStyle w:val="P68B1DB1Normal14"/>
        <w:shd w:fill="EEEEEE" w:val="clear"/>
        <w:rPr/>
      </w:pPr>
      <w:r>
        <w:rPr>
          <w:b/>
        </w:rPr>
        <w:t>Po štvrté</w:t>
      </w:r>
      <w:r>
        <w:rPr/>
        <w:t>, EÚ potrebuje väčšiu harmonizáciu v niektorých oblastiach a priblížiť sa ako Únia. Vojna útočí na naše brány na východe, čo nás vyzýva, aby sme boli viac zjednotení ako kedykoľvek predtým a aby sme EÚ získali viac zručností v oblasti zahraničných vecí. Táto konferencia môže slúžiť ako základ pre vytvorenie jednotnejšej a politicky súdržnejšej Európy. Všetko vychádza z tohto slova: Únia. Nemôžeme sa takto opísať, ak sa nám nepodarí dosiahnuť spoluprácu, ktorú táto konferencia ilustrovala.</w:t>
      </w:r>
    </w:p>
    <w:p>
      <w:pPr>
        <w:pStyle w:val="P68B1DB1Normal14"/>
        <w:shd w:fill="EEEEEE" w:val="clear"/>
        <w:rPr/>
      </w:pPr>
      <w:r>
        <w:rPr>
          <w:b/>
        </w:rPr>
        <w:t>Po piate</w:t>
      </w:r>
      <w:r>
        <w:rPr/>
        <w:t>, EÚ musí získať autonómiu a zabezpečiť svoju globálnu konkurencieschopnosť. Počas tohto procesu sme hovorili o dosiahnutí tohto cieľa v kľúčových strategických oblastiach: poľnohospodárstvo, energetika, priemysel, zdravotníctvo. Nesmieme byť závislí od tretích krajín, pokiaľ ide o mnohé citlivé výrobky. Musíme stavať na talente našej pracovnej sily, predchádzať úniku mozgov a poskytovať občanom primeranú odbornú prípravu v oblasti zručností vo všetkých fázach ich života bez ohľadu na to, kde v EÚ žijú. Nemôžeme mať obrovské rozdiely v rámci EÚ a mladých ľudí bez perspektívy v jednej krajine, nútení ísť do druhej.</w:t>
      </w:r>
    </w:p>
    <w:p>
      <w:pPr>
        <w:pStyle w:val="P68B1DB1Normal14"/>
        <w:shd w:fill="EEEEEE" w:val="clear"/>
        <w:rPr/>
      </w:pPr>
      <w:r>
        <w:rPr>
          <w:b/>
        </w:rPr>
        <w:t>Po</w:t>
      </w:r>
      <w:r>
        <w:rPr/>
        <w:t xml:space="preserve"> šieste, budúcnosť EÚ je založená na jej hodnotách. Tieto viedli našu prácu. Keď sme začali, nikto si nemohol predstaviť, že na našom kontinente vypukne vojna. Tento boj za slobodu nám dáva vedomosť o možnosti žiť v mierovej únii. Za všetkými našimi návrhmi sú vyjadrené tieto hodnoty: humánne a dôstojné prijímanie migrantov, rovnaký prístup k zdraviu, boj proti korupcii, výzva na ochranu prírody a biodiverzity a demokratickejšia Únia.</w:t>
      </w:r>
    </w:p>
    <w:p>
      <w:pPr>
        <w:pStyle w:val="P68B1DB1Normal14"/>
        <w:shd w:fill="EEEEEE" w:val="clear"/>
        <w:rPr/>
      </w:pPr>
      <w:r>
        <w:rPr>
          <w:b/>
        </w:rPr>
        <w:t>Po siedme</w:t>
      </w:r>
      <w:r>
        <w:rPr/>
        <w:t>, občania by sa v budúcnosti mali cítiť viac Európanmi a lepšie spoznať EÚ. Ide o prierezovú otázku, ktorá je základom práce všetkých panelov. Digitálna transformácia, vzdelávanie, mobilita a výmeny môžu poskytnúť podstatu tejto európskej identite, ktorá bez toho, aby bola spochybňovaná, dopĺňa našu národnú identitu. Mnohí z nás sa pred touto konferenciou necítili ako Európania: to sa tu objavilo pomaly, keď sa navzájom vymieňali. Mali sme šťastie, že sme mali túto príležitosť, ale mnohí nie. To je dôvod, prečo sú informácie, komunikácia a informovanosť tak dôležité.</w:t>
      </w:r>
    </w:p>
    <w:p>
      <w:pPr>
        <w:pStyle w:val="P68B1DB1Normal14"/>
        <w:shd w:fill="EEEEEE" w:val="clear"/>
        <w:rPr/>
      </w:pPr>
      <w:r>
        <w:rPr/>
        <w:t xml:space="preserve">Napokon </w:t>
      </w:r>
      <w:r>
        <w:rPr>
          <w:b/>
        </w:rPr>
        <w:t>ôsmou</w:t>
      </w:r>
      <w:r>
        <w:rPr/>
        <w:t xml:space="preserve"> prierezovou témou, ktorá je pre nás mimoriadne dôležitá, je vzdelávanie a posilnenie postavenia občanov vo všeobecnosti. Na túto konferenciu ste sa rozhodli pozvať občanov vo veku od 16 rokov. Sme za to vďační, pretože viac ako kedykoľvek predtým je potrebné posilniť postavenie mladých ľudí. Vysoká miera zdržanlivosti mládeže nám ukazuje, že je potrebné znovu prepojiť prepojenie medzi mládežou a politikou. Musia byť tiež ekonomicky a sociálne zodpovedné: stále je príliš ťažké vstúpiť na trh práce, presadzovať sociálne práva. Počas pandémie COVID-19 sa cítili opustení a mnohí stále trpia dôsledkami pre svoje duševné zdravie. Je však potrebné posilniť postavenie všetkých Európanov, nielen mladých ľudí: prostredníctvom programov mobility a celoživotného vzdelávania musíme rozšíriť obzory všetkých Európanov. Musíme tiež vyškoliť občanov v oblasti demokracie, občianskej účasti a mediálnej gramotnosti. Potrebujeme skutočne holistický prístup.</w:t>
      </w:r>
    </w:p>
    <w:p>
      <w:pPr>
        <w:pStyle w:val="P68B1DB1Normal14"/>
        <w:shd w:fill="EEEEEE" w:val="clear"/>
        <w:jc w:val="center"/>
        <w:rPr/>
      </w:pPr>
      <w:r>
        <w:rPr/>
        <w:t>**</w:t>
      </w:r>
    </w:p>
    <w:p>
      <w:pPr>
        <w:pStyle w:val="P68B1DB1Normal14"/>
        <w:shd w:fill="EEEEEE" w:val="clear"/>
        <w:rPr/>
      </w:pPr>
      <w:r>
        <w:rPr/>
        <w:t>Nikto nevedel, aký bude výsledok. 27 krajín, 24 jazykov, rôzne vekové kategórie. A napriek tomu, keď sme pracovali spolu, cítili sme sa prepojené: naše mozgy, naše myšlienky, naše skúsenosti. Nie sme experti z EÚ ani jedna z tém konferencie, ale sme experti na skutočný život a máme svoje príbehy. Chodíme do práce, žijeme na vidieku a na predmestí, pracujeme v noci, študujeme, máme deti, berieme verejnú dopravu. Môžeme sa spoľahnúť na našu rozmanitosť. Dosiahol sa konsenzus o návrhoch medzi štyrmi rôznymi zložkami a v rámci zložky občanov. Súhlasíme a podporujeme všetky návrhy, ktoré sú teraz vo vašich rukách. Vyjadrujeme odlišné stanovisko k opatreniu 38.4 tretí bod, pretože nevychádza z európskych panelov alebo národných panelov a nebolo dostatočne prediskutované v pracovnej skupine celku. Preto sa nevyjadrujeme k podstate alebo relevantnosti tohto opatrenia. V tejto súvislosti vás vyzývame, aby ste zvážili tieto návrhy ako celok, aby ste ich implementovali, a nielen tie, ktoré vám najviac vyhovujú a sú ľahko použiteľné. Urobte to transparentne. Na týchto návrhoch sme pracovali s oddanosťou a vášňou, sme hrdí na našu prácu: rešpektuj ho.</w:t>
      </w:r>
    </w:p>
    <w:p>
      <w:pPr>
        <w:pStyle w:val="P68B1DB1Normal14"/>
        <w:shd w:fill="EEEEEE" w:val="clear"/>
        <w:rPr/>
      </w:pPr>
      <w:r>
        <w:rPr/>
        <w:t>Konferencia o budúcnosti Európy prešla pandémiou a bola svedkom vojny v Európe, ktorá preukázala svoju plnú solidaritu s ukrajinským ľudom. Rok bol hektický pre účastníkov a pre všetkých Európanov. Konferencia však pokračovala vo svojej práci proti vetru a prílivu. V mene občanov konferencie nám dovoľte uzavrieť vás zaslaním jednoduchého odkazu: cítime sa ako Európania, cítime sa odhodlaní a počúvaní v demokratizačný proces, veríme v EÚ a chceme v ňu naďalej veriť. Takže z hĺbky našich sŕdc si dobre prečítajte návrhy a implementujte ich v záujme budúcnosti Európy.</w:t>
      </w:r>
    </w:p>
    <w:p>
      <w:pPr>
        <w:pStyle w:val="Normal"/>
        <w:shd w:fill="EEEEEE" w:val="clear"/>
        <w:rPr/>
      </w:pPr>
      <w:r>
        <w:rPr/>
      </w:r>
      <w:r>
        <w:br w:type="page"/>
      </w:r>
    </w:p>
    <w:p>
      <w:pPr>
        <w:pStyle w:val="Corpsdetexte"/>
        <w:rPr/>
      </w:pPr>
      <w:r>
        <w:rPr/>
        <w:t>Zástupcovia zložky Rady plenárneho zhromaždenia sa zdržali komentovania podstaty návrhov, ale namiesto toho podporili a povzbudzovali činnosti občanov a vzali na vedomie ich odporúčania. Po 9. máji 2022 Rada určí, ako nadviazať na výsledok konferencie v rámci svojej vlastnej oblasti pôsobnosti a v súlade so zmluvami.</w:t>
      </w:r>
    </w:p>
    <w:p>
      <w:pPr>
        <w:pStyle w:val="Normal"/>
        <w:rPr/>
      </w:pPr>
      <w:r>
        <w:rPr/>
      </w:r>
    </w:p>
    <w:p>
      <w:pPr>
        <w:pStyle w:val="Corpsdetexte"/>
        <w:rPr/>
      </w:pPr>
      <w:r>
        <w:rPr/>
        <w:t>Výkonná rada Konferencie o budúcnosti Európy berie na vedomie návrhy plenárneho zhromaždenia a predkladá ich ako konečný výsledok konferencie. Tieto návrhy, ktoré poskytujú usmernenia o budúcnosti Európy, sa získali takmer po roku rokovaní v rámci stanovenom spoločným vyhlásením a rokovacím poriadkom konferencie.</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70">
            <wp:simplePos x="0" y="0"/>
            <wp:positionH relativeFrom="column">
              <wp:align>center</wp:align>
            </wp:positionH>
            <wp:positionV relativeFrom="paragraph">
              <wp:posOffset>635</wp:posOffset>
            </wp:positionV>
            <wp:extent cx="6120130" cy="6079490"/>
            <wp:effectExtent l="0" t="0" r="0" b="0"/>
            <wp:wrapSquare wrapText="largest"/>
            <wp:docPr id="60" name="Obrázok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ok20" descr=""/>
                    <pic:cNvPicPr>
                      <a:picLocks noChangeAspect="1" noChangeArrowheads="1"/>
                    </pic:cNvPicPr>
                  </pic:nvPicPr>
                  <pic:blipFill>
                    <a:blip r:embed="rId72"/>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Návrhy plenárneho zhromaždenia </w:t>
      </w:r>
      <w:r>
        <w:br w:type="page"/>
      </w:r>
    </w:p>
    <w:p>
      <w:pPr>
        <w:pStyle w:val="Normal"/>
        <w:rPr/>
      </w:pPr>
      <w:r>
        <w:rPr/>
        <w:drawing>
          <wp:anchor behindDoc="0" distT="0" distB="0" distL="0" distR="0" simplePos="0" locked="0" layoutInCell="1" allowOverlap="1" relativeHeight="25">
            <wp:simplePos x="0" y="0"/>
            <wp:positionH relativeFrom="column">
              <wp:posOffset>1270</wp:posOffset>
            </wp:positionH>
            <wp:positionV relativeFrom="paragraph">
              <wp:posOffset>635</wp:posOffset>
            </wp:positionV>
            <wp:extent cx="913765" cy="913765"/>
            <wp:effectExtent l="0" t="0" r="0" b="0"/>
            <wp:wrapSquare wrapText="largest"/>
            <wp:docPr id="61" name="Obrázok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ok21" descr=""/>
                    <pic:cNvPicPr>
                      <a:picLocks noChangeAspect="1" noChangeArrowheads="1"/>
                    </pic:cNvPicPr>
                  </pic:nvPicPr>
                  <pic:blipFill>
                    <a:blip r:embed="rId7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Zmena klímy a životné prostredie</w:t>
      </w:r>
    </w:p>
    <w:p>
      <w:pPr>
        <w:pStyle w:val="Titre3"/>
        <w:numPr>
          <w:ilvl w:val="2"/>
          <w:numId w:val="2"/>
        </w:numPr>
        <w:rPr/>
      </w:pPr>
      <w:bookmarkStart w:id="38" w:name="__RefHeading___Toc298250_1346298689"/>
      <w:bookmarkEnd w:id="38"/>
      <w:r>
        <w:rPr/>
        <w:t>1. Návrh: Poľnohospodárstvo, výroba potravín, biodiverzita a ekosystémy, znečistenie</w:t>
      </w:r>
    </w:p>
    <w:p>
      <w:pPr>
        <w:pStyle w:val="P68B1DB1Normal15"/>
        <w:rPr/>
      </w:pPr>
      <w:r>
        <w:rPr/>
        <w:t>Cieľ: Bezpečná, udržateľná, spravodlivá, klimaticky citlivá a cenovo dostupná výroba potravín, ktorá rešpektuje zásady udržateľnosti a životného prostredia a chráni biodiverzitu a ekosystémy a zároveň zabezpečuje potravinovú bezpečnosť.</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rPr/>
      </w:pPr>
      <w:r>
        <w:rPr/>
        <w:t>1.</w:t>
        <w:tab/>
        <w:t>Pozdvihnúť koncepcie ekologického a modrého hospodárstva do popredia podporou účinného poľnohospodárstva a rybného hospodárstva šetrného k životnému prostrediu a klíme v EÚ a na celom svete vrátane ekologického poľnohospodárstva a iných inovačných a udržateľných foriem poľnohospodárstva, ako je vertikálne poľnohospodárstvo, ktoré umožňujú viac výroby s menšími vstupmi a zároveň znižujú emisie a environmentálne vplyvy, ale pokračujú v zabezpečovaní produktivity a potravinovej bezpečnosti (Panel 3 – odporúčania 1, 2 a 10; panel 2 – Odporúčanie 4).</w:t>
      </w:r>
    </w:p>
    <w:p>
      <w:pPr>
        <w:pStyle w:val="Puce3"/>
        <w:rPr/>
      </w:pPr>
      <w:r>
        <w:rPr/>
        <w:t>2.</w:t>
        <w:tab/>
        <w:t>Presmerovať dotácie a posilniť stimuly pre ekologické a udržateľné poľnohospodárstvo, ktoré spĺňajú osobitné environmentálne normy a prispievajú k dosahovaniu globálnych cieľov v oblasti klímy (skupina 3 – odporúčania 1 a 12).</w:t>
      </w:r>
    </w:p>
    <w:p>
      <w:pPr>
        <w:pStyle w:val="Puce3"/>
        <w:rPr/>
      </w:pPr>
      <w:r>
        <w:rPr/>
        <w:t>3.</w:t>
        <w:tab/>
        <w:t>Uplatňovať zásady obehového hospodárstva na poľnohospodárstvo a podporovať opatrenia na boj proti plytvaniu potravinami (rozprava v pracovnej skupine, viacjazyčná digitálna platforma – NPC).</w:t>
      </w:r>
    </w:p>
    <w:p>
      <w:pPr>
        <w:pStyle w:val="Puce3"/>
        <w:rPr/>
      </w:pPr>
      <w:r>
        <w:rPr/>
        <w:t>4.</w:t>
        <w:tab/>
        <w:t>Výrazne znížiť používanie pesticídov a chemických hnojív v súlade s existujúcimi cieľmi a zároveň naďalej zabezpečovať bezpečnosť potravín a podporovať výskum zameraný na vývoj udržateľnejších alternatív založených na prírode (skupina 3 – odporúčanie 10, diskusia v pracovnej skupine).</w:t>
      </w:r>
    </w:p>
    <w:p>
      <w:pPr>
        <w:pStyle w:val="Puce3"/>
        <w:rPr/>
      </w:pPr>
      <w:r>
        <w:rPr/>
        <w:t>5.</w:t>
        <w:tab/>
        <w:t>Zaviesť certifikáciu odstraňovania uhlíka na základe spoľahlivého, spoľahlivého a transparentného započítavania uhlíka (plenárna diskusia).</w:t>
      </w:r>
    </w:p>
    <w:p>
      <w:pPr>
        <w:pStyle w:val="Puce3"/>
        <w:rPr/>
      </w:pPr>
      <w:r>
        <w:rPr/>
        <w:t>6.</w:t>
        <w:tab/>
        <w:t>Zvýšiť výskum a inovácie, najmä v oblasti technologických riešení týkajúcich sa udržateľnej výroby, odolnosti voči škodcom a presného poľnohospodárstva, ako aj komunikácie, poradenských systémov a odbornej prípravy pre poľnohospodárov a poľnohospodárov (panel 3 – odporúčanie 10, diskusia v pracovnej skupine, rozprava v pléne).</w:t>
      </w:r>
    </w:p>
    <w:p>
      <w:pPr>
        <w:pStyle w:val="Puce3"/>
        <w:rPr/>
      </w:pPr>
      <w:r>
        <w:rPr/>
        <w:t>7.</w:t>
        <w:tab/>
        <w:t>Odstrániť sociálny damping a podporovať spravodlivú zelenú transformáciu na lepšie pracovné miesta v odvetví poľnohospodárstva s vysokokvalitnými bezpečnostnými, zdravotnými a pracovnými podmienkami (rozprava v pracovnej skupine).</w:t>
      </w:r>
    </w:p>
    <w:p>
      <w:pPr>
        <w:pStyle w:val="Puce3"/>
        <w:rPr/>
      </w:pPr>
      <w:r>
        <w:rPr/>
        <w:t>8.</w:t>
        <w:tab/>
        <w:t>Diskutovať o aspektoch, ako je používanie plastov v poľnohospodárskych filmoch a spôsoby zníženia spotreby vody v poľnohospodárstve (PNM).</w:t>
      </w:r>
    </w:p>
    <w:p>
      <w:pPr>
        <w:pStyle w:val="Puce3"/>
        <w:rPr/>
      </w:pPr>
      <w:r>
        <w:rPr/>
        <w:t>9.</w:t>
        <w:tab/>
        <w:t>Odôvodnený chov a výroba mäsa sa zamerala na dobré životné podmienky zvierat a udržateľnosť prostredníctvom opatrení, ako je jasné označovanie, vysoká kvalita a spoločné normy chovu a prepravy zvierat, posilnenie prepojenia medzi zvieratami a krmivom (skupina 3 – odporúčania 16 a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Návrh: Poľnohospodárstvo, výroba potravín, biodiverzita a ekosystémy, znečistenie</w:t>
      </w:r>
    </w:p>
    <w:p>
      <w:pPr>
        <w:pStyle w:val="P68B1DB1Normal15"/>
        <w:rPr/>
      </w:pPr>
      <w:r>
        <w:rPr/>
        <w:t>Cieľ: Chrániť a obnovovať biodiverzitu, krajinu a oceány a eliminovať znečistenie.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Opatrenia:</w:t>
      </w:r>
    </w:p>
    <w:p>
      <w:pPr>
        <w:pStyle w:val="Puce3"/>
        <w:tabs>
          <w:tab w:val="clear" w:pos="720"/>
        </w:tabs>
        <w:rPr/>
      </w:pPr>
      <w:r>
        <w:rPr/>
        <w:t>1.</w:t>
        <w:tab/>
        <w:t>Vytváranie, obnova, riadenie a rozširovanie chránených oblastí na ochranu biodiverzity (odporúčanie FR, panel 3 – odporúčanie 11).</w:t>
      </w:r>
    </w:p>
    <w:p>
      <w:pPr>
        <w:pStyle w:val="Puce3"/>
        <w:tabs>
          <w:tab w:val="clear" w:pos="720"/>
        </w:tabs>
        <w:rPr/>
      </w:pPr>
      <w:r>
        <w:rPr/>
        <w:t>2.</w:t>
        <w:tab/>
        <w:t>Vytvoriť systém nátlaku a odmeňovania na boj proti znečisťovaniu, pričom by sa uplatňovala zásada „znečisťovateľ platí“, ktorý by sa mal začleniť aj do daňových opatrení a mal by mať lepšiu informovanosť a stimuly (skupina 3 – odporúčanie 32, odporúčanie FR, rozprava v pléne).</w:t>
      </w:r>
    </w:p>
    <w:p>
      <w:pPr>
        <w:pStyle w:val="Puce3"/>
        <w:tabs>
          <w:tab w:val="clear" w:pos="720"/>
        </w:tabs>
        <w:rPr/>
      </w:pPr>
      <w:r>
        <w:rPr/>
        <w:t>3.</w:t>
        <w:tab/>
        <w:t>Rozšíriť úlohu obcí pri mestskom plánovaní a výstavbe nových budov, ktoré podporujú modrú a zelenú infraštruktúru, zabrániť ďalšiemu zástavbe pôdy a ukončiť ju, povinné zelené plochy pre nové stavby s cieľom podporiť biodiverzitu a mestské lesy (panel 3 – odporúčanie č. 5, panel 1 – odporúčanie 18, odporúčanie FR).</w:t>
      </w:r>
    </w:p>
    <w:p>
      <w:pPr>
        <w:pStyle w:val="Puce3"/>
        <w:tabs>
          <w:tab w:val="clear" w:pos="720"/>
        </w:tabs>
        <w:rPr/>
      </w:pPr>
      <w:r>
        <w:rPr/>
        <w:t>4.</w:t>
        <w:tab/>
        <w:t>Chrániť hmyz, najmä pôvodné a opeľujúce druhy, a to aj prostredníctvom ochrany pred inváznymi druhmi a lepšieho presadzovania existujúcich pravidiel (panel 1 – odporúčanie 18).</w:t>
      </w:r>
    </w:p>
    <w:p>
      <w:pPr>
        <w:pStyle w:val="Puce3"/>
        <w:tabs>
          <w:tab w:val="clear" w:pos="720"/>
        </w:tabs>
        <w:rPr/>
      </w:pPr>
      <w:r>
        <w:rPr/>
        <w:t>5.</w:t>
        <w:tab/>
        <w:t>Podporovať zalesňovanie a opätovné zalesňovanie vrátane lesov zničených požiarmi, uplatňovať zodpovedné obhospodarovanie lesov a podporovať lepšie využívanie dreva ako náhrady iných materiálov. Stanoviť záväzné vnútroštátne ciele vo všetkých členských štátoch EÚ týkajúce sa opätovného zalesňovania pôvodnými stromami a miestnou flórou, pričom sa zohľadnia rôzne vnútroštátne situácie a osobitosti (skupina 3 – odporúčanie 14, panel 1 – odporúčanie 18).</w:t>
      </w:r>
    </w:p>
    <w:p>
      <w:pPr>
        <w:pStyle w:val="Puce3"/>
        <w:tabs>
          <w:tab w:val="clear" w:pos="720"/>
        </w:tabs>
        <w:rPr/>
      </w:pPr>
      <w:r>
        <w:rPr/>
        <w:t>6.</w:t>
        <w:tab/>
        <w:t>Presadzovať a rozšíriť zákaz jednorazových plastov (SMP).</w:t>
      </w:r>
    </w:p>
    <w:p>
      <w:pPr>
        <w:pStyle w:val="Puce3"/>
        <w:tabs>
          <w:tab w:val="clear" w:pos="720"/>
        </w:tabs>
        <w:rPr/>
      </w:pPr>
      <w:r>
        <w:rPr/>
        <w:t>7.</w:t>
        <w:tab/>
        <w:t>Ochrana vodných zdrojov a boj proti znečisťovaniu riek a oceánov, a to aj prostredníctvom výskumu a boja proti mikroplastovému znečisteniu, a podpora dopravy šetrnej k životnému prostrediu s využitím najlepších dostupných technológií a vytvorenie výskumu a financovania Únie v oblasti alternatívnych námorných palív a technológií (NMP, diskusia v pracovnej skupine).</w:t>
      </w:r>
    </w:p>
    <w:p>
      <w:pPr>
        <w:pStyle w:val="Puce3"/>
        <w:tabs>
          <w:tab w:val="clear" w:pos="720"/>
        </w:tabs>
        <w:rPr/>
      </w:pPr>
      <w:r>
        <w:rPr/>
        <w:t>8.</w:t>
        <w:tab/>
        <w:t>Obmedzenie svetelného znečistenia (rozprava v pracovnej skupine).</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Návrh: Zmena klímy, energetika, doprava</w:t>
      </w:r>
    </w:p>
    <w:p>
      <w:pPr>
        <w:pStyle w:val="P68B1DB1Normal15"/>
        <w:rPr/>
      </w:pPr>
      <w:r>
        <w:rPr/>
        <w:t>Cieľ: Zvýšenie európskej energetickej bezpečnosti a dosiahnutie energetickej nezávislosti Únie pri súčasnom zabezpečení spravodlivej transformácie a zabezpečení dostatočne udržateľnej a cenovo dostupnej energie pre Európanov. Boj proti zmene klímy udelením vedúcej úlohy EÚ v oblasti udržateľnej energetickej politiky a dodržiavaním globálnych cieľov v oblasti ochrany klímy.</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Opatrenia:</w:t>
      </w:r>
    </w:p>
    <w:p>
      <w:pPr>
        <w:pStyle w:val="Puce3"/>
        <w:tabs>
          <w:tab w:val="clear" w:pos="720"/>
        </w:tabs>
        <w:rPr/>
      </w:pPr>
      <w:r>
        <w:rPr/>
        <w:t>1.</w:t>
        <w:tab/>
        <w:t>Dosiahnuť a podľa možnosti urýchliť zelenú transformáciu, a to aj väčším investovaním do energie z obnoviteľných zdrojov, s cieľom znížiť vonkajšiu energetickú závislosť, a zároveň uznať úlohu miestnych a regionálnych orgánov v zelenej transformácii (rozprava v pracovnej skupine).</w:t>
      </w:r>
    </w:p>
    <w:p>
      <w:pPr>
        <w:pStyle w:val="Puce3"/>
        <w:tabs>
          <w:tab w:val="clear" w:pos="720"/>
        </w:tabs>
        <w:rPr/>
      </w:pPr>
      <w:r>
        <w:rPr/>
        <w:t>2.</w:t>
        <w:tab/>
        <w:t>V rámci energetickej politiky preskúmať geopolitické a bezpečnostné dôsledky všetkých dodávateľov energie z tretích krajín, najmä pokiaľ ide o ľudské práva, ekológiu, dobrú správu vecí verejných a právny štát (rozprava v pracovnej skupine).</w:t>
      </w:r>
    </w:p>
    <w:p>
      <w:pPr>
        <w:pStyle w:val="Puce3"/>
        <w:tabs>
          <w:tab w:val="clear" w:pos="720"/>
        </w:tabs>
        <w:rPr/>
      </w:pPr>
      <w:r>
        <w:rPr/>
        <w:t>3.</w:t>
        <w:tab/>
        <w:t>Znížiť závislosť od dovozu ropy a zemného plynu prostredníctvom projektov energetickej efektívnosti, podpory cenovo dostupnej verejnej dopravy, vysokorýchlostnej nákladnej železničnej siete a rozšírenia dodávok čistej a obnoviteľnej energie (skupina 4 – odporúčanie 2, panel 1 – odporúčanie 10, odporúčania FR a DE).</w:t>
      </w:r>
    </w:p>
    <w:p>
      <w:pPr>
        <w:pStyle w:val="Puce3"/>
        <w:tabs>
          <w:tab w:val="clear" w:pos="720"/>
        </w:tabs>
        <w:rPr/>
      </w:pPr>
      <w:r>
        <w:rPr/>
        <w:t>4.</w:t>
        <w:tab/>
        <w:t>Zlepšiť kvalitu a vzájomné prepojenie, zabezpečiť údržbu a transformovať elektrickú infraštruktúru a siete s cieľom zvýšiť bezpečnosť a umožniť prechod na obnoviteľné zdroje energie (skupina 1 – odporúčanie 10, diskusia v pracovnej skupine).</w:t>
      </w:r>
    </w:p>
    <w:p>
      <w:pPr>
        <w:pStyle w:val="Puce3"/>
        <w:tabs>
          <w:tab w:val="clear" w:pos="720"/>
        </w:tabs>
        <w:rPr/>
      </w:pPr>
      <w:r>
        <w:rPr/>
        <w:t>5.</w:t>
        <w:tab/>
        <w:t>Investovať do technológií schopných vyrábať energiu z obnoviteľných zdrojov, ako je efektívna výroba ekologického vodíka, najmä v odvetviach, ktoré sa ťažko elektrifikujú (panel 3 – odporúčanie 31, diskusia v pracovnej skupine).</w:t>
      </w:r>
    </w:p>
    <w:p>
      <w:pPr>
        <w:pStyle w:val="Puce3"/>
        <w:tabs>
          <w:tab w:val="clear" w:pos="720"/>
        </w:tabs>
        <w:rPr/>
      </w:pPr>
      <w:r>
        <w:rPr/>
        <w:t>6.</w:t>
        <w:tab/>
        <w:t>Investovať do prieskumu nových zdrojov energie a metód uskladňovania šetrných k životnému prostrediu a až do hmatateľného riešenia investovať do existujúcich optimálnych riešení v oblasti výroby a uskladňovania energie (Panel 3 – odporúčania 9 a 31).</w:t>
      </w:r>
    </w:p>
    <w:p>
      <w:pPr>
        <w:pStyle w:val="Puce3"/>
        <w:tabs>
          <w:tab w:val="clear" w:pos="720"/>
        </w:tabs>
        <w:rPr/>
      </w:pPr>
      <w:r>
        <w:rPr/>
        <w:t>7.</w:t>
        <w:tab/>
        <w:t>Zaviesť</w:t>
      </w:r>
      <w:r>
        <w:rPr>
          <w:vertAlign w:val="subscript"/>
        </w:rPr>
        <w:t>povinné filtre CO2</w:t>
      </w:r>
      <w:r>
        <w:rPr/>
        <w:t xml:space="preserve"> v elektrárňach na fosílne palivá a poskytovať finančnú podporu členským štátom, ktoré nemajú finančné zdroje na implementáciu filtrov CO2 (</w:t>
      </w:r>
      <w:r>
        <w:rPr>
          <w:vertAlign w:val="subscript"/>
        </w:rPr>
        <w:t>skupina</w:t>
      </w:r>
      <w:r>
        <w:rPr/>
        <w:t xml:space="preserve"> 3 – odporúčanie 29).</w:t>
      </w:r>
    </w:p>
    <w:p>
      <w:pPr>
        <w:pStyle w:val="Puce3"/>
        <w:tabs>
          <w:tab w:val="clear" w:pos="720"/>
        </w:tabs>
        <w:rPr/>
      </w:pPr>
      <w:r>
        <w:rPr/>
        <w:t>8.</w:t>
        <w:tab/>
        <w:t>Zabezpečenie spravodlivej transformácie, ochrana pracovníkov a pracovných miest prostredníctvom primeraného financovania transformácie a ďalšieho výskumu, reforma daňového systému prostredníctvom spravodlivejšieho zdaňovania a opatrení proti daňovým podvodom a zabezpečenie inkluzívneho prístupu k riadeniu pri tvorbe politík na všetkých úrovniach (napr. ambiciózne opatrenia na rekvalifikáciu a zvyšovanie úrovne zručností, silná sociálna ochrana, udržanie verejných služieb v rukách štátu, zachovanie pravidiel ochrany zdravia a bezpečnosti pri práci) (plenárna diskusia, diskusia v pracovnej skupine, NPC).</w:t>
      </w:r>
    </w:p>
    <w:p>
      <w:pPr>
        <w:pStyle w:val="Puce3"/>
        <w:tabs>
          <w:tab w:val="clear" w:pos="720"/>
        </w:tabs>
        <w:rPr/>
      </w:pPr>
      <w:r>
        <w:rPr/>
        <w:t>9.</w:t>
        <w:tab/>
        <w:t>Zaviesť investičný balík pre technológie a inovácie šetrné ku klíme, ktorý by sa mal financovať prostredníctvom dovozných ciel súvisiacich s klímou a poplatkov za úpravu uhlíka súvisiacich s klímou (odporúčanie DE).</w:t>
      </w:r>
    </w:p>
    <w:p>
      <w:pPr>
        <w:pStyle w:val="Puce3"/>
        <w:tabs>
          <w:tab w:val="clear" w:pos="720"/>
        </w:tabs>
        <w:rPr/>
      </w:pPr>
      <w:r>
        <w:rPr/>
        <w:t>10.</w:t>
        <w:tab/>
        <w:t>Na konci prechodného obdobia by fosílne palivá už nemali dostávať dotácie a nemali by sa uskutočňovať žiadne finančné prostriedky na tradičnú plynárenskú infraštruktúru (rozprava v pracovnej skupine).</w:t>
      </w:r>
    </w:p>
    <w:p>
      <w:pPr>
        <w:pStyle w:val="Puce3"/>
        <w:tabs>
          <w:tab w:val="clear" w:pos="720"/>
        </w:tabs>
        <w:rPr/>
      </w:pPr>
      <w:r>
        <w:rPr/>
        <w:t>11.</w:t>
        <w:tab/>
        <w:t>Posilniť vedúce postavenie EÚ a jej úlohu a zodpovednosť za podporu ambicióznych opatrení v oblasti klímy a spravodlivej transformácie a prispieť k reakcii na straty a škody na medzinárodnej scéne, kde OSN musí byť stredobodom činnosti (odporúčanie NL, diskusia pracovnej skupiny).</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Návrh: Zmena klímy, energetika, doprava</w:t>
      </w:r>
    </w:p>
    <w:p>
      <w:pPr>
        <w:pStyle w:val="P68B1DB1Normal15"/>
        <w:rPr/>
      </w:pPr>
      <w:r>
        <w:rPr/>
        <w:t>Cieľ: Poskytovať modernú, bezpečnú, ekologickú a kvalitnú infraštruktúru, ktorá zabezpečuje prepojenie, a to aj vo vidieckych a ostrovných oblastiach, a to aj prostredníctvom cenovo dostupnej verejnej dopravy.</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Opatrenia:</w:t>
      </w:r>
    </w:p>
    <w:p>
      <w:pPr>
        <w:pStyle w:val="Puce3"/>
        <w:tabs>
          <w:tab w:val="clear" w:pos="720"/>
        </w:tabs>
        <w:rPr/>
      </w:pPr>
      <w:r>
        <w:rPr/>
        <w:t>1.</w:t>
        <w:tab/>
        <w:t>Podporovať verejnú dopravu a rozvíjať efektívnu, spoľahlivú a cenovo dostupnú európsku sieť verejnej dopravy, najmä vo vidieckych a ostrovných oblastiach, prostredníctvom dodatočných stimulov na využívanie verejnej dopravy (skupina 3 – odporúčanie 36, panel 4 – odporúčanie 2).</w:t>
      </w:r>
    </w:p>
    <w:p>
      <w:pPr>
        <w:pStyle w:val="Puce3"/>
        <w:tabs>
          <w:tab w:val="clear" w:pos="720"/>
        </w:tabs>
        <w:rPr/>
      </w:pPr>
      <w:r>
        <w:rPr/>
        <w:t>2.</w:t>
        <w:tab/>
        <w:t>Investovať do vysokorýchlostných nočných vlakov a stanoviť jednotný štandard ekologickej železničnej technológie v Európe s cieľom ponúknuť dôveryhodnú alternatívu a uľahčiť možnosť výmeny a odrádzania od letov na krátke vzdialenosti (rozprava v pracovnej skupine, NPM).</w:t>
      </w:r>
    </w:p>
    <w:p>
      <w:pPr>
        <w:pStyle w:val="Puce3"/>
        <w:tabs>
          <w:tab w:val="clear" w:pos="720"/>
        </w:tabs>
        <w:rPr/>
      </w:pPr>
      <w:r>
        <w:rPr/>
        <w:t>3.</w:t>
        <w:tab/>
        <w:t>Podporovať nákup, berúc do úvahy ich cenovú dostupnosť pre domácnosti, a (zdieľané) používanie elektrických vozidiel, ktoré spĺňajú dobrú normu životnosti batérie, ako aj investície do potrebnej nabíjacej infraštruktúry a investície do vývoja iných čistých technológií pre vozidlá, ktorých elektrifikácia je ťažké dosiahnuť (panel 3 – odporúčanie 38).</w:t>
      </w:r>
    </w:p>
    <w:p>
      <w:pPr>
        <w:pStyle w:val="Puce3"/>
        <w:tabs>
          <w:tab w:val="clear" w:pos="720"/>
        </w:tabs>
        <w:rPr/>
      </w:pPr>
      <w:r>
        <w:rPr/>
        <w:t>4.</w:t>
        <w:tab/>
        <w:t>Vytvoriť širokopásmové pripojenie k internetu a mobilnej sieti vo vidieckych a ostrovných oblastiach (skupina 3 – odporúčanie 36).</w:t>
      </w:r>
    </w:p>
    <w:p>
      <w:pPr>
        <w:pStyle w:val="Puce3"/>
        <w:tabs>
          <w:tab w:val="clear" w:pos="720"/>
        </w:tabs>
        <w:rPr/>
      </w:pPr>
      <w:r>
        <w:rPr/>
        <w:t>5.</w:t>
        <w:tab/>
        <w:t>Zlepšiť existujúcu dopravnú infraštruktúru z ekologického hľadiska (skupina 3 – odporúčanie 37).</w:t>
      </w:r>
    </w:p>
    <w:p>
      <w:pPr>
        <w:pStyle w:val="Puce3"/>
        <w:tabs>
          <w:tab w:val="clear" w:pos="720"/>
        </w:tabs>
        <w:rPr/>
      </w:pPr>
      <w:r>
        <w:rPr/>
        <w:t>6.</w:t>
        <w:tab/>
        <w:t>Požadovať programy rozvoja miest pre „ekologickejšie“ mestá s menšími emisiami s osobitnými oblasťami bez áut v mestách bez poškodenia komerčných oblastí (panel 3 – odporúčanie 6).</w:t>
      </w:r>
    </w:p>
    <w:p>
      <w:pPr>
        <w:pStyle w:val="Puce3"/>
        <w:tabs>
          <w:tab w:val="clear" w:pos="720"/>
        </w:tabs>
        <w:rPr/>
      </w:pPr>
      <w:r>
        <w:rPr/>
        <w:t>7.</w:t>
        <w:tab/>
        <w:t>Zlepšiť infraštruktúru pre bicykle a poskytnúť viac práv a právnej ochrany cyklistom a chodcom, najmä v prípade nehôd s motorovým vozidlom, zabezpečiť bezpečnosť cestnej premávky a poskytovať odbornú prípravu v oblasti cestného kódexu (Panel 3 – odporúčanie 4).</w:t>
      </w:r>
    </w:p>
    <w:p>
      <w:pPr>
        <w:pStyle w:val="Puce3"/>
        <w:tabs>
          <w:tab w:val="clear" w:pos="720"/>
        </w:tabs>
        <w:rPr/>
      </w:pPr>
      <w:r>
        <w:rPr/>
        <w:t>8.</w:t>
        <w:tab/>
        <w:t>Regulujte ťažbu kryptomien, ktoré využívajú značné množstvo energie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Návrh: Udržateľná spotreba, balenie a výroba</w:t>
      </w:r>
    </w:p>
    <w:p>
      <w:pPr>
        <w:pStyle w:val="P68B1DB1Normal15"/>
        <w:rPr/>
      </w:pPr>
      <w:r>
        <w:rPr/>
        <w:t>Cieľ: Zlepšiť používanie materiálov a hospodárenie s nimi v Únii s cieľom podporiť obehové hospodárstvo, stať sa autonómnejšími a menej závislými. Rozvíjať obehové hospodárstvo podporovaním udržateľnej výroby a výrobkov v Únii. Zabezpečiť, aby všetky výrobky uvádzané na trh Únie spĺňali spoločné environmentálne normy Únie.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Opatrenia:</w:t>
      </w:r>
    </w:p>
    <w:p>
      <w:pPr>
        <w:pStyle w:val="Puce3"/>
        <w:tabs>
          <w:tab w:val="clear" w:pos="720"/>
        </w:tabs>
        <w:rPr/>
      </w:pPr>
      <w:r>
        <w:rPr/>
        <w:t>1.</w:t>
        <w:tab/>
        <w:t>Prísnejšie a harmonizované výrobné normy Únie a transparentný systém označovania pre všetky výrobky predávané na trhu EÚ, pokiaľ ide o ich udržateľnosť/environmentálnu stopu a dlhovekosť prostredníctvom QR kódu a ekologického alebo digitálneho pasu výrobku (panel 3 – odporúčania 8, 13, 20 a 21, panel 1 – odporúčanie 16, panel 4 – odporúčanie 13).</w:t>
      </w:r>
    </w:p>
    <w:p>
      <w:pPr>
        <w:pStyle w:val="Puce3"/>
        <w:tabs>
          <w:tab w:val="clear" w:pos="720"/>
        </w:tabs>
        <w:rPr/>
      </w:pPr>
      <w:r>
        <w:rPr/>
        <w:t>2.</w:t>
        <w:tab/>
        <w:t>Preskúmať globálne dodávateľské reťazce, a to aj v poľnohospodárskej výrobe, s cieľom znížiť závislosť EÚ a skrátené okruhy (PNM).</w:t>
      </w:r>
    </w:p>
    <w:p>
      <w:pPr>
        <w:pStyle w:val="Puce3"/>
        <w:tabs>
          <w:tab w:val="clear" w:pos="720"/>
        </w:tabs>
        <w:rPr/>
      </w:pPr>
      <w:r>
        <w:rPr/>
        <w:t>3.</w:t>
        <w:tab/>
        <w:t>Ďalej predchádzať vzniku odpadu stanovením cieľov v oblasti predchádzania vzniku odpadu a jeho opätovného použitia a stanovením noriem kvality pre systémy triedenia odpadu (rozprava v pracovnej skupine, odporúčanie FR).</w:t>
      </w:r>
    </w:p>
    <w:p>
      <w:pPr>
        <w:pStyle w:val="Puce3"/>
        <w:tabs>
          <w:tab w:val="clear" w:pos="720"/>
        </w:tabs>
        <w:rPr/>
      </w:pPr>
      <w:r>
        <w:rPr/>
        <w:t>4.</w:t>
        <w:tab/>
        <w:t>Postupné odstránenie neudržateľných foriem obalov, regulácia obalov šetrných k životnému prostrediu a predchádzanie plytvaniu materiálmi v obaloch prostredníctvom finančných stimulov a sankcií, ako aj investícií do alternatívneho výskumu (panel 3 – odporúčania 15 a 25, panel 1 – odporúčanie 12, panel 4 – odporúčanie 16).</w:t>
      </w:r>
    </w:p>
    <w:p>
      <w:pPr>
        <w:pStyle w:val="Puce3"/>
        <w:tabs>
          <w:tab w:val="clear" w:pos="720"/>
        </w:tabs>
        <w:rPr/>
      </w:pPr>
      <w:r>
        <w:rPr/>
        <w:t>5.</w:t>
        <w:tab/>
        <w:t>Zaviesť európsky systém zálohovania obalov a pokročilé normy pre kontajnery (panel 3 – odporúčania 22 a 23, NPC).</w:t>
      </w:r>
    </w:p>
    <w:p>
      <w:pPr>
        <w:pStyle w:val="Puce3"/>
        <w:tabs>
          <w:tab w:val="clear" w:pos="720"/>
        </w:tabs>
        <w:rPr/>
      </w:pPr>
      <w:r>
        <w:rPr/>
        <w:t>6.</w:t>
        <w:tab/>
        <w:t>Vytvoriť vedomostnú platformu EÚ o tom, ako zabezpečiť udržateľné a dlhodobé používanie výrobkov a ako ich „opraviť“ vrátane informácií dostupných od spotrebiteľských združení (skupina 3 – odporúčanie 20).</w:t>
      </w:r>
    </w:p>
    <w:p>
      <w:pPr>
        <w:pStyle w:val="Puce3"/>
        <w:tabs>
          <w:tab w:val="clear" w:pos="720"/>
        </w:tabs>
        <w:rPr/>
      </w:pPr>
      <w:r>
        <w:rPr/>
        <w:t>7.</w:t>
        <w:tab/>
        <w:t>Zaviesť opatrenia na boj proti predčasnému alebo predčasnému zastarávaniu vrátane plánovaného zastarávania, zabezpečiť dlhšie záruky, podporiť právo na opravu a zabezpečiť dostupnosť a prístupnosť kompatibilných náhradných dielov (skupina 3 – odporúčanie 20, odporúčanie FR, odporúčanie DE, panel 1 – odporúčanie 14).</w:t>
      </w:r>
    </w:p>
    <w:p>
      <w:pPr>
        <w:pStyle w:val="Puce3"/>
        <w:tabs>
          <w:tab w:val="clear" w:pos="720"/>
        </w:tabs>
        <w:rPr/>
      </w:pPr>
      <w:r>
        <w:rPr/>
        <w:t>8.</w:t>
        <w:tab/>
        <w:t>Vytvoriť trh s druhotnými surovinami s prihliadnutím na povinné sadzby recyklovaného obsahu podporovaním obmedzeného využívania surovín (rozprava v pracovnej skupine).</w:t>
      </w:r>
    </w:p>
    <w:p>
      <w:pPr>
        <w:pStyle w:val="Puce3"/>
        <w:tabs>
          <w:tab w:val="clear" w:pos="720"/>
        </w:tabs>
        <w:rPr/>
      </w:pPr>
      <w:r>
        <w:rPr/>
        <w:t>9.</w:t>
        <w:tab/>
        <w:t>Rýchle vykonávanie ambicióznej stratégie v oblasti textilu a vymedzenie mechanizmu na to, aby spotrebitelia vedeli, že výrobok spĺňa kritériá udržateľnosti (skupina 3 – odporúčanie 28, diskusia v pracovnej skupine).</w:t>
      </w:r>
    </w:p>
    <w:p>
      <w:pPr>
        <w:pStyle w:val="Puce3"/>
        <w:tabs>
          <w:tab w:val="clear" w:pos="720"/>
        </w:tabs>
        <w:rPr/>
      </w:pPr>
      <w:r>
        <w:rPr/>
        <w:t>10.</w:t>
        <w:tab/>
        <w:t>Opatrenia EÚ, ktoré spotrebiteľom umožnia dlhšie používať výrobky a povzbudia ich k tomu (skupina 3 – odporúčanie 20).</w:t>
      </w:r>
    </w:p>
    <w:p>
      <w:pPr>
        <w:pStyle w:val="Puce3"/>
        <w:tabs>
          <w:tab w:val="clear" w:pos="720"/>
        </w:tabs>
        <w:rPr/>
      </w:pPr>
      <w:r>
        <w:rPr/>
        <w:t>11.</w:t>
        <w:tab/>
        <w:t>Posilniť environmentálne normy a presadzovať predpisy o vývoze odpadu do EÚ a do tretích krajín (panel 4 – odporúčanie 15, NPC).</w:t>
      </w:r>
    </w:p>
    <w:p>
      <w:pPr>
        <w:pStyle w:val="Puce3"/>
        <w:tabs>
          <w:tab w:val="clear" w:pos="720"/>
        </w:tabs>
        <w:rPr/>
      </w:pPr>
      <w:r>
        <w:rPr/>
        <w:t>12.</w:t>
        <w:tab/>
        <w:t>Zaviesť opatrenia na obmedzenie reklamy na výrobky škodlivé pre životné prostredie zavedením povinného vyhlásenia o odmietnutí zodpovednosti za výrobky, ktoré sú obzvlášť škodlivé pre životné prostredie (skupina 3 – odporúčanie 22).</w:t>
      </w:r>
    </w:p>
    <w:p>
      <w:pPr>
        <w:pStyle w:val="Puce3"/>
        <w:tabs>
          <w:tab w:val="clear" w:pos="720"/>
        </w:tabs>
        <w:rPr/>
      </w:pPr>
      <w:r>
        <w:rPr/>
        <w:t>13.</w:t>
        <w:tab/>
        <w:t>Uplatňovať prísnejšie výrobné normy a spravodlivé pracovné podmienky v celom výrobnom a hodnotovom reťazci (skupina 3 – odporúčanie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Návrh: Informácie, povedomie, dialóg a spôsob života</w:t>
      </w:r>
    </w:p>
    <w:p>
      <w:pPr>
        <w:pStyle w:val="P68B1DB1Normal15"/>
        <w:rPr/>
      </w:pPr>
      <w:r>
        <w:rPr/>
        <w:t>Cieľ: Podporovať znalosti, informovanosť, vzdelávanie a dialóg o životnom prostredí, zmene klímy, využívaní energie a udržateľnosti.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Opatrenia:</w:t>
      </w:r>
    </w:p>
    <w:p>
      <w:pPr>
        <w:pStyle w:val="Puce3"/>
        <w:tabs>
          <w:tab w:val="clear" w:pos="720"/>
        </w:tabs>
        <w:rPr/>
      </w:pPr>
      <w:r>
        <w:rPr/>
        <w:t>1.</w:t>
        <w:tab/>
        <w:t>Vytvoriť interaktívnu platformu, ktorej fakty boli overené s cieľom poskytovať rôznorodé a pravidelne aktualizované vedecké informácie v oblasti životného prostredia (panel 3 – odporúčanie 33).</w:t>
      </w:r>
    </w:p>
    <w:p>
      <w:pPr>
        <w:pStyle w:val="Puce3"/>
        <w:tabs>
          <w:tab w:val="clear" w:pos="720"/>
        </w:tabs>
        <w:rPr/>
      </w:pPr>
      <w:r>
        <w:rPr/>
        <w:t>2.</w:t>
        <w:tab/>
        <w:t>Podporovať ekologické informačné kampane vrátane dlhodobej európskej kampane za udržateľnú spotrebu a životný štýl (odporúčania DE, NL a FR, panel 3 – odporúčanie 7).</w:t>
      </w:r>
    </w:p>
    <w:p>
      <w:pPr>
        <w:pStyle w:val="Puce3"/>
        <w:tabs>
          <w:tab w:val="clear" w:pos="720"/>
        </w:tabs>
        <w:rPr/>
      </w:pPr>
      <w:r>
        <w:rPr/>
        <w:t>3.</w:t>
        <w:tab/>
        <w:t>Podporovať a uľahčovať dialóg a konzultácie medzi všetkými úrovňami rozhodovania, najmä s mladými ľuďmi a na miestnej úrovni (odporúčania DE, NL a FR, pracovná skupina 3 – odporúčania 27 a 35, rozprava v pléne).</w:t>
      </w:r>
    </w:p>
    <w:p>
      <w:pPr>
        <w:pStyle w:val="Puce3"/>
        <w:tabs>
          <w:tab w:val="clear" w:pos="720"/>
        </w:tabs>
        <w:rPr/>
      </w:pPr>
      <w:r>
        <w:rPr/>
        <w:t>4.</w:t>
        <w:tab/>
        <w:t>Vymedzenie spoločnej Európskej charty, ktorá sa zameriava na otázky životného prostredia a podporuje environmentálne povedomie medzi všetkými občanmi, zo strany Únie s pomocou členských štátov (panel 3 – odporúčanie 7).</w:t>
      </w:r>
    </w:p>
    <w:p>
      <w:pPr>
        <w:pStyle w:val="Puce3"/>
        <w:tabs>
          <w:tab w:val="clear" w:pos="720"/>
        </w:tabs>
        <w:rPr/>
      </w:pPr>
      <w:r>
        <w:rPr/>
        <w:t>5.</w:t>
        <w:tab/>
        <w:t>Poskytovať kurzy odbornej prípravy a učebné materiály pre všetkých s cieľom zlepšiť znalosti o klíme a udržateľnosti a umožniť celoživotné vzdelávanie v otázkach životného prostredia (panel 1 – odporúčania 15 a 35, panel 3 – odporúčanie 24, diskusia pracovnej skupiny).</w:t>
      </w:r>
    </w:p>
    <w:p>
      <w:pPr>
        <w:pStyle w:val="Puce3"/>
        <w:tabs>
          <w:tab w:val="clear" w:pos="720"/>
        </w:tabs>
        <w:rPr/>
      </w:pPr>
      <w:r>
        <w:rPr/>
        <w:t>6.</w:t>
        <w:tab/>
        <w:t>Začleniť výrobu potravín a ochranu biodiverzity do vzdelávacieho systému vrátane výhod nespracovaných potravín v porovnaní so spracovanými potravinami a podporovať vytváranie školských záhrad a grantov na projekty mestského záhradníctva a vertikálneho poľnohospodárstva (panel 3 – odporúčanie 5, panel 1 – odporúčanie 18). Zvážiť, aby sa biodiverzita stala povinnou témou v školách a zvýšiť informovanosť verejnosti o biodiverzite prostredníctvom mediálnych kampaní a „súťaží“ podporovaných v celej EÚ (súťažné súťaže na miestnej úrovni) (skupina 3 – odporúčanie 5, panel 1 – odporúčanie 18).</w:t>
      </w:r>
    </w:p>
    <w:p>
      <w:pPr>
        <w:pStyle w:val="Puce3"/>
        <w:tabs>
          <w:tab w:val="clear" w:pos="720"/>
        </w:tabs>
        <w:rPr/>
      </w:pPr>
      <w:r>
        <w:rPr/>
        <w:t>7.</w:t>
        <w:tab/>
        <w:t>Posilniť úlohu a činnosť Únie v oblasti životného prostredia a vzdelávania rozšírením právomocí Únie v oblasti vzdelávania v oblasti zmeny klímy a životného prostredia a rozšírením rozhodovania kvalifikovanou väčšinou na témy vymedzené ako „európsky záujem“, ako je napríklad životné prostredie (odporúčania NL a FR).</w:t>
      </w:r>
    </w:p>
    <w:p>
      <w:pPr>
        <w:pStyle w:val="Puce3"/>
        <w:tabs>
          <w:tab w:val="clear" w:pos="720"/>
        </w:tabs>
        <w:rPr/>
      </w:pPr>
      <w:r>
        <w:rPr/>
        <w:t>8.</w:t>
        <w:tab/>
        <w:t>Podporovať rastlinnú stravu z dôvodov ochrany klímy a ochrany životného prostredia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95">
            <wp:simplePos x="0" y="0"/>
            <wp:positionH relativeFrom="column">
              <wp:posOffset>23495</wp:posOffset>
            </wp:positionH>
            <wp:positionV relativeFrom="paragraph">
              <wp:posOffset>51435</wp:posOffset>
            </wp:positionV>
            <wp:extent cx="913765" cy="913765"/>
            <wp:effectExtent l="0" t="0" r="0" b="0"/>
            <wp:wrapSquare wrapText="largest"/>
            <wp:docPr id="62" name="Obrázok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ok22"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Zdravie“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7.Návrh: Zdravá strava a zdravý životný štýl </w:t>
      </w:r>
    </w:p>
    <w:p>
      <w:pPr>
        <w:pStyle w:val="P68B1DB1Normal15"/>
        <w:rPr/>
      </w:pPr>
      <w:r>
        <w:rPr/>
        <w:t>Cieľ: Zabezpečiť, aby všetci Európania mali prístup k vzdelávaniu v oblasti zdravého stravovania a prístupu k zdravým a cenovo dostupným potravinám ako základ pre zdravý životný štýl, a to najmä prostredníctvom týchto opatrení:</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Opatrenia</w:t>
      </w:r>
      <w:r>
        <w:rPr>
          <w:rStyle w:val="Ancredenotedefin"/>
          <w:rStyle w:val="Ancredenotedefin"/>
        </w:rPr>
        <w:endnoteReference w:id="2"/>
      </w:r>
      <w:r>
        <w:rPr/>
        <w:t>:</w:t>
      </w:r>
    </w:p>
    <w:p>
      <w:pPr>
        <w:pStyle w:val="Puce3"/>
        <w:tabs>
          <w:tab w:val="clear" w:pos="720"/>
        </w:tabs>
        <w:rPr/>
      </w:pPr>
      <w:r>
        <w:rPr/>
        <w:t>1.</w:t>
        <w:tab/>
        <w:t>Stanoviť minimálne normy kvality a vysledovateľnosti potravín, najmä obmedzením používania antibiotík a iných veterinárnych liekov na to, čo je nevyhnutne potrebné na ochranu zdravia a dobrých životných podmienok zvierat namiesto ich preventívneho používania, a zabezpečiť posilnenie kontrol v tejto súvislosti. [#23, #17]</w:t>
      </w:r>
    </w:p>
    <w:p>
      <w:pPr>
        <w:pStyle w:val="Puce3"/>
        <w:tabs>
          <w:tab w:val="clear" w:pos="720"/>
        </w:tabs>
        <w:rPr/>
      </w:pPr>
      <w:r>
        <w:rPr/>
        <w:t>2.</w:t>
        <w:tab/>
        <w:t>Vzdelávať občanov o zdravých návykoch, ktoré si majú osvojiť už od útleho veku, a nabádať ich, aby sa bezpečne a zdravo rozhodli zdanením spracovaných potravín, ktoré nie sú, a ľahko prístupnými zdravotnými informáciami o potravinách; na tento účel vytvoriť celoeurópsky systém hodnotenia spracovaných potravín založený na vedeckých a nezávislých odborných znalostiach, ako aj označenie používania hormonálnych látok a endokrinných disruptorov pri výrobe potravín a v tejto súvislosti posilniť monitorovanie a presadzovanie existujúcich pravidiel a zvážiť ich posilnenie. [#18, #19, GT]</w:t>
      </w:r>
    </w:p>
    <w:p>
      <w:pPr>
        <w:pStyle w:val="Puce3"/>
        <w:tabs>
          <w:tab w:val="clear" w:pos="720"/>
        </w:tabs>
        <w:rPr/>
      </w:pPr>
      <w:r>
        <w:rPr/>
        <w:t>3.</w:t>
        <w:tab/>
        <w:t>Podporovať dialóg s aktérmi v potravinovom reťazci, od výroby po predaj, ako súčasť sociálnej zodpovednosti podnikov za zdravé potraviny. [#19, GT]</w:t>
      </w:r>
    </w:p>
    <w:p>
      <w:pPr>
        <w:pStyle w:val="Puce3"/>
        <w:tabs>
          <w:tab w:val="clear" w:pos="720"/>
        </w:tabs>
        <w:rPr/>
      </w:pPr>
      <w:r>
        <w:rPr/>
        <w:t>4.</w:t>
        <w:tab/>
        <w:t>Podporovať na úrovni Únie poskytovanie zdravých, rozmanitých a cenovo dostupných potravín vo verejných zariadeniach, ako sú školské jedálne, nemocnice alebo zdravotnícke zariadenia, a to aj prostredníctvom osobitného financovania. [#3, plenárne zasadnutie, WG]</w:t>
      </w:r>
    </w:p>
    <w:p>
      <w:pPr>
        <w:pStyle w:val="Puce3"/>
        <w:tabs>
          <w:tab w:val="clear" w:pos="720"/>
        </w:tabs>
        <w:rPr/>
      </w:pPr>
      <w:r>
        <w:rPr/>
        <w:t>5.</w:t>
        <w:tab/>
        <w:t>Investovať do výskumu dôsledkov používania antibiotík a účinkov hormonálnych látok a endokrinných disruptorov na ľudské zdravie.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Návrh: Posilnenie systému zdravotnej starostlivosti</w:t>
      </w:r>
    </w:p>
    <w:p>
      <w:pPr>
        <w:pStyle w:val="P68B1DB1Normal15"/>
        <w:rPr/>
      </w:pPr>
      <w:r>
        <w:rPr/>
        <w:t>Cieľ: Posilnenie odolnosti a kvality našich systémov zdravotnej starostlivosti, a to aj prostredníctvom: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Opatrenia</w:t>
      </w:r>
      <w:r>
        <w:rPr>
          <w:rStyle w:val="Ancredenotedefin"/>
          <w:rStyle w:val="Ancredenotedefin"/>
        </w:rPr>
        <w:endnoteReference w:id="4"/>
      </w:r>
      <w:r>
        <w:rPr/>
        <w:t>:</w:t>
      </w:r>
    </w:p>
    <w:p>
      <w:pPr>
        <w:pStyle w:val="Puce3"/>
        <w:tabs>
          <w:tab w:val="clear" w:pos="720"/>
        </w:tabs>
        <w:rPr/>
      </w:pPr>
      <w:r>
        <w:rPr/>
        <w:t>1.</w:t>
        <w:tab/>
        <w:t>Vytvorenie európskeho priestoru údajov o zdraví, ktorý by uľahčil výmenu údajov týkajúcich sa zdravia; individuálne zdravotné záznamy by sa mohli dobrovoľne sprístupniť pomocou individuálneho elektronického zdravotného pasu EÚ v súlade s pravidlami ochrany údajov. [#41, GT]</w:t>
      </w:r>
    </w:p>
    <w:p>
      <w:pPr>
        <w:pStyle w:val="Puce3"/>
        <w:tabs>
          <w:tab w:val="clear" w:pos="720"/>
        </w:tabs>
        <w:rPr/>
      </w:pPr>
      <w:r>
        <w:rPr/>
        <w:t>2.</w:t>
        <w:tab/>
        <w:t>Primerané pracovné podmienky, najmä prostredníctvom silného sociálneho dialógu vrátane miezd a pracovných podmienok a harmonizácie noriem odbornej prípravy a certifikácie pre zdravotníckych pracovníkov; mali by sa rozvíjať programy vytvárania sietí a výmenné programy, ako napríklad Erasmus pre zdravotnícke školy, ktorý by významne prispel k rozvoju zručností. S cieľom udržať si talent v Európe a umožniť mladým odborníkom rozšíriť svoje vedomosti a získať odborné skúsenosti by sa mali zaviesť výmenné programy EÚ s cieľom zabezpečiť, aby naše najlepšie mozgy v oblasti biologických vied neboli priťahované do tretích krajín. [#39, GT]</w:t>
      </w:r>
    </w:p>
    <w:p>
      <w:pPr>
        <w:pStyle w:val="Puce3"/>
        <w:tabs>
          <w:tab w:val="clear" w:pos="720"/>
        </w:tabs>
        <w:rPr/>
      </w:pPr>
      <w:r>
        <w:rPr/>
        <w:t>3.</w:t>
        <w:tab/>
        <w:t>Zabezpečiť strategickú autonómiu na úrovni Únie s cieľom zabrániť závislosti od tretích krajín [NL2], pokiaľ ide</w:t>
      </w:r>
      <w:r>
        <w:rPr>
          <w:rStyle w:val="Ancredenotedefin"/>
          <w:rStyle w:val="Ancredenotedefin"/>
        </w:rPr>
        <w:endnoteReference w:id="5"/>
      </w:r>
      <w:r>
        <w:rPr/>
        <w:t xml:space="preserve"> o lieky (najmä účinné zložky) a zdravotnícke pomôcky (vrátane surovín); predovšetkým by sa mal na úrovni Únie vytvoriť zoznam základných a prioritných liekov a liečebných postupov, ale aj inovatívnych liekov a liečebných postupov (ako sú biotechnologické riešenia), pričom by sa vychádzalo z existujúcich európskych agentúr a HERA, aby sa zabezpečila ich dostupnosť pre občanov. Zvážiť organizovanie koordinovaného strategického skladovania v celej Únii. V záujme dosiahnutia potrebných koordinovaných a dlhodobých opatrení na úrovni Únie zahrnúť zdravie a zdravotnú starostlivosť medzi právomoci rozdelené medzi Úniu a jej členské štáty zmenou článku 4 ZFEÚ. [#40, #49, plenárne zasadnutie, pracovná skupina]</w:t>
      </w:r>
    </w:p>
    <w:p>
      <w:pPr>
        <w:pStyle w:val="Puce3"/>
        <w:tabs>
          <w:tab w:val="clear" w:pos="720"/>
        </w:tabs>
        <w:rPr/>
      </w:pPr>
      <w:r>
        <w:rPr/>
        <w:t>4.</w:t>
        <w:tab/>
        <w:t>Pokračovať vo vývoji, koordinácii a financovaní existujúcich programov výskumu a inovácií v oblasti zdravia bez toho, aby boli ohrozené iné programy súvisiace so zdravím, najmä pre európske referenčné siete, keďže tvoria základ pre rozvoj sietí zdravotnej starostlivosti pre vysoko špecializovanú a komplexnú liečbu. [#42, #43, GT]</w:t>
      </w:r>
    </w:p>
    <w:p>
      <w:pPr>
        <w:pStyle w:val="Puce3"/>
        <w:tabs>
          <w:tab w:val="clear" w:pos="720"/>
        </w:tabs>
        <w:rPr/>
      </w:pPr>
      <w:r>
        <w:rPr/>
        <w:t>5.</w:t>
        <w:tab/>
        <w:t>Investovať do systémov zdravotnej starostlivosti, najmä do verejnej a neziskovej oblasti, infraštruktúry a digitálneho zdravia a zabezpečiť, aby poskytovatelia zdravotnej starostlivosti dodržiavali zásady úplnej dostupnosti, cenovej dostupnosti a kvality služieb, čím sa zabezpečí, aby zdravotnícki pracovníci nevyčerpali zdroje s malým alebo žiadnym záujmom o verejný záujem. [#51, GT]</w:t>
      </w:r>
    </w:p>
    <w:p>
      <w:pPr>
        <w:pStyle w:val="Puce3"/>
        <w:tabs>
          <w:tab w:val="clear" w:pos="720"/>
        </w:tabs>
        <w:rPr/>
      </w:pPr>
      <w:r>
        <w:rPr/>
        <w:t>6.</w:t>
        <w:tab/>
        <w:t>Vypracovať pevné odporúčania pre členské štáty, aby investovali do efektívnych, prístupných, cenovo dostupných, kvalitných a odolných systémov zdravotnej starostlivosti, a to aj v kontexte európskeho semestra. Vplyv vojny na Ukrajine na verejné zdravie poukazuje na potrebu ďalšieho rozvoja odolných systémov zdravotnej starostlivosti a mechanizmov solidarity.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Návrh: Širší pohľad na zdravie</w:t>
      </w:r>
    </w:p>
    <w:p>
      <w:pPr>
        <w:pStyle w:val="P68B1DB1Normal15"/>
        <w:rPr/>
      </w:pPr>
      <w:r>
        <w:rPr/>
        <w:t>Cieľ: Prijať holistický prístup k zdraviu tým, že sa bude okrem chorôb a liečby zaoberať kultúrou a prevenciou zdravia a podporou spoločného chápania problémov, ktorým čelia chorí alebo zdravotne postihnutí, v súlade s prístupom „jedno zdravie“, ktorý by sa mal zdôrazniť ako prierezová a základná zásada zahŕňajúca všetky politiky Únie.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Opatrenia</w:t>
      </w:r>
      <w:r>
        <w:rPr>
          <w:rStyle w:val="Ancredenotedefin"/>
          <w:rStyle w:val="Ancredenotedefin"/>
        </w:rPr>
        <w:endnoteReference w:id="6"/>
      </w:r>
      <w:r>
        <w:rPr/>
        <w:t>:</w:t>
      </w:r>
    </w:p>
    <w:p>
      <w:pPr>
        <w:pStyle w:val="Puce3"/>
        <w:tabs>
          <w:tab w:val="clear" w:pos="720"/>
        </w:tabs>
        <w:rPr/>
      </w:pPr>
      <w:r>
        <w:rPr/>
        <w:t>1.</w:t>
        <w:tab/>
        <w:t>Zlepšiť chápanie otázok duševného zdravia a spôsobu ich riešenia vrátane raného detstva a včasnej diagnostiky, a to na základe osvedčených postupov zavedených v celej Únii, ktoré by mali byť ľahko dostupné prostredníctvom portálu osvedčených postupov v oblasti verejného zdravia. S cieľom zvýšiť informovanosť by inštitúcie Únie a príslušné zainteresované strany mali organizovať podujatia na výmenu najlepších postupov a pomáhať svojim členom šíriť ich vo svojom volebnom obvode. Mal by sa vypracovať akčný plán EÚ pre duševné zdravie, ktorý by poskytol dlhodobú stratégiu v oblasti duševného zdravia vrátane výskumu a zaoberal by sa aj dostupnosťou odborníkov, a to aj pre neplnoleté osoby, a vytvorením Európskeho roka duševného zdravia v blízkej budúcnosti.</w:t>
      </w:r>
    </w:p>
    <w:p>
      <w:pPr>
        <w:pStyle w:val="Puce3"/>
        <w:tabs>
          <w:tab w:val="clear" w:pos="720"/>
        </w:tabs>
        <w:rPr/>
      </w:pPr>
      <w:r>
        <w:rPr/>
        <w:t>2.</w:t>
        <w:tab/>
        <w:t>Na úrovni EÚ vypracovať štandardný vzdelávací program o zdravom životnom štýle, ktorý by zahŕňal aj sexuálnu výchovu. Program by mal zahŕňať aj opatrenia zamerané tak na zdravý životný štýl, ako aj na ochranu životného prostredia, ako aj na to, ako môžu pomôcť predchádzať mnohým chorobám, ako je napríklad jazda na bicykli ako zdravý prostriedok každodenného cestovania. Bola by bezplatne k dispozícii členským štátom a školám, ktoré by ju v prípade potreby mohli využiť vo svojich programoch. Takýto program by sa zaoberal stereotypmi o ľuďoch, ktorí sú chorí alebo postihnutí. [#46, GT]</w:t>
      </w:r>
    </w:p>
    <w:p>
      <w:pPr>
        <w:pStyle w:val="Puce3"/>
        <w:tabs>
          <w:tab w:val="clear" w:pos="720"/>
        </w:tabs>
        <w:rPr/>
      </w:pPr>
      <w:r>
        <w:rPr/>
        <w:t>3.</w:t>
        <w:tab/>
        <w:t>Rozvíjať praktickú odbornú prípravu v oblasti prvej pomoci, ktorá by sa bezplatne poskytovala všetkým občanom, a zvážiť možnosť pravidelných kurzov ako bežnú prax pre študentov, ako aj na pracovisku. Minimálny počet defibrilátorov by mal byť dostupný aj na verejných miestach vo všetkých členských štátoch. [#50]</w:t>
      </w:r>
    </w:p>
    <w:p>
      <w:pPr>
        <w:pStyle w:val="Puce3"/>
        <w:tabs>
          <w:tab w:val="clear" w:pos="720"/>
        </w:tabs>
        <w:rPr/>
      </w:pPr>
      <w:r>
        <w:rPr/>
        <w:t>4.</w:t>
        <w:tab/>
        <w:t>Rozšíriť iniciatívu Týždeň zdravia, ktorá sa uskutoční v celej Únii v tom istom týždni a počas ktorej by sa mali riešiť a prediskutovať všetky zdravotné otázky. Zvážte aj iniciatívy roka zdravia, počnúc rokom duševného zdravia. [#44, GT]</w:t>
      </w:r>
    </w:p>
    <w:p>
      <w:pPr>
        <w:pStyle w:val="Puce3"/>
        <w:tabs>
          <w:tab w:val="clear" w:pos="720"/>
        </w:tabs>
        <w:rPr/>
      </w:pPr>
      <w:r>
        <w:rPr/>
        <w:t>5.</w:t>
        <w:tab/>
        <w:t>Uznať za pravidelnú lekársku liečbu pri zdaňovaní hormonálnych antikoncepčných prípravkov používaných zo zdravotných dôvodov, napríklad v prípadoch fibromyalgie a endometriózy, ako aj ženskej hygieny. Zabezpečiť prístup k reprodukčnej liečbe pre všetkých ľudí s problémami s plodnosťou.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Návrh: Rovnaký prístup k zdraviu pre všetkých</w:t>
      </w:r>
    </w:p>
    <w:p>
      <w:pPr>
        <w:pStyle w:val="Normal"/>
        <w:rPr/>
      </w:pPr>
      <w:r>
        <w:rPr/>
        <w:t>Cieľ: Vytvoriť „právo na zdravie“ tým, že sa všetkým Európanom zaručí rovnaký a univerzálny prístup k cenovo dostupnej, preventívnej, liečebnej a kvalitnej zdravotnej starostlivosti.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7"/>
      </w:r>
      <w:r>
        <w:rPr/>
        <w:t>:</w:t>
      </w:r>
    </w:p>
    <w:p>
      <w:pPr>
        <w:pStyle w:val="Puce3"/>
        <w:tabs>
          <w:tab w:val="clear" w:pos="720"/>
        </w:tabs>
        <w:rPr/>
      </w:pPr>
      <w:r>
        <w:rPr/>
        <w:t>1.</w:t>
        <w:tab/>
        <w:t>Stanoviť spoločné minimálne zdravotné normy na úrovni Únie, ktoré sa vzťahujú aj na prevenciu a prístupnosť starostlivosti, ako aj blízkosť starostlivosti, a poskytovať podporu pri stanovovaní takýchto noriem. [#39, GT]</w:t>
      </w:r>
    </w:p>
    <w:p>
      <w:pPr>
        <w:pStyle w:val="Puce3"/>
        <w:tabs>
          <w:tab w:val="clear" w:pos="720"/>
        </w:tabs>
        <w:rPr/>
      </w:pPr>
      <w:r>
        <w:rPr/>
        <w:t>2.</w:t>
        <w:tab/>
        <w:t>Uznávajú potrebu v plnej miere zohľadniť zásadu subsidiarity a kľúčovú úlohu miestnych, regionálnych a vnútroštátnych aktérov v oblasti zdravia [NL3] s cieľom zabezpečiť, aby sa opatrenia mohli prijať na úrovni Únie pri lepšom riešení práva na zdravie. Umožniť rýchlejšie a pevnejšie rozhodovanie o kľúčových otázkach a zlepšiť účinnosť európskeho riadenia rozvoja európskej zdravotnej únie (napr. pandémia alebo zriedkavé choroby). [#49, FRsouhait11, digitálna platforma]</w:t>
      </w:r>
    </w:p>
    <w:p>
      <w:pPr>
        <w:pStyle w:val="Puce3"/>
        <w:tabs>
          <w:tab w:val="clear" w:pos="720"/>
        </w:tabs>
        <w:rPr/>
      </w:pPr>
      <w:r>
        <w:rPr/>
        <w:t>3.</w:t>
        <w:tab/>
        <w:t>Posilniť európsku zdravotnú úniu využitím plného potenciálu súčasného rámca a zahrnúť zdravie a zdravotnú starostlivosť do spoločných právomocí Únie a jej členských štátov zmenou článku 4 ZFEÚ. [#49, FRsouhait11, digitálna platforma, GT]</w:t>
      </w:r>
      <w:r>
        <w:rPr>
          <w:rStyle w:val="Ancredenotedefin"/>
          <w:rStyle w:val="Ancredenotedefin"/>
        </w:rPr>
        <w:endnoteReference w:id="8"/>
      </w:r>
      <w:r>
        <w:rPr/>
        <w:t>.</w:t>
      </w:r>
    </w:p>
    <w:p>
      <w:pPr>
        <w:pStyle w:val="Puce3"/>
        <w:tabs>
          <w:tab w:val="clear" w:pos="720"/>
        </w:tabs>
        <w:rPr/>
      </w:pPr>
      <w:r>
        <w:rPr/>
        <w:t>4.</w:t>
        <w:tab/>
        <w:t>Zabezpečiť, aby ktokoľvek mal prístup k existujúcim ošetreniam v prvej krajine EÚ, v ktorej sú k dispozícii; na tento účel zlepšiť cezhraničnú spoluprácu, najmä pokiaľ ide o zriedkavé choroby, rakovinu, kardiovaskulárne ochorenia a vysoko špecializovanú liečbu, ako sú transplantácie orgánov a liečba závažných popálenín. Mala by sa vytvoriť európska sieť transplantácie a darcovstva orgánov pre všetkých európskych pacientov, ktorí potrebujú transplantáciu. [plenary a GT]</w:t>
      </w:r>
    </w:p>
    <w:p>
      <w:pPr>
        <w:pStyle w:val="Puce3"/>
        <w:tabs>
          <w:tab w:val="clear" w:pos="720"/>
        </w:tabs>
        <w:rPr/>
      </w:pPr>
      <w:r>
        <w:rPr/>
        <w:t>5.</w:t>
        <w:tab/>
        <w:t>Zabezpečiť cenovo dostupnú starostlivosť prostredníctvom väčších investícií do zdravotnej starostlivosti, najmä zubnej starostlivosti vrátane profylaxie, a zabezpečiť, aby bola cenovo dostupná stomatologická starostlivosť dostupná pre všetkých do 15 – 20 rokov. [#48, GT]</w:t>
      </w:r>
    </w:p>
    <w:p>
      <w:pPr>
        <w:pStyle w:val="Puce3"/>
        <w:tabs>
          <w:tab w:val="clear" w:pos="720"/>
        </w:tabs>
        <w:rPr/>
      </w:pPr>
      <w:r>
        <w:rPr/>
        <w:t>6.</w:t>
        <w:tab/>
        <w:t>Zabezpečiť, aby liečba a lieky v celej Únii mali rovnakú kvalitu a spravodlivé miestne náklady, a to aj riešením súčasnej fragmentácie vnútorného trhu. [#40, NL3, pracovná skupina, plenárne zasadnutie]</w:t>
      </w:r>
    </w:p>
    <w:p>
      <w:pPr>
        <w:pStyle w:val="Puce3"/>
        <w:tabs>
          <w:tab w:val="clear" w:pos="720"/>
        </w:tabs>
        <w:rPr/>
      </w:pPr>
      <w:r>
        <w:rPr/>
        <w:t>7.</w:t>
        <w:tab/>
        <w:t>Bojovať proti zdravotnej neistote podporovaním poskytovania bezplatnej zubnej starostlivosti deťom, skupinám s nízkymi príjmami a iným zraniteľným skupinám, ako sú osoby so zdravotným postihnutím. Prečítajte si aj zdravotné dôsledky zlého bývania. [#48, GT]</w:t>
      </w:r>
    </w:p>
    <w:p>
      <w:pPr>
        <w:pStyle w:val="Puce3"/>
        <w:tabs>
          <w:tab w:val="clear" w:pos="720"/>
        </w:tabs>
        <w:rPr/>
      </w:pPr>
      <w:r>
        <w:rPr/>
        <w:t>8.</w:t>
        <w:tab/>
        <w:t>Zohľadniť medzinárodný rozmer zdravia a uznať, že lieky by mali byť všeobecne dostupné, a to aj v najchudobnejších krajinách.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58">
            <wp:simplePos x="0" y="0"/>
            <wp:positionH relativeFrom="column">
              <wp:posOffset>44450</wp:posOffset>
            </wp:positionH>
            <wp:positionV relativeFrom="paragraph">
              <wp:posOffset>43180</wp:posOffset>
            </wp:positionV>
            <wp:extent cx="913765" cy="913765"/>
            <wp:effectExtent l="0" t="0" r="0" b="0"/>
            <wp:wrapSquare wrapText="largest"/>
            <wp:docPr id="63" name="Obrázok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ok23"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Silnejšia ekonomika, sociálna spravodlivosť a zamestnanosť</w:t>
      </w:r>
    </w:p>
    <w:p>
      <w:pPr>
        <w:pStyle w:val="P68B1DB1Normal15"/>
        <w:rPr/>
      </w:pPr>
      <w:r>
        <w:rPr/>
        <w:t>Úvod</w:t>
      </w:r>
    </w:p>
    <w:p>
      <w:pPr>
        <w:pStyle w:val="Normal"/>
        <w:rPr/>
      </w:pPr>
      <w:r>
        <w:rPr/>
        <w:t>Žijeme vo výnimočných situáciách a Európska únia sa bude posudzovať podľa jej úsilia vyjsť zo súčasných kríz silnejším, s udržateľnejším, inkluzívnejším, konkurencieschopnejším a odolnejším modelom rastu. Ruská invázia na Ukrajinu a pandémia COVID-19 zmenili tvár EÚ. Konferencia sa bude musieť zaoberať aj sociálnymi a hospodárskymi dôsledkami tejto vojny v už aj tak veľmi zložitom kontexte po pandémii. Zmena klímy zároveň stále predstavuje hrozbu pre ľudstvo a bude mať dramatický vplyv na hospodárstvo a naše spoločnosti. Z prijatých odporúčaní jasne vyplýva, že občania požadujú prísnejšie opatrenia EÚ. Nevyriešené nadnárodné výzvy, ako sú nerovnosť, konkurencieschopnosť, zdravie, zmena klímy, migrácia, digitalizácia alebo spravodlivé zdaňovanie, si vyžadujú vhodné európske riešenia. Z odporúčaní a diskusií tiež jasne vyplýva, že potrebujeme komplexnú stratégiu na zabezpečenie väčšieho blahobytu európskych občanov v rôznych aspektoch ich života. Niektoré prvky tejto stratégie sú zahrnuté do existujúcich politík a možno ich dosiahnuť plným využitím existujúceho inštitucionálneho rámca na európskej a vnútroštátnej úrovni; iné si budú vyžadovať nové politiky a v niektorých prípadoch zmeny zmlúv. Nové politiky a zmeny zmlúv by sa však mali vnímať ako prostriedky na zlepšenie blahobytu a nie za ciele samy osebe. Je možné a potrebné nanovo definovať Úniu, aby sa zaručila jej strategická autonómia, udržateľný rast, zlepšovanie životných a pracovných podmienok a ľudský pokrok, a to bez vyčerpania alebo ničenia zdrojov našej planéty na základe obnovenej sociálnej zmluvy. Cieľom týchto odporúčaní je dosiahnuť tieto ciele. Nižšie uvedené návrhy by sa mali čítať s prihliadnutím na to, že občania v celej Európe vyjadrili rôzne názory a odporúčania. Práve táto rozmanitosť názorov je jedným z neporovnateľných aktív Európy.</w:t>
      </w:r>
    </w:p>
    <w:p>
      <w:pPr>
        <w:pStyle w:val="Normal"/>
        <w:rPr/>
      </w:pPr>
      <w:r>
        <w:rPr/>
      </w:r>
      <w:r>
        <w:br w:type="page"/>
      </w:r>
    </w:p>
    <w:p>
      <w:pPr>
        <w:pStyle w:val="Titre3"/>
        <w:numPr>
          <w:ilvl w:val="2"/>
          <w:numId w:val="2"/>
        </w:numPr>
        <w:rPr/>
      </w:pPr>
      <w:bookmarkStart w:id="58" w:name="__RefHeading___Toc298290_1346298689"/>
      <w:bookmarkEnd w:id="58"/>
      <w:r>
        <w:rPr/>
        <w:t>11. Návrh: Udržateľný rast a inovácie</w:t>
      </w:r>
    </w:p>
    <w:p>
      <w:pPr>
        <w:pStyle w:val="P68B1DB1Normal15"/>
        <w:rPr/>
      </w:pPr>
      <w:r>
        <w:rPr/>
        <w:t>Cieľ: Navrhujeme, aby EÚ podporovala prechod na model udržateľného a odolného rastu, pričom zohľadní zelenú a digitálnu transformáciu so silným sociálnym rozmerom v európskom semestri a posilní postavenie občanov, odborov a podnikov. Konvenčné makroekonomické ukazovatele a HDP by sa mohli doplniť o nové ukazovatele, ktoré by reagovali na nové európske priority, ako je Európska zelená dohoda alebo Európsky pilier sociálnych práv, a aby lepšie odrážali zelenú a digitálnu transformáciu a blahobyt ľudí. To by sa dalo dosiahnuť prostredníctvom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9"/>
      </w:r>
      <w:r>
        <w:rPr/>
        <w:t>:</w:t>
      </w:r>
    </w:p>
    <w:p>
      <w:pPr>
        <w:pStyle w:val="Puce3"/>
        <w:rPr/>
      </w:pPr>
      <w:r>
        <w:rPr/>
        <w:t>1.</w:t>
        <w:tab/>
        <w:t>Podporovať ekologickejšie výrobné procesy spoločnosťami, pomáhať spoločnostiam nájsť najlepšie riešenia a poskytovať pozitívne a negatívne stimuly. (PCE 11 a 12) a zvýšiť miestnu výrobu a spotrebu (rokovania).</w:t>
      </w:r>
    </w:p>
    <w:p>
      <w:pPr>
        <w:pStyle w:val="Puce3"/>
        <w:tabs>
          <w:tab w:val="clear" w:pos="720"/>
        </w:tabs>
        <w:rPr/>
      </w:pPr>
      <w:r>
        <w:rPr/>
        <w:t>2.</w:t>
        <w:tab/>
        <w:t>Úsilie o udržateľnejšie a obehové hospodárstvo riešením problému plánovaného zastarávania a zaručením práva na nápravu (PCE 14).</w:t>
      </w:r>
    </w:p>
    <w:p>
      <w:pPr>
        <w:pStyle w:val="Puce3"/>
        <w:tabs>
          <w:tab w:val="clear" w:pos="720"/>
        </w:tabs>
        <w:rPr/>
      </w:pPr>
      <w:r>
        <w:rPr/>
        <w:t>3.</w:t>
        <w:tab/>
        <w:t>Preskúmať správu hospodárskych záležitostí Únie a európsky semester s cieľom zabezpečiť, aby zelená a digitálna transformácia, sociálna spravodlivosť a sociálny pokrok išli ruka v ruke s hospodárskou konkurencieschopnosťou bez toho, aby sa ignorovala hospodárska a rozpočtová povaha európskeho semestra. Okrem toho je potrebné lepšie zapojiť sociálnych partnerov a miestne a regionálne orgány do vykonávania európskeho semestra s cieľom zlepšiť jeho uplatňovanie a zodpovednosť (elektronická platforma, diskusie).</w:t>
      </w:r>
    </w:p>
    <w:p>
      <w:pPr>
        <w:pStyle w:val="Puce3"/>
        <w:tabs>
          <w:tab w:val="clear" w:pos="720"/>
        </w:tabs>
        <w:rPr/>
      </w:pPr>
      <w:r>
        <w:rPr/>
        <w:t>4.</w:t>
        <w:tab/>
        <w:t>Boj proti používaniu jednorazových plastových obalov/kontajnerov (PCE 12).</w:t>
      </w:r>
    </w:p>
    <w:p>
      <w:pPr>
        <w:pStyle w:val="Puce3"/>
        <w:tabs>
          <w:tab w:val="clear" w:pos="720"/>
        </w:tabs>
        <w:rPr/>
      </w:pPr>
      <w:r>
        <w:rPr/>
        <w:t>5.</w:t>
        <w:tab/>
        <w:t>Rozšíriť využívanie európskych technológií a urobiť z nej životaschopnú alternatívu k zahraničným technológiám (diskusia).</w:t>
      </w:r>
    </w:p>
    <w:p>
      <w:pPr>
        <w:pStyle w:val="Puce3"/>
        <w:tabs>
          <w:tab w:val="clear" w:pos="720"/>
        </w:tabs>
        <w:rPr/>
      </w:pPr>
      <w:r>
        <w:rPr/>
        <w:t>6.</w:t>
        <w:tab/>
        <w:t>Podporovať výskum nových materiálov a technológií, ako aj inovatívne využívanie existujúcich materiálov a zároveň zabrániť duplicite výskumného úsilia (PCE 9, NL 1).</w:t>
      </w:r>
    </w:p>
    <w:p>
      <w:pPr>
        <w:pStyle w:val="Puce3"/>
        <w:tabs>
          <w:tab w:val="clear" w:pos="720"/>
        </w:tabs>
        <w:rPr/>
      </w:pPr>
      <w:r>
        <w:rPr/>
        <w:t>7.</w:t>
        <w:tab/>
        <w:t>Zvážiť udržateľnosť, cenovú dostupnosť a dostupnosť energie pri zohľadnení energetickej chudoby a závislosti od tretích krajín zvýšením podielu energie vyrobenej udržateľným spôsobom (CEP 10, LT 3, IT 1.1).</w:t>
      </w:r>
    </w:p>
    <w:p>
      <w:pPr>
        <w:pStyle w:val="Puce3"/>
        <w:tabs>
          <w:tab w:val="clear" w:pos="720"/>
        </w:tabs>
        <w:rPr/>
      </w:pPr>
      <w:r>
        <w:rPr/>
        <w:t>8.</w:t>
        <w:tab/>
        <w:t>Zvýšiť informovanosť podnikov a občanov s cieľom prijať udržateľnejšie správanie a zabezpečiť spravodlivú transformáciu založenú na sociálnom dialógu a kvalitných pracovných miestach (CEP 12 a online platforma).</w:t>
      </w:r>
    </w:p>
    <w:p>
      <w:pPr>
        <w:pStyle w:val="Puce3"/>
        <w:tabs>
          <w:tab w:val="clear" w:pos="720"/>
        </w:tabs>
        <w:rPr/>
      </w:pPr>
      <w:r>
        <w:rPr/>
        <w:t>9.</w:t>
        <w:tab/>
        <w:t>Zahrnúť do nových obchodných dohôd EÚ ambiciózne sociálne, pracovné a zdravotné normy vrátane ochrany zdravia a bezpečnosti pri práci.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Návrh: Posilnenie konkurencieschopnosti Únie a ďalšie prehlbovanie jednotného trhu</w:t>
      </w:r>
    </w:p>
    <w:p>
      <w:pPr>
        <w:pStyle w:val="Normal"/>
        <w:rPr/>
      </w:pPr>
      <w:r>
        <w:rPr/>
        <w:t>Cieľ: Navrhujeme posilniť konkurencieschopnosť a odolnosť hospodárstva EÚ, jednotného trhu a priemyslu a riešiť strategické závislosti. Musíme podporovať podnikateľskú kultúru v EÚ, v ktorej sa podporujú inovačné spoločnosti všetkých veľkostí, najmä mikropodniky, malé a stredné podniky a začínajúce podniky, a môžu prosperovať s cieľom prispieť k odolnejším a inkluzívnejším spoločnostiam. Na uľahčenie vízie sociálnejšej Európy je potrebné silné a životaschopné trhové hospodárstvo. To by sa dalo dosiahnuť prostredníctvom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10"/>
      </w:r>
      <w:r>
        <w:rPr/>
        <w:t>:</w:t>
      </w:r>
    </w:p>
    <w:p>
      <w:pPr>
        <w:pStyle w:val="Puce3"/>
        <w:tabs>
          <w:tab w:val="clear" w:pos="720"/>
        </w:tabs>
        <w:rPr/>
      </w:pPr>
      <w:r>
        <w:rPr/>
        <w:t>1.</w:t>
        <w:tab/>
        <w:t>Rozvíjať jasnú víziu európskeho hospodárstva a stavať na silných stránkach, kvalite a rozmanitosti Európy pri zohľadnení hospodárskych a iných rozdielov medzi členskými štátmi a podporovať spoluprácu a hospodársku súťaž medzi podnikmi. (NL 1 a 2)</w:t>
      </w:r>
    </w:p>
    <w:p>
      <w:pPr>
        <w:pStyle w:val="Puce3"/>
        <w:tabs>
          <w:tab w:val="clear" w:pos="720"/>
        </w:tabs>
        <w:rPr/>
      </w:pPr>
      <w:r>
        <w:rPr/>
        <w:t>2.</w:t>
        <w:tab/>
        <w:t>Konsolidovať to, čo sa urobilo v súvislosti s jednotnou menou a prepojením platobných systémov a telekomunikácií. (Bod 4.a.2)</w:t>
      </w:r>
    </w:p>
    <w:p>
      <w:pPr>
        <w:pStyle w:val="Puce3"/>
        <w:tabs>
          <w:tab w:val="clear" w:pos="720"/>
        </w:tabs>
        <w:rPr/>
      </w:pPr>
      <w:r>
        <w:rPr/>
        <w:t>3.</w:t>
        <w:tab/>
        <w:t>Znížiť štandardizáciu výrobkov a uznať miestne a regionálne osobitosti z hľadiska kultúry a výroby (rešpektovanie výrobných tradícií). (IT 2.2)</w:t>
      </w:r>
    </w:p>
    <w:p>
      <w:pPr>
        <w:pStyle w:val="Puce3"/>
        <w:tabs>
          <w:tab w:val="clear" w:pos="720"/>
        </w:tabs>
        <w:rPr/>
      </w:pPr>
      <w:r>
        <w:rPr/>
        <w:t>4.</w:t>
        <w:tab/>
        <w:t>Posilniť vzostupnú sociálnu a hospodársku konvergenciu v rámci jednotného trhu, dokončiť existujúce iniciatívy, ako je banková únia a únia kapitálových trhov, a vykonať výhľadovú reformu našej hospodárskej a menovej únie (rokovania).</w:t>
      </w:r>
    </w:p>
    <w:p>
      <w:pPr>
        <w:pStyle w:val="Puce3"/>
        <w:tabs>
          <w:tab w:val="clear" w:pos="720"/>
        </w:tabs>
        <w:rPr/>
      </w:pPr>
      <w:r>
        <w:rPr/>
        <w:t>5.</w:t>
        <w:tab/>
        <w:t>Podporovať politiky pre silnú priemyselnú základňu a inovácie v kľúčových podporných technológiách, ako aj výhľadovú politiku v oblasti klímy spolu s priemyselnou konkurencieschopnosťou so silným sociálnym rozmerom založeným na sociálnom dialógu a dobre fungujúcich pracovnoprávnych vzťahoch (diskusia).</w:t>
      </w:r>
    </w:p>
    <w:p>
      <w:pPr>
        <w:pStyle w:val="Puce3"/>
        <w:tabs>
          <w:tab w:val="clear" w:pos="720"/>
        </w:tabs>
        <w:rPr/>
      </w:pPr>
      <w:r>
        <w:rPr/>
        <w:t>6.</w:t>
        <w:tab/>
        <w:t>Vo všetkých nových iniciatívach venovať osobitnú pozornosť MSP, ktoré sú oporou nášho hospodárstva. Vo všetkých legislatívnych návrhoch EÚ sa musí dodržiavať zásada „najskôr myslieť na MSP“ a test MSP by sa mal posilniť v posúdeniach vplyvu Komisie v súlade s jasnými zásadami pri plnom rešpektovaní sociálnych a environmentálnych noriem a práv spotrebiteľov (rokovania).</w:t>
      </w:r>
    </w:p>
    <w:p>
      <w:pPr>
        <w:pStyle w:val="Puce3"/>
        <w:tabs>
          <w:tab w:val="clear" w:pos="720"/>
        </w:tabs>
        <w:rPr/>
      </w:pPr>
      <w:r>
        <w:rPr/>
        <w:t>7.</w:t>
        <w:tab/>
        <w:t>Zabezpečiť účasť MSP na financovaní žiadostí, výziev na predkladanie ponúk a sietí s čo najmenším administratívnym úsilím. Prístup k financovaniu pre MSP s vysokorizikovými inovačnými projektmi by mali ďalej rozvíjať subjekty, ako je Európska rada pre inováciu a Európska investičná banka (diskusie).</w:t>
      </w:r>
    </w:p>
    <w:p>
      <w:pPr>
        <w:pStyle w:val="Puce3"/>
        <w:tabs>
          <w:tab w:val="clear" w:pos="720"/>
        </w:tabs>
        <w:rPr/>
      </w:pPr>
      <w:r>
        <w:rPr/>
        <w:t>8.</w:t>
        <w:tab/>
        <w:t>Vytvoriť lepší rámec pre investície do výskumu a inovácií s cieľom vybudovať udržateľnejšie obchodné modely bohaté na biodiverzitu (CEP 10, 11 a 14); zamerať sa na technológie a inovácie ako hnacie sily rastu. (IT 1.3)</w:t>
      </w:r>
    </w:p>
    <w:p>
      <w:pPr>
        <w:pStyle w:val="Puce3"/>
        <w:tabs>
          <w:tab w:val="clear" w:pos="720"/>
        </w:tabs>
        <w:rPr/>
      </w:pPr>
      <w:r>
        <w:rPr/>
        <w:t>9.</w:t>
        <w:tab/>
        <w:t>Podporovať kolektívnu hospodársku výkonnosť prostredníctvom autonómneho a konkurencieschopného priemyslu. (FR3)</w:t>
      </w:r>
    </w:p>
    <w:p>
      <w:pPr>
        <w:pStyle w:val="Puce3"/>
        <w:tabs>
          <w:tab w:val="clear" w:pos="720"/>
        </w:tabs>
        <w:rPr/>
      </w:pPr>
      <w:r>
        <w:rPr/>
        <w:t>10.</w:t>
        <w:tab/>
        <w:t>Identifikovať a rozvíjať strategické odvetvia vrátane kozmického priestoru, robotiky a umelej inteligencie. (Sk 3 a 9)</w:t>
      </w:r>
    </w:p>
    <w:p>
      <w:pPr>
        <w:pStyle w:val="Puce3"/>
        <w:tabs>
          <w:tab w:val="clear" w:pos="720"/>
        </w:tabs>
        <w:rPr/>
      </w:pPr>
      <w:r>
        <w:rPr/>
        <w:t>11.</w:t>
        <w:tab/>
        <w:t>Investovať do cestovného ruchu a kultúrneho hospodárstva a oceniť aj mnohé malé destinácie v Európe. (IT 1.2)</w:t>
      </w:r>
    </w:p>
    <w:p>
      <w:pPr>
        <w:pStyle w:val="Puce3"/>
        <w:tabs>
          <w:tab w:val="clear" w:pos="720"/>
        </w:tabs>
        <w:rPr/>
      </w:pPr>
      <w:r>
        <w:rPr/>
        <w:t>12.</w:t>
        <w:tab/>
        <w:t>Zabezpečiť bezpečnosť dodávok diverzifikáciou vstupných/surovinových zdrojov a zvýšením výroby základných tovarov v Európe, ako sú zdravie, potraviny, energetika, obrana a doprava. (SK 9, LT 1, TO 1.4)</w:t>
      </w:r>
    </w:p>
    <w:p>
      <w:pPr>
        <w:pStyle w:val="Puce3"/>
        <w:tabs>
          <w:tab w:val="clear" w:pos="720"/>
        </w:tabs>
        <w:rPr/>
      </w:pPr>
      <w:r>
        <w:rPr/>
        <w:t>13.</w:t>
        <w:tab/>
        <w:t>Podpora digitalizácie európskych podnikov, napríklad prostredníctvom osobitnej hodnotiacej tabuľky, ktorá umožní spoločnostiam porovnať ich stupeň digitalizácie s celkovým cieľom zvýšiť ich konkurencieschopnosť. (OD 2.1)</w:t>
      </w:r>
    </w:p>
    <w:p>
      <w:pPr>
        <w:pStyle w:val="Puce3"/>
        <w:tabs>
          <w:tab w:val="clear" w:pos="720"/>
        </w:tabs>
        <w:rPr/>
      </w:pPr>
      <w:r>
        <w:rPr/>
        <w:t>14.</w:t>
        <w:tab/>
        <w:t>Podporovať digitálnu súdržnosť s cieľom prispieť k hospodárskej, sociálnej a územnej súdržnosti vymedzenej v Zmluve o fungovaní Európskej únie (diskusie).</w:t>
      </w:r>
    </w:p>
    <w:p>
      <w:pPr>
        <w:pStyle w:val="Puce3"/>
        <w:tabs>
          <w:tab w:val="clear" w:pos="720"/>
        </w:tabs>
        <w:rPr/>
      </w:pPr>
      <w:r>
        <w:rPr/>
        <w:t>15.</w:t>
        <w:tab/>
        <w:t>Posilniť cezhraničnú spoluprácu s cieľom posilniť súdržnosť a odolnosť v rámci regiónov aj mimo nich podporovaním európskeho cezhraničného mechanizmu a podobných nástrojov (diskusie).</w:t>
      </w:r>
    </w:p>
    <w:p>
      <w:pPr>
        <w:pStyle w:val="Puce3"/>
        <w:tabs>
          <w:tab w:val="clear" w:pos="720"/>
        </w:tabs>
        <w:rPr/>
      </w:pPr>
      <w:r>
        <w:rPr/>
        <w:t>16.</w:t>
        <w:tab/>
        <w:t>Posilniť a podporovať príležitosti cezhraničnej odbornej prípravy s cieľom zlepšiť zručnosti európskej pracovnej sily a zvýšiť konkurencieschopnosť a zároveň posilniť zručnosti občanov v hospodárskej oblasti. (DE 2.2, LT7). Podporovať obchod medzi pracovníkmi v Európe prostredníctvom Európskeho centra zamestnanosti; (IT 6.1) povzbudzovať mladých ľudí, aby študovali vedecké predmety. (IT 1.5)</w:t>
      </w:r>
    </w:p>
    <w:p>
      <w:pPr>
        <w:pStyle w:val="Puce3"/>
        <w:tabs>
          <w:tab w:val="clear" w:pos="720"/>
        </w:tabs>
        <w:rPr/>
      </w:pPr>
      <w:r>
        <w:rPr/>
        <w:t>17.</w:t>
        <w:tab/>
        <w:t>Znížiť byrokraciu (povolenia, certifikácie) tam, kde to nie je nevyhnutné. (IT 2.1)</w:t>
      </w:r>
    </w:p>
    <w:p>
      <w:pPr>
        <w:pStyle w:val="Puce3"/>
        <w:tabs>
          <w:tab w:val="clear" w:pos="720"/>
        </w:tabs>
        <w:rPr/>
      </w:pPr>
      <w:r>
        <w:rPr/>
        <w:t>18.</w:t>
        <w:tab/>
        <w:t>Boj proti falšovaniu a nekalej hospodárskej súťaži. (IT 2.4)</w:t>
      </w:r>
    </w:p>
    <w:p>
      <w:pPr>
        <w:pStyle w:val="Puce3"/>
        <w:tabs>
          <w:tab w:val="clear" w:pos="720"/>
        </w:tabs>
        <w:rPr/>
      </w:pPr>
      <w:r>
        <w:rPr/>
        <w:t>19.</w:t>
        <w:tab/>
        <w:t>Zabezpečiť väčšiu účasť začínajúcich podnikov a MSP na inovačných projektoch, keďže sa tým posilňuje ich inovačná sila, konkurencieschopnosť a vytváranie sietí (elektronická platforma, diskusie).</w:t>
      </w:r>
    </w:p>
    <w:p>
      <w:pPr>
        <w:pStyle w:val="Puce3"/>
        <w:tabs>
          <w:tab w:val="clear" w:pos="720"/>
        </w:tabs>
        <w:rPr/>
      </w:pPr>
      <w:r>
        <w:rPr/>
        <w:t>20.</w:t>
        <w:tab/>
        <w:t>Prioritou by mala zostať konsolidácia a ochrana jednotného trhu; opatrenia a iniciatívy prijaté na vnútroštátnej úrovni a na úrovni Únie by nemali mať vplyv na jednotný trh a mali by prispievať k voľnému pohybu osôb, tovaru, služieb a kapitálu (diskusie).</w:t>
      </w:r>
    </w:p>
    <w:p>
      <w:pPr>
        <w:pStyle w:val="Puce3"/>
        <w:tabs>
          <w:tab w:val="clear" w:pos="720"/>
        </w:tabs>
        <w:rPr/>
      </w:pPr>
      <w:r>
        <w:rPr/>
        <w:t>21.</w:t>
        <w:tab/>
        <w:t>Nové politické iniciatívy EÚ by mali podliehať „kontrole konkurencieschopnosti“ s cieľom analyzovať ich vplyv na podniky a ich podnikateľské prostredie (náklady na hospodársku činnosť, inovačnú kapacitu, medzinárodnú konkurencieschopnosť, rovnaké podmienky atď.). Toto monitorovanie je v súlade s Parížskou dohodou a cieľmi trvalo udržateľného rozvoja vrátane rodovej rovnosti a neoslabuje ochranu ľudských práv, sociálnych a pracovných práv ani noriem v oblasti životného prostredia a ochrany spotrebiteľa. Na tento účel navrhujeme aj vytvorenie Európskeho poradného orgánu pre konkurencieschopnosť, ktorý bude monitorovať, ako sa vykonáva monitorovanie konkurencieschopnosti, a najmä posúdiť kumulatívne účinky právnych predpisov, ako aj predložiť návrhy na zlepšenie vhodných rámcových podmienok pre konkurencieschopnosť podnikov EÚ. Tento orgán by mal do svojho riadenia zapojiť organizovanú občiansku spoločnosť a sociálnych partnerov; (diskusia)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Návrh: Inkluzívne trhy práce</w:t>
      </w:r>
    </w:p>
    <w:p>
      <w:pPr>
        <w:pStyle w:val="P68B1DB1Normal15"/>
        <w:rPr/>
      </w:pPr>
      <w:r>
        <w:rPr/>
        <w:t>Cieľ: Navrhujeme zlepšiť fungovanie trhov práce s cieľom zabezpečiť spravodlivejšie pracovné podmienky a podporiť rodovú rovnosť a zamestnanosť, najmä pre mladých ľudí a zraniteľné skupiny. EÚ, členské štáty a sociálni partneri musia pracovať na odstránení chudoby pracovníkov, posilnení práv pracovníkov platforiem, zákaze neplatených stáží a zabezpečení spravodlivej mobility pracovnej sily v Únii. Musíme podporovať sociálny dialóg a kolektívne vyjednávanie. Musíme zabezpečiť úplné vykonávanie Európskeho piliera sociálnych práv vrátane jeho príslušných hlavných cieľov do roku 2030 na európskej, vnútroštátnej, regionálnej a miestnej úrovni v oblasti „rovnakých príležitostí a prístupu na trh práce“ a „spravodlivých pracovných podmienok“, pričom musíme rešpektovať právomoci a zásady subsidiarity a proporcionality a zahrnúť do zmlúv protokol o sociálnom pokroku. Pritom je potrebné rešpektovať národné tradície a autonómiu sociálnych partnerov a spolupracovať s občianskou spoločnosťou. To by sa dalo dosiahnuť prostredníctvom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11"/>
      </w:r>
      <w:r>
        <w:rPr/>
        <w:t>:</w:t>
      </w:r>
    </w:p>
    <w:p>
      <w:pPr>
        <w:pStyle w:val="Puce3"/>
        <w:tabs>
          <w:tab w:val="clear" w:pos="720"/>
        </w:tabs>
        <w:rPr/>
      </w:pPr>
      <w:r>
        <w:rPr/>
        <w:t>1.</w:t>
        <w:tab/>
        <w:t>Zabezpečiť, aby zákonné minimálne mzdy zaručovali každému pracovníkovi dôstojnú a podobnú kvalitu života vo všetkých členských štátoch. Mali by sa vymedziť jasné kritériá (napr. životné náklady, inflácia, úroveň nad hranicou chudoby, priemerné a mediánové mzdy na vnútroštátnej úrovni), ktoré by sa mali zohľadniť pri stanovovaní úrovne minimálnej mzdy. Úrovne zákonných minimálnych miezd by sa mali pravidelne preskúmavať vzhľadom na tieto kritériá, aby sa zabezpečila ich primeranosť. Osobitná pozornosť by sa mala venovať účinnému vykonávaniu týchto pravidiel a monitorovaniu a monitorovaniu zlepšovania životnej úrovne. Zároveň by sa malo posilniť a podporovať kolektívne vyjednávanie v celej Únii (PCE 1 a 30; 4.2; online platforma).</w:t>
      </w:r>
    </w:p>
    <w:p>
      <w:pPr>
        <w:pStyle w:val="Puce3"/>
        <w:tabs>
          <w:tab w:val="clear" w:pos="720"/>
        </w:tabs>
        <w:rPr/>
      </w:pPr>
      <w:r>
        <w:rPr/>
        <w:t>2.</w:t>
        <w:tab/>
        <w:t>Zhodnotiť a ďalej posilniť vykonávanie smernice o pracovnom čase (smernica 2003/88/ES) a iných príslušných právnych predpisov, ktoré zabezpečujú zdravú rovnováhu medzi pracovným a súkromným životom, a zároveň zvážiť nové vnútroštátne politiky v tejto oblasti (CEP 2).</w:t>
      </w:r>
    </w:p>
    <w:p>
      <w:pPr>
        <w:pStyle w:val="Puce3"/>
        <w:tabs>
          <w:tab w:val="clear" w:pos="720"/>
        </w:tabs>
        <w:rPr/>
      </w:pPr>
      <w:r>
        <w:rPr/>
        <w:t>3.</w:t>
        <w:tab/>
        <w:t>Zaviesť alebo posilniť existujúce právne predpisy o „inteligentnej práci“ a nabádať spoločnosti, aby podporovali tento nový spôsob práce. (PCE 7) Únia by mala zaručiť právo na odpojenie, urobiť viac na odstránenie digitálnej priepasti na pracovisku a posúdiť vplyv práce na diaľku na zdravie, pracovný čas a výkonnosť. Je potrebné zabezpečiť spravodlivú digitalizáciu na základe ľudských práv, lepších pracovných podmienok a kolektívneho vyjednávania (diskusie).</w:t>
      </w:r>
    </w:p>
    <w:p>
      <w:pPr>
        <w:pStyle w:val="Puce3"/>
        <w:tabs>
          <w:tab w:val="clear" w:pos="720"/>
        </w:tabs>
        <w:rPr/>
      </w:pPr>
      <w:r>
        <w:rPr/>
        <w:t>4.</w:t>
        <w:tab/>
        <w:t>Integrácia politík zamestnanosti na úrovni EÚ, kde aktívne politiky trhu práce zostávajú ústredné a čoraz koordinovanejšie (IT 6.2), zatiaľ čo členské štáty sa zameriavajú na ďalšie reformné úsilie s cieľom vytvoriť priaznivé podmienky pre vytváranie kvalitných pracovných miest (rokovania).</w:t>
      </w:r>
    </w:p>
    <w:p>
      <w:pPr>
        <w:pStyle w:val="Puce3"/>
        <w:tabs>
          <w:tab w:val="clear" w:pos="720"/>
        </w:tabs>
        <w:rPr/>
      </w:pPr>
      <w:r>
        <w:rPr/>
        <w:t>5.</w:t>
        <w:tab/>
        <w:t>Prijať opatrenia na zabezpečenie úplnej ochrany sociálnych práv a mať v prípade konfliktu prednosť pred hospodárskymi slobodami, a to aj zavedením protokolu o sociálnom pokroku v zmluvách (online platforma, diskusie).</w:t>
      </w:r>
    </w:p>
    <w:p>
      <w:pPr>
        <w:pStyle w:val="Puce3"/>
        <w:tabs>
          <w:tab w:val="clear" w:pos="720"/>
        </w:tabs>
        <w:rPr/>
      </w:pPr>
      <w:r>
        <w:rPr/>
        <w:t>6.</w:t>
        <w:tab/>
        <w:t>Zabezpečenie rodovej rovnosti v súlade so stratégiou EÚ pre rodovú rovnosť na roky 2020 – 2025. Únia by mala naďalej merať rodovú rovnosť prostredníctvom indexu rodovej rovnosti (postavy, rozdiely v odmeňovaní, zamestnanosť, vedenie atď.), každoročne monitorovať stratégiu, byť transparentná, pokiaľ ide o dosiahnuté výsledky, podporovať výmenu odborných znalostí a najlepších postupov a vytvoriť možný priamy mechanizmus spätnej väzby občanov (napr. ombudsmana) (ECP 28; 5.a.1). Je potrebné riešiť rozdiely v odmeňovaní žien a mužov a zaviesť kvóty na pozície vrcholového manažmentu. Ženy podnikateľky by mali mať prospech zo zvýšenej podpory v podnikateľskom prostredí, rovnako ako ženy vo vede, technike, inžinierstve a matematike (diskusie).</w:t>
      </w:r>
    </w:p>
    <w:p>
      <w:pPr>
        <w:pStyle w:val="Puce3"/>
        <w:tabs>
          <w:tab w:val="clear" w:pos="720"/>
        </w:tabs>
        <w:rPr/>
      </w:pPr>
      <w:r>
        <w:rPr/>
        <w:t>7.</w:t>
        <w:tab/>
        <w:t>Podporovať zamestnanosť mladých ľudí, okrem iného prostredníctvom finančnej podpory pre podniky, ale aj poskytovaním dodatočnej podpory zamestnávateľom a pracovníkom (NL 4) a podporou mladých podnikateľov a mladých samostatne zárobkovo činných osôb, napríklad prostredníctvom vzdelávacích nástrojov a kurzov (diskusie).</w:t>
      </w:r>
    </w:p>
    <w:p>
      <w:pPr>
        <w:pStyle w:val="Puce3"/>
        <w:tabs>
          <w:tab w:val="clear" w:pos="720"/>
        </w:tabs>
        <w:rPr/>
      </w:pPr>
      <w:r>
        <w:rPr/>
        <w:t>8.</w:t>
        <w:tab/>
        <w:t>Podporovať zamestnanosť znevýhodnených skupín (NL 4), najmä pre osoby so zdravotným postihnutím (online platforma).</w:t>
      </w:r>
    </w:p>
    <w:p>
      <w:pPr>
        <w:pStyle w:val="Puce3"/>
        <w:tabs>
          <w:tab w:val="clear" w:pos="720"/>
        </w:tabs>
        <w:rPr/>
      </w:pPr>
      <w:r>
        <w:rPr/>
        <w:t>9.</w:t>
        <w:tab/>
        <w:t>Podporovať zamestnanosť a sociálnu mobilitu, aby ľudia mali každú príležitosť na osobný rozvoj a sebaurčenie. (Dokument 5.a.4 a IT 6.1) Mohla by existovať dlhodobá stratégia na zabezpečenie toho, aby každý v našej spoločnosti mal správne zručnosti na to, aby si našiel prácu a rozvíjal svoj talent, najmä mladšiu generáciu (diskusie). Je dôležité investovať do zručností prispôsobených meniacim sa potrebám trhu práce a podporovať celoživotné vzdelávanie okrem iného prostredníctvom výmenného programu vo všetkých fázach života a zaručiť právo na celoživotné vzdelávanie a právo na odbornú prípravu. (FR 6; Na tento účel je potrebné posilniť spoluprácu medzi podnikmi, odbormi a poskytovateľmi služieb odborného vzdelávania a prípravy (rokovania).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Návrh: Silnejšie sociálne politiky</w:t>
      </w:r>
    </w:p>
    <w:p>
      <w:pPr>
        <w:pStyle w:val="Normal"/>
        <w:rPr/>
      </w:pPr>
      <w:r>
        <w:rPr/>
        <w:t>Cieľ: Navrhujeme znížiť nerovnosti, bojovať proti sociálnemu vylúčeniu a chudobe. Musíme zaviesť komplexnú stratégiu boja proti chudobe, ktorá by okrem iného mohla zahŕňať posilnenie záruky pre deti a záruky pre mladých ľudí, zavedenie minimálnych miezd, spoločný európsky rámec pre systémy minimálneho príjmu a dôstojné sociálne bývanie. Musíme zabezpečiť úplné vykonávanie Európskeho piliera sociálnych práv vrátane jeho príslušných hlavných cieľov do roku 2030 na európskej, vnútroštátnej, regionálnej a miestnej úrovni v oblastiach „sociálnej ochrany a začlenenia“, pričom musíme rešpektovať príslušné právomoci a zásady subsidiarity a proporcionality a zahrnúť do zmlúv protokol o sociálnom pokroku. To by sa dalo dosiahnuť prostredníctvom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12"/>
      </w:r>
      <w:r>
        <w:rPr/>
        <w:t>:</w:t>
      </w:r>
    </w:p>
    <w:p>
      <w:pPr>
        <w:pStyle w:val="Puce3"/>
        <w:tabs>
          <w:tab w:val="clear" w:pos="720"/>
        </w:tabs>
        <w:rPr/>
      </w:pPr>
      <w:r>
        <w:rPr/>
        <w:t>1.</w:t>
        <w:tab/>
        <w:t>Posilniť právomoci Únie v oblasti sociálnych politík a navrhnúť harmonizované právne predpisy platné v celej Únii na podporu sociálnych politík a zabezpečenie rovnakých práv vrátane práv v oblasti zdravia, pričom sa zohľadnia prijaté nariadenia a minimálne požiadavky na celom území. (CEP 19 a 21) EÚ by mohla podporovať a dopĺňať politiky členských štátov okrem iného návrhom spoločného rámca na zabezpečenie minimálneho príjmu, aby sa na nikoho nezabudlo. Tieto opatrenia by sa mali vykonávať v rámci úplného vykonávania Európskeho piliera sociálnych práv a jeho akčného plánu (diskusie).</w:t>
      </w:r>
    </w:p>
    <w:p>
      <w:pPr>
        <w:pStyle w:val="Puce3"/>
        <w:tabs>
          <w:tab w:val="clear" w:pos="720"/>
        </w:tabs>
        <w:rPr/>
      </w:pPr>
      <w:r>
        <w:rPr/>
        <w:t>2.</w:t>
        <w:tab/>
        <w:t>Nerobte kompromisy v oblasti sociálnych práv (verejné zdravie, verejné vzdelávanie, pracovné politiky). (Bod 4.a.1)</w:t>
      </w:r>
    </w:p>
    <w:p>
      <w:pPr>
        <w:pStyle w:val="Puce3"/>
        <w:tabs>
          <w:tab w:val="clear" w:pos="720"/>
        </w:tabs>
        <w:rPr/>
      </w:pPr>
      <w:r>
        <w:rPr/>
        <w:t>3.</w:t>
        <w:tab/>
        <w:t>Podporovať sociálny a zdravotnícky výskum v EÚ v súlade s prioritnými líniami, ktoré sa považujú za verejné záujmy a ktoré schválili členské štáty, a zabezpečiť primerané financovanie. To by sa mohlo čiastočne dosiahnuť posilnením spolupráce medzi oblasťami odborných znalostí, krajinami a študijnými centrami (univerzity atď.) (CEP 20).</w:t>
      </w:r>
    </w:p>
    <w:p>
      <w:pPr>
        <w:pStyle w:val="Puce3"/>
        <w:tabs>
          <w:tab w:val="clear" w:pos="720"/>
        </w:tabs>
        <w:rPr/>
      </w:pPr>
      <w:r>
        <w:rPr/>
        <w:t>4.</w:t>
        <w:tab/>
        <w:t>Poskytnúť prístup k zdravotníckym službám všetkým osobám mladším ako 16 rokov v celej EÚ, ak tieto služby nie sú k dispozícii vo vnútroštátnom kontexte (diskusie).</w:t>
      </w:r>
    </w:p>
    <w:p>
      <w:pPr>
        <w:pStyle w:val="Puce3"/>
        <w:tabs>
          <w:tab w:val="clear" w:pos="720"/>
        </w:tabs>
        <w:rPr/>
      </w:pPr>
      <w:r>
        <w:rPr/>
        <w:t>5.</w:t>
        <w:tab/>
        <w:t>Zabezpečiť, aby EÚ spolu so sociálnymi partnermi a národnými vládami podporovala cielený prístup občanov k dôstojnému sociálnemu bývaniu podľa ich osobitných potrieb; finančné úsilie by sa malo rozdeliť medzi súkromných darcov, vlastníkov domov, príjemcov bývania, vlády členských štátov na ústrednej a miestnej úrovni a Európsku úniu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Návrh: Demografická transformácia</w:t>
      </w:r>
    </w:p>
    <w:p>
      <w:pPr>
        <w:pStyle w:val="P68B1DB1Normal15"/>
        <w:rPr/>
      </w:pPr>
      <w:r>
        <w:rPr/>
        <w:t>Cieľ: navrhujeme riešiť výzvy vyplývajúce z demografickej transformácie ako kritickú súčasť celkovej odolnosti Európy, najmä nízku pôrodnosť a neustále starnutie obyvateľstva, a poskytovať podporu ľuďom počas celého ich života. Malo by to byť komplexné opatrenie zamerané na všetky generácie, od detí a mladých ľudí až po rodiny, obyvateľstvo v produktívnom veku, starších ľudí, ktorí sú stále pripravení pracovať, a tých, ktorí sú na dôchodku alebo potrebujú starostlivosť. To by sa dalo dosiahnuť prostredníctvom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13"/>
      </w:r>
      <w:r>
        <w:rPr/>
        <w:t>:</w:t>
      </w:r>
    </w:p>
    <w:p>
      <w:pPr>
        <w:pStyle w:val="Puce3"/>
        <w:tabs>
          <w:tab w:val="clear" w:pos="720"/>
        </w:tabs>
        <w:rPr/>
      </w:pPr>
      <w:r>
        <w:rPr/>
        <w:t>1.</w:t>
        <w:tab/>
        <w:t>Zabezpečiť kvalitné, cenovo dostupné a prístupné služby starostlivosti o deti v celej EÚ, aby matky a otcovia mohli s istotou zosúladiť pracovný a rodinný život. V prípade potreby by to mohlo zahŕňať možnosti starostlivosti o deti na pracovisku alebo v jeho blízkosti. V niektorých členských štátoch je k dispozícii aj starostlivosť o deti cez noc, čo by malo slúžiť ako príklad. Okrem toho by tieto opatrenia mohli byť sprevádzané podpornými opatreniami, ako sú znížené sadzby DPH na vybavenie potrebné pre deti. Je nevyhnutné predchádzať chudobe a sociálnemu vylúčeniu detí. (CEP 22 – 26) Posilniť záruku pre deti zabezpečením prístupu detí k službám, ako je vzdelávanie a starostlivosť o deti, zdravotná starostlivosť, výživa a bývanie, by mohlo byť nástrojom na dosiahnutie tohto cieľa (elektronická platforma, diskusie).</w:t>
      </w:r>
    </w:p>
    <w:p>
      <w:pPr>
        <w:pStyle w:val="Puce3"/>
        <w:tabs>
          <w:tab w:val="clear" w:pos="720"/>
        </w:tabs>
        <w:rPr/>
      </w:pPr>
      <w:r>
        <w:rPr/>
        <w:t>2.</w:t>
        <w:tab/>
        <w:t>Vytvoriť osobitnú podporu a ochranu práce pre mladých ľudí. Opatrenia zamerané na obyvateľstvo v produktívnom veku by mali zahŕňať prístup matiek a otcov k poznatkom po návrate do práce (CEP 22). Posilnenie záruky pre mladých ľudí by mohlo byť nástrojom na zlepšenie prístupu mladých ľudí vo veku do 30 rokov k kvalitnej ponuke zamestnania, nepretržitého vzdelávania, učňovskej prípravy alebo stáží. (diskusia)</w:t>
      </w:r>
    </w:p>
    <w:p>
      <w:pPr>
        <w:pStyle w:val="Puce3"/>
        <w:tabs>
          <w:tab w:val="clear" w:pos="720"/>
        </w:tabs>
        <w:rPr/>
      </w:pPr>
      <w:r>
        <w:rPr/>
        <w:t>3.</w:t>
        <w:tab/>
        <w:t>Podporovať právo na voľný pohyb vzdelávania v rámci Únie, najmä prostredníctvom vzájomného uznávania diplomov, platových tried, kompetencií a kvalifikácií. (diskusia)</w:t>
      </w:r>
    </w:p>
    <w:p>
      <w:pPr>
        <w:pStyle w:val="Puce3"/>
        <w:tabs>
          <w:tab w:val="clear" w:pos="720"/>
        </w:tabs>
        <w:rPr/>
      </w:pPr>
      <w:r>
        <w:rPr/>
        <w:t>4.</w:t>
        <w:tab/>
        <w:t>Zlepšiť právne predpisy a ich vykonávanie s cieľom poskytovať podporu rodinám vo všetkých členských štátoch, napríklad pokiaľ ide o rodičovskú dovolenku, pôrod a príspevky na starostlivosť o dieťa. (PCE 26 a IT 5.a.1) bývanie zohráva kľúčovú úlohu pri podpore rodín a malo by sa riešiť (online platforma, diskusie).</w:t>
      </w:r>
    </w:p>
    <w:p>
      <w:pPr>
        <w:pStyle w:val="Puce3"/>
        <w:tabs>
          <w:tab w:val="clear" w:pos="720"/>
        </w:tabs>
        <w:rPr/>
      </w:pPr>
      <w:r>
        <w:rPr/>
        <w:t>5.</w:t>
        <w:tab/>
        <w:t>Prijať opatrenia na zabezpečenie toho, aby všetky rodiny požívali rovnaké rodinné práva vo všetkých členských štátoch. To by malo zahŕňať právo na manželstvo a adopciu. (PCE 27)</w:t>
      </w:r>
    </w:p>
    <w:p>
      <w:pPr>
        <w:pStyle w:val="Puce3"/>
        <w:tabs>
          <w:tab w:val="clear" w:pos="720"/>
        </w:tabs>
        <w:rPr/>
      </w:pPr>
      <w:r>
        <w:rPr/>
        <w:t>6.</w:t>
        <w:tab/>
        <w:t>Podporovať pružný vek odchodu do dôchodku s prihliadnutím na špecifickú situáciu starších ľudí. Pri určovaní veku odchodu do dôchodku je potrebné rozlišovať podľa povolania, a preto zohľadniť obzvlášť náročnú prácu, duševnú aj fyzickú. (PCE 21 a IT 5.a.1)</w:t>
      </w:r>
    </w:p>
    <w:p>
      <w:pPr>
        <w:pStyle w:val="Puce3"/>
        <w:tabs>
          <w:tab w:val="clear" w:pos="720"/>
        </w:tabs>
        <w:rPr/>
      </w:pPr>
      <w:r>
        <w:rPr/>
        <w:t>7.</w:t>
        <w:tab/>
        <w:t>Predchádzať chudobe starších ľudí zavedením minimálnych dôchodkov. Tieto minimálne úrovne by mali zohľadňovať životnú úroveň, hranicu chudoby a kúpnu silu v dotknutom členskom štáte. (PCE 21)</w:t>
      </w:r>
    </w:p>
    <w:p>
      <w:pPr>
        <w:pStyle w:val="Puce3"/>
        <w:tabs>
          <w:tab w:val="clear" w:pos="720"/>
        </w:tabs>
        <w:rPr/>
      </w:pPr>
      <w:r>
        <w:rPr/>
        <w:t>8.</w:t>
        <w:tab/>
        <w:t>Zabezpečiť primeranú sociálnu pomoc a zdravotnú starostlivosť pre starších ľudí. Pritom je dôležité zamerať sa na komunitnú aj rezidenčnú starostlivosť. Podobne musia opatrenia zohľadňovať tak príjemcov starostlivosti, ako aj poskytovateľov starostlivosti. (PCE 23)</w:t>
      </w:r>
    </w:p>
    <w:p>
      <w:pPr>
        <w:pStyle w:val="Puce3"/>
        <w:tabs>
          <w:tab w:val="clear" w:pos="720"/>
        </w:tabs>
        <w:rPr/>
      </w:pPr>
      <w:r>
        <w:rPr/>
        <w:t>9.</w:t>
        <w:tab/>
        <w:t>Zabezpečiť udržateľný rozvoj a demografickú odolnosť zaostávajúcich regiónov, aby sa stali dynamickejšími a atraktívnejšími, a to aj prostredníctvom politiky súdržnosti. (online platforma a diskusie)</w:t>
      </w:r>
    </w:p>
    <w:p>
      <w:pPr>
        <w:pStyle w:val="Puce3"/>
        <w:tabs>
          <w:tab w:val="clear" w:pos="720"/>
        </w:tabs>
        <w:rPr/>
      </w:pPr>
      <w:r>
        <w:rPr/>
        <w:t>10.</w:t>
        <w:tab/>
        <w:t>Prijať koordinované opatrenia na európskej úrovni s cieľom zbierať údaje rozčlenené podľa faktorov, ako je rodová rovnosť, analyzovať demografické trendy, vymieňať si najlepšie postupy a poznatky a pomáhať členským štátom pri vypracúvaní a vykonávaní primeraných politík, a to aj zriadením orgánu EÚ špecializovaného v tejto oblasti. (online platforma a diskusie).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Návrh: Fiškálna a fiškálna politika</w:t>
      </w:r>
    </w:p>
    <w:p>
      <w:pPr>
        <w:pStyle w:val="P68B1DB1Normal15"/>
        <w:rPr/>
      </w:pPr>
      <w:r>
        <w:rPr/>
        <w:t>Cieľ: navrhujeme, aby EÚ podporovala výhľadové investície zamerané na zelenú a digitálnu transformáciu so silným sociálnym a rodovým rozmerom, pričom zohľadní príklady nástroja Next Generation EU a európskeho nástroja dočasnej podpory na zmiernenie rizík nezamestnanosti v núdzových situáciách (SURE). Únia musí zohľadniť sociálny a hospodársky vplyv vojny proti Ukrajine a prepojenie medzi jej správou hospodárskych záležitostí a novým geopolitickým kontextom posilnením vlastného rozpočtu novými vlastnými zdrojmi. Občania chcú, aby sa zdaňovanie odvrátilo od občanov a MSP a zameralo sa na daňových podvodníkov, veľkých znečisťovateľov a digitálnych gigantov, pričom chcú, aby EÚ podporovala schopnosť členských štátov a miestnych orgánov financovať sa a využívať finančné prostriedky EÚ. Tento cieľ by sa mal dosiahnuť prostredníctvom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14"/>
      </w:r>
      <w:r>
        <w:rPr/>
        <w:t>:</w:t>
      </w:r>
    </w:p>
    <w:p>
      <w:pPr>
        <w:pStyle w:val="Puce3"/>
        <w:tabs>
          <w:tab w:val="clear" w:pos="720"/>
        </w:tabs>
        <w:rPr/>
      </w:pPr>
      <w:r>
        <w:rPr/>
        <w:t>1.</w:t>
        <w:tab/>
        <w:t>Harmonizovať a koordinovať daňové politiky v rámci členských štátov EÚ s cieľom predchádzať daňovým únikom a vyhýbaniu sa daňovým povinnostiam, predchádzať daňovým rajom v rámci EÚ a zamerať sa na premiestňovanie v rámci Európy, a to aj zabezpečením toho, aby sa daňové rozhodnutia mohli prijímať kvalifikovanou väčšinou v Rade EÚ. Na druhej strane existujú odporúčania občianskych panelov, že zdaňovanie patrí do právomoci rôznych krajín, ktoré majú svoje vlastné ciele a okolnosti. (PCE 13 a 31, IT 4.b.3, NL 2.3)</w:t>
      </w:r>
    </w:p>
    <w:p>
      <w:pPr>
        <w:pStyle w:val="Puce3"/>
        <w:tabs>
          <w:tab w:val="clear" w:pos="720"/>
        </w:tabs>
        <w:rPr/>
      </w:pPr>
      <w:r>
        <w:rPr/>
        <w:t>2.</w:t>
        <w:tab/>
        <w:t>Podporovať spoluprácu medzi členskými štátmi EÚ s cieľom zabezpečiť, aby všetky spoločnosti EÚ platili svoj spravodlivý podiel na daniach; zaviesť spoločný základ dane z príjmov právnických osôb (CCTB) alebo minimálnu efektívnu sadzbu. (NL 3)</w:t>
      </w:r>
    </w:p>
    <w:p>
      <w:pPr>
        <w:pStyle w:val="Puce3"/>
        <w:tabs>
          <w:tab w:val="clear" w:pos="720"/>
        </w:tabs>
        <w:rPr/>
      </w:pPr>
      <w:r>
        <w:rPr/>
        <w:t>3.</w:t>
        <w:tab/>
        <w:t>Zabezpečiť, aby spoločnosti platili dane tam, kde sa dosahujú zisky. (PCE 13)</w:t>
      </w:r>
    </w:p>
    <w:p>
      <w:pPr>
        <w:pStyle w:val="Puce3"/>
        <w:tabs>
          <w:tab w:val="clear" w:pos="720"/>
        </w:tabs>
        <w:rPr/>
      </w:pPr>
      <w:r>
        <w:rPr/>
        <w:t>4.</w:t>
        <w:tab/>
        <w:t>Zabezpečiť, aby daňová politika podporovala európsky priemysel a zabránila strate pracovných miest v Európe. (PCE 13 a 31)</w:t>
      </w:r>
    </w:p>
    <w:p>
      <w:pPr>
        <w:pStyle w:val="Puce3"/>
        <w:tabs>
          <w:tab w:val="clear" w:pos="720"/>
        </w:tabs>
        <w:rPr/>
      </w:pPr>
      <w:r>
        <w:rPr/>
        <w:t>5.</w:t>
        <w:tab/>
        <w:t>Podrobnejšie preskúmať možnosť spoločného vypožičiavania na úrovni Únie s cieľom vytvoriť priaznivejšie podmienky prijímania úverov a zároveň zachovať zodpovedné fiškálne politiky na úrovni členských štátov. (LT 9)</w:t>
      </w:r>
    </w:p>
    <w:p>
      <w:pPr>
        <w:pStyle w:val="Puce3"/>
        <w:tabs>
          <w:tab w:val="clear" w:pos="720"/>
        </w:tabs>
        <w:rPr/>
      </w:pPr>
      <w:r>
        <w:rPr/>
        <w:t>6.</w:t>
        <w:tab/>
        <w:t>Posilniť monitorovanie čerpania a využívania finančných prostriedkov Únie, a to aj na miestnej a komunálnej úrovni.(LT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2">
            <wp:simplePos x="0" y="0"/>
            <wp:positionH relativeFrom="column">
              <wp:posOffset>14605</wp:posOffset>
            </wp:positionH>
            <wp:positionV relativeFrom="paragraph">
              <wp:posOffset>8890</wp:posOffset>
            </wp:positionV>
            <wp:extent cx="913765" cy="913765"/>
            <wp:effectExtent l="0" t="0" r="0" b="0"/>
            <wp:wrapSquare wrapText="largest"/>
            <wp:docPr id="64" name="Obrázok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ok24"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EÚ vo svete“</w:t>
      </w:r>
    </w:p>
    <w:p>
      <w:pPr>
        <w:pStyle w:val="Titre3"/>
        <w:numPr>
          <w:ilvl w:val="2"/>
          <w:numId w:val="2"/>
        </w:numPr>
        <w:rPr/>
      </w:pPr>
      <w:bookmarkStart w:id="65" w:name="__RefHeading___Toc298304_1346298689"/>
      <w:bookmarkEnd w:id="65"/>
      <w:r>
        <w:rPr/>
        <w:t>17. Návrh: Zníženie závislosti EÚ od zahraničných aktérov v strategických odvetviach z hospodárskeho hľadiska</w:t>
      </w:r>
    </w:p>
    <w:p>
      <w:pPr>
        <w:pStyle w:val="P68B1DB1Normal15"/>
        <w:rPr/>
      </w:pPr>
      <w:r>
        <w:rPr/>
        <w:t>Cieľ: Navrhujeme, aby EÚ podnikla kroky na posilnenie svojej autonómie v kľúčových strategických odvetviach, ako sú poľnohospodárske výrobky, strategický hospodársky tovar, polovodiče, zdravotnícke výrobky, inovačné digitálne a environmentálne technológie a energetika, a to prostredníctvom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tabs>
          <w:tab w:val="clear" w:pos="720"/>
        </w:tabs>
        <w:rPr/>
      </w:pPr>
      <w:r>
        <w:rPr/>
        <w:t>1.</w:t>
        <w:tab/>
        <w:t>Podpora výskumných, vývojových a inovačných činností a spolupráca medzi verejnými a súkromnými partnermi v tejto oblasti.</w:t>
      </w:r>
    </w:p>
    <w:p>
      <w:pPr>
        <w:pStyle w:val="Puce3"/>
        <w:tabs>
          <w:tab w:val="clear" w:pos="720"/>
        </w:tabs>
        <w:rPr/>
      </w:pPr>
      <w:r>
        <w:rPr/>
        <w:t>2.</w:t>
        <w:tab/>
        <w:t>Zachovanie ambiciózneho programu obchodných rokovaní, ktorý môže pomôcť posilniť odolnosť a diverzifikáciu dodávateľských reťazcov, najmä v prípade surovín, a zároveň spravodlivejšie zdieľať výhody obchodu s viacerými partnermi, čím sa obmedzí naša expozícia a závislosť od malého počtu dodávateľov, ktorí môžu predstavovať riziko</w:t>
      </w:r>
      <w:r>
        <w:rPr>
          <w:rStyle w:val="Ancredenotedefin"/>
          <w:rStyle w:val="Ancredenotedefin"/>
        </w:rPr>
        <w:endnoteReference w:id="15"/>
      </w:r>
      <w:r>
        <w:rPr/>
        <w:t>.</w:t>
      </w:r>
    </w:p>
    <w:p>
      <w:pPr>
        <w:pStyle w:val="Puce3"/>
        <w:tabs>
          <w:tab w:val="clear" w:pos="720"/>
        </w:tabs>
        <w:rPr/>
      </w:pPr>
      <w:r>
        <w:rPr/>
        <w:t>3.</w:t>
        <w:tab/>
        <w:t>Väčšia odolnosť dodávateľských reťazcov EÚ prostredníctvom podpory investícií do strategických odvetví v Únii, skladovania kritickej výroby a zariadení a diverzifikácie zdrojov dodávok kritických surovín.</w:t>
      </w:r>
    </w:p>
    <w:p>
      <w:pPr>
        <w:pStyle w:val="Puce3"/>
        <w:tabs>
          <w:tab w:val="clear" w:pos="720"/>
        </w:tabs>
        <w:rPr/>
      </w:pPr>
      <w:r>
        <w:rPr/>
        <w:t>4.</w:t>
        <w:tab/>
        <w:t>Nové investície do dobudovania vnútorného trhu a vytvorenia rovnakých podmienok s cieľom zatraktívniť výrobu a nákup týchto položiek v Európskej únii.</w:t>
      </w:r>
    </w:p>
    <w:p>
      <w:pPr>
        <w:pStyle w:val="Puce3"/>
        <w:tabs>
          <w:tab w:val="clear" w:pos="720"/>
        </w:tabs>
        <w:rPr/>
      </w:pPr>
      <w:r>
        <w:rPr/>
        <w:t>5.</w:t>
        <w:tab/>
        <w:t>Podpora umožnenia dostupnosti a cenovej dostupnosti týchto výrobkov pre európskych spotrebiteľov a pomoci pri znižovaní vonkajšej závislosti, napríklad prostredníctvom štrukturálnych a regionálnych politík, daňových úľav, dotácií, investícií do infraštruktúry a výskumu, zvyšovania konkurencieschopnosti MSP, ako aj vzdelávacích programov s cieľom zachovať zodpovedajúce zručnosti a pracovné miesta v Európe, ktoré sú dôležité pre zabezpečenie základných potrieb</w:t>
      </w:r>
      <w:r>
        <w:rPr>
          <w:rStyle w:val="Ancredenotedefin"/>
          <w:rStyle w:val="Ancredenotedefin"/>
        </w:rPr>
        <w:endnoteReference w:id="16"/>
      </w:r>
      <w:r>
        <w:rPr/>
        <w:t>.</w:t>
      </w:r>
    </w:p>
    <w:p>
      <w:pPr>
        <w:pStyle w:val="Puce3"/>
        <w:tabs>
          <w:tab w:val="clear" w:pos="720"/>
        </w:tabs>
        <w:rPr/>
      </w:pPr>
      <w:r>
        <w:rPr/>
        <w:t>6.</w:t>
        <w:tab/>
        <w:t>Európsky program na podporu malých miestnych výrobcov v strategických odvetviach vo všetkých členských</w:t>
      </w:r>
      <w:r>
        <w:rPr>
          <w:rStyle w:val="Ancredenotedefin"/>
          <w:rStyle w:val="Ancredenotedefin"/>
        </w:rPr>
        <w:endnoteReference w:id="17"/>
      </w:r>
      <w:r>
        <w:rPr/>
        <w:t>štátoch s väčším využitím programov a finančných nástrojov EÚ, ako je InvestEU.</w:t>
      </w:r>
    </w:p>
    <w:p>
      <w:pPr>
        <w:pStyle w:val="Puce3"/>
        <w:tabs>
          <w:tab w:val="clear" w:pos="720"/>
        </w:tabs>
        <w:rPr/>
      </w:pPr>
      <w:r>
        <w:rPr/>
        <w:t>7.</w:t>
        <w:tab/>
        <w:t>Lepšia spolupráca medzi členskými štátmi pri riadení riadenia rizík dodávateľského reťazca.</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Návrh: Zníženie závislosti EÚ od zahraničných aktérov v oblasti energetiky</w:t>
      </w:r>
    </w:p>
    <w:p>
      <w:pPr>
        <w:pStyle w:val="P68B1DB1Normal15"/>
        <w:rPr/>
      </w:pPr>
      <w:r>
        <w:rPr/>
        <w:t>Cieľ: Navrhujeme, aby EÚ dosiahla väčšiu autonómiu, pokiaľ ide o výrobu a dodávky energie, v kontexte prebiehajúcej ekologickej transformácie, a to prostredníctvom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tabs>
          <w:tab w:val="clear" w:pos="720"/>
        </w:tabs>
        <w:rPr/>
      </w:pPr>
      <w:r>
        <w:rPr/>
        <w:t>1.</w:t>
        <w:tab/>
        <w:t>Prijatie stratégie na zvýšenie jej autonómnosti pri výrobe energie. Európsky orgán by mal integrovať existujúce európske energetické agentúry, koordinovať rozvoj energie z obnoviteľných zdrojov a podporovať výmenu poznatkov</w:t>
      </w:r>
      <w:r>
        <w:rPr>
          <w:rStyle w:val="Ancredenotedefin"/>
          <w:rStyle w:val="Ancredenotedefin"/>
        </w:rPr>
        <w:endnoteReference w:id="19"/>
      </w:r>
      <w:r>
        <w:rPr/>
        <w:t>.</w:t>
      </w:r>
    </w:p>
    <w:p>
      <w:pPr>
        <w:pStyle w:val="Puce3"/>
        <w:tabs>
          <w:tab w:val="clear" w:pos="720"/>
        </w:tabs>
        <w:rPr/>
      </w:pPr>
      <w:r>
        <w:rPr/>
        <w:t>2.</w:t>
        <w:tab/>
        <w:t>Aktívna podpora projektov verejnej dopravy a energetickej efektívnosti, vysokorýchlostná európska železničná sieť nákladnej dopravy, rozšírenie dodávok čistej a obnoviteľnej energie (vrátane solárnej a veternej energie), alternatívne technológie (ako vodík alebo energetické zhodnocovanie odpadu) a prechod v mestských oblastiach z jednej kultúry automobilov na kultúru verejnej dopravy, spoločného využívania elektrických automobilov a cyklistiky</w:t>
      </w:r>
      <w:r>
        <w:rPr>
          <w:rStyle w:val="Ancredenotedefin"/>
          <w:rStyle w:val="Ancredenotedefin"/>
        </w:rPr>
        <w:endnoteReference w:id="20"/>
      </w:r>
      <w:r>
        <w:rPr/>
        <w:t>.</w:t>
      </w:r>
    </w:p>
    <w:p>
      <w:pPr>
        <w:pStyle w:val="Puce3"/>
        <w:tabs>
          <w:tab w:val="clear" w:pos="720"/>
        </w:tabs>
        <w:rPr/>
      </w:pPr>
      <w:r>
        <w:rPr/>
        <w:t>3.</w:t>
        <w:tab/>
        <w:t>Zabezpečenie spravodlivej a spravodlivej transformácie, najmä podporou zraniteľných občanov, ktorí čelia najväčším výzvam pri prechode na klimatickú neutralitu a ktorí už teraz trpia vyššími cenami energie v dôsledku energetickej závislosti a nedávneho strojnásobenia cien energie.</w:t>
      </w:r>
    </w:p>
    <w:p>
      <w:pPr>
        <w:pStyle w:val="Normal"/>
        <w:rPr/>
      </w:pPr>
      <w:r>
        <w:rPr/>
      </w:r>
    </w:p>
    <w:p>
      <w:pPr>
        <w:pStyle w:val="Puce3"/>
        <w:tabs>
          <w:tab w:val="clear" w:pos="720"/>
        </w:tabs>
        <w:rPr/>
      </w:pPr>
      <w:r>
        <w:rPr/>
        <w:t>4.</w:t>
        <w:tab/>
        <w:t>Intenzívnejšiu spoluprácu pri posudzovaní využívania jadrovej energie v kontexte prebiehajúceho ekologického prechodu na energiu z obnoviteľných zdrojov v Európe, pričom sa preskúmajú spoločné otázky, ktoré by mohla vyriešiť alebo vytvoriť, keďže ju stále využívajú mnohé členské štáty</w:t>
      </w:r>
      <w:r>
        <w:rPr>
          <w:rStyle w:val="Ancredenotedefin"/>
          <w:rStyle w:val="Ancredenotedefin"/>
        </w:rPr>
        <w:endnoteReference w:id="21"/>
      </w:r>
      <w:r>
        <w:rPr/>
        <w:t>.</w:t>
      </w:r>
    </w:p>
    <w:p>
      <w:pPr>
        <w:pStyle w:val="Puce3"/>
        <w:tabs>
          <w:tab w:val="clear" w:pos="720"/>
        </w:tabs>
        <w:rPr/>
      </w:pPr>
      <w:r>
        <w:rPr/>
        <w:t>5.</w:t>
        <w:tab/>
        <w:t>Spolupráca s medzinárodnými partnermi s cieľom zaviazať ich k dosiahnutiu ambicióznejších cieľov v oblasti zmeny klímy na rôznych medzinárodných fórach vrátane G7 a G20.</w:t>
      </w:r>
    </w:p>
    <w:p>
      <w:pPr>
        <w:pStyle w:val="Puce3"/>
        <w:tabs>
          <w:tab w:val="clear" w:pos="720"/>
        </w:tabs>
        <w:rPr/>
      </w:pPr>
      <w:r>
        <w:rPr/>
        <w:t>6.</w:t>
        <w:tab/>
        <w:t>Prepojenie zahraničného obchodu s politickými opatreniami v oblasti zmeny klímy (napr. zavedením balíka investičných opatrení pre technológie a inovácie šetrné ku klíme vrátane programov financovania)</w:t>
      </w:r>
      <w:r>
        <w:rPr>
          <w:rStyle w:val="Ancredenotedefin"/>
          <w:rStyle w:val="Ancredenotedefin"/>
        </w:rPr>
        <w:endnoteReference w:id="22"/>
      </w:r>
      <w:r>
        <w:rPr/>
        <w:t>.</w:t>
      </w:r>
    </w:p>
    <w:p>
      <w:pPr>
        <w:pStyle w:val="Puce3"/>
        <w:tabs>
          <w:tab w:val="clear" w:pos="720"/>
        </w:tabs>
        <w:rPr/>
      </w:pPr>
      <w:r>
        <w:rPr/>
        <w:t>7.</w:t>
        <w:tab/>
        <w:t>Spoločné nákupy dovážanej energie a partnerstvá v oblasti udržateľnej energie s cieľom znížiť závislosť Európy od dovozu energie, najmä v oblasti plynu a ropy, a rozvíjať domáce zdroje energie EÚ.</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Návrh: Stanovenie noriem v rámci EÚ a mimo nej v obchodných a investičných vzťahoch</w:t>
      </w:r>
    </w:p>
    <w:p>
      <w:pPr>
        <w:pStyle w:val="P68B1DB1Normal15"/>
        <w:rPr/>
      </w:pPr>
      <w:r>
        <w:rPr/>
        <w:t>Cieľ: Navrhujeme, aby EÚ posilnila etický rozmer svojich obchodných a investičných vzťahov prostredníctvom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tabs>
          <w:tab w:val="clear" w:pos="720"/>
        </w:tabs>
        <w:rPr/>
      </w:pPr>
      <w:r>
        <w:rPr/>
        <w:t>1.</w:t>
        <w:tab/>
        <w:t>Zachovanie a reforma našej multilaterálnej obchodnej architektúry založenej na pravidlách a partnerstvo s podobne zmýšľajúcimi demokraciami.</w:t>
      </w:r>
    </w:p>
    <w:p>
      <w:pPr>
        <w:pStyle w:val="Puce3"/>
        <w:tabs>
          <w:tab w:val="clear" w:pos="720"/>
        </w:tabs>
        <w:rPr/>
      </w:pPr>
      <w:r>
        <w:rPr/>
        <w:t>2.</w:t>
        <w:tab/>
        <w:t>Účinné a primerané právne predpisy EÚ s cieľom zabezpečiť, aby sa normy dôstojnej práce v plnej miere uplatňovali v rámci globálnych hodnotových reťazcov vrátane výrobných a dodávateľských procesov EÚ a aby dovážaný tovar spĺňal kvalitatívne etické normy, trvalo udržateľný rozvoj a normy v oblasti ľudských práv vrátane pracovných a odborových práv, a to poskytovaním certifikácie výrobkov v súlade s týmito právnymi predpismi EÚ</w:t>
      </w:r>
      <w:r>
        <w:rPr>
          <w:rStyle w:val="Ancredenotedefin"/>
          <w:rStyle w:val="Ancredenotedefin"/>
        </w:rPr>
        <w:endnoteReference w:id="23"/>
      </w:r>
      <w:r>
        <w:rPr/>
        <w:t xml:space="preserve"> a zapojením sa do celoeurópskeho dialógu zameraného na informovanie a vzdelávanie o environmentálnych a etických účinkoch strategických zmien v medzinárodnom obchode.</w:t>
      </w:r>
    </w:p>
    <w:p>
      <w:pPr>
        <w:pStyle w:val="Normal"/>
        <w:rPr/>
      </w:pPr>
      <w:r>
        <w:rPr/>
      </w:r>
    </w:p>
    <w:p>
      <w:pPr>
        <w:pStyle w:val="Puce3"/>
        <w:tabs>
          <w:tab w:val="clear" w:pos="720"/>
        </w:tabs>
        <w:rPr/>
      </w:pPr>
      <w:r>
        <w:rPr/>
        <w:t>3.</w:t>
        <w:tab/>
        <w:t>Obmedzenia dovozu a predaja výrobkov z krajín, ktoré umožňujú nútenú prácu a detskú prácu, pravidelne aktualizovanú čiernu listinu podnikov a informovanosť spotrebiteľov o detskej práci prostredníctvom informácií uverejnených prostredníctvom oficiálnych kanálov EÚ</w:t>
      </w:r>
      <w:r>
        <w:rPr>
          <w:rStyle w:val="Ancredenotedefin"/>
          <w:rStyle w:val="Ancredenotedefin"/>
        </w:rPr>
        <w:endnoteReference w:id="24"/>
      </w:r>
      <w:r>
        <w:rPr/>
        <w:t>.</w:t>
      </w:r>
    </w:p>
    <w:p>
      <w:pPr>
        <w:pStyle w:val="Puce3"/>
        <w:tabs>
          <w:tab w:val="clear" w:pos="720"/>
        </w:tabs>
        <w:rPr/>
      </w:pPr>
      <w:r>
        <w:rPr/>
        <w:t>4.</w:t>
        <w:tab/>
        <w:t>Monitorovanie a presadzovanie vynútiteľných kapitol o obchode a trvalo udržateľnom rozvoji v dohodách EÚ o voľnom obchode vrátane možnosti mechanizmu poslednej inštancie založeného na sankciách.</w:t>
      </w:r>
    </w:p>
    <w:p>
      <w:pPr>
        <w:pStyle w:val="Puce3"/>
        <w:tabs>
          <w:tab w:val="clear" w:pos="720"/>
        </w:tabs>
        <w:rPr/>
      </w:pPr>
      <w:r>
        <w:rPr/>
        <w:t>5.</w:t>
        <w:tab/>
        <w:t>Reforma všeobecného systému preferencií (VSP) EÚ s cieľom zahrnúť prísne ustanovenia krížového plnenia a účinné a vhodné postupy monitorovania, podávania správ a dialógu s cieľom zlepšiť vplyv, ktorý VSP môže mať na obchod, ľudské práva a rozvoj v partnerských krajinách, s možnosťou zrušiť obchodné preferencie v prípade nedodržiavania pravidiel.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Návrh: Stanovenie noriem v rámci EÚ aj mimo nej pre environmentálne politiky</w:t>
      </w:r>
    </w:p>
    <w:p>
      <w:pPr>
        <w:pStyle w:val="P68B1DB1Normal15"/>
        <w:rPr/>
      </w:pPr>
      <w:r>
        <w:rPr/>
        <w:t>Cieľ: Navrhujeme, aby EÚ posilnila environmentálny rozmer svojich obchodných vzťahov prostredníctvom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tabs>
          <w:tab w:val="clear" w:pos="720"/>
        </w:tabs>
        <w:rPr/>
      </w:pPr>
      <w:r>
        <w:rPr/>
        <w:t>1.</w:t>
        <w:tab/>
        <w:t>Harmonizácia a posilnenie environmentálneho označovania a povinné uvádzanie európskeho ukazovateľa vplyvu na životné prostredie (ecoscore) na všetky spotrebné výrobky. Ekoskóre by sa vypočítali na základe emisií z výroby a dopravy, ako aj škodlivosti obsahu na základe zoznamu nebezpečných výrobkov. Ecoscore by mal riadiť a monitorovať európsky orgán</w:t>
      </w:r>
      <w:r>
        <w:rPr>
          <w:rStyle w:val="Ancredenotedefin"/>
          <w:rStyle w:val="Ancredenotedefin"/>
        </w:rPr>
        <w:endnoteReference w:id="25"/>
      </w:r>
      <w:r>
        <w:rPr/>
        <w:t>.</w:t>
      </w:r>
    </w:p>
    <w:p>
      <w:pPr>
        <w:pStyle w:val="Puce3"/>
        <w:tabs>
          <w:tab w:val="clear" w:pos="720"/>
        </w:tabs>
        <w:rPr/>
      </w:pPr>
      <w:r>
        <w:rPr/>
        <w:t>2.</w:t>
        <w:tab/>
        <w:t>Prísnejšie environmentálne normy pre vývoz odpadu, ako aj prísnejšie kontroly a sankcie na zastavenie nezákonného vývozu. Únia by mala nabádať členské štáty, aby recyklovali svoj vlastný odpad a využívali ho na výrobu energie</w:t>
      </w:r>
      <w:r>
        <w:rPr>
          <w:rStyle w:val="Ancredenotedefin"/>
          <w:rStyle w:val="Ancredenotedefin"/>
        </w:rPr>
        <w:endnoteReference w:id="26"/>
      </w:r>
      <w:r>
        <w:rPr/>
        <w:t>.</w:t>
      </w:r>
    </w:p>
    <w:p>
      <w:pPr>
        <w:pStyle w:val="Puce3"/>
        <w:tabs>
          <w:tab w:val="clear" w:pos="720"/>
        </w:tabs>
        <w:rPr/>
      </w:pPr>
      <w:r>
        <w:rPr/>
        <w:t>3.</w:t>
        <w:tab/>
        <w:t>Vymedzenie cieľa odstrániť znečisťujúce obaly prostredníctvom podpory menej znečisťujúcich obalov alebo obalov šetrnejších k životnému prostrediu</w:t>
      </w:r>
      <w:r>
        <w:rPr>
          <w:rStyle w:val="Ancredenotedefin"/>
          <w:rStyle w:val="Ancredenotedefin"/>
        </w:rPr>
        <w:endnoteReference w:id="27"/>
      </w:r>
      <w:r>
        <w:rPr/>
        <w:t xml:space="preserve"> a vytvorenie partnerstiev s rozvojovými krajinami podporou ich infraštruktúry a zvážením vzájomne prospešných obchodných dohôd s cieľom pomôcť im pri prechode na ekologické zdroje energie</w:t>
      </w:r>
      <w:r>
        <w:rPr>
          <w:rStyle w:val="Ancredenotedefin"/>
          <w:rStyle w:val="Ancredenotedefin"/>
        </w:rPr>
        <w:endnoteReference w:id="28"/>
      </w:r>
      <w:r>
        <w:rPr/>
        <w:t>.</w:t>
      </w:r>
    </w:p>
    <w:p>
      <w:pPr>
        <w:pStyle w:val="Puce3"/>
        <w:tabs>
          <w:tab w:val="clear" w:pos="720"/>
        </w:tabs>
        <w:rPr/>
      </w:pPr>
      <w:r>
        <w:rPr/>
        <w:t>4.</w:t>
        <w:tab/>
        <w:t>Možnosť odmeniť krajiny s vysokými normami udržateľnosti poskytnutím dodatočného prístupu na trh EÚ pre ich tovar a služby dlhodobej spotreby, a to buď jednostranne prostredníctvom všeobecného systému preferencií VSP+, alebo dvojstranne prostredníctvom dohodnutých obchodných dohôd alebo mnohostranne prostredníctvom iniciatív v rámci Svetovej obchodnej organizácie.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Návrh: Rozhodovanie a súdržnosť v rámci Únie</w:t>
      </w:r>
    </w:p>
    <w:p>
      <w:pPr>
        <w:pStyle w:val="P68B1DB1Normal15"/>
        <w:rPr/>
      </w:pPr>
      <w:r>
        <w:rPr/>
        <w:t>Cieľ: Navrhujeme, aby EÚ zlepšila svoju schopnosť prijímať rýchle a účinné rozhodnutia v rámci spoločnej zahraničnej a bezpečnostnej politiky (SZBP) tým, že bude vystupovať jednotne a vystupovať ako skutočne globálny aktér, aby mohla zohrávať pozitívnu úlohu vo svete a zmeniť reakciu na akúkoľvek krízu vrátane: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tabs>
          <w:tab w:val="clear" w:pos="720"/>
        </w:tabs>
        <w:rPr/>
      </w:pPr>
      <w:r>
        <w:rPr/>
        <w:t>1.</w:t>
        <w:tab/>
        <w:t>Zabezpečením toho, že najmä v oblasti SZBP sa záležitosti, ktoré sa v súčasnosti prijímajú jednomyseľne, zvyčajne prijímajú kvalifikovanou väčšinou</w:t>
      </w:r>
      <w:r>
        <w:rPr>
          <w:rStyle w:val="Ancredenotedefin"/>
          <w:rStyle w:val="Ancredenotedefin"/>
        </w:rPr>
        <w:endnoteReference w:id="29"/>
      </w:r>
      <w:r>
        <w:rPr/>
        <w:t>.</w:t>
      </w:r>
    </w:p>
    <w:p>
      <w:pPr>
        <w:pStyle w:val="Puce3"/>
        <w:tabs>
          <w:tab w:val="clear" w:pos="720"/>
        </w:tabs>
        <w:rPr/>
      </w:pPr>
      <w:r>
        <w:rPr/>
        <w:t>2.</w:t>
        <w:tab/>
        <w:t>Založiť spoluprácu na bezpečnostnej a obrannej politike na nedávno schválenom strategickom kompase a využívaní Európskeho mierového nástroja</w:t>
      </w:r>
      <w:r>
        <w:rPr>
          <w:rStyle w:val="Ancredenotedefin"/>
          <w:rStyle w:val="Ancredenotedefin"/>
        </w:rPr>
        <w:endnoteReference w:id="30"/>
      </w:r>
      <w:r>
        <w:rPr/>
        <w:t>.</w:t>
      </w:r>
    </w:p>
    <w:p>
      <w:pPr>
        <w:pStyle w:val="Puce3"/>
        <w:tabs>
          <w:tab w:val="clear" w:pos="720"/>
        </w:tabs>
        <w:rPr/>
      </w:pPr>
      <w:r>
        <w:rPr/>
        <w:t>3.</w:t>
        <w:tab/>
        <w:t>Posilnenie úlohy vysokého predstaviteľa pri zabezpečovaní toho, aby EÚ vystupovala jednotne</w:t>
      </w:r>
      <w:r>
        <w:rPr>
          <w:rStyle w:val="Ancredenotedefin"/>
          <w:rStyle w:val="Ancredenotedefin"/>
        </w:rPr>
        <w:endnoteReference w:id="31"/>
      </w:r>
      <w:r>
        <w:rPr/>
        <w:t>.</w:t>
      </w:r>
    </w:p>
    <w:p>
      <w:pPr>
        <w:pStyle w:val="Puce3"/>
        <w:tabs>
          <w:tab w:val="clear" w:pos="720"/>
        </w:tabs>
        <w:rPr/>
      </w:pPr>
      <w:r>
        <w:rPr/>
        <w:t>4.</w:t>
        <w:tab/>
        <w:t>Dohodnúť sa na silnej vízii a spoločnej stratégii na upevnenie jednoty a rozhodovacej kapacity EÚ s cieľom pripraviť Úniu na ďalšie rozširovanie</w:t>
      </w:r>
      <w:r>
        <w:rPr>
          <w:rStyle w:val="Ancredenotedefin"/>
          <w:rStyle w:val="Ancredenotedefin"/>
        </w:rPr>
        <w:endnoteReference w:id="32"/>
      </w:r>
      <w:r>
        <w:rPr/>
        <w:t>.</w:t>
      </w:r>
    </w:p>
    <w:p>
      <w:pPr>
        <w:pStyle w:val="Puce3"/>
        <w:tabs>
          <w:tab w:val="clear" w:pos="720"/>
        </w:tabs>
        <w:rPr/>
      </w:pPr>
      <w:r>
        <w:rPr/>
        <w:t>5.</w:t>
        <w:tab/>
        <w:t>Rýchla ratifikácia nedávno uzatvorených obchodných dohôd bez toho, aby sa zriekla náležitého zváženia a diskusie.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Návrh: Transparentnosť EÚ a jej vzťahov s občanmi</w:t>
      </w:r>
    </w:p>
    <w:p>
      <w:pPr>
        <w:pStyle w:val="P68B1DB1Normal15"/>
        <w:rPr/>
      </w:pPr>
      <w:r>
        <w:rPr/>
        <w:t>Cieľ: navrhujeme, aby EÚ, najmä vo svojich činnostiach na medzinárodnej úrovni vrátane obchodných rokovaní, zvýšila svoju dostupnosť pre občanov zlepšením informácií, vzdelávania, účasti občanov a transparentnosti, a to najmä prostredníctvom: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tabs>
          <w:tab w:val="clear" w:pos="720"/>
        </w:tabs>
        <w:rPr/>
      </w:pPr>
      <w:r>
        <w:rPr/>
        <w:t>1.</w:t>
        <w:tab/>
        <w:t>Posilnenie väzieb s občanmi a miestnymi inštitúciami s cieľom zlepšiť transparentnosť, osloviť občanov a lepšie s nimi komunikovať a spolupracovať s nimi na konkrétnych iniciatívach EÚ na medzinárodnej úrovni</w:t>
      </w:r>
      <w:r>
        <w:rPr>
          <w:rStyle w:val="Ancredenotedefin"/>
          <w:rStyle w:val="Ancredenotedefin"/>
        </w:rPr>
        <w:endnoteReference w:id="33"/>
      </w:r>
      <w:r>
        <w:rPr/>
        <w:t>.</w:t>
      </w:r>
    </w:p>
    <w:p>
      <w:pPr>
        <w:pStyle w:val="Puce3"/>
        <w:tabs>
          <w:tab w:val="clear" w:pos="720"/>
        </w:tabs>
        <w:rPr/>
      </w:pPr>
      <w:r>
        <w:rPr/>
        <w:t>2.</w:t>
        <w:tab/>
        <w:t>Väčšia účasť občanov na medzinárodnej politike EÚ a podujatiach priamej účasti občanov, ako je Konferencia o budúcnosti Európy, organizovaná na vnútroštátnej, miestnej a európskej úrovni</w:t>
      </w:r>
      <w:r>
        <w:rPr>
          <w:rStyle w:val="Ancredenotedefin"/>
          <w:rStyle w:val="Ancredenotedefin"/>
        </w:rPr>
        <w:endnoteReference w:id="34"/>
      </w:r>
      <w:r>
        <w:rPr/>
        <w:t xml:space="preserve"> a za aktívnej účasti organizovanej občianskej spoločnosti</w:t>
      </w:r>
      <w:r>
        <w:rPr>
          <w:rStyle w:val="Ancredenotedefin"/>
          <w:rStyle w:val="Ancredenotedefin"/>
        </w:rPr>
        <w:endnoteReference w:id="35"/>
      </w:r>
      <w:r>
        <w:rPr/>
        <w:t>.</w:t>
      </w:r>
    </w:p>
    <w:p>
      <w:pPr>
        <w:pStyle w:val="Puce3"/>
        <w:tabs>
          <w:tab w:val="clear" w:pos="720"/>
        </w:tabs>
        <w:rPr/>
      </w:pPr>
      <w:r>
        <w:rPr/>
        <w:t>3.</w:t>
        <w:tab/>
        <w:t>Plnú podporu všetkých príslušných zainteresovaných strán občanom, ktorí sa rozhodnú zúčastniť sa v organizáciách organizovanej občianskej spoločnosti, ako to bolo v prípade ochorenia COVID-19 a Ukrajiny.</w:t>
      </w:r>
    </w:p>
    <w:p>
      <w:pPr>
        <w:pStyle w:val="Puce3"/>
        <w:tabs>
          <w:tab w:val="clear" w:pos="720"/>
        </w:tabs>
        <w:rPr/>
      </w:pPr>
      <w:r>
        <w:rPr/>
        <w:t>4.</w:t>
        <w:tab/>
        <w:t>Pridelenie osobitného rozpočtu na rozvoj vzdelávacích programov týkajúcich sa fungovania EÚ a jej hodnôt, ktoré by mohla členským štátom navrhnúť, ak si to želajú, aby ich mohli začleniť do svojich učebných osnov (primárny, stredoškolský a univerzitný). Okrem toho by sa študentom, ktorí chcú študovať v inej európskej krajine prostredníctvom programu Erasmus, mohol ponúknuť osobitný kurz o Únii a jej fungovaní. Študenti, ktorí si zvolili tento kurz, by mali mať prednosť, aby mohli využívať programy Erasmus.</w:t>
      </w:r>
    </w:p>
    <w:p>
      <w:pPr>
        <w:pStyle w:val="Puce3"/>
        <w:tabs>
          <w:tab w:val="clear" w:pos="720"/>
        </w:tabs>
        <w:rPr/>
      </w:pPr>
      <w:r>
        <w:rPr/>
        <w:t>5.</w:t>
        <w:tab/>
        <w:t>Zlepšenie mediálnej stratégie EÚ prostredníctvom väčšej viditeľnosti v sociálnych médiách a aktívnej podpory jej obsahu; podpora inovácií zlepšením dostupnosti prítomnosti EÚ v sociálnych médiách</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Návrh: EÚ ako svetový líder v oblasti mieru a bezpečnosti</w:t>
      </w:r>
    </w:p>
    <w:p>
      <w:pPr>
        <w:pStyle w:val="P68B1DB1Normal15"/>
        <w:rPr/>
      </w:pPr>
      <w:r>
        <w:rPr/>
        <w:t>Cieľ: navrhujeme, aby EÚ naďalej podporovala dialóg a zabezpečovala mier a medzinárodný poriadok založený na pravidlách, posilňovala multilateralizmus a stavala na dlhodobých mierových iniciatívach EÚ, ktoré prispeli k udeleniu Nobelovej ceny v roku 2012, a zároveň posilnila svoju spoločnú bezpečnosť prostredníctvom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Spoločné ozbrojené sily používané na účely sebaobrany a určené na zabránenie akejkoľvek agresívnej vojenskej činnosti akéhokoľvek druhu, ktoré majú schopnosť poskytovať pomoc v čase krízy, a to aj v prípade prírodnej katastrofy. Mimo európskych hraníc by mohli byť nasadené za výnimočných okolností, pokiaľ možno na základe právneho mandátu Bezpečnostnej rady Organizácie Spojených národov, a teda v súlade s medzinárodným právom</w:t>
      </w:r>
      <w:r>
        <w:rPr>
          <w:rStyle w:val="Ancredenotedefin"/>
          <w:rStyle w:val="Ancredenotedefin"/>
        </w:rPr>
        <w:endnoteReference w:id="39"/>
      </w:r>
      <w:r>
        <w:rPr/>
        <w:t>, bez toho, aby súťažili s NATO alebo duplikovali NATO a rešpektovali rôzne národné vzťahy s NATO; v tejto súvislosti by sa malo posúdiť vzťahy EÚ s NATO v kontexte diskusie o strategickej autonómii EÚ.</w:t>
      </w:r>
    </w:p>
    <w:p>
      <w:pPr>
        <w:pStyle w:val="Normal"/>
        <w:rPr/>
      </w:pPr>
      <w:r>
        <w:rPr/>
      </w:r>
    </w:p>
    <w:p>
      <w:pPr>
        <w:pStyle w:val="Puce3"/>
        <w:tabs>
          <w:tab w:val="clear" w:pos="720"/>
        </w:tabs>
        <w:rPr/>
      </w:pPr>
      <w:r>
        <w:rPr/>
        <w:t>2.</w:t>
        <w:tab/>
        <w:t>Vedúca úloha pri budovaní povojnového globálneho bezpečnostného poriadku na Ukrajine na základe nedávno prijatého strategického kompasu EÚ.</w:t>
      </w:r>
    </w:p>
    <w:p>
      <w:pPr>
        <w:pStyle w:val="Puce3"/>
        <w:tabs>
          <w:tab w:val="clear" w:pos="720"/>
        </w:tabs>
        <w:rPr/>
      </w:pPr>
      <w:r>
        <w:rPr/>
        <w:t>3.</w:t>
        <w:tab/>
        <w:t>Ochrana svojho strategického výskumu a spôsobilostí v prioritných odvetviach, ako je kozmický sektor, kybernetická bezpečnosť, zdravotníctvo a životné prostredie</w:t>
      </w:r>
      <w:r>
        <w:rPr>
          <w:rStyle w:val="Ancredenotedefin"/>
          <w:rStyle w:val="Ancredenotedefin"/>
        </w:rPr>
        <w:endnoteReference w:id="40"/>
      </w:r>
      <w:r>
        <w:rPr/>
        <w:t>.</w:t>
      </w:r>
    </w:p>
    <w:p>
      <w:pPr>
        <w:pStyle w:val="Puce3"/>
        <w:tabs>
          <w:tab w:val="clear" w:pos="720"/>
        </w:tabs>
        <w:rPr/>
      </w:pPr>
      <w:r>
        <w:rPr/>
        <w:t>4.</w:t>
        <w:tab/>
        <w:t>Posilnenie operačných kapacít potrebných na zabezpečenie účinnosti doložky o vzájomnej pomoci stanovenej v článku 42 ods. 7 Zmluvy o Európskej únii, ktorá zaručuje primeranú ochranu EÚ každému členskému štátu napadnutému treťou krajinou.</w:t>
      </w:r>
    </w:p>
    <w:p>
      <w:pPr>
        <w:pStyle w:val="Puce3"/>
        <w:tabs>
          <w:tab w:val="clear" w:pos="720"/>
        </w:tabs>
        <w:rPr/>
      </w:pPr>
      <w:r>
        <w:rPr/>
        <w:t>5.</w:t>
        <w:tab/>
        <w:t>Úvaha o tom, ako bojovať proti dezinformáciám a propagande objektívnym a faktickým spôsobom.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Návrh: EÚ ako popredný globálny aktér pri budovaní vzťahov</w:t>
      </w:r>
    </w:p>
    <w:p>
      <w:pPr>
        <w:pStyle w:val="P68B1DB1Normal15"/>
        <w:rPr/>
      </w:pPr>
      <w:r>
        <w:rPr/>
        <w:t>Cieľ: Navrhujeme, aby EÚ vo svojich vzťahoch s tretími krajinami: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tabs>
          <w:tab w:val="clear" w:pos="720"/>
        </w:tabs>
        <w:rPr/>
      </w:pPr>
      <w:r>
        <w:rPr/>
        <w:t>1.</w:t>
        <w:tab/>
        <w:t>Vo väčšej miere využívať svoju kolektívnu politickú a hospodársku váhu, vystupovať jednotne a konať jednotným spôsobom bez toho, aby niektoré členské štáty rozdelili Úniu nevhodnými bilaterálnymi zásahmi</w:t>
      </w:r>
      <w:r>
        <w:rPr>
          <w:rStyle w:val="Ancredenotedefin"/>
          <w:rStyle w:val="Ancredenotedefin"/>
        </w:rPr>
        <w:endnoteReference w:id="41"/>
      </w:r>
      <w:r>
        <w:rPr/>
        <w:t>.</w:t>
      </w:r>
    </w:p>
    <w:p>
      <w:pPr>
        <w:pStyle w:val="Puce3"/>
        <w:tabs>
          <w:tab w:val="clear" w:pos="720"/>
        </w:tabs>
        <w:rPr/>
      </w:pPr>
      <w:r>
        <w:rPr/>
        <w:t>2.</w:t>
        <w:tab/>
        <w:t>Posilňuje svoju schopnosť sankcionovať štáty, vlády, subjekty, skupiny alebo organizácie, ako aj jednotlivcov, ktorí nedodržiavajú základné zásady, dohody a zákony, a zabezpečuje rýchle vykonávanie a presadzovanie existujúcich sankcií. Sankcie uložené tretím krajinám by mali byť primerané opatreniam, ktoré ich spustili, mali by byť účinné a mali by sa uplatňovať včas</w:t>
      </w:r>
      <w:r>
        <w:rPr>
          <w:rStyle w:val="Ancredenotedefin"/>
          <w:rStyle w:val="Ancredenotedefin"/>
        </w:rPr>
        <w:endnoteReference w:id="42"/>
      </w:r>
      <w:r>
        <w:rPr/>
        <w:t>.</w:t>
      </w:r>
    </w:p>
    <w:p>
      <w:pPr>
        <w:pStyle w:val="Puce3"/>
        <w:tabs>
          <w:tab w:val="clear" w:pos="720"/>
        </w:tabs>
        <w:rPr/>
      </w:pPr>
      <w:r>
        <w:rPr/>
        <w:t>3.</w:t>
        <w:tab/>
        <w:t>Podporuje udržateľný obchod založený na pravidlách a zároveň otvára nové obchodné a investičné príležitosti pre európske podniky. Hoci dvojstranné obchodné a investičné dohody sú nevyhnutné na podporu európskej konkurencieschopnosti, na zabezpečenie rovnakých podmienok sú potrebné normy a pravidlá. EÚ musí zostať aktívnym a spoľahlivým partnerom pri rokovaniach, uzatváraní a vykonávaní obchodných dohôd, ktoré stanovujú aj vysoké normy udržateľnosti.</w:t>
      </w:r>
    </w:p>
    <w:p>
      <w:pPr>
        <w:pStyle w:val="Puce3"/>
        <w:tabs>
          <w:tab w:val="clear" w:pos="720"/>
        </w:tabs>
        <w:rPr/>
      </w:pPr>
      <w:r>
        <w:rPr/>
        <w:t>4.</w:t>
        <w:tab/>
        <w:t>Uzavrela hlavné dohody o medzinárodnej spolupráci zastupovaním Európskej únie a nie jednotlivými krajinami</w:t>
      </w:r>
      <w:r>
        <w:rPr>
          <w:rStyle w:val="Ancredenotedefin"/>
          <w:rStyle w:val="Ancredenotedefin"/>
        </w:rPr>
        <w:endnoteReference w:id="43"/>
      </w:r>
      <w:r>
        <w:rPr/>
        <w:t>.</w:t>
      </w:r>
    </w:p>
    <w:p>
      <w:pPr>
        <w:pStyle w:val="Puce3"/>
        <w:tabs>
          <w:tab w:val="clear" w:pos="720"/>
        </w:tabs>
        <w:rPr/>
      </w:pPr>
      <w:r>
        <w:rPr/>
        <w:t>5.</w:t>
        <w:tab/>
        <w:t>Reformovať obchodnú a investičnú politiku EÚ s cieľom obnoviť globálny multilateralizmus s cieľom vytvoriť dôstojné pracovné miesta a chrániť základné ľudské práva vrátane práv pracovníkov a práv odborových zväzov, chrániť životné prostredie a biodiverzitu a rešpektovať Parížsku dohodu o zmene klímy, zabezpečiť kvalitné verejné služby a posilniť priemyselnú základňu Európy. EÚ by mala prispieť k oživeniu globálneho multilateralizmu prostredníctvom hĺbkovej reformy založenej na demokracii a mieri, solidarite a dodržiavaní ľudských práv, sociálnych a environmentálnych práv a posilnení úlohy MOP.</w:t>
      </w:r>
    </w:p>
    <w:p>
      <w:pPr>
        <w:pStyle w:val="Puce3"/>
        <w:tabs>
          <w:tab w:val="clear" w:pos="720"/>
        </w:tabs>
        <w:rPr/>
      </w:pPr>
      <w:r>
        <w:rPr/>
        <w:t>6.</w:t>
        <w:tab/>
        <w:t>Zahŕňa boj proti obchodovaniu s ľuďmi a nelegálnemu prisťahovalectvu, ako aj spoluprácu pri možných návratových operáciách do dohôd o spolupráci a investičných dohodách s tretími krajinami.</w:t>
      </w:r>
    </w:p>
    <w:p>
      <w:pPr>
        <w:pStyle w:val="Puce3"/>
        <w:tabs>
          <w:tab w:val="clear" w:pos="720"/>
        </w:tabs>
        <w:rPr/>
      </w:pPr>
      <w:r>
        <w:rPr/>
        <w:t>7.</w:t>
        <w:tab/>
        <w:t>Rozvíjať partnerstvá s rozvojovými krajinami na podporu ich infraštruktúry a zvážiť vzájomne prospešné obchodné dohody s cieľom pomôcť im pri prechode na ekologické zdroje energie</w:t>
      </w:r>
      <w:r>
        <w:rPr>
          <w:rStyle w:val="Ancredenotedefin"/>
          <w:rStyle w:val="Ancredenotedefin"/>
        </w:rPr>
        <w:endnoteReference w:id="44"/>
      </w:r>
      <w:r>
        <w:rPr/>
        <w:t>.</w:t>
      </w:r>
    </w:p>
    <w:p>
      <w:pPr>
        <w:pStyle w:val="Puce3"/>
        <w:tabs>
          <w:tab w:val="clear" w:pos="720"/>
        </w:tabs>
        <w:rPr/>
      </w:pPr>
      <w:r>
        <w:rPr/>
        <w:t>8.</w:t>
        <w:tab/>
        <w:t>Rozvíja účinnejšiu a jednotnejšiu politiku voči autokratickým a hybridným režimom a rozvíja partnerstvá s organizáciami občianskej spoločnosti v týchto krajinách.</w:t>
      </w:r>
    </w:p>
    <w:p>
      <w:pPr>
        <w:pStyle w:val="Puce3"/>
        <w:tabs>
          <w:tab w:val="clear" w:pos="720"/>
        </w:tabs>
        <w:rPr/>
      </w:pPr>
      <w:r>
        <w:rPr/>
        <w:t>9.</w:t>
        <w:tab/>
        <w:t>Zvyšuje zdroje volebných pozorovateľských misií EÚ.</w:t>
      </w:r>
    </w:p>
    <w:p>
      <w:pPr>
        <w:pStyle w:val="Puce3"/>
        <w:tabs>
          <w:tab w:val="clear" w:pos="720"/>
        </w:tabs>
        <w:rPr/>
      </w:pPr>
      <w:r>
        <w:rPr/>
        <w:t>10.</w:t>
        <w:tab/>
        <w:t>Ponúka dôveryhodnú perspektívu pristúpenia k kandidátskym a potenciálnym kandidátskym krajinám s cieľom podporiť mier a stabilitu v Európe a priniesť prosperitu miliónom Európanov</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POZNÁMKA: Viacerí členovia pracovnej skupiny sa domnievajú, že návrhy „Zníženie závislosti EÚ od zahraničných aktérov v oblasti energetiky“ a „Transparentnosť EÚ a jej vzťahov s občanmi“ patria najmä do iných pracovných skupín. Niektorí členovia chceli okrem hlasovania kvalifikovanou väčšinou spomenúť alternatívy jednomyseľnosti v Rade, ako napríklad variabilnú geometriu, doložky o neúčasti a posilnenú spoluprácu. Niektorí členovia pracovnej skupiny vyzvali na používanie pojmu „udržateľný“ namiesto „etického“ v návrhu „Definovanie noriem v rámci EÚ a mimo nej v obchodných a investičných vzťahoch“. Názory na to, či by pristúpenie nových členských štátov malo naďalej vyžadovať jednomyseľnú dohodu všetkých súčasných členských štátov, sú rozdielne. Objavili sa rôzne názory na požadovaný stupeň spoločných ozbrojených síl. Dvaja členovia sa zmienili o vyhliadke írskej jednoty v prípade, že Severné Írsko bude hlasovať týmto smerom v súlade s ustanoveniami Veľkopiatkovej dohody, a na potrebu, aby bola Únia pripravená na takúto možnosť.</w:t>
      </w:r>
    </w:p>
    <w:p>
      <w:pPr>
        <w:pStyle w:val="Normal"/>
        <w:rPr/>
      </w:pPr>
      <w:r>
        <w:rPr/>
      </w:r>
      <w:r>
        <w:br w:type="page"/>
      </w:r>
    </w:p>
    <w:p>
      <w:pPr>
        <w:pStyle w:val="Normal"/>
        <w:rPr/>
      </w:pPr>
      <w:r>
        <w:rPr/>
        <w:drawing>
          <wp:anchor behindDoc="0" distT="0" distB="0" distL="0" distR="0" simplePos="0" locked="0" layoutInCell="1" allowOverlap="1" relativeHeight="27">
            <wp:simplePos x="0" y="0"/>
            <wp:positionH relativeFrom="column">
              <wp:posOffset>19050</wp:posOffset>
            </wp:positionH>
            <wp:positionV relativeFrom="paragraph">
              <wp:posOffset>17145</wp:posOffset>
            </wp:positionV>
            <wp:extent cx="913765" cy="913765"/>
            <wp:effectExtent l="0" t="0" r="0" b="0"/>
            <wp:wrapSquare wrapText="largest"/>
            <wp:docPr id="65" name="Obrázok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ok25"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Hodnoty a práva, právny štát, bezpečnosť</w:t>
      </w:r>
    </w:p>
    <w:p>
      <w:pPr>
        <w:pStyle w:val="Titre3"/>
        <w:numPr>
          <w:ilvl w:val="2"/>
          <w:numId w:val="2"/>
        </w:numPr>
        <w:rPr/>
      </w:pPr>
      <w:bookmarkStart w:id="74" w:name="__RefHeading___Toc298322_1346298689"/>
      <w:bookmarkEnd w:id="74"/>
      <w:r>
        <w:rPr/>
        <w:t>25. Návrh: Právny štát, demokratické hodnoty a európska identita</w:t>
      </w:r>
    </w:p>
    <w:p>
      <w:pPr>
        <w:pStyle w:val="P68B1DB1Normal15"/>
        <w:rPr/>
      </w:pPr>
      <w:r>
        <w:rPr/>
        <w:t>Cieľ: Systematicky presadzovať zásady právneho štátu vo všetkých členských štátoch vrátane: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46"/>
      </w:r>
      <w:r>
        <w:rPr/>
        <w:t>:</w:t>
      </w:r>
    </w:p>
    <w:p>
      <w:pPr>
        <w:pStyle w:val="Puce3"/>
        <w:tabs>
          <w:tab w:val="clear" w:pos="720"/>
        </w:tabs>
        <w:rPr/>
      </w:pPr>
      <w:r>
        <w:rPr/>
        <w:t>1.</w:t>
        <w:tab/>
        <w:t>Zabezpečenie toho, aby hodnoty a zásady zakotvené v zmluvách EÚ a v Charte základných práv Európskej únie neboli obchodovateľné a nezvratné a predstavovali sine qua non podmienky členstva a pristúpenia k Únii. Hodnoty EÚ sa musia v plnej miere rešpektovať vo všetkých členských štátoch; mali by tiež pôsobiť ako medzinárodný štandard a predstavovať príťažlivý pól prostredníctvom diplomacie a dialógu. Rozšírenie Únie by nemalo oslabovať acquis EÚ, pokiaľ ide o základné hodnoty a práva občanov</w:t>
      </w:r>
      <w:r>
        <w:rPr>
          <w:rStyle w:val="Ancredenotedefin"/>
          <w:rStyle w:val="Ancredenotedefin"/>
        </w:rPr>
        <w:endnoteReference w:id="47"/>
      </w:r>
      <w:r>
        <w:rPr/>
        <w:t>.</w:t>
      </w:r>
    </w:p>
    <w:p>
      <w:pPr>
        <w:pStyle w:val="Puce3"/>
        <w:tabs>
          <w:tab w:val="clear" w:pos="720"/>
        </w:tabs>
        <w:rPr/>
      </w:pPr>
      <w:r>
        <w:rPr/>
        <w:t>2.</w:t>
        <w:tab/>
        <w:t>Európske občianstvo by sa malo posilniť, napríklad prostredníctvom postavenia občana Únie s právami a slobodami občanov, ako aj štatútom európskych cezhraničných združení a neziskových organizácií tým, že sa európske hodnoty stanú hmatateľnou realitou pre občanov EÚ, najmä prostredníctvom interaktívnej a priamej účasti. Podobne by sa európske hodnoty mali podporovať prostredníctvom „integračného kufríka“ obsahujúceho vzdelávacie prvky a informačné materiály pre občanov. Napokon by sa mala vytvoriť európska verejná sféra audiovizuálnych a online médií prostredníctvom nových investícií EÚ, zlepšenia existujúcich mediálnych platforiem a zvýšenej podpory pre viac ako 500 európskych styčných kancelárií na miestnej úrovni</w:t>
      </w:r>
      <w:r>
        <w:rPr>
          <w:rStyle w:val="Ancredenotedefin"/>
          <w:rStyle w:val="Ancredenotedefin"/>
        </w:rPr>
        <w:endnoteReference w:id="48"/>
      </w:r>
      <w:r>
        <w:rPr/>
        <w:t xml:space="preserve">. </w:t>
      </w:r>
    </w:p>
    <w:p>
      <w:pPr>
        <w:pStyle w:val="Puce3"/>
        <w:tabs>
          <w:tab w:val="clear" w:pos="720"/>
        </w:tabs>
        <w:rPr/>
      </w:pPr>
      <w:r>
        <w:rPr/>
        <w:t>3.</w:t>
        <w:tab/>
        <w:t>Charta základných práv Európskej únie by mala byť všeobecne uplatniteľná. Okrem toho by sa mali organizovať výročné konferencie o právnom štáte (podľa správy Komisie o právnom štáte), ktoré by združovali delegácie zo všetkých členských štátov zložené z občanov, úradníkov, poslancov, miestnych orgánov, sociálnych partnerov a občianskej spoločnosti vybraných náhodne a rôznorodým spôsobom. Je tiež dôležité ďalej podporovať organizácie vrátane organizácií občianskej spoločnosti, ktoré podporujú právny štát v praxi</w:t>
      </w:r>
      <w:r>
        <w:rPr>
          <w:rStyle w:val="Ancredenotedefin"/>
          <w:rStyle w:val="Ancredenotedefin"/>
        </w:rPr>
        <w:endnoteReference w:id="49"/>
      </w:r>
      <w:r>
        <w:rPr/>
        <w:t>.</w:t>
      </w:r>
    </w:p>
    <w:p>
      <w:pPr>
        <w:pStyle w:val="Puce3"/>
        <w:tabs>
          <w:tab w:val="clear" w:pos="720"/>
        </w:tabs>
        <w:rPr/>
      </w:pPr>
      <w:r>
        <w:rPr/>
        <w:t>4.</w:t>
        <w:tab/>
        <w:t>Účinným uplatňovaním tzv. nariadenia o krížovom plnení, posúdením rozsahu pôsobnosti uvedeného nariadenia a iných nástrojov právneho štátu, ako aj zvážením rozšírenia ich rozsahu pôsobnosti na nové oblasti bez ohľadu na ich význam pre rozpočet Únie. Mali by sa zvážiť všetky potrebné opravné prostriedky vrátane zmien a doplnení zmlúv s cieľom sankcionovať porušovanie zásad právneho štátu</w:t>
      </w:r>
      <w:r>
        <w:rPr>
          <w:rStyle w:val="Ancredenotedefin"/>
          <w:rStyle w:val="Ancredenotedefin"/>
        </w:rPr>
        <w:endnoteReference w:id="50"/>
      </w:r>
      <w:r>
        <w:rPr/>
        <w:t>.</w:t>
      </w:r>
    </w:p>
    <w:p>
      <w:pPr>
        <w:pStyle w:val="Puce3"/>
        <w:tabs>
          <w:tab w:val="clear" w:pos="720"/>
        </w:tabs>
        <w:rPr/>
      </w:pPr>
      <w:r>
        <w:rPr/>
        <w:t>5.</w:t>
        <w:tab/>
        <w:t>Podpora vzdelávacích a mediálnych programov, ktoré stavajú hodnoty Únie do centra procesu integrácie migrantov a podporujú interakciu medzi občanmi Únie a migrantmi s cieľom umožniť ich úspešnú integráciu do spoločností Únie a zvýšiť informovanosť občanov Únie o otázkach migrácie.</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Návrh: Ochrana osobných údajov</w:t>
      </w:r>
    </w:p>
    <w:p>
      <w:pPr>
        <w:pStyle w:val="Corpsdetexte"/>
        <w:rPr/>
      </w:pPr>
      <w:r>
        <w:rPr/>
      </w:r>
    </w:p>
    <w:p>
      <w:pPr>
        <w:pStyle w:val="P68B1DB1Normal15"/>
        <w:rPr/>
      </w:pPr>
      <w:r>
        <w:rPr/>
        <w:t>Cieľ: zabezpečiť väčšiu ochranu a lepšiu politiku spracovania údajov pre občanov, najmä: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52"/>
      </w:r>
      <w:r>
        <w:rPr/>
        <w:t>:</w:t>
      </w:r>
    </w:p>
    <w:p>
      <w:pPr>
        <w:pStyle w:val="Puce3"/>
        <w:tabs>
          <w:tab w:val="clear" w:pos="720"/>
        </w:tabs>
        <w:rPr/>
      </w:pPr>
      <w:r>
        <w:rPr/>
        <w:t>1.</w:t>
        <w:tab/>
        <w:t>Úplným vykonávaním a preskúmaním existujúcich právnych predpisov o ochrane údajov s cieľom posúdiť potrebu posilnených mechanizmov presadzovania pre subjekty spracúvajúce osobné údaje, ktoré v súčasnosti patria do právomoci nezávislých vnútroštátnych orgánov na ochranu údajov v súlade so zásadou subsidiarity. Tieto subjekty by mali byť sankcionované prísnejšie ako pri súčasnom uplatňovaní pravidiel v pomere k ich ročnému obratu (do 4 %), alebo dokonca zákazom ich činností, a mali by podliehať nezávislému ročnému auditu</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Väčším účinkom zásady ochrany súkromia už v štádiu návrhu alebo štandardne, napríklad vyhodnotením a vývojom formulárov súhlasu s údajmi, ktoré sú ľahko zrozumiteľné, stručné a intuitívne a jasne uvádzajú, čo je potrebné a čo nie. Používatelia musia mať možnosť udeliť alebo odvolať svoj súhlas so spracovaním údajov jednoduchým, rýchlym a trvalým spôsobom.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Posúdenie a zavedenie jasnejších a ochranných pravidiel týkajúcich sa spracúvania údajov týkajúcich sa maloletých osôb, prípadne vo všeobecnom nariadení EÚ o ochrane údajov, najmä vytvorením osobitnej kategórie citlivých údajov maloletých a harmonizáciou minimálneho veku súhlasu v členských štátoch. Zatiaľ čo väčšina vykonávania pravidiel ochrany súkromia a zvyšovania informovanosti by mala naďalej patriť do právomoci členských štátov, najmä prostredníctvom zvýšených investícií a zdrojov na vnútroštátnej úrovni, Únia by mala zohrávať dôležitejšiu úlohu, napríklad vytváraním európskych kompetencií v oblasti občianskeho vzdelávania v oblasti ochrany údajov</w:t>
      </w:r>
      <w:r>
        <w:rPr>
          <w:rStyle w:val="Ancredenotedefin"/>
          <w:rStyle w:val="Ancredenotedefin"/>
        </w:rPr>
        <w:endnoteReference w:id="57"/>
      </w:r>
      <w:r>
        <w:rPr/>
        <w:t>.</w:t>
      </w:r>
    </w:p>
    <w:p>
      <w:pPr>
        <w:pStyle w:val="Puce3"/>
        <w:tabs>
          <w:tab w:val="clear" w:pos="720"/>
        </w:tabs>
        <w:rPr/>
      </w:pPr>
      <w:r>
        <w:rPr/>
        <w:t>4.</w:t>
        <w:tab/>
        <w:t>Lepšie dodržiavanie kritérií oprávnenosti platných pre európske a vnútroštátne orgány na ochranu údajov, pokiaľ ide o kvalifikáciu a vhodnosť, s cieľom zabezpečiť maximálnu nezávislosť ich členov.</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Návrh: Médiá, falošné správy, dezinformácie, overovanie faktov, kybernetická bezpečnosť</w:t>
      </w:r>
    </w:p>
    <w:p>
      <w:pPr>
        <w:pStyle w:val="P68B1DB1Normal15"/>
        <w:rPr/>
      </w:pPr>
      <w:r>
        <w:rPr/>
        <w:t>Cieľ: Boj proti dezinformáciám prostredníctvom zvýšenej podpory nezávislosti a plurality médií a mediálnej gramotnosti, najmä: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60"/>
      </w:r>
      <w:r>
        <w:rPr/>
        <w:t>:</w:t>
      </w:r>
    </w:p>
    <w:p>
      <w:pPr>
        <w:pStyle w:val="Puce3"/>
        <w:tabs>
          <w:tab w:val="clear" w:pos="720"/>
        </w:tabs>
        <w:rPr/>
      </w:pPr>
      <w:r>
        <w:rPr/>
        <w:t>1.</w:t>
        <w:tab/>
        <w:t>Zavedenie právnych predpisov na boj proti hrozbám pre nezávislosť médií prostredníctvom minimálnych noriem platných v celej Únii vrátane preskúmania obchodného modelu médií s cieľom zabezpečiť integritu a nezávislosť európskeho mediálneho trhu</w:t>
      </w:r>
      <w:r>
        <w:rPr>
          <w:rStyle w:val="Ancredenotedefin"/>
          <w:rStyle w:val="Ancredenotedefin"/>
        </w:rPr>
        <w:endnoteReference w:id="61"/>
      </w:r>
      <w:r>
        <w:rPr/>
        <w:t>.</w:t>
      </w:r>
    </w:p>
    <w:p>
      <w:pPr>
        <w:pStyle w:val="Puce3"/>
        <w:tabs>
          <w:tab w:val="clear" w:pos="720"/>
        </w:tabs>
        <w:rPr/>
      </w:pPr>
      <w:r>
        <w:rPr/>
        <w:t>2.</w:t>
        <w:tab/>
        <w:t>Prísne uplatňovanie pravidiel hospodárskej súťaže EÚ v mediálnom sektore s cieľom zabrániť vytváraniu veľkých mediálnych monopolov a zabezpečiť pluralitu médií a nezávislosť od akéhokoľvek neželaného zasahovania politických, podnikateľských a/alebo zahraničných krajín. Mala by sa podporovať aj kvalitná žurnalistika s uznávanými a vysokými normami etiky a samoregulácie</w:t>
      </w:r>
      <w:r>
        <w:rPr>
          <w:rStyle w:val="Ancredenotedefin"/>
          <w:rStyle w:val="Ancredenotedefin"/>
        </w:rPr>
        <w:endnoteReference w:id="62"/>
      </w:r>
      <w:r>
        <w:rPr/>
        <w:t>.</w:t>
      </w:r>
    </w:p>
    <w:p>
      <w:pPr>
        <w:pStyle w:val="Puce3"/>
        <w:tabs>
          <w:tab w:val="clear" w:pos="720"/>
        </w:tabs>
        <w:rPr/>
      </w:pPr>
      <w:r>
        <w:rPr/>
        <w:t>3.</w:t>
        <w:tab/>
        <w:t xml:space="preserve">Zriadenie orgánu EÚ na boj proti cieleným dezinformáciám a zasahovaniu, zlepšenie situačného vnímania a posilnenie organizácií na kontrolu faktov a nezávislých médií. Ďalej by sa mali podporovať a propagovať „núdzové čísla“ a webové stránky, ako je Europe Direct, ktoré občanom a vnútroštátnym médiám umožňujú požadovať a prijímať overené informácie o stratégiách a politikách EÚ.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Podpora mediálnej gramotnosti a informovanosti verejnosti o dezinformáciách a neúmyselné šírenie správ, a to aj prostredníctvom povinného školského vzdelávania. Členské štáty by sa tiež mali nabádať, aby na tento účel vyčlenili primerané ľudské a finančné zdroje. </w:t>
      </w:r>
      <w:r>
        <w:rPr>
          <w:rStyle w:val="Ancredenotedefin"/>
          <w:rStyle w:val="Ancredenotedefin"/>
        </w:rPr>
        <w:endnoteReference w:id="65"/>
      </w:r>
    </w:p>
    <w:p>
      <w:pPr>
        <w:pStyle w:val="Puce3"/>
        <w:tabs>
          <w:tab w:val="clear" w:pos="720"/>
        </w:tabs>
        <w:rPr/>
      </w:pPr>
      <w:r>
        <w:rPr/>
        <w:t>5.</w:t>
        <w:tab/>
        <w:t>Vychádzajúc z existujúcich iniciatív, ako je Kódex postupov proti dezinformáciám a Európske stredisko pre monitorovanie digitálnych médií (EDMO), s cieľom uložiť online platformám povinnosť zverejňovať jasné informácie o algoritmoch, ktoré používajú (s možnosťou, že používatelia súhlasia alebo nie) a rizikách dezinformácií, ktorým sú používatelia vystavení, pričom sa zachová právo na slobodu prejavu a právo na súkromie.</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Návrh: Médiá, falošné správy, dezinformácie, overovanie faktov, kybernetická bezpečnosť (bis)</w:t>
      </w:r>
    </w:p>
    <w:p>
      <w:pPr>
        <w:pStyle w:val="P68B1DB1Normal15"/>
        <w:rPr/>
      </w:pPr>
      <w:r>
        <w:rPr/>
        <w:t>Cieľ: posilnenie úlohy Únie pri riešení kyberneticko-bezpečnostných hrozieb, najmä: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tabs>
          <w:tab w:val="clear" w:pos="720"/>
        </w:tabs>
        <w:rPr/>
      </w:pPr>
      <w:r>
        <w:rPr/>
        <w:t>1.</w:t>
        <w:tab/>
        <w:t xml:space="preserve">Posilnenie Agentúry Európskej únie pre kybernetickú bezpečnosť (ENISA) s cieľom lepšie chrániť jednotlivcov, organizácie a inštitúcie pred narušeniami kybernetickej bezpečnosti a využívaním umelej inteligencie na trestné účely. Zároveň by sa mala zachovať dôvernosť a ochrana osobných údajov.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Zlepšiť koordináciu vnútroštátnych orgánov v oblasti kybernetickej bezpečnosti a vyvinúť ďalšie úsilie na zabezpečenie účinného vykonávania pravidiel Únie na vnútroštátnej úrovni.</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Návrh: Boj proti diskriminácii, rovnosti a kvalite života</w:t>
      </w:r>
    </w:p>
    <w:p>
      <w:pPr>
        <w:pStyle w:val="P68B1DB1Normal15"/>
        <w:rPr/>
      </w:pPr>
      <w:r>
        <w:rPr/>
        <w:t>CIEĽ: Prijať opatrenia na harmonizáciu životných podmienok v celej Únii a zlepšiť sociálno-ekonomickú kvalitu života jej občanov, najmä: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72"/>
      </w:r>
      <w:r>
        <w:rPr/>
        <w:t>:</w:t>
      </w:r>
    </w:p>
    <w:p>
      <w:pPr>
        <w:pStyle w:val="Puce3"/>
        <w:tabs>
          <w:tab w:val="clear" w:pos="720"/>
        </w:tabs>
        <w:rPr/>
      </w:pPr>
      <w:r>
        <w:rPr/>
        <w:t>1.</w:t>
        <w:tab/>
        <w:t>Vypracovanie transparentných ukazovateľov kvality života vrátane hospodárskych, sociálnych a právnych kritérií po konzultácii s odborníkmi a sociálnymi partnermi s cieľom stanoviť jasný a realistický harmonogram zvyšovania sociálnych noriem a vytvorenia spoločnej sociálno-ekonomickej štruktúry Únie, a to aj prostredníctvom vykonávania Európskeho piliera sociálnych práv. Tieto opatrenia by sa mali začleniť do rámca správy hospodárskych záležitostí a procesu európskeho semestra</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Zvýšenie a uľahčenie priamych verejných investícií do zdravotníctva, vzdelávania, fyzickej infraštruktúry a starostlivosti o starších ľudí a osoby so zdravotným postihnutím. Dodatočné investície by sa mali zamerať aj na zabezpečenie uspokojivej rovnováhy medzi pracovným a súkromným životom občanov. Tieto investície by sa mali realizovať úplne transparentným spôsobom s cieľom monitorovať celý proces</w:t>
      </w:r>
      <w:r>
        <w:rPr>
          <w:rStyle w:val="Ancredenotedefin"/>
          <w:rStyle w:val="Ancredenotedefin"/>
        </w:rPr>
        <w:endnoteReference w:id="75"/>
      </w:r>
      <w:r>
        <w:rPr/>
        <w:t>.</w:t>
      </w:r>
    </w:p>
    <w:p>
      <w:pPr>
        <w:pStyle w:val="Puce3"/>
        <w:tabs>
          <w:tab w:val="clear" w:pos="720"/>
        </w:tabs>
        <w:rPr/>
      </w:pPr>
      <w:r>
        <w:rPr/>
        <w:t>3.</w:t>
        <w:tab/>
        <w:t>Podpora zdaňovania veľkých spoločností, boj proti prístupu k daňovým rajom a odstránenie ich existencie v EÚ s cieľom zvýšiť verejné investície do prioritných oblastí, ako sú vzdelávanie (študijné granty, Erasmus) a výskum. Boj proti daňovým únikom na úrovni EÚ by mal byť aj prostriedkom na získavanie finančných prostriedkov na iniciatívy financované z verejných zdrojov</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Stanovením kritérií pre celú Úniu na boj proti diskriminácii na trhu práce a podporovaním prijímania osôb zo strany súkromných spoločností, ktoré sú vo všeobecnosti najviac postihnuté diskrimináciou (vrátane mladých ľudí, starších ľudí, žien a osôb z menšín), a to aj prostredníctvom dotácií a po druhé dočasných kvót. Sociálni partneri by mali byť do tohto úsilia úzko zapojení. Diskriminácia mimo trhu práce by mala byť tiež zakázaná zákonom a mala by sa podporovať rovnosť</w:t>
      </w:r>
      <w:r>
        <w:rPr>
          <w:rStyle w:val="Ancredenotedefin"/>
          <w:rStyle w:val="Ancredenotedefin"/>
        </w:rPr>
        <w:endnoteReference w:id="78"/>
      </w:r>
      <w:r>
        <w:rPr/>
        <w:t>.</w:t>
      </w:r>
    </w:p>
    <w:p>
      <w:pPr>
        <w:pStyle w:val="Puce3"/>
        <w:tabs>
          <w:tab w:val="clear" w:pos="720"/>
        </w:tabs>
        <w:rPr/>
      </w:pPr>
      <w:r>
        <w:rPr/>
        <w:t>5.</w:t>
        <w:tab/>
        <w:t>Zabezpečenie vytvorenia a uľahčovania existencie cenovo dostupných materských škôl, verejných aj súkromných, ako aj bezplatných služieb starostlivosti o deti pre tých, ktorí to potrebujú</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Návrh: Práva zvierat, poľnohospodárstvo</w:t>
      </w:r>
    </w:p>
    <w:p>
      <w:pPr>
        <w:pStyle w:val="P68B1DB1Normal15"/>
        <w:rPr/>
      </w:pPr>
      <w:r>
        <w:rPr/>
        <w:t>Cieľ: Prijať rozhodné opatrenia na podporu a zabezpečenie poľnohospodárstva šetrnejšieho k životnému prostrediu a šetrnejšie ku klíme, najmä: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80"/>
      </w:r>
      <w:r>
        <w:rPr/>
        <w:t>:</w:t>
      </w:r>
    </w:p>
    <w:p>
      <w:pPr>
        <w:pStyle w:val="Puce3"/>
        <w:tabs>
          <w:tab w:val="clear" w:pos="720"/>
        </w:tabs>
        <w:rPr/>
      </w:pPr>
      <w:r>
        <w:rPr/>
        <w:t>1.</w:t>
        <w:tab/>
        <w:t>Stanovením podrobných, merateľných a časovo ohraničených minimálnych kritérií na ochranu hospodárskych zvierat s cieľom zabezpečiť vyššie normy v oblasti dobrých životných podmienok zvierat v súlade so zavedením cieľov udržateľnosti a na základe integrovaného prístupu k potravinovému systému</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Zavedenie finančných sankcií za nepriaznivé účinky spôsobené poľnohospodárskou činnosťou (napr. emisie skleníkových plynov, používanie pesticídov, nadmerná spotreba vody, diaľková doprava atď.) v závislosti od ich vplyvu na životné prostredie. Poľnohospodárske výrobky dovážané do Únie by sa mali posudzovať aj na tomto základe, a to aj prostredníctvom ciel, s cieľom odstrániť akúkoľvek konkurenčnú výhodu vyplývajúcu z menej prísnych environmentálnych noriem</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Zníženie dotácií na masovú poľnohospodársku výrobu, ak neprispieva k udržateľnej transformácii, a presmerovanie týchto zdrojov na podporu environmentálne udržateľného poľnohospodárstva pri súčasnom zabezpečení cenovej dostupnosti potravinových výrobkov.</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35">
            <wp:simplePos x="0" y="0"/>
            <wp:positionH relativeFrom="column">
              <wp:posOffset>27940</wp:posOffset>
            </wp:positionH>
            <wp:positionV relativeFrom="paragraph">
              <wp:posOffset>30480</wp:posOffset>
            </wp:positionV>
            <wp:extent cx="913765" cy="913765"/>
            <wp:effectExtent l="0" t="0" r="0" b="0"/>
            <wp:wrapSquare wrapText="largest"/>
            <wp:docPr id="66" name="Obrázok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ok26"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Digitálna transformácia“</w:t>
      </w:r>
    </w:p>
    <w:p>
      <w:pPr>
        <w:pStyle w:val="Normal"/>
        <w:rPr/>
      </w:pPr>
      <w:r>
        <w:rPr/>
        <w:t>Európa musí byť na čele sveta a musí stanoviť normy pre digitálnu transformáciu a musí načrtnúť európsku cestu k etickej, transparentnej a bezpečnej spoločnosti zameranej na človeka. Európa musí zaujať ambiciózny prístup a v plnej miere využívať príležitosti, ktoré ponúka digitalizácia, a zároveň riadiť riziká a výzvy, ktoré prináša digitalizácia. Digitalizácia sa týka všetkých oblastí našej spoločnosti a musí sa systematicky zohľadňovať. V tejto súvislosti sa odkazuje na Európsku deklaráciu o digitálnych právach a zásadách digitálneho desaťročia a navrhuje sa, aby sa v budúcnosti zvážilo možné vypracovanie charty digitálnych práv.</w:t>
      </w:r>
    </w:p>
    <w:p>
      <w:pPr>
        <w:pStyle w:val="Normal"/>
        <w:rPr/>
      </w:pPr>
      <w:r>
        <w:rPr/>
        <w:t>Ruská agresia na Ukrajine len potvrdzuje mnohé prvky, ktorými sa návrhy zaoberajú, ako napríklad potrebu digitálnej suverenity, zvýšenú pozornosť kybernetickej obrane a ochranu pred dezinformáciami. Dokazuje tiež, že súčasné konflikty majú dôsledky v digitálnej sfére a vyvolávajú nové otázky, ako sú dlhodobé dôsledky zneužitia osobných informácií a nezákonné používanie týchto údajov v budúcnosti.</w:t>
      </w:r>
    </w:p>
    <w:p>
      <w:pPr>
        <w:pStyle w:val="Normal"/>
        <w:rPr/>
      </w:pPr>
      <w:r>
        <w:rPr/>
      </w:r>
    </w:p>
    <w:p>
      <w:pPr>
        <w:pStyle w:val="Titre3"/>
        <w:numPr>
          <w:ilvl w:val="2"/>
          <w:numId w:val="2"/>
        </w:numPr>
        <w:rPr/>
      </w:pPr>
      <w:bookmarkStart w:id="81" w:name="__RefHeading___Toc298336_1346298689"/>
      <w:bookmarkEnd w:id="81"/>
      <w:r>
        <w:rPr/>
        <w:t>31. Návrh: Prístup k digitálnej infraštruktúre</w:t>
      </w:r>
    </w:p>
    <w:p>
      <w:pPr>
        <w:pStyle w:val="Normal"/>
        <w:rPr/>
      </w:pPr>
      <w:r>
        <w:rPr/>
        <w:t>Cieľ: Rovnaký prístup k internetu je základným právom každého európskeho občana. Navrhujeme, aby mal každý v Európe účinný prístup k internetu a digitálnym službám a aby sa posilnila zvrchovanosť digitálnej infraštruktúry EÚ, a to vykonávaním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86"/>
      </w:r>
      <w:r>
        <w:rPr/>
        <w:t>:</w:t>
      </w:r>
    </w:p>
    <w:p>
      <w:pPr>
        <w:pStyle w:val="Puce3"/>
        <w:tabs>
          <w:tab w:val="clear" w:pos="720"/>
        </w:tabs>
        <w:rPr/>
      </w:pPr>
      <w:r>
        <w:rPr/>
        <w:t>1.</w:t>
        <w:tab/>
        <w:t>Investície do vysokokvalitnej a inovačnej európskej digitálnej infraštruktúry (vrátane rozvoja 5G a 6G v Európe) (odporúčania 40 a 47 ECP 1 a č. 1 holandského národného kontaktného miesta).</w:t>
      </w:r>
    </w:p>
    <w:p>
      <w:pPr>
        <w:pStyle w:val="Puce3"/>
        <w:tabs>
          <w:tab w:val="clear" w:pos="720"/>
        </w:tabs>
        <w:rPr/>
      </w:pPr>
      <w:r>
        <w:rPr/>
        <w:t>2.</w:t>
        <w:tab/>
        <w:t>Zabezpečiť rýchly, cenovo dostupný, bezpečný a stabilný prístup na internet v celej Únii vrátane roamingu, pričom prioritou bude vytvorenie internetového pripojenia v „bielych/mŕtvych oblastiach“, vidieckych, vzdialených a okrajových oblastiach s cieľom riešiť digitálnu priepasť medzi členskými štátmi a v rámci nich a zabezpečiť, aby sa na nikoho nezabudlo (odporúčania 17 a 47 holandského NKM 1 a č. 1).</w:t>
      </w:r>
    </w:p>
    <w:p>
      <w:pPr>
        <w:pStyle w:val="Puce3"/>
        <w:tabs>
          <w:tab w:val="clear" w:pos="720"/>
        </w:tabs>
        <w:rPr/>
      </w:pPr>
      <w:r>
        <w:rPr/>
        <w:t>3.</w:t>
        <w:tab/>
        <w:t>Pokročiť v zavádzaní digitálnej a elektrickej infraštruktúry vo verejných a súkromných priestoroch, ktorá umožní používanie elektrických a autonómnych vozidiel (rozprava v pracovnej skupine)</w:t>
      </w:r>
      <w:r>
        <w:rPr>
          <w:rStyle w:val="Ancredenotedefin"/>
          <w:rStyle w:val="Ancredenotedefin"/>
        </w:rPr>
        <w:endnoteReference w:id="87"/>
      </w:r>
      <w:r>
        <w:rPr/>
        <w:t>.</w:t>
      </w:r>
    </w:p>
    <w:p>
      <w:pPr>
        <w:pStyle w:val="Puce3"/>
        <w:tabs>
          <w:tab w:val="clear" w:pos="720"/>
        </w:tabs>
        <w:rPr/>
      </w:pPr>
      <w:r>
        <w:rPr/>
        <w:t>4.</w:t>
        <w:tab/>
        <w:t>Prijať opatrenia na zabezpečenie spravodlivej a otvorenej hospodárskej súťaže a zabrániť monopolom, závislosti od dodávateľov, sústredeniu údajov a spoliehaniu sa na tretie krajiny na infraštruktúre a službách; zlepšenie trhov z hľadiska spotrebiteľov (odporúčanie CEP č. 17 1).</w:t>
      </w:r>
    </w:p>
    <w:p>
      <w:pPr>
        <w:pStyle w:val="Puce3"/>
        <w:tabs>
          <w:tab w:val="clear" w:pos="720"/>
        </w:tabs>
        <w:rPr/>
      </w:pPr>
      <w:r>
        <w:rPr/>
        <w:t>5.</w:t>
        <w:tab/>
        <w:t>Uprednostniť deti, rodiny, starších ľudí a zraniteľné skupiny, pokiaľ ide o prístup k internetu a IT zariadenia vrátane prístupu k vzdelávaniu, verejným službám a zdravotnej starostlivosti (odporúčanie CEP 1 17 a diskusia v pracovnej skupine).</w:t>
      </w:r>
    </w:p>
    <w:p>
      <w:pPr>
        <w:pStyle w:val="Puce3"/>
        <w:tabs>
          <w:tab w:val="clear" w:pos="720"/>
        </w:tabs>
        <w:rPr/>
      </w:pPr>
      <w:r>
        <w:rPr/>
        <w:t>6.</w:t>
        <w:tab/>
        <w:t>Zlepšiť digitálny prístup k základným verejným a súkromným službám pre občanov a podniky s úplnou dostupnosťou, napr. pokiaľ ide o administratívne postupy, a zabezpečiť prístup k týmto službám a podporu s nimi spojenú pre všetkých, napr. prostredníctvom podporných služieb (rozprava v pracovnej skupine, viacjazyčná digitálna platforma).</w:t>
      </w:r>
    </w:p>
    <w:p>
      <w:pPr>
        <w:pStyle w:val="Puce3"/>
        <w:tabs>
          <w:tab w:val="clear" w:pos="720"/>
        </w:tabs>
        <w:rPr/>
      </w:pPr>
      <w:r>
        <w:rPr/>
        <w:t>7.</w:t>
        <w:tab/>
        <w:t>Harmonizovať vysokokvalitné digitálne normy a zlepšiť bezpečnú mobilitu údajov s cieľom uľahčiť cezhraničnú interoperabilitu (rozprava v pracovnej skupine, viacjazyčná digitálna platforma).</w:t>
      </w:r>
    </w:p>
    <w:p>
      <w:pPr>
        <w:pStyle w:val="Puce3"/>
        <w:tabs>
          <w:tab w:val="clear" w:pos="720"/>
        </w:tabs>
        <w:rPr/>
      </w:pPr>
      <w:r>
        <w:rPr/>
        <w:t>8.</w:t>
        <w:tab/>
        <w:t>Zvážiť vplyv digitálnej infraštruktúry a digitalizácie na životné prostredie s cieľom dosiahnuť, aby digitálna transformácia bola udržateľná a prejsť na zelenú digitálnu spoločnosť (rozprava v pracovnej skupine, viacjazyčná digitálna platforma).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Návrh: Digitálne znalosti a zručnosti, ktoré posilňujú postavenie ľudí</w:t>
      </w:r>
    </w:p>
    <w:p>
      <w:pPr>
        <w:pStyle w:val="P68B1DB1Normal15"/>
        <w:rPr/>
      </w:pPr>
      <w:r>
        <w:rPr/>
        <w:t>Cieľ: Navrhujeme, aby EÚ zabezpečila, aby všetci európski občania mohli využívať digitalizáciu tým, že im umožnia získať potrebné digitálne zručnosti a príležitosti zavedením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88"/>
      </w:r>
      <w:r>
        <w:rPr/>
        <w:t>:</w:t>
      </w:r>
    </w:p>
    <w:p>
      <w:pPr>
        <w:pStyle w:val="Puce3"/>
        <w:tabs>
          <w:tab w:val="clear" w:pos="720"/>
        </w:tabs>
        <w:rPr/>
      </w:pPr>
      <w:r>
        <w:rPr/>
        <w:t>1.</w:t>
        <w:tab/>
        <w:t>Zabezpečiť prístup k celoživotným digitálnym zručnostiam a vedomostiam vrátane školských, formálnych a neformálnych učebných osnov, a to na základe existujúcich iniciatív na európskej úrovni, pričom sa osobitná pozornosť bude venovať začleňovaniu osôb patriacich k zraniteľným skupinám a starším ľuďom, ako aj posilneniu digitálnych zručností detí spôsobom, ktorý je v súlade s ich riadnym rozvojom a riešením digitálnych nerovností vrátane digitálnej priepasti medzi mužmi a ženami (odporúčanie ECP č. 8, odporúčanie 5.2 talianskeho národného programu a diskusia v pracovnej skupine).</w:t>
      </w:r>
    </w:p>
    <w:p>
      <w:pPr>
        <w:pStyle w:val="Puce3"/>
        <w:tabs>
          <w:tab w:val="clear" w:pos="720"/>
        </w:tabs>
        <w:rPr/>
      </w:pPr>
      <w:r>
        <w:rPr/>
        <w:t>2.</w:t>
        <w:tab/>
        <w:t>Zabezpečiť riadne využívanie internetu podporovaním členských štátov, aby rozvíjali odbornú prípravu v oblasti digitálnych zručností pre všetky vekové skupiny s harmonizovanými programami a obsahom na európskej úrovni, ako sú internetové riziká a príležitosti, online práva používateľov a netiquet (odporúčanie CEP 1 č. 47 a diskusia v pracovnej skupine).</w:t>
      </w:r>
    </w:p>
    <w:p>
      <w:pPr>
        <w:pStyle w:val="Puce3"/>
        <w:tabs>
          <w:tab w:val="clear" w:pos="720"/>
        </w:tabs>
        <w:rPr/>
      </w:pPr>
      <w:r>
        <w:rPr/>
        <w:t>3.</w:t>
        <w:tab/>
        <w:t>Prijať všetky potrebné opatrenia na zabezpečenie toho, aby digitalizácia spoločnosti nevylučovala starších ľudí a aby boli pre nich dostupné technológie, a to podporovaním príslušných programov a iniciatív, ako sú kurzy prispôsobené ich potrebám. Zároveň by sa malo zabezpečiť, aby boli základné služby prístupné aj osobne a nedigitálnym spôsobom (odporúčania CEP 34 a 47).</w:t>
      </w:r>
    </w:p>
    <w:p>
      <w:pPr>
        <w:pStyle w:val="Puce3"/>
        <w:tabs>
          <w:tab w:val="clear" w:pos="720"/>
        </w:tabs>
        <w:rPr/>
      </w:pPr>
      <w:r>
        <w:rPr/>
        <w:t>4.</w:t>
        <w:tab/>
        <w:t>Zaviesť v školách európsku certifikáciu o digitálnych zručnostiach, ktorá pripraví mladých ľudí na budúci trh práce (odporúčanie CEP 8 1).</w:t>
      </w:r>
    </w:p>
    <w:p>
      <w:pPr>
        <w:pStyle w:val="Puce3"/>
        <w:tabs>
          <w:tab w:val="clear" w:pos="720"/>
        </w:tabs>
        <w:rPr/>
      </w:pPr>
      <w:r>
        <w:rPr/>
        <w:t>5.</w:t>
        <w:tab/>
        <w:t>Vykonávať koordinované iniciatívy v oblasti odbornej prípravy na úrovni Únie zamerané na rekvalifikáciu a zvyšovanie úrovne zručností pracovníkov s cieľom zachovať si konkurencieschopnosť na trhu práce, najmä vzhľadom na zručnosti a kvalifikácie potrebné v malých a stredných podnikoch, ako aj na účely odbornej prípravy digitálnych špecialistov (odporúčanie CEP 8 a diskusia v pracovnej skupine).</w:t>
      </w:r>
    </w:p>
    <w:p>
      <w:pPr>
        <w:pStyle w:val="Puce3"/>
        <w:tabs>
          <w:tab w:val="clear" w:pos="720"/>
        </w:tabs>
        <w:rPr/>
      </w:pPr>
      <w:r>
        <w:rPr/>
        <w:t>6.</w:t>
        <w:tab/>
        <w:t>Propagovať existujúce digitálne platformy, ktoré spájajú občanov so zamestnávateľmi a pomáhajú im nájsť si prácu v EÚ, ako je EURES (odporúčanie CEP č. 8 1).</w:t>
      </w:r>
    </w:p>
    <w:p>
      <w:pPr>
        <w:pStyle w:val="Puce3"/>
        <w:tabs>
          <w:tab w:val="clear" w:pos="720"/>
        </w:tabs>
        <w:rPr/>
      </w:pPr>
      <w:r>
        <w:rPr/>
        <w:t>7.</w:t>
        <w:tab/>
        <w:t>Zvýšiť investície a úsilie o podporu digitalizácie vzdelávania vrátane vysokoškolského vzdelávania (rozprava v rámci pracovnej skupiny/viacjazyčnej digitálnej platformy).</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Návrh: Bezpečná a dôveryhodná digitálna spoločnosť – kybernetická bezpečnosť a dezinformácie</w:t>
      </w:r>
    </w:p>
    <w:p>
      <w:pPr>
        <w:pStyle w:val="P68B1DB1Normal15"/>
        <w:rPr/>
      </w:pPr>
      <w:r>
        <w:rPr/>
        <w:t>Cieľ: navrhujeme, aby EÚ s cieľom vytvoriť bezpečnú, odolnú a dôveryhodnú digitálnu spoločnosť zabezpečila účinné a včasné vykonávanie existujúcich právnych predpisov a mala väčšie právomoci na posilnenie kybernetickej bezpečnosti, boj proti nezákonnému obsahu a počítačovej kriminalite, riešenie a riešenie dôsledkov kybernetických hrozieb zo strany neštátnych subjektov a autoritárskych štátov a na boj proti dezinformáciám, a to vykonávaním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89"/>
      </w:r>
      <w:r>
        <w:rPr/>
        <w:t>:</w:t>
      </w:r>
    </w:p>
    <w:p>
      <w:pPr>
        <w:pStyle w:val="Puce3"/>
        <w:tabs>
          <w:tab w:val="clear" w:pos="720"/>
        </w:tabs>
        <w:rPr/>
      </w:pPr>
      <w:r>
        <w:rPr/>
        <w:t>1.</w:t>
        <w:tab/>
        <w:t>Posilniť kapacity Europolu/Európskeho centra boja proti počítačovej kriminalite, pokiaľ ide o finančné a ľudské zdroje, s cieľom umožniť proaktívnejší prístup k počítačovej kriminalite a posilniť spoločné európske spôsobilosti kybernetickej obrany proti rozsiahlym útokom, a to aj prostredníctvom lepšej spolupráce (odporúčanie ECP č. 39, odporúčanie 2.6 litovského národného kontaktného miesta a NKM 1 Holandska a diskusia v pracovnej skupine).</w:t>
      </w:r>
    </w:p>
    <w:p>
      <w:pPr>
        <w:pStyle w:val="Puce3"/>
        <w:tabs>
          <w:tab w:val="clear" w:pos="720"/>
        </w:tabs>
        <w:rPr/>
      </w:pPr>
      <w:r>
        <w:rPr/>
        <w:t>2.</w:t>
        <w:tab/>
        <w:t>Prijať potrebné opatrenia, aby sa pripravili na rozsiahle útoky a narušenia služieb a aby ich bolo možné rýchlo prekonať, napríklad zabezpečením existencie odolnej infraštruktúry a alternatívnych komunikačných kanálov (rozprava v pracovnej skupine).</w:t>
      </w:r>
    </w:p>
    <w:p>
      <w:pPr>
        <w:pStyle w:val="Puce3"/>
        <w:tabs>
          <w:tab w:val="clear" w:pos="720"/>
        </w:tabs>
        <w:rPr/>
      </w:pPr>
      <w:r>
        <w:rPr/>
        <w:t>3.</w:t>
        <w:tab/>
        <w:t>Zabezpečiť podobné sankcie a ich rýchle a účinné presadzovanie v členských štátoch v prípade počítačovej kriminality prostredníctvom lepšej koordinácie miestnych, regionálnych a národných centier a orgánov kybernetickej bezpečnosti (odporúčanie CEP č. 39 1).</w:t>
      </w:r>
    </w:p>
    <w:p>
      <w:pPr>
        <w:pStyle w:val="Puce3"/>
        <w:tabs>
          <w:tab w:val="clear" w:pos="720"/>
        </w:tabs>
        <w:rPr/>
      </w:pPr>
      <w:r>
        <w:rPr/>
        <w:t>4.</w:t>
        <w:tab/>
        <w:t>Zlepšiť digitálne znalosti a kritické myslenie ako prostriedok boja proti dezinformáciám, online hrozbám a nenávistným prejavom, ako aj zmanipulovaným rozhraniam a preferenčným cenám (rozprava v pracovnej skupine).</w:t>
      </w:r>
    </w:p>
    <w:p>
      <w:pPr>
        <w:pStyle w:val="Puce3"/>
        <w:tabs>
          <w:tab w:val="clear" w:pos="720"/>
        </w:tabs>
        <w:rPr/>
      </w:pPr>
      <w:r>
        <w:rPr/>
        <w:t>5.</w:t>
        <w:tab/>
        <w:t>Boj proti dezinformáciám prijatím právnych predpisov a usmernení, ktorými sa zabezpečí, aby online platformy a spoločnosti sociálnych médií riešili ich dezinformačné zraniteľné miesta a uplatňovali opatrenia na zabezpečenie transparentnosti, napríklad vrátane algoritmov založených na umelej inteligencii, ktoré môžu zvýrazniť spoľahlivosť informácií na sociálnych médiách a nových médiách tým, že používateľovi poskytnú overené zdroje informácií. Keď sa používajú algoritmy, konečná kontrola v rozhodovacích procesoch by mala byť zodpovednosťou ľudí (odporúčanie CEP 1 46 a diskusia v pracovnej skupine).</w:t>
      </w:r>
    </w:p>
    <w:p>
      <w:pPr>
        <w:pStyle w:val="Puce3"/>
        <w:tabs>
          <w:tab w:val="clear" w:pos="720"/>
        </w:tabs>
        <w:rPr/>
      </w:pPr>
      <w:r>
        <w:rPr/>
        <w:t>6.</w:t>
        <w:tab/>
        <w:t>Podporovať digitálne platformy, ktoré prispievajú k pluralite médií a poskytujú zdroje a iniciatívy na posúdenie spoľahlivosti a nestrannosti informácií z tradičných médií (televízia, tlač, rozhlas) a iných médií pri plnom rešpektovaní zásady slobody médií a s cieľom poskytovať občanom informácie o kvalite informácií (odporúčanie CEP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Návrh: Bezpečná a dôveryhodná digitálna spoločnosť – ochrana údajov</w:t>
      </w:r>
    </w:p>
    <w:p>
      <w:pPr>
        <w:pStyle w:val="P68B1DB1Normal15"/>
        <w:rPr/>
      </w:pPr>
      <w:r>
        <w:rPr/>
        <w:t>Cieľ: Podporujeme suverenitu údajov ľudí, lepšiu informovanosť a účinnejšie vykonávanie a presadzovanie existujúcich pravidiel ochrany údajov (GDPR) s cieľom posilniť kontrolu ľudí nad ich údajmi a obmedziť zneužívanie údajov zavedením týchto opatrení:</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90"/>
      </w:r>
      <w:r>
        <w:rPr/>
        <w:t>:</w:t>
      </w:r>
    </w:p>
    <w:p>
      <w:pPr>
        <w:pStyle w:val="Puce3"/>
        <w:tabs>
          <w:tab w:val="clear" w:pos="720"/>
        </w:tabs>
        <w:rPr/>
      </w:pPr>
      <w:r>
        <w:rPr/>
        <w:t>1.</w:t>
        <w:tab/>
        <w:t>Lepšie vysvetliť pravidlá ochrany údajov, zvýšiť transparentnosť a zlepšiť komunikáciu vypracovaním usmernení pre texty informovaného súhlasu, ktoré používajú jednoduchý, jasný a zrozumiteľný jazyk, vrátane vizuálnej prezentácie s cieľom vyjadriť súhlas s používaním údajov, sprevádzať ich informačnou kampaňou, ako aj zabezpečiť, aby prevádzkovatelia mali potrebné zručnosti a radiť tým, ktorí potrebujú pomoc (odporúčania 42 a 45 holandského národného kontaktného miesta č. 1 a č. 2).</w:t>
      </w:r>
    </w:p>
    <w:p>
      <w:pPr>
        <w:pStyle w:val="Puce3"/>
        <w:tabs>
          <w:tab w:val="clear" w:pos="720"/>
        </w:tabs>
        <w:rPr/>
      </w:pPr>
      <w:r>
        <w:rPr/>
        <w:t>2.</w:t>
        <w:tab/>
        <w:t>Zabezpečiť presadzovanie existujúceho zákazu štandardného súhlasu na opakované použitie alebo ďalší predaj údajov (odporúčanie CEP č. 42 1).</w:t>
      </w:r>
    </w:p>
    <w:p>
      <w:pPr>
        <w:pStyle w:val="Puce3"/>
        <w:tabs>
          <w:tab w:val="clear" w:pos="720"/>
        </w:tabs>
        <w:rPr/>
      </w:pPr>
      <w:r>
        <w:rPr/>
        <w:t>3.</w:t>
        <w:tab/>
        <w:t>Zabezpečiť, aby sa žiadosti používateľov o konečné vymazanie údajov vyhoveli v stanovenej lehote (odporúčanie CEP č. 42).</w:t>
      </w:r>
    </w:p>
    <w:p>
      <w:pPr>
        <w:pStyle w:val="Puce3"/>
        <w:tabs>
          <w:tab w:val="clear" w:pos="720"/>
        </w:tabs>
        <w:rPr/>
      </w:pPr>
      <w:r>
        <w:rPr/>
        <w:t>4.</w:t>
        <w:tab/>
        <w:t>Poskytnúť používateľom jasné a stručné informácie o tom, ako budú údaje použité a kto ich bude používať (odporúčanie CEP č. 42 1)</w:t>
      </w:r>
    </w:p>
    <w:p>
      <w:pPr>
        <w:pStyle w:val="Puce3"/>
        <w:tabs>
          <w:tab w:val="clear" w:pos="720"/>
        </w:tabs>
        <w:rPr/>
      </w:pPr>
      <w:r>
        <w:rPr/>
        <w:t>5.</w:t>
        <w:tab/>
        <w:t>Zabezpečiť, aby neeurópske spoločnosti dodržiavali európske pravidlá ochrany údajov (odporúčania CEP 1 42 a 43).</w:t>
      </w:r>
    </w:p>
    <w:p>
      <w:pPr>
        <w:pStyle w:val="Puce3"/>
        <w:tabs>
          <w:tab w:val="clear" w:pos="720"/>
        </w:tabs>
        <w:rPr/>
      </w:pPr>
      <w:r>
        <w:rPr/>
        <w:t>6.</w:t>
        <w:tab/>
        <w:t>Podpora vytvorenia certifikačného systému na úrovni EÚ, ktorý preukazuje dodržiavanie všeobecného nariadenia o ochrane údajov dostupným, jasným a jednoduchým spôsobom, je viditeľný na webových sídlach a platformách a mal by ho vydávať nezávislý certifikačný orgán na európskej úrovni. Nemalo by to predstavovať neprimeranú záťaž pre malé a stredné podniky (odporúčanie CEP 1 č. 44 a diskusia v pracovnej skupine).</w:t>
      </w:r>
    </w:p>
    <w:p>
      <w:pPr>
        <w:pStyle w:val="Puce3"/>
        <w:tabs>
          <w:tab w:val="clear" w:pos="720"/>
        </w:tabs>
        <w:rPr/>
      </w:pPr>
      <w:r>
        <w:rPr/>
        <w:t>7.</w:t>
        <w:tab/>
        <w:t>Zabezpečiť účinnú a včasnú pomoc občanom, ktorí sa stretávajú s ťažkosťami pri namietaní proti spracovaniu svojich údajov alebo zrušení ich súhlasu. Na tento účel je potrebné na európskej úrovni lepšie vymedziť rušivé správanie a vypracovať hlavné zásady a mechanizmy, ktoré občanom umožnia namietať proti spracovaniu ich údajov a dosiahnuť ich vymazanie, ako aj identifikovať a sankcionovať podvodníkov (odporúčanie CEP 43 a diskusia v pracovnej skupine).</w:t>
      </w:r>
    </w:p>
    <w:p>
      <w:pPr>
        <w:pStyle w:val="Puce3"/>
        <w:tabs>
          <w:tab w:val="clear" w:pos="720"/>
        </w:tabs>
        <w:rPr/>
      </w:pPr>
      <w:r>
        <w:rPr/>
        <w:t>8.</w:t>
        <w:tab/>
        <w:t>Stanoviť sankcie vrátane pokuty úmernej obratu spoločností a obmedzeniam ich činností, napríklad dočasné alebo definitívne zákazy nežiaduceho spracúvania údajov, a pomáhať európskemu dozornému úradníkovi pre ochranu údajov a národným agentúram pri zabezpečovaní ich vykonávania (odporúčania CEP 1 42 a 43 a diskusia v pracovnej skupine).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Návrh: Digitálne inovácie na posilnenie sociálneho a udržateľného hospodárstva</w:t>
      </w:r>
    </w:p>
    <w:p>
      <w:pPr>
        <w:pStyle w:val="Normal"/>
        <w:rPr/>
      </w:pPr>
      <w:r>
        <w:rPr/>
        <w:t>Cieľ: Navrhujeme, aby EÚ podporovala digitalizačné opatrenia, ktoré posilňujú hospodárstvo a jednotný trh spravodlivým a udržateľným spôsobom, zvyšujú konkurencieschopnosť Európy v oblasti technológií a inovácií, zlepšujú jednotný digitálny trh pre podniky všetkých veľkostí a umiestnia Európu na popredné miesto v oblasti digitálnej transformácie a digitalizácie zameranej na človeka, pričom sa budú uplatňovať tieto opatrenia: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91"/>
      </w:r>
      <w:r>
        <w:rPr/>
        <w:t>:</w:t>
      </w:r>
    </w:p>
    <w:p>
      <w:pPr>
        <w:pStyle w:val="Puce3"/>
        <w:tabs>
          <w:tab w:val="clear" w:pos="720"/>
        </w:tabs>
        <w:rPr/>
      </w:pPr>
      <w:r>
        <w:rPr/>
        <w:t>1.</w:t>
        <w:tab/>
        <w:t>Zaviesť právne predpisy alebo posilniť existujúce právne predpisy o „mobilnej práci“ (zameranej na človeka), berúc do úvahy jej vplyv na fyzické a duševné zdravie pracovníkov, napríklad zaručením práva na odpojenie. Prístup zameraný na človeka predpokladá zásadu „ľudskej kontroly“ (odporúčanie PCE 1 č. 7 a diskusia v pracovnej skupine)</w:t>
      </w:r>
      <w:r>
        <w:rPr>
          <w:rStyle w:val="Ancredenotedefin"/>
          <w:rStyle w:val="Ancredenotedefin"/>
        </w:rPr>
        <w:endnoteReference w:id="92"/>
      </w:r>
      <w:r>
        <w:rPr/>
        <w:t>.</w:t>
      </w:r>
    </w:p>
    <w:p>
      <w:pPr>
        <w:pStyle w:val="Puce3"/>
        <w:tabs>
          <w:tab w:val="clear" w:pos="720"/>
        </w:tabs>
        <w:rPr/>
      </w:pPr>
      <w:r>
        <w:rPr/>
        <w:t>2.</w:t>
        <w:tab/>
        <w:t>Prijímanie právnych predpisov na úrovni EÚ s cieľom povzbudiť podniky, aby boli sociálne zodpovedné, a zachovať kvalitné „mobilné pracovné miesta“ v Európe, čím sa zabráni premiestneniu týchto pracovných miest do krajín s nižšími nákladmi. Stimuly môžu mať finančnú povahu a/alebo vplyv na imidž spoločnosti a mali by zohľadňovať medzinárodne uznávané environmentálne, sociálne a správne kritériá (ESG). Na tento účel by Únia mala zriadiť pracovnú skupinu zloženú z odborníkov zo všetkých zainteresovaných strán s cieľom preskúmať a posilniť tieto právne predpisy (odporúčanie CEP 7).</w:t>
      </w:r>
    </w:p>
    <w:p>
      <w:pPr>
        <w:pStyle w:val="Puce3"/>
        <w:tabs>
          <w:tab w:val="clear" w:pos="720"/>
        </w:tabs>
        <w:rPr/>
      </w:pPr>
      <w:r>
        <w:rPr/>
        <w:t>3.</w:t>
        <w:tab/>
        <w:t>Zabezpečiť ľudskú kontrolu nad rozhodovacími procesmi využívajúcimi umelú inteligenciu na pracovisku a transparentnosť použitých algoritmov; zohľadniť škodlivé účinky neobmedzeného digitálneho sledovania na pracovisku; informovanie pracovníkov a konzultácie s nimi pred zavedením digitálnych technológií, ktoré majú vplyv na pracovné podmienky; zabezpečiť, aby nové formy zamestnania, napr. práca pre platformy, boli v súlade s právami pracovníkov a poskytovali vhodné pracovné podmienky (rozprava v pracovnej skupine).</w:t>
      </w:r>
    </w:p>
    <w:p>
      <w:pPr>
        <w:pStyle w:val="Puce3"/>
        <w:tabs>
          <w:tab w:val="clear" w:pos="720"/>
        </w:tabs>
        <w:rPr/>
      </w:pPr>
      <w:r>
        <w:rPr/>
        <w:t>4.</w:t>
        <w:tab/>
        <w:t>Prijať iniciatívy na pomoc pri podpore práce na diaľku, napríklad vytvorením kancelárskych priestorov s rýchlym a spoľahlivým prístupom na internet, organizovaním digitálnej odbornej prípravy a poskytovaním zdrojov na ergonomické vybavenie pre prácu doma (odporúčanie CEP 1 17 a diskusia v pracovnej skupine).</w:t>
      </w:r>
    </w:p>
    <w:p>
      <w:pPr>
        <w:pStyle w:val="Puce3"/>
        <w:tabs>
          <w:tab w:val="clear" w:pos="720"/>
        </w:tabs>
        <w:rPr/>
      </w:pPr>
      <w:r>
        <w:rPr/>
        <w:t>5.</w:t>
        <w:tab/>
        <w:t>Vytvoriť verejne dostupnú digitálnu hodnotiacu tabuľku, ktorá vytvorí systém určovania poradia, v ktorom sa uvádza a porovnáva súčasná úroveň digitalizácie spoločností z EÚ (nemecké národné kontaktné miesta).</w:t>
      </w:r>
    </w:p>
    <w:p>
      <w:pPr>
        <w:pStyle w:val="Puce3"/>
        <w:tabs>
          <w:tab w:val="clear" w:pos="720"/>
        </w:tabs>
        <w:rPr/>
      </w:pPr>
      <w:r>
        <w:rPr/>
        <w:t>6.</w:t>
        <w:tab/>
        <w:t>Budovanie silného a konkurencieschopného digitálneho hospodárstva a rovnomerné spoločné využívanie prínosov digitálnej transformácie v celej Európe zameraním sa na technológie a inovácie ako hybnou silou rastu, podporovaním transformačného špičkového výskumu, ako aj poskytovaním priestoru pre inovačné ekosystémy vo všetkých regiónoch zlepšením prevádzkového prostredia MSP a začínajúcich podnikov a spravodlivým prístupom k financovaniu a odstránením právnej alebo inej záťaže, ktorá bráni cezhraničným činnostiam (odporúčanie talianskych národných kontaktných miest 1.3, diskusia pracovnej skupiny a viacjazyčná digitálna platforma). Budovanie dátovej infraštruktúry založenej na európskych hodnotách; uplatňovať zásady „digitálnej priority“ a „jednotného prenosu informácií“ a uľahčovať digitálny a bezpečný prístup k údajom pre inovácie a podniky; podporovať digitalizáciu verejných služieb (rozprava v pracovnej skupine a viacjazyčná digitálna platforma). Plne využiť potenciál dôveryhodného a zodpovedného využívania umelej inteligencie a využiť potenciál technológie blockchainu a cloudových služieb vymedzením záruk a noriem, ktoré zabezpečujú transparentnosť a interoperabilitu, vytvárajú dôveru, uľahčujú používanie a eliminujú diskriminačné alebo zaujaté algoritmy (rozprava v pracovnej skupine a viacjazyčnej digitálnej platforme).</w:t>
      </w:r>
    </w:p>
    <w:p>
      <w:pPr>
        <w:pStyle w:val="Puce3"/>
        <w:tabs>
          <w:tab w:val="clear" w:pos="720"/>
        </w:tabs>
        <w:rPr/>
      </w:pPr>
      <w:r>
        <w:rPr/>
        <w:t>9.</w:t>
        <w:tab/>
        <w:t>Podporovať slobodný softvér, jeho používanie vo vzdelávaní a odbornej príprave a voľný prístup k výskumu a softvéru financovanému z verejných zdrojov (rozprava v rámci pracovnej skupiny a viacjazyčnej digitálnej platformy).</w:t>
      </w:r>
    </w:p>
    <w:p>
      <w:pPr>
        <w:pStyle w:val="Puce3"/>
        <w:tabs>
          <w:tab w:val="clear" w:pos="720"/>
        </w:tabs>
        <w:rPr/>
      </w:pPr>
      <w:r>
        <w:rPr/>
        <w:t>10.</w:t>
        <w:tab/>
        <w:t>Zaviesť spoločnú európsku digitálnu identitu s cieľom uľahčiť cezhraničné digitálne transakcie a služby prostredníctvom rámca európskych noriem a hlavných zásad, ktoré poskytujú potrebné záruky (rozprava v pracovnej skupine a viacjazyčná digitálna platforma).</w:t>
      </w:r>
    </w:p>
    <w:p>
      <w:pPr>
        <w:pStyle w:val="Puce3"/>
        <w:tabs>
          <w:tab w:val="clear" w:pos="720"/>
        </w:tabs>
        <w:rPr/>
      </w:pPr>
      <w:r>
        <w:rPr/>
        <w:t>11.</w:t>
        <w:tab/>
        <w:t>Posúdiť, či by bolo možné digitalizovať informácie o spotrebiteľských a potravinových výrobkoch prostredníctvom štandardizovanej európskej aplikácie, ktorá by poskytla užívateľsky ústretovejší prístup k informáciám a poskytla by dodatočné informácie o výrobkoch a výrobnom reťazci (odporúčanie CEP č.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Obrázok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ok27"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Európska demokracia“</w:t>
      </w:r>
    </w:p>
    <w:p>
      <w:pPr>
        <w:pStyle w:val="Titre3"/>
        <w:numPr>
          <w:ilvl w:val="2"/>
          <w:numId w:val="2"/>
        </w:numPr>
        <w:rPr/>
      </w:pPr>
      <w:bookmarkStart w:id="87" w:name="__RefHeading___Toc298348_1346298689"/>
      <w:bookmarkEnd w:id="87"/>
      <w:r>
        <w:rPr/>
        <w:t>36. Návrh: Informovanie občanov, účasť a mládež</w:t>
      </w:r>
    </w:p>
    <w:p>
      <w:pPr>
        <w:pStyle w:val="P68B1DB1Normal15"/>
        <w:rPr/>
      </w:pPr>
      <w:r>
        <w:rPr/>
        <w:t>Cieľ: Zvýšiť účasť občanov a zapojenie mladých ľudí do demokracie na úrovni EÚ s cieľom vytvoriť pre Európanov „úplné skúsenosti občanov“; zabezpečiť, aby sa zohľadnili ich názory, a to aj mimo volebných období, a aby ich účasť bola skutočná. Preto je potrebné určiť, ktorá forma účasti je pre každú tému najvhodnejšia, napríklad: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Rozvoj nových mechanizmov účasti občanov a zefektívnenie existujúcich mechanizmov v súlade s európskym acquis a zároveň zlepšenie komunikácie o všetkých týchto mechanizmoch. V ideálnom prípade by sa všetky informácie o participatívnych priestoroch mali zhrnúť</w:t>
      </w:r>
      <w:r>
        <w:rPr>
          <w:rStyle w:val="Ancredenotedefin"/>
          <w:rStyle w:val="Ancredenotedefin"/>
        </w:rPr>
        <w:endnoteReference w:id="93"/>
      </w:r>
      <w:r>
        <w:rPr/>
        <w:t xml:space="preserve"> na kompletnej oficiálnej webovej stránke s rôznymi funkciami</w:t>
      </w:r>
      <w:r>
        <w:rPr>
          <w:rStyle w:val="Ancredenotedefin"/>
          <w:rStyle w:val="Ancredenotedefin"/>
        </w:rPr>
        <w:endnoteReference w:id="94"/>
      </w:r>
      <w:r>
        <w:rPr/>
        <w:t>. Mal by sa vytvoriť mechanizmus monitorovania politických a legislatívnych iniciatív vyplývajúcich z procesov participatívnej demokracie</w:t>
      </w:r>
      <w:r>
        <w:rPr>
          <w:rStyle w:val="Ancredenotedefin"/>
          <w:rStyle w:val="Ancredenotedefin"/>
        </w:rPr>
        <w:endnoteReference w:id="95"/>
      </w:r>
      <w:r>
        <w:rPr/>
        <w:t>. Participatívne mechanizmy by sa mali všetky zamerať na celú populáciu s cieľom osloviť rôzne publikum. Pozornosť by sa mala venovať obsahu, témam a zručnostiam moderátorov. Tieto mechanizmy by mali byť založené na analýze účinkov príslušných opatrení, najmä na ženy a zraniteľné osoby</w:t>
      </w:r>
      <w:r>
        <w:rPr>
          <w:rStyle w:val="Ancredenotedefin"/>
          <w:rStyle w:val="Ancredenotedefin"/>
        </w:rPr>
        <w:endnoteReference w:id="96"/>
      </w:r>
      <w:r>
        <w:rPr/>
        <w:t>.</w:t>
      </w:r>
    </w:p>
    <w:p>
      <w:pPr>
        <w:pStyle w:val="Puce3"/>
        <w:tabs>
          <w:tab w:val="clear" w:pos="720"/>
        </w:tabs>
        <w:rPr/>
      </w:pPr>
      <w:r>
        <w:rPr/>
        <w:t>2.</w:t>
        <w:tab/>
        <w:t>Zvyšovaním frekvencie online a offline interakcií medzi inštitúciami EÚ a občanmi rôznymi prostriedkami s cieľom zabezpečiť, aby sa mohli zúčastňovať na procese tvorby európskej politiky, vyjadrovať svoje názory a získavať spätnú väzbu a vypracovať chartu účasti občanov pre európskych úradníkov</w:t>
      </w:r>
      <w:r>
        <w:rPr>
          <w:rStyle w:val="Ancredenotedefin"/>
          <w:rStyle w:val="Ancredenotedefin"/>
        </w:rPr>
        <w:endnoteReference w:id="97"/>
      </w:r>
      <w:r>
        <w:rPr/>
        <w:t>.</w:t>
      </w:r>
    </w:p>
    <w:p>
      <w:pPr>
        <w:pStyle w:val="Puce3"/>
        <w:tabs>
          <w:tab w:val="clear" w:pos="720"/>
        </w:tabs>
        <w:rPr/>
      </w:pPr>
      <w:r>
        <w:rPr/>
        <w:t>3.</w:t>
        <w:tab/>
        <w:t>Navrhnúť používateľsky ústretovú digitálnu platformu, v ktorej by sa občania, a najmä mladí ľudia, mohli podeliť o svoje nápady, klásť otázky zástupcom európskych inštitúcií a vyjadriť svoje názory na dôležité európske otázky, ako aj legislatívne návrhy. Malo by sa tiež ustanoviť možnosť organizovať online prieskumy na tejto platforme</w:t>
      </w:r>
      <w:r>
        <w:rPr>
          <w:rStyle w:val="Ancredenotedefin"/>
          <w:rStyle w:val="Ancredenotedefin"/>
        </w:rPr>
        <w:endnoteReference w:id="98"/>
      </w:r>
      <w:r>
        <w:rPr/>
        <w:t>.</w:t>
      </w:r>
    </w:p>
    <w:p>
      <w:pPr>
        <w:pStyle w:val="Puce3"/>
        <w:tabs>
          <w:tab w:val="clear" w:pos="720"/>
        </w:tabs>
        <w:rPr/>
      </w:pPr>
      <w:r>
        <w:rPr/>
        <w:t>4.</w:t>
        <w:tab/>
        <w:t>Zlepšenie a harmonizácia existujúcich mechanizmov na európskej, vnútroštátnej a miestnej úrovni, aby sa stali bezpečnejšími, prístupnejšími, viditeľnejšími a inkluzívnejšími</w:t>
      </w:r>
      <w:r>
        <w:rPr>
          <w:rStyle w:val="Ancredenotedefin"/>
          <w:rStyle w:val="Ancredenotedefin"/>
        </w:rPr>
        <w:endnoteReference w:id="99"/>
      </w:r>
      <w:r>
        <w:rPr/>
        <w:t>.</w:t>
      </w:r>
    </w:p>
    <w:p>
      <w:pPr>
        <w:pStyle w:val="Puce3"/>
        <w:tabs>
          <w:tab w:val="clear" w:pos="720"/>
        </w:tabs>
        <w:rPr/>
      </w:pPr>
      <w:r>
        <w:rPr/>
        <w:t>5.</w:t>
        <w:tab/>
        <w:t>Zapojenie organizácií občianskej spoločnosti, regionálnych a miestnych orgánov a existujúcich subjektov, ako je Európsky hospodársky a sociálny výbor (EHSV) a Výbor regiónov (VR</w:t>
      </w:r>
      <w:r>
        <w:rPr>
          <w:rStyle w:val="Ancredenotedefin"/>
          <w:rStyle w:val="Ancredenotedefin"/>
        </w:rPr>
        <w:endnoteReference w:id="100"/>
      </w:r>
      <w:r>
        <w:rPr/>
        <w:t>), do procesov účasti občanov</w:t>
      </w:r>
      <w:r>
        <w:rPr>
          <w:rStyle w:val="Ancredenotedefin"/>
          <w:rStyle w:val="Ancredenotedefin"/>
        </w:rPr>
        <w:endnoteReference w:id="101"/>
      </w:r>
      <w:r>
        <w:rPr/>
        <w:t>.</w:t>
      </w:r>
    </w:p>
    <w:p>
      <w:pPr>
        <w:pStyle w:val="Puce3"/>
        <w:tabs>
          <w:tab w:val="clear" w:pos="720"/>
        </w:tabs>
        <w:rPr/>
      </w:pPr>
      <w:r>
        <w:rPr/>
        <w:t>6.</w:t>
        <w:tab/>
        <w:t>Vytvorením systému miestnych poradcov EÚ s cieľom priblížiť európske inštitúcie európskym občanom</w:t>
      </w:r>
      <w:r>
        <w:rPr>
          <w:rStyle w:val="Ancredenotedefin"/>
          <w:rStyle w:val="Ancredenotedefin"/>
        </w:rPr>
        <w:endnoteReference w:id="102"/>
      </w:r>
      <w:r>
        <w:rPr/>
        <w:t>.</w:t>
      </w:r>
    </w:p>
    <w:p>
      <w:pPr>
        <w:pStyle w:val="Puce3"/>
        <w:tabs>
          <w:tab w:val="clear" w:pos="720"/>
        </w:tabs>
        <w:rPr/>
      </w:pPr>
      <w:r>
        <w:rPr/>
        <w:t>7.</w:t>
        <w:tab/>
        <w:t>Pravidelné združovanie zhromaždení občanov na právne záväznom základe práva EÚ. Účastníci sa vyberú žrebovaním podľa kritérií reprezentatívnosti a účasť sa bude dôrazne podporovať. V prípade potreby odborníci poskytnú členom zhromaždenia informácie relevantné pre ich rokovania. Ak inštitúcie nezohľadnia závery týchto stretnutí, budú musieť svoje rozhodnutie odôvodniť</w:t>
      </w:r>
      <w:r>
        <w:rPr>
          <w:rStyle w:val="Ancredenotedefin"/>
          <w:rStyle w:val="Ancredenotedefin"/>
        </w:rPr>
        <w:endnoteReference w:id="103"/>
      </w:r>
      <w:r>
        <w:rPr/>
        <w:t>. Je dôležité, aby volení zástupcovia pred prijatím politických rozhodnutí konzultovali s občanmi a občianskou spoločnosťou a zohľadnili ich príspevky. Európska únia je založená na zastupiteľskej demokracii: občania vo voľbách do Európskeho parlamentu vysielajú svojim zástupcom jasný signál a nepriamo hovoria o politikách EÚ</w:t>
      </w:r>
      <w:r>
        <w:rPr>
          <w:rStyle w:val="Ancredenotedefin"/>
          <w:rStyle w:val="Ancredenotedefin"/>
        </w:rPr>
        <w:endnoteReference w:id="104"/>
      </w:r>
      <w:r>
        <w:rPr/>
        <w:t>.</w:t>
      </w:r>
    </w:p>
    <w:p>
      <w:pPr>
        <w:pStyle w:val="Puce3"/>
        <w:tabs>
          <w:tab w:val="clear" w:pos="720"/>
        </w:tabs>
        <w:rPr/>
      </w:pPr>
      <w:r>
        <w:rPr/>
        <w:t>8.</w:t>
        <w:tab/>
        <w:t>Poskytovanie posilnenej finančnej alebo inej štrukturálnej podpory občianskej spoločnosti, najmä mládeži, a miestnym orgánom pri zriaďovaní miestnych rád mládeže</w:t>
      </w:r>
      <w:r>
        <w:rPr>
          <w:rStyle w:val="Ancredenotedefin"/>
          <w:rStyle w:val="Ancredenotedefin"/>
        </w:rPr>
        <w:endnoteReference w:id="105"/>
      </w:r>
      <w:r>
        <w:rPr/>
        <w:t>; zapojenie občianskej spoločnosti a sociálnych partnerov by mohlo byť úplným pilierom akčného plánu pre európsku demokraciu a občianskej spoločnosti by sa mohla venovať osobitná stratégia</w:t>
      </w:r>
      <w:r>
        <w:rPr>
          <w:rStyle w:val="Ancredenotedefin"/>
          <w:rStyle w:val="Ancredenotedefin"/>
        </w:rPr>
        <w:endnoteReference w:id="106"/>
      </w:r>
      <w:r>
        <w:rPr/>
        <w:t>.</w:t>
      </w:r>
    </w:p>
    <w:p>
      <w:pPr>
        <w:pStyle w:val="Puce3"/>
        <w:tabs>
          <w:tab w:val="clear" w:pos="720"/>
        </w:tabs>
        <w:rPr/>
      </w:pPr>
      <w:r>
        <w:rPr/>
        <w:t>9.</w:t>
        <w:tab/>
        <w:t>Zavedenie „kontroly mládeže“ právnych predpisov, ktorá by zahŕňala posúdenie vplyvu a mechanizmus konzultácií so zástupcami mládeže, kde je pravdepodobné, že právne predpisy budú mať vplyv na mladých ľudí</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Posilnením spolupráce medzi zákonodarcami EÚ a organizáciami občianskej spoločnosti s cieľom využiť ich väzby medzi rozhodovacími orgánmi a občanmi</w:t>
      </w:r>
      <w:r>
        <w:rPr>
          <w:rStyle w:val="Ancredenotedefin"/>
          <w:rStyle w:val="Ancredenotedefin"/>
        </w:rPr>
        <w:endnoteReference w:id="108"/>
      </w:r>
      <w:r>
        <w:rPr/>
        <w:t>.</w:t>
      </w:r>
    </w:p>
    <w:p>
      <w:pPr>
        <w:pStyle w:val="Puce3"/>
        <w:tabs>
          <w:tab w:val="clear" w:pos="720"/>
        </w:tabs>
        <w:rPr/>
      </w:pPr>
      <w:r>
        <w:rPr/>
        <w:t>11.</w:t>
        <w:tab/>
        <w:t>Zhrnutie bodov týkajúcich sa účasti občanov na Európskej charte príspevkov občanov k európskym záležitostiam.</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Návrh: Informácie pre občanov, účasť a mládež (a)</w:t>
      </w:r>
    </w:p>
    <w:p>
      <w:pPr>
        <w:pStyle w:val="P68B1DB1Normal15"/>
        <w:rPr/>
      </w:pPr>
      <w:r>
        <w:rPr/>
        <w:t>Cieľ: Zvýšiť zrozumiteľnosť a prístupnosť Európskej únie; posilnenie spoločnej európskej identity, najmä: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Zabezpečenie minimálneho množstva vzdelania v Európskej únii, najmä v jej demokratických procesoch, bez toho, aby sa zanedbávali dejiny európskej integrácie a európskeho občianstva. Ľudia všetkých vekových kategórií by mali mať možnosť využívať tieto programy, ktoré by mali byť navrhnuté atraktívnym a vekovo primeraným spôsobom, ako je rozvoj osobitných vzdelávacích programov a materiálov pre deti, školy</w:t>
      </w:r>
      <w:r>
        <w:rPr>
          <w:rStyle w:val="Ancredenotedefin"/>
          <w:rStyle w:val="Ancredenotedefin"/>
        </w:rPr>
        <w:endnoteReference w:id="110"/>
      </w:r>
      <w:r>
        <w:rPr/>
        <w:t xml:space="preserve"> a organizácie občianskej spoločnosti pôsobiace v oblasti neformálneho vzdelávania</w:t>
      </w:r>
      <w:r>
        <w:rPr>
          <w:rStyle w:val="Ancredenotedefin"/>
          <w:rStyle w:val="Ancredenotedefin"/>
        </w:rPr>
        <w:endnoteReference w:id="111"/>
      </w:r>
      <w:r>
        <w:rPr/>
        <w:t>.</w:t>
      </w:r>
    </w:p>
    <w:p>
      <w:pPr>
        <w:pStyle w:val="Puce3"/>
        <w:tabs>
          <w:tab w:val="clear" w:pos="720"/>
        </w:tabs>
        <w:rPr/>
      </w:pPr>
      <w:r>
        <w:rPr/>
        <w:t>2.</w:t>
        <w:tab/>
        <w:t>Inkluzívne zabezpečiť, aby všetci občania mali ľahký prístup k spoľahlivým informáciám o Únii. Európske inštitúcie by mali používať prístupnejší jazyk a vyhýbať sa používaniu byrokratického žargónu vo svojej komunikácii pri zachovaní kvality a technickej úrovne</w:t>
      </w:r>
      <w:r>
        <w:rPr>
          <w:rStyle w:val="Ancredenotedefin"/>
          <w:rStyle w:val="Ancredenotedefin"/>
        </w:rPr>
        <w:endnoteReference w:id="112"/>
      </w:r>
      <w:r>
        <w:rPr/>
        <w:t xml:space="preserve"> poskytovaných informácií a prispôsobiť informácie rôznym komunikačným kanálom a profilom príjemcov</w:t>
      </w:r>
      <w:r>
        <w:rPr>
          <w:rStyle w:val="Ancredenotedefin"/>
          <w:rStyle w:val="Ancredenotedefin"/>
        </w:rPr>
        <w:endnoteReference w:id="113"/>
      </w:r>
      <w:r>
        <w:rPr/>
        <w:t>. Osobitné úsilie by sa malo vyvinúť na oslovenie mladých ľudí na sociálnych sieťach, ale aj prostredníctvom mládežníckych hnutí a rôznych „veľvyslancov“ (organizácií a jednotlivcov) vysvetľujúcich</w:t>
      </w:r>
      <w:r>
        <w:rPr>
          <w:rStyle w:val="Ancredenotedefin"/>
          <w:rStyle w:val="Ancredenotedefin"/>
        </w:rPr>
        <w:endnoteReference w:id="114"/>
      </w:r>
      <w:r>
        <w:rPr/>
        <w:t xml:space="preserve"> európsky projekt</w:t>
      </w:r>
      <w:r>
        <w:rPr>
          <w:rStyle w:val="Ancredenotedefin"/>
          <w:rStyle w:val="Ancredenotedefin"/>
        </w:rPr>
        <w:endnoteReference w:id="115"/>
      </w:r>
      <w:r>
        <w:rPr/>
        <w:t>.</w:t>
      </w:r>
    </w:p>
    <w:p>
      <w:pPr>
        <w:pStyle w:val="Puce3"/>
        <w:tabs>
          <w:tab w:val="clear" w:pos="720"/>
        </w:tabs>
        <w:rPr/>
      </w:pPr>
      <w:r>
        <w:rPr/>
        <w:t>3.</w:t>
        <w:tab/>
        <w:t>Intenzívnejšie využívanie umelej inteligencie a technológií strojového prekladu na prekonanie jazykovej bariéry</w:t>
      </w:r>
      <w:r>
        <w:rPr>
          <w:rStyle w:val="Ancredenotedefin"/>
          <w:rStyle w:val="Ancredenotedefin"/>
        </w:rPr>
        <w:endnoteReference w:id="116"/>
      </w:r>
      <w:r>
        <w:rPr/>
        <w:t>, zabezpečenie</w:t>
      </w:r>
      <w:r>
        <w:rPr>
          <w:rStyle w:val="Ancredenotedefin"/>
          <w:rStyle w:val="Ancredenotedefin"/>
        </w:rPr>
        <w:endnoteReference w:id="117"/>
      </w:r>
      <w:r>
        <w:rPr/>
        <w:t>toho, aby všetky digitálne nástroje boli prístupné pre ľudí so zdravotným postihnutím</w:t>
      </w:r>
      <w:r>
        <w:rPr>
          <w:rStyle w:val="Ancredenotedefin"/>
          <w:rStyle w:val="Ancredenotedefin"/>
        </w:rPr>
        <w:endnoteReference w:id="118"/>
      </w:r>
      <w:r>
        <w:rPr/>
        <w:t xml:space="preserve"> a ľahko použiteľné.</w:t>
      </w:r>
    </w:p>
    <w:p>
      <w:pPr>
        <w:pStyle w:val="Puce3"/>
        <w:tabs>
          <w:tab w:val="clear" w:pos="720"/>
        </w:tabs>
        <w:rPr/>
      </w:pPr>
      <w:r>
        <w:rPr/>
        <w:t>4.</w:t>
        <w:tab/>
        <w:t>Obhajovaním a podporou slobody, plurality a nezávislosti médií a nabádaním médií vrátane verejnoprávnych vysielateľov, verejnoprávnych spravodajských agentúr a európskych médií, aby pravidelnejšie pokrývali európske záležitosti pri súčasnom rešpektovaní ich slobody a nezávislosti, aby takéto spravodajstvo bolo pravidelné a komplexné vo všetkých členských štátoch Únie,</w:t>
      </w:r>
      <w:r>
        <w:rPr>
          <w:rStyle w:val="Ancredenotedefin"/>
          <w:rStyle w:val="Ancredenotedefin"/>
        </w:rPr>
        <w:endnoteReference w:id="119"/>
      </w:r>
      <w:r>
        <w:rPr/>
        <w:t>zvýšilo úsilie v boji proti dezinformáciám a zahraničnému zasahovaniu a chránilo novinárov</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Priblížením Európy k občanom posilnením</w:t>
      </w:r>
      <w:r>
        <w:rPr>
          <w:rStyle w:val="Ancredenotedefin"/>
          <w:rStyle w:val="Ancredenotedefin"/>
        </w:rPr>
        <w:endnoteReference w:id="121"/>
      </w:r>
      <w:r>
        <w:rPr/>
        <w:t xml:space="preserve"> kontaktných miest a špecializovaných centier (ďalej len „domy Európy“) na miestnej úrovni, ktoré by občanom poskytovali zdroje, informácie a poradenstvo o európskych otázkach, počúvali ich obavy a diskutovali so združeniami s cieľom pomôcť priblížiť názory občanov na európsku úroveň</w:t>
      </w:r>
      <w:r>
        <w:rPr>
          <w:rStyle w:val="Ancredenotedefin"/>
          <w:rStyle w:val="Ancredenotedefin"/>
        </w:rPr>
        <w:endnoteReference w:id="122"/>
      </w:r>
      <w:r>
        <w:rPr/>
        <w:t>.</w:t>
      </w:r>
    </w:p>
    <w:p>
      <w:pPr>
        <w:pStyle w:val="Puce3"/>
        <w:tabs>
          <w:tab w:val="clear" w:pos="720"/>
        </w:tabs>
        <w:rPr/>
      </w:pPr>
      <w:r>
        <w:rPr/>
        <w:t>6.</w:t>
        <w:tab/>
        <w:t>Prijatím nových opatrení na posilnenie spoločnej identity medzi Európanmi, napríklad prostredníctvom fondu EÚ, ktorý by podporoval online a offline interakcie (ako sú výmenné programy, panely alebo stretnutia) s rôznou dĺžkou trvania medzi občanmi EÚ, organizovanie európskych športových podujatí, vytvorenie spoločných tímov alebo vytvorenie ďalších sviatkov 9. mája (Deň Európy)</w:t>
      </w:r>
      <w:r>
        <w:rPr>
          <w:rStyle w:val="Ancredenotedefin"/>
          <w:rStyle w:val="Ancredenotedefin"/>
        </w:rPr>
        <w:endnoteReference w:id="123"/>
      </w:r>
      <w:r>
        <w:rPr/>
        <w:t xml:space="preserve"> pre všetkých európskych občanov</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Návrh: Demokracia a voľby</w:t>
      </w:r>
    </w:p>
    <w:p>
      <w:pPr>
        <w:pStyle w:val="Normal"/>
        <w:rPr/>
      </w:pPr>
      <w:r>
        <w:rPr/>
        <w:t>Cieľ: Posilnenie európskej demokracie posilnením jej základov, podnecovaním občanov k účasti na európskych voľbách, podporou nadnárodných diskusií o európskych otázkach a zabezpečením silného prepojenia medzi občanmi a ich volenými zástupcami, najmä: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Zabezpečenie ochrany európskych hodnôt zakotvených v zmluvách vrátane právneho štátu a silného sociálneho modelu</w:t>
      </w:r>
      <w:r>
        <w:rPr>
          <w:rStyle w:val="Ancredenotedefin"/>
          <w:rStyle w:val="Ancredenotedefin"/>
        </w:rPr>
        <w:endnoteReference w:id="125"/>
      </w:r>
      <w:r>
        <w:rPr/>
        <w:t>, ktoré tvoria jadro európskej demokracie. Únia by vo svojich vzťahoch so zvyškom sveta mala uprednostniť spoločné demokratické hodnoty v pohraničných krajinách. Až po dosiahnutí tohto cieľa sa môže stať veľvyslankyňou nášho demokratického modelu v krajinách, ktoré majú kapacitu a vôľu tak urobiť prostredníctvom diplomacie a dialógu</w:t>
      </w:r>
      <w:r>
        <w:rPr>
          <w:rStyle w:val="Ancredenotedefin"/>
          <w:rStyle w:val="Ancredenotedefin"/>
        </w:rPr>
        <w:endnoteReference w:id="126"/>
      </w:r>
      <w:r>
        <w:rPr/>
        <w:t>.</w:t>
      </w:r>
    </w:p>
    <w:p>
      <w:pPr>
        <w:pStyle w:val="Puce3"/>
        <w:tabs>
          <w:tab w:val="clear" w:pos="720"/>
        </w:tabs>
        <w:rPr/>
      </w:pPr>
      <w:r>
        <w:rPr/>
        <w:t>2.</w:t>
        <w:tab/>
        <w:t>Zavedením možnosti usporiadania referenda v celej Únii na podnet Európskeho parlamentu výnimočne, ak sa ukáže, že téma je mimoriadne dôležitá pre všetkých európskych občanov</w:t>
      </w:r>
      <w:r>
        <w:rPr>
          <w:rStyle w:val="Ancredenotedefin"/>
          <w:rStyle w:val="Ancredenotedefin"/>
        </w:rPr>
        <w:endnoteReference w:id="127"/>
      </w:r>
      <w:r>
        <w:rPr/>
        <w:t>.</w:t>
      </w:r>
    </w:p>
    <w:p>
      <w:pPr>
        <w:pStyle w:val="Puce3"/>
        <w:tabs>
          <w:tab w:val="clear" w:pos="720"/>
        </w:tabs>
        <w:rPr/>
      </w:pPr>
      <w:r>
        <w:rPr/>
        <w:t>3.</w:t>
        <w:tab/>
        <w:t>Zmenou volebného práva Únie s cieľom harmonizovať pravidlá pre európske voľby (napr. vek plnoletosti, dátum volieb, požiadavky vzťahujúce sa na volebné obvody, kandidátov, politické strany a ich financovanie), ako aj prechodom na celoeurópske alebo nadnárodné zoznamy</w:t>
      </w:r>
      <w:r>
        <w:rPr>
          <w:rStyle w:val="Ancredenotedebasdepage"/>
          <w:rStyle w:val="Ancredenotedebasdepage"/>
        </w:rPr>
        <w:footnoteReference w:id="11"/>
      </w:r>
      <w:r>
        <w:rPr/>
        <w:t xml:space="preserve"> vrátane kandidátov z rôznych členských štátov po zohľadnení</w:t>
      </w:r>
      <w:r>
        <w:rPr>
          <w:rStyle w:val="Ancredenotedefin"/>
          <w:rStyle w:val="Ancredenotedefin"/>
        </w:rPr>
        <w:endnoteReference w:id="128"/>
      </w:r>
      <w:r>
        <w:rPr/>
        <w:t xml:space="preserve"> názorov občanov členských štátov v tejto veci</w:t>
      </w:r>
      <w:r>
        <w:rPr>
          <w:rStyle w:val="Ancredenotedefin"/>
          <w:rStyle w:val="Ancredenotedefin"/>
        </w:rPr>
        <w:endnoteReference w:id="129"/>
      </w:r>
      <w:r>
        <w:rPr/>
        <w:t>.</w:t>
      </w:r>
    </w:p>
    <w:p>
      <w:pPr>
        <w:pStyle w:val="Alineanegatifpuce"/>
        <w:numPr>
          <w:ilvl w:val="0"/>
          <w:numId w:val="3"/>
        </w:numPr>
        <w:rPr/>
      </w:pPr>
      <w:r>
        <w:rPr/>
        <w:t xml:space="preserve"> </w:t>
      </w:r>
      <w:r>
        <w:rPr/>
        <w:t>Niektorí poslanci Európskeho parlamentu by mali byť volení z celoeurópskych zoznamov, zatiaľ čo ostatní by sa vyberali na úrovni členských štátov</w:t>
      </w:r>
      <w:r>
        <w:rPr>
          <w:rStyle w:val="Ancredenotedefin"/>
          <w:rStyle w:val="Ancredenotedefin"/>
        </w:rPr>
        <w:endnoteReference w:id="130"/>
      </w:r>
      <w:r>
        <w:rPr/>
        <w:t>.</w:t>
      </w:r>
    </w:p>
    <w:p>
      <w:pPr>
        <w:pStyle w:val="Alineanegatifpuce"/>
        <w:numPr>
          <w:ilvl w:val="0"/>
          <w:numId w:val="3"/>
        </w:numPr>
        <w:rPr/>
      </w:pPr>
      <w:r>
        <w:rPr/>
        <w:t xml:space="preserve"> </w:t>
      </w:r>
      <w:r>
        <w:rPr/>
        <w:t>Cieľom reformy by malo byť aj uľahčenie digitálneho hlasovania</w:t>
      </w:r>
      <w:r>
        <w:rPr>
          <w:rStyle w:val="Ancredenotedefin"/>
          <w:rStyle w:val="Ancredenotedefin"/>
        </w:rPr>
        <w:endnoteReference w:id="131"/>
      </w:r>
      <w:r>
        <w:rPr/>
        <w:t xml:space="preserve"> a zaručenie skutočného práva osôb so zdravotným postihnutím voliť</w:t>
      </w:r>
      <w:r>
        <w:rPr>
          <w:rStyle w:val="Ancredenotedefin"/>
          <w:rStyle w:val="Ancredenotedefin"/>
        </w:rPr>
        <w:endnoteReference w:id="132"/>
      </w:r>
      <w:r>
        <w:rPr/>
        <w:t>.</w:t>
      </w:r>
    </w:p>
    <w:p>
      <w:pPr>
        <w:pStyle w:val="Puce3"/>
        <w:tabs>
          <w:tab w:val="clear" w:pos="720"/>
        </w:tabs>
        <w:rPr/>
      </w:pPr>
      <w:r>
        <w:rPr/>
        <w:t>4.</w:t>
        <w:tab/>
        <w:t>Posilnenie väzieb medzi občanmi a ich volenými zástupcami s prihliadnutím na národné osobitosti: občania chcú mať pocit, že poslanci EP a poslanci národných parlamentov sú im blízki a reagujú na ich obavy konkrétnymi opatreniami</w:t>
      </w:r>
      <w:r>
        <w:rPr>
          <w:rStyle w:val="Ancredenotedefin"/>
          <w:rStyle w:val="Ancredenotedefin"/>
        </w:rPr>
        <w:endnoteReference w:id="133"/>
      </w:r>
      <w:r>
        <w:rPr/>
        <w:t>. Je to univerzálny problém a ľudia všetkých vekových kategórií by sa mali zapojiť</w:t>
      </w:r>
      <w:r>
        <w:rPr>
          <w:rStyle w:val="Ancredenotedefin"/>
          <w:rStyle w:val="Ancredenotedefin"/>
        </w:rPr>
        <w:endnoteReference w:id="134"/>
      </w:r>
      <w:r>
        <w:rPr/>
        <w:t>.</w:t>
      </w:r>
    </w:p>
    <w:p>
      <w:pPr>
        <w:pStyle w:val="Alineanegatifpuce"/>
        <w:numPr>
          <w:ilvl w:val="0"/>
          <w:numId w:val="3"/>
        </w:numPr>
        <w:rPr/>
      </w:pPr>
      <w:r>
        <w:rPr/>
        <w:t xml:space="preserve"> </w:t>
      </w:r>
      <w:r>
        <w:rPr/>
        <w:t>Európski občania by mali mať väčšiu váhu pri voľbe predsedu Komisie. Tento cieľ by sa mohol dosiahnuť priamou voľbou predsedu Komisie</w:t>
      </w:r>
      <w:r>
        <w:rPr>
          <w:rStyle w:val="Ancredenotedefin"/>
          <w:rStyle w:val="Ancredenotedefin"/>
        </w:rPr>
        <w:endnoteReference w:id="135"/>
      </w:r>
      <w:r>
        <w:rPr/>
        <w:t xml:space="preserve"> alebo systémom kandidátov na najvyšší zoznam</w:t>
      </w:r>
      <w:r>
        <w:rPr>
          <w:rStyle w:val="Ancredenotedebasdepage"/>
          <w:rStyle w:val="Ancredenotedebasdepage"/>
        </w:rPr>
        <w:footnoteReference w:id="12"/>
      </w:r>
      <w:r>
        <w:rPr/>
        <w:t>.</w:t>
      </w:r>
    </w:p>
    <w:p>
      <w:pPr>
        <w:pStyle w:val="Alineanegatifpuce"/>
        <w:numPr>
          <w:ilvl w:val="0"/>
          <w:numId w:val="3"/>
        </w:numPr>
        <w:rPr/>
      </w:pPr>
      <w:r>
        <w:rPr/>
        <w:t xml:space="preserve"> </w:t>
      </w:r>
      <w:r>
        <w:rPr/>
        <w:t>Európsky parlament by mal mať právo na legislatívnu iniciatívu s cieľom navrhnúť</w:t>
      </w:r>
      <w:r>
        <w:rPr>
          <w:rStyle w:val="Ancredenotedefin"/>
          <w:rStyle w:val="Ancredenotedefin"/>
        </w:rPr>
        <w:endnoteReference w:id="136"/>
      </w:r>
      <w:r>
        <w:rPr/>
        <w:t xml:space="preserve"> témy na diskusiu a potom prijať potrebné texty na nadviazanie na odporúčania vyplývajúce z rokovaní</w:t>
      </w:r>
      <w:r>
        <w:rPr>
          <w:rStyle w:val="Ancredenotedefin"/>
          <w:rStyle w:val="Ancredenotedefin"/>
        </w:rPr>
        <w:endnoteReference w:id="137"/>
      </w:r>
      <w:r>
        <w:rPr/>
        <w:t>.</w:t>
      </w:r>
    </w:p>
    <w:p>
      <w:pPr>
        <w:pStyle w:val="Alineanegatifpuce"/>
        <w:numPr>
          <w:ilvl w:val="0"/>
          <w:numId w:val="3"/>
        </w:numPr>
        <w:rPr/>
      </w:pPr>
      <w:r>
        <w:rPr/>
        <w:t xml:space="preserve"> </w:t>
      </w:r>
      <w:r>
        <w:rPr/>
        <w:t>Európsky parlament by mal rozhodnúť o rozpočte EÚ, ako to robia parlamenty na vnútroštátnej úrovni</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Politické strany, organizácie občianskej spoločnosti a odborové zväzy by mali byť dynamickejšie a prístupnejšie, aby sa občania zapájali a viac investovali do európskej demokracie</w:t>
      </w:r>
      <w:r>
        <w:rPr>
          <w:rStyle w:val="Ancredenotedefin"/>
          <w:rStyle w:val="Ancredenotedefin"/>
        </w:rPr>
        <w:endnoteReference w:id="139"/>
      </w:r>
      <w:r>
        <w:rPr/>
        <w:t>. Podporilo by to aj začlenenie európskych otázok do verejných diskusií organizovaných politickými stranami, organizáciami občianskej spoločnosti a sociálnymi partnermi, či už pred voľbami do Európskeho parlamentu alebo pred voľbami na vnútroštátnej, regionálnej alebo miestnej úrovni</w:t>
      </w:r>
      <w:r>
        <w:rPr>
          <w:rStyle w:val="Ancredenotedefin"/>
          <w:rStyle w:val="Ancredenotedefin"/>
        </w:rPr>
        <w:endnoteReference w:id="140"/>
      </w:r>
      <w:r>
        <w:rPr/>
        <w:t>.</w:t>
      </w:r>
    </w:p>
    <w:p>
      <w:pPr>
        <w:pStyle w:val="Puce3"/>
        <w:tabs>
          <w:tab w:val="clear" w:pos="720"/>
        </w:tabs>
        <w:rPr/>
      </w:pPr>
      <w:r>
        <w:rPr/>
        <w:t>5.</w:t>
        <w:tab/>
        <w:t>Demokracia je zakotvená v inštitúciách a spoločnosti vo všeobecnosti, a to aj na pracovisku vďaka sociálnym partnerom</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Návrh: Rozhodovací proces Únie</w:t>
      </w:r>
    </w:p>
    <w:p>
      <w:pPr>
        <w:pStyle w:val="P68B1DB1Normal15"/>
        <w:rPr/>
      </w:pPr>
      <w:r>
        <w:rPr/>
        <w:t>Cieľ: Zlepšiť rozhodovací proces Únie s cieľom zabezpečiť jej schopnosť konať, pričom sa zohľadnia záujmy každého členského štátu a zabezpečí transparentný a zrozumiteľný proces pre občanov, najmä: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Preskúmanie pravidiel rozhodovania a hlasovania v európskych inštitúciách. Otázka jednomyseľného hlasovania si zaslúži osobitnú pozornosť, pretože veľmi sťažuje akúkoľvek dohodu. Mala by sa zabezpečiť spravodlivosť pri vážení hlasov, aby sa chránili záujmy malých krajín</w:t>
      </w:r>
      <w:r>
        <w:rPr>
          <w:rStyle w:val="Ancredenotedefin"/>
          <w:rStyle w:val="Ancredenotedefin"/>
        </w:rPr>
        <w:endnoteReference w:id="142"/>
      </w:r>
      <w:r>
        <w:rPr/>
        <w:t>.</w:t>
      </w:r>
    </w:p>
    <w:p>
      <w:pPr>
        <w:pStyle w:val="Alineanegatifpuce"/>
        <w:numPr>
          <w:ilvl w:val="0"/>
          <w:numId w:val="3"/>
        </w:numPr>
        <w:rPr/>
      </w:pPr>
      <w:r>
        <w:rPr/>
        <w:t xml:space="preserve"> </w:t>
      </w:r>
      <w:r>
        <w:rPr/>
        <w:t>Všetky rozhodnutia, ktoré sa v súčasnosti prijímajú jednomyseľne, by sa v budúcnosti mali prijať kvalifikovanou väčšinou. Jedinou výnimkou by malo byť prijatie nových členských štátov do Európskej únie a zmena základných zásad Únie zakotvených v článku 2 Zmluvy o Európskej únii a v Charte základných práv Európskej únie</w:t>
      </w:r>
      <w:r>
        <w:rPr>
          <w:rStyle w:val="Ancredenotedefin"/>
          <w:rStyle w:val="Ancredenotedefin"/>
        </w:rPr>
        <w:endnoteReference w:id="143"/>
      </w:r>
      <w:r>
        <w:rPr/>
        <w:t>.</w:t>
      </w:r>
    </w:p>
    <w:p>
      <w:pPr>
        <w:pStyle w:val="Puce3"/>
        <w:tabs>
          <w:tab w:val="clear" w:pos="720"/>
        </w:tabs>
        <w:rPr/>
      </w:pPr>
      <w:r>
        <w:rPr/>
        <w:t>2.</w:t>
        <w:tab/>
        <w:t>Zabezpečenie transparentnosti v rozhodovacom procese, umožnenie nezávislým pozorovateľom občanov pozorne monitorovať tento proces, uplatňovanie širšieho práva na prístup k dokumentom</w:t>
      </w:r>
      <w:r>
        <w:rPr>
          <w:rStyle w:val="Ancredenotedefin"/>
          <w:rStyle w:val="Ancredenotedefin"/>
        </w:rPr>
        <w:endnoteReference w:id="144"/>
      </w:r>
      <w:r>
        <w:rPr/>
        <w:t xml:space="preserve"> a vytvorenie užších väzieb a intenzívnejšieho dialógu medzi občanmi a európskymi inštitúciami na tomto základe</w:t>
      </w:r>
      <w:r>
        <w:rPr>
          <w:rStyle w:val="Ancredenotedefin"/>
          <w:rStyle w:val="Ancredenotedefin"/>
        </w:rPr>
        <w:endnoteReference w:id="145"/>
      </w:r>
      <w:r>
        <w:rPr/>
        <w:t>.</w:t>
      </w:r>
    </w:p>
    <w:p>
      <w:pPr>
        <w:pStyle w:val="Alineanegatifpuce"/>
        <w:numPr>
          <w:ilvl w:val="0"/>
          <w:numId w:val="3"/>
        </w:numPr>
        <w:rPr/>
      </w:pPr>
      <w:r>
        <w:rPr/>
        <w:t xml:space="preserve"> </w:t>
      </w:r>
      <w:r>
        <w:rPr/>
        <w:t>Únia musí zlepšiť transparentnosť svojho rozhodovacieho procesu a svojich inštitúcií. Napríklad schôdze Rady a Európskeho parlamentu vrátane hlasovania by sa mali šíriť online rovnakým spôsobom. To by umožnilo zainteresovaným občanom monitorovať tvorbu politík EÚ a nútilo by tvorcov politík podávať správy o svojich opatreniach</w:t>
      </w:r>
      <w:r>
        <w:rPr>
          <w:rStyle w:val="Ancredenotedefin"/>
          <w:rStyle w:val="Ancredenotedefin"/>
        </w:rPr>
        <w:endnoteReference w:id="146"/>
      </w:r>
      <w:r>
        <w:rPr/>
        <w:t>. Malo by sa posilniť aj vyšetrovacie právo Európskeho parlamentu.</w:t>
      </w:r>
      <w:r>
        <w:rPr>
          <w:rStyle w:val="Ancredenotedefin"/>
          <w:rStyle w:val="Ancredenotedefin"/>
        </w:rPr>
        <w:endnoteReference w:id="147"/>
      </w:r>
      <w:r>
        <w:rPr/>
        <w:t xml:space="preserve"> Pozmeňujúci a doplňujúci návrh č. 44A pracovnej skupiny.</w:t>
      </w:r>
    </w:p>
    <w:p>
      <w:pPr>
        <w:pStyle w:val="Alineanegatifpuce"/>
        <w:numPr>
          <w:ilvl w:val="0"/>
          <w:numId w:val="3"/>
        </w:numPr>
        <w:rPr/>
      </w:pPr>
      <w:r>
        <w:rPr/>
        <w:t xml:space="preserve"> </w:t>
      </w:r>
      <w:r>
        <w:rPr/>
        <w:t>Rozhodovací proces Únie by sa mal ďalej rozvíjať s cieľom zapojiť viac národných, regionálnych a miestnych zástupcov, sociálnych partnerov a organizácií občianskej spoločnosti</w:t>
      </w:r>
      <w:r>
        <w:rPr>
          <w:rStyle w:val="Ancredenotedefin"/>
          <w:rStyle w:val="Ancredenotedefin"/>
        </w:rPr>
        <w:endnoteReference w:id="148"/>
      </w:r>
      <w:r>
        <w:rPr/>
        <w:t>. Mala by sa posilniť medziparlamentná spolupráca a dialóg. Európsky parlament by mal do európskeho legislatívneho postupu užšie zapojiť aj národné parlamenty, napríklad ich pozývaním na vypočutia</w:t>
      </w:r>
      <w:r>
        <w:rPr>
          <w:rStyle w:val="Ancredenotedefin"/>
          <w:rStyle w:val="Ancredenotedefin"/>
        </w:rPr>
        <w:endnoteReference w:id="149"/>
      </w:r>
      <w:r>
        <w:rPr/>
        <w:t>. Okrem toho by bolo užitočné dosiahnuť väčšie zapojenie orgánov na nižšej ako celoštátnej úrovni a VR s cieľom lepšie zohľadniť ich skúsenosti s vykonávaním európskych právnych predpisov</w:t>
      </w:r>
      <w:r>
        <w:rPr>
          <w:rStyle w:val="Ancredenotedefin"/>
          <w:rStyle w:val="Ancredenotedefin"/>
        </w:rPr>
        <w:endnoteReference w:id="150"/>
      </w:r>
      <w:r>
        <w:rPr/>
        <w:t>.</w:t>
      </w:r>
    </w:p>
    <w:p>
      <w:pPr>
        <w:pStyle w:val="Puce3"/>
        <w:tabs>
          <w:tab w:val="clear" w:pos="720"/>
        </w:tabs>
        <w:rPr/>
      </w:pPr>
      <w:r>
        <w:rPr/>
        <w:t>3.</w:t>
        <w:tab/>
        <w:t>Zvážením zmeny názvov európskych inštitúcií s cieľom objasniť úlohu a úlohu každého z nich v rozhodovacom procese Únie v očiach občanov</w:t>
      </w:r>
      <w:r>
        <w:rPr>
          <w:rStyle w:val="Ancredenotedefin"/>
          <w:rStyle w:val="Ancredenotedefin"/>
        </w:rPr>
        <w:endnoteReference w:id="151"/>
      </w:r>
      <w:r>
        <w:rPr/>
        <w:t>.</w:t>
      </w:r>
    </w:p>
    <w:p>
      <w:pPr>
        <w:pStyle w:val="Alineanegatifpuce"/>
        <w:numPr>
          <w:ilvl w:val="0"/>
          <w:numId w:val="3"/>
        </w:numPr>
        <w:rPr/>
      </w:pPr>
      <w:r>
        <w:rPr/>
        <w:t xml:space="preserve"> </w:t>
      </w:r>
      <w:r>
        <w:rPr/>
        <w:t>Rozhodovací proces EÚ by mal byť založený na jasnejšej a zrozumiteľnejšej štruktúre, ktorá sa podobá vnútroštátnym systémom</w:t>
      </w:r>
      <w:r>
        <w:rPr>
          <w:rStyle w:val="Ancredenotedefin"/>
          <w:rStyle w:val="Ancredenotedefin"/>
        </w:rPr>
        <w:endnoteReference w:id="152"/>
      </w:r>
      <w:r>
        <w:rPr/>
        <w:t xml:space="preserve"> a výslovne poukazuje na rozdelenie právomocí medzi európskymi inštitúciami a členskými štátmi</w:t>
      </w:r>
      <w:r>
        <w:rPr>
          <w:rStyle w:val="Ancredenotedefin"/>
          <w:rStyle w:val="Ancredenotedefin"/>
        </w:rPr>
        <w:endnoteReference w:id="153"/>
      </w:r>
      <w:r>
        <w:rPr/>
        <w:t>.</w:t>
      </w:r>
    </w:p>
    <w:p>
      <w:pPr>
        <w:pStyle w:val="Alineanegatifpuce"/>
        <w:numPr>
          <w:ilvl w:val="0"/>
          <w:numId w:val="3"/>
        </w:numPr>
        <w:rPr/>
      </w:pPr>
      <w:r>
        <w:rPr/>
        <w:t xml:space="preserve"> </w:t>
      </w:r>
      <w:r>
        <w:rPr/>
        <w:t>Napríklad Rada Európskej únie by sa mohla premenovať na „Senát Únie“ a Európska komisia „výkonná komisia Únie“</w:t>
      </w:r>
      <w:r>
        <w:rPr>
          <w:rStyle w:val="Ancredenotedefin"/>
          <w:rStyle w:val="Ancredenotedefin"/>
        </w:rPr>
        <w:endnoteReference w:id="154"/>
      </w:r>
      <w:r>
        <w:rPr/>
        <w:t>.</w:t>
      </w:r>
    </w:p>
    <w:p>
      <w:pPr>
        <w:pStyle w:val="Puce3"/>
        <w:tabs>
          <w:tab w:val="clear" w:pos="720"/>
        </w:tabs>
        <w:rPr/>
      </w:pPr>
      <w:r>
        <w:rPr/>
        <w:t>4.</w:t>
        <w:tab/>
        <w:t>Posilnenie schopnosti Únie dosahovať výsledky v kľúčových oblastiach</w:t>
      </w:r>
      <w:r>
        <w:rPr>
          <w:rStyle w:val="Ancredenotedefin"/>
          <w:rStyle w:val="Ancredenotedefin"/>
        </w:rPr>
        <w:endnoteReference w:id="155"/>
      </w:r>
      <w:r>
        <w:rPr/>
        <w:t>.</w:t>
      </w:r>
    </w:p>
    <w:p>
      <w:pPr>
        <w:pStyle w:val="Puce3"/>
        <w:tabs>
          <w:tab w:val="clear" w:pos="720"/>
        </w:tabs>
        <w:rPr/>
      </w:pPr>
      <w:r>
        <w:rPr/>
        <w:t>5.</w:t>
        <w:tab/>
        <w:t>Zabezpečenie mechanizmov sociálneho dialógu a konzultácií s občanmi vo všetkých fázach rozhodovacieho procesu Únie, od posúdenia vplyvu až po navrhovanie a vykonávanie opatrení</w:t>
      </w:r>
      <w:r>
        <w:rPr>
          <w:rStyle w:val="Ancredenotedefin"/>
          <w:rStyle w:val="Ancredenotedefin"/>
        </w:rPr>
        <w:endnoteReference w:id="156"/>
      </w:r>
      <w:r>
        <w:rPr/>
        <w:t>.</w:t>
      </w:r>
    </w:p>
    <w:p>
      <w:pPr>
        <w:pStyle w:val="Puce3"/>
        <w:tabs>
          <w:tab w:val="clear" w:pos="720"/>
        </w:tabs>
        <w:rPr/>
      </w:pPr>
      <w:r>
        <w:rPr/>
        <w:t>6.</w:t>
        <w:tab/>
        <w:t>Reforma fungovania Európskej únie, a to aj prostredníctvom užšieho zapojenia sociálnych partnerov a organizácií občianskej spoločnosti. Je potrebné posilniť existujúce štruktúry, aby rozhodovací proces lepšie odrážal potreby a očakávania európskych občanov, ktorí sú stredobodom európskej demokracie. V tejto súvislosti musí EHSV získať prostriedky na to, aby zohrával dôležitejšiu inštitucionálnu úlohu ako garant a sprostredkovateľ participatívnej demokracie, ako je štruktúrovaný dialóg s organizáciami občianskej spoločnosti a občianskymi panelmi. Dynamická občianska spoločnosť má zásadný význam pre demokratický život Únie</w:t>
      </w:r>
      <w:r>
        <w:rPr>
          <w:rStyle w:val="Ancredenotedefin"/>
          <w:rStyle w:val="Ancredenotedefin"/>
        </w:rPr>
        <w:endnoteReference w:id="157"/>
      </w:r>
      <w:r>
        <w:rPr/>
        <w:t>.</w:t>
      </w:r>
    </w:p>
    <w:p>
      <w:pPr>
        <w:pStyle w:val="Puce3"/>
        <w:tabs>
          <w:tab w:val="clear" w:pos="720"/>
        </w:tabs>
        <w:rPr/>
      </w:pPr>
      <w:r>
        <w:rPr/>
        <w:t>7.</w:t>
        <w:tab/>
        <w:t>Opätovným otvorením diskusie o ústave, ak je to relevantné, s cieľom jasne vymedziť naše hodnoty. Ústava by mohla priniesť väčšiu presnosť, mobilizovať občanov a dohodnúť sa na pravidlách rozhodovacieho procesu</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Návrh: Subsidiarita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Aktívna subsidiarita a viacúrovňové riadenie sú kľúčovými zásadami, ak má Európska únia fungovať demokratickým a zodpovedným spôsobom</w:t>
      </w:r>
      <w:r>
        <w:rPr>
          <w:rStyle w:val="Ancredenotedefin"/>
          <w:rStyle w:val="Ancredenotedefin"/>
        </w:rPr>
        <w:endnoteReference w:id="159"/>
      </w:r>
      <w:r>
        <w:rPr/>
        <w:t>;</w:t>
      </w:r>
    </w:p>
    <w:p>
      <w:pPr>
        <w:pStyle w:val="Puce3"/>
        <w:tabs>
          <w:tab w:val="clear" w:pos="720"/>
        </w:tabs>
        <w:rPr/>
      </w:pPr>
      <w:r>
        <w:rPr/>
        <w:t>2.</w:t>
        <w:tab/>
        <w:t>EÚ musí zrevidovať mechanizmus, prostredníctvom ktorého národné parlamenty preskúmajú, či európske legislatívne návrhy zasahujú alebo nezasahujú do vnútroštátnych právomocí; národné parlamenty by mali mať možnosť predkladať európskym inštitúciám legislatívne iniciatívy. Tieto mechanizmy by sa mali rozšíriť na všetky regionálne parlamenty s legislatívnymi právomocami</w:t>
      </w:r>
      <w:r>
        <w:rPr>
          <w:rStyle w:val="Ancredenotedefin"/>
          <w:rStyle w:val="Ancredenotedefin"/>
        </w:rPr>
        <w:endnoteReference w:id="160"/>
      </w:r>
      <w:r>
        <w:rPr/>
        <w:t>.</w:t>
      </w:r>
    </w:p>
    <w:p>
      <w:pPr>
        <w:pStyle w:val="Puce3"/>
        <w:tabs>
          <w:tab w:val="clear" w:pos="720"/>
        </w:tabs>
        <w:rPr/>
      </w:pPr>
      <w:r>
        <w:rPr/>
        <w:t>3.</w:t>
        <w:tab/>
        <w:t>VR by sa mal zreformovať, aby sa otvorili primerané kanály pre dialóg s regiónmi, mestami a obcami. Pri riešení záležitostí s územnými dôsledkami by mal zohrávať dôležitejšiu úlohu v</w:t>
      </w:r>
      <w:r>
        <w:rPr>
          <w:rStyle w:val="Ancredenotedefin"/>
          <w:rStyle w:val="Ancredenotedefin"/>
        </w:rPr>
        <w:endnoteReference w:id="161"/>
      </w:r>
      <w:r>
        <w:rPr/>
        <w:t xml:space="preserve"> inštitucionálnej štruktúre</w:t>
      </w:r>
      <w:r>
        <w:rPr>
          <w:rStyle w:val="Ancredenotedefin"/>
          <w:rStyle w:val="Ancredenotedefin"/>
        </w:rPr>
        <w:endnoteReference w:id="162"/>
      </w:r>
      <w:r>
        <w:rPr/>
        <w:t>.</w:t>
      </w:r>
    </w:p>
    <w:p>
      <w:pPr>
        <w:pStyle w:val="Normal"/>
        <w:rPr/>
      </w:pPr>
      <w:r>
        <w:rPr/>
      </w:r>
    </w:p>
    <w:p>
      <w:pPr>
        <w:pStyle w:val="Puce3"/>
        <w:tabs>
          <w:tab w:val="clear" w:pos="720"/>
        </w:tabs>
        <w:rPr/>
      </w:pPr>
      <w:r>
        <w:rPr/>
        <w:t>4.</w:t>
        <w:tab/>
        <w:t>Systematické používanie spoločnej definície subsidiarity, ktorú schválili všetky európske inštitúcie, by mohlo jasnejšie vymedziť, na ktorej (európskej, národnej alebo regionálnej) rozhodnutia by sa mali prijímať rozhodnutia</w:t>
      </w:r>
      <w:r>
        <w:rPr>
          <w:rStyle w:val="Ancredenotedefin"/>
          <w:rStyle w:val="Ancredenotedefin"/>
        </w:rPr>
        <w:endnoteReference w:id="163"/>
      </w:r>
      <w:r>
        <w:rPr/>
        <w:t>.</w:t>
      </w:r>
    </w:p>
    <w:p>
      <w:pPr>
        <w:pStyle w:val="Puce3"/>
        <w:tabs>
          <w:tab w:val="clear" w:pos="720"/>
        </w:tabs>
        <w:rPr/>
      </w:pPr>
      <w:r>
        <w:rPr/>
        <w:t>5.</w:t>
        <w:tab/>
        <w:t>Sociálni partneri a organizácie občianskej spoločnosti, ktoré sú ústredným prvkom európskej demokracie, musia byť lepšie zapojení do rozhodovacieho procesu. Dynamická spoločnosť má zásadný význam pre demokratický život Únie.</w:t>
      </w:r>
      <w:r>
        <w:rPr>
          <w:rStyle w:val="Ancredenotedefin"/>
          <w:rStyle w:val="Ancredenotedefin"/>
        </w:rPr>
        <w:endnoteReference w:id="164"/>
      </w:r>
    </w:p>
    <w:p>
      <w:pPr>
        <w:pStyle w:val="Puce3"/>
        <w:tabs>
          <w:tab w:val="clear" w:pos="720"/>
        </w:tabs>
        <w:rPr/>
      </w:pPr>
      <w:r>
        <w:rPr/>
        <w:t>6.</w:t>
        <w:tab/>
        <w:t>Naliehavo vyzývame inštitúcie EÚ, aby vykonali závery tejto pracovnej skupiny a aby ich zefektívnili. Mohlo by sa to dosiahnuť prostredníctvom existujúcich ustanovení Lisabonskej zmluvy a v prípade potreby výzvou na začatie Európskeho dohovoru</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6">
            <wp:simplePos x="0" y="0"/>
            <wp:positionH relativeFrom="column">
              <wp:posOffset>19050</wp:posOffset>
            </wp:positionH>
            <wp:positionV relativeFrom="paragraph">
              <wp:posOffset>21590</wp:posOffset>
            </wp:positionV>
            <wp:extent cx="913765" cy="913765"/>
            <wp:effectExtent l="0" t="0" r="0" b="0"/>
            <wp:wrapSquare wrapText="largest"/>
            <wp:docPr id="68" name="Obrázok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ok28"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Migrácie“</w:t>
      </w:r>
    </w:p>
    <w:p>
      <w:pPr>
        <w:pStyle w:val="Titre3"/>
        <w:numPr>
          <w:ilvl w:val="2"/>
          <w:numId w:val="2"/>
        </w:numPr>
        <w:rPr/>
      </w:pPr>
      <w:bookmarkStart w:id="93" w:name="__RefHeading___Toc298360_1346298689"/>
      <w:bookmarkEnd w:id="93"/>
      <w:r>
        <w:rPr/>
        <w:t>41. Návrh: Legálna migrácia</w:t>
      </w:r>
    </w:p>
    <w:p>
      <w:pPr>
        <w:pStyle w:val="P68B1DB1Normal15"/>
        <w:rPr/>
      </w:pPr>
      <w:r>
        <w:rPr/>
        <w:t>Cieľ: Posilnenie úlohy EÚ v legálnej migrácii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166"/>
      </w:r>
      <w:r>
        <w:rPr/>
        <w:t>:</w:t>
      </w:r>
    </w:p>
    <w:p>
      <w:pPr>
        <w:pStyle w:val="Puce3"/>
        <w:tabs>
          <w:tab w:val="clear" w:pos="720"/>
        </w:tabs>
        <w:rPr/>
      </w:pPr>
      <w:r>
        <w:rPr/>
        <w:t>1.</w:t>
        <w:tab/>
        <w:t>Spustiť komunikačnú kampaň na európskej úrovni s cieľom zabezpečiť, aby európski občania lepšie poznali sieť EURES (Európska sieť služieb zamestnanosti), portál EÚ pre prisťahovalectvo a Európsky nástroj na profilovanie zručností pre štátnych príslušníkov tretích krajín a aby ich podniky EÚ častejšie využívali pri prijímaní do zamestnania (odporúčanie č. 6).</w:t>
      </w:r>
    </w:p>
    <w:p>
      <w:pPr>
        <w:pStyle w:val="Puce3"/>
        <w:tabs>
          <w:tab w:val="clear" w:pos="720"/>
        </w:tabs>
        <w:rPr/>
      </w:pPr>
      <w:r>
        <w:rPr/>
        <w:t>2.</w:t>
        <w:tab/>
        <w:t>Vytvorenie európskeho subjektu pre prístup migrantov na trh práce EÚ alebo v opačnom prípade rozšírenie kompetencií siete európskych služieb zamestnanosti (EURES), napr. zlepšenie partnerských projektov zameraných na prilákanie talentov (odporúčanie č. 7 a diskusia v pracovnej skupine), s možnosťou uspokojiť ponuku zručností a dopyt online v krajine odchodu na základe hodnotiacich kritérií (odporúčanie č. 9 a diskusia v pracovnej skupine). Únia by mala nabádať členské štáty, aby zjednodušili proces prijímania a integrácie legálnych migrantov a ich prístup na trh práce Únie zlepšením interoperability medzi rôznymi dotknutými správnymi orgánmi (rozprava v pracovnej skupine).</w:t>
      </w:r>
    </w:p>
    <w:p>
      <w:pPr>
        <w:pStyle w:val="Puce3"/>
        <w:tabs>
          <w:tab w:val="clear" w:pos="720"/>
        </w:tabs>
        <w:rPr/>
      </w:pPr>
      <w:r>
        <w:rPr/>
        <w:t>3.</w:t>
        <w:tab/>
        <w:t>Zlepšiť fungovanie a vykonávanie smernice o modrej karte s cieľom prilákať zručnosti, ktoré hospodárstvo EÚ potrebuje (odporúčanie č. 7 a diskusia v pracovnej skupine), pričom sa náležite zohľadní riziko úniku mozgov (podľa opatrenia 1 návrhu 42).</w:t>
      </w:r>
    </w:p>
    <w:p>
      <w:pPr>
        <w:pStyle w:val="Puce3"/>
        <w:tabs>
          <w:tab w:val="clear" w:pos="720"/>
        </w:tabs>
        <w:rPr/>
      </w:pPr>
      <w:r>
        <w:rPr/>
        <w:t>4.</w:t>
        <w:tab/>
        <w:t>Podporovať vzostupnú konvergenciu pracovných podmienok harmonickým spôsobom v celej Únii s cieľom riešiť nerovnosti v pracovných podmienkach, zabezpečiť účinnú politiku EÚ v oblasti migrácie pracovnej sily a chrániť práva pracovníkov. V tejto súvislosti posilniť úlohu odborových zväzov na vnútroštátnej a nadnárodnej úrovni (odporúčanie č. 28 a diskusia v pracovnej skupine) v spolupráci s organizáciami zamestnávateľov (rozprava v pléne).</w:t>
      </w:r>
    </w:p>
    <w:p>
      <w:pPr>
        <w:pStyle w:val="Puce3"/>
        <w:tabs>
          <w:tab w:val="clear" w:pos="720"/>
        </w:tabs>
        <w:rPr/>
      </w:pPr>
      <w:r>
        <w:rPr/>
        <w:t>5.</w:t>
        <w:tab/>
        <w:t>Zintenzívniť úsilie o informovanie a vzdelávanie občanov členských štátov v otázkach migrácie a integrácie (odporúčanie č. 30, odporúčanie skupiny LT 9 a diskusia pracovnej skupiny).</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Návrh: Neregulárna migrácia</w:t>
      </w:r>
    </w:p>
    <w:p>
      <w:pPr>
        <w:pStyle w:val="P68B1DB1Normal15"/>
        <w:rPr/>
      </w:pPr>
      <w:r>
        <w:rPr/>
        <w:t>Cieľ: Posilnenie úlohy Únie v boji proti všetkým formám neregulárnej migrácie a posilnenie ochrany vonkajších hraníc Európskej únie pri súčasnom dodržiavaní ľudských práv</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167"/>
      </w:r>
      <w:r>
        <w:rPr/>
        <w:t>:</w:t>
      </w:r>
    </w:p>
    <w:p>
      <w:pPr>
        <w:pStyle w:val="Puce3"/>
        <w:tabs>
          <w:tab w:val="clear" w:pos="720"/>
        </w:tabs>
        <w:rPr/>
      </w:pPr>
      <w:r>
        <w:rPr/>
        <w:t>1.</w:t>
        <w:tab/>
        <w:t>Aktívne sa zúčastňovať, napríklad prostredníctvom dohôd o partnerstve, na hospodárskom a sociálnom rozvoji krajín mimo Európskej únie, z ktorých dochádza k veľkému prílevu migrantov, s cieľom riešiť základné príčiny migrácie vrátane zmeny klímy. Tieto opatrenia by mali byť transparentné a mali by priniesť hmatateľné výsledky s merateľnými účinkami, ktoré by sa mali jasne oznámiť občanom EÚ (odporúčanie 27, odporúčanie NL 3 a diskusia v pracovnej skupine).</w:t>
      </w:r>
    </w:p>
    <w:p>
      <w:pPr>
        <w:pStyle w:val="Puce3"/>
        <w:tabs>
          <w:tab w:val="clear" w:pos="720"/>
        </w:tabs>
        <w:rPr/>
      </w:pPr>
      <w:r>
        <w:rPr/>
        <w:t>2.</w:t>
        <w:tab/>
        <w:t>Zabezpečiť ochranu všetkých vonkajších hraníc zlepšením transparentnosti a zodpovednosti agentúry Frontex a posilnením jej úlohy (odporúčanie č. 8 a diskusia v pracovnej skupine) a prispôsobením právnych predpisov EÚ s cieľom lepšie riešiť súčasné výzvy neregulárnej migrácie, ako je obchodovanie s ľuďmi, obchodovanie s ľuďmi, sexuálne vykorisťovanie, hybridné útoky páchané štátmi, ktoré zneužívajú migrantov, a porušovanie ľudských práv (odporúčanie LT 10 a diskusia v pracovnej skupine).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Návrh: Neregulárna migrácia (bis)</w:t>
      </w:r>
    </w:p>
    <w:p>
      <w:pPr>
        <w:pStyle w:val="P68B1DB1Normal15"/>
        <w:rPr/>
      </w:pPr>
      <w:r>
        <w:rPr/>
        <w:t>Cieľ: Jednotné uplatňovanie spoločných pravidiel vo všetkých členských štátoch, pokiaľ ide o prvé prijatie migrantov</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168"/>
      </w:r>
      <w:r>
        <w:rPr/>
        <w:t>:</w:t>
      </w:r>
    </w:p>
    <w:p>
      <w:pPr>
        <w:pStyle w:val="Puce3"/>
        <w:tabs>
          <w:tab w:val="clear" w:pos="720"/>
        </w:tabs>
        <w:rPr/>
      </w:pPr>
      <w:r>
        <w:rPr/>
        <w:t>1.</w:t>
        <w:tab/>
        <w:t>Vypracovať celoeurópske opatrenia na zaistenie bezpečnosti a ochrany zdravia všetkých migrantov, najmä tehotných žien, detí, maloletých bez sprievodu a všetkých zraniteľných osôb (odporúčania 10 a 38 a diskusia v pracovnej skupine).</w:t>
      </w:r>
    </w:p>
    <w:p>
      <w:pPr>
        <w:pStyle w:val="Normal"/>
        <w:rPr/>
      </w:pPr>
      <w:r>
        <w:rPr/>
      </w:r>
    </w:p>
    <w:p>
      <w:pPr>
        <w:pStyle w:val="Puce3"/>
        <w:tabs>
          <w:tab w:val="clear" w:pos="720"/>
        </w:tabs>
        <w:rPr/>
      </w:pPr>
      <w:r>
        <w:rPr/>
        <w:t>2.</w:t>
        <w:tab/>
        <w:t>Zvýšiť finančnú, logistickú a operačnú podporu EÚ, a to aj pre miestne orgány, regionálne subjekty s rozhodovacou právomocou a organizácie občianskej spoločnosti, na riadenie prvého prijatia, čo môže viesť k integrácii utečencov alebo legálnych migrantov do EÚ a k repatriácii neregulárnych migrantov (odporúčanie 35 a diskusia v pracovnej skupine).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Návrh: Azyl, integrácia</w:t>
      </w:r>
    </w:p>
    <w:p>
      <w:pPr>
        <w:pStyle w:val="P68B1DB1Normal15"/>
        <w:rPr/>
      </w:pPr>
      <w:r>
        <w:rPr/>
        <w:t>Cieľ: Posilnenie úlohy Únie a reforma európskeho azylového systému na základe zásad solidarity a spravodlivého rozdelenia zodpovednosti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169"/>
      </w:r>
      <w:r>
        <w:rPr/>
        <w:t>:</w:t>
      </w:r>
    </w:p>
    <w:p>
      <w:pPr>
        <w:pStyle w:val="Puce3"/>
        <w:tabs>
          <w:tab w:val="clear" w:pos="720"/>
        </w:tabs>
        <w:rPr/>
      </w:pPr>
      <w:r>
        <w:rPr/>
        <w:t>1.</w:t>
        <w:tab/>
        <w:t>Prijať spoločné pravidlá Únie týkajúce sa postupov posudzovania žiadostí o medzinárodnú ochranu v členských štátoch, ktoré sa jednotne uplatňujú na všetkých žiadateľov o azyl. Tieto postupy musia rešpektovať ľudskú dôstojnosť a medzinárodné právo (odporúčanie 29, odporúčania pre IT 3.8 a 4.4, s. 15 a diskusia v pracovnej skupine). Keďže prijímanie žiadateľov o azyl zahŕňa rôznych aktérov na vnútroštátnej úrovni, Únia by mala nabádať členské štáty, aby zjednodušili a urýchlili tento proces zlepšením interoperability medzi rôznymi dotknutými správnymi orgánmi a zriadili jednotný úrad (okno alebo jednotný vstupný bod) pre žiadateľov o azyl s cieľom zefektívniť vnútroštátne administratívne postupy (odporúčanie 37 a diskusia v pracovnej skupine).</w:t>
      </w:r>
    </w:p>
    <w:p>
      <w:pPr>
        <w:pStyle w:val="Puce3"/>
        <w:tabs>
          <w:tab w:val="clear" w:pos="720"/>
        </w:tabs>
        <w:rPr/>
      </w:pPr>
      <w:r>
        <w:rPr/>
        <w:t>2.</w:t>
        <w:tab/>
        <w:t>Preskúmať dublinský systém s cieľom zabezpečiť solidaritu a spravodlivé rozdelenie zodpovednosti vrátane rozdelenia migrantov medzi členské štáty; mohli by sa zvážiť aj iné formy podpory (odporúčania 33, 36, 37, 40; LT odporúčanie č. 2; odporúčania IT 3.8 (s. 15) a NL 2, diskusia v pracovnej skupine a diskusia v pléne).</w:t>
      </w:r>
    </w:p>
    <w:p>
      <w:pPr>
        <w:pStyle w:val="Puce3"/>
        <w:tabs>
          <w:tab w:val="clear" w:pos="720"/>
        </w:tabs>
        <w:rPr/>
      </w:pPr>
      <w:r>
        <w:rPr/>
        <w:t>3.</w:t>
        <w:tab/>
        <w:t>Posilniť minimálne normy prijímania žiadateľov o azyl stanovené v smernici 2013/33/EÚ prostredníctvom prísnejších legislatívnych opatrení na zlepšenie prijímacích zariadení a ubytovania (odporúčanie CEP 31, odporúčanie IT 5.6, s. 11 a diskusia v pracovnej skupine).</w:t>
      </w:r>
    </w:p>
    <w:p>
      <w:pPr>
        <w:pStyle w:val="Puce3"/>
        <w:tabs>
          <w:tab w:val="clear" w:pos="720"/>
        </w:tabs>
        <w:rPr/>
      </w:pPr>
      <w:r>
        <w:rPr/>
        <w:t>4.</w:t>
        <w:tab/>
        <w:t>Osobitná pozornosť by sa mala venovať tehotným ženám, deťom, a najmä maloletým bez sprievodu (odporúčanie č. 38 a diskusia v pracovnej skupine).</w:t>
      </w:r>
    </w:p>
    <w:p>
      <w:pPr>
        <w:pStyle w:val="Puce3"/>
        <w:tabs>
          <w:tab w:val="clear" w:pos="720"/>
        </w:tabs>
        <w:rPr/>
      </w:pPr>
      <w:r>
        <w:rPr/>
        <w:t>5.</w:t>
        <w:tab/>
        <w:t>Posilniť a zvýšiť finančné a ľudské zdroje a riadiace kapacity Agentúry Európskej únie pre azyl s cieľom koordinovať a riadiť premiestňovanie žiadateľov o azyl v rámci členských štátov EÚ s cieľom dosiahnuť spravodlivé rozdelenie (odporúčania 36 a 37, odporúčanie 3 LT a diskusia v pracovnej skupine).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Návrh: Azyl, integrácia(bis)</w:t>
      </w:r>
    </w:p>
    <w:p>
      <w:pPr>
        <w:pStyle w:val="P68B1DB1Normal15"/>
        <w:rPr/>
      </w:pPr>
      <w:r>
        <w:rPr/>
        <w:t>Cieľ: Zlepšenie integračných politík vo všetkých členských štátoch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rPr>
        <w:endnoteReference w:id="170"/>
      </w:r>
      <w:r>
        <w:rPr/>
        <w:t>:</w:t>
      </w:r>
    </w:p>
    <w:p>
      <w:pPr>
        <w:pStyle w:val="Puce3"/>
        <w:tabs>
          <w:tab w:val="clear" w:pos="720"/>
        </w:tabs>
        <w:rPr/>
      </w:pPr>
      <w:r>
        <w:rPr/>
        <w:t>1.</w:t>
        <w:tab/>
        <w:t>Únia tiež za účasti miestnych a regionálnych orgánov a príspevku organizácií občianskej spoločnosti zabezpečí, aby sa všetci žiadatelia o azyl a utečenci zúčastňovali na jazykových a integračných kurzoch a činnostiach, ako aj na odbornej príprave počas skúmania ich žiadosti o pobyt (odporúčanie č. 32, odporúčanie FR č. 13, diskusia v pracovnej skupine a diskusia v pléne).</w:t>
      </w:r>
    </w:p>
    <w:p>
      <w:pPr>
        <w:pStyle w:val="Puce3"/>
        <w:tabs>
          <w:tab w:val="clear" w:pos="720"/>
        </w:tabs>
        <w:rPr/>
      </w:pPr>
      <w:r>
        <w:rPr/>
        <w:t>2.</w:t>
        <w:tab/>
        <w:t>Žiadatelia o azyl so správnou kvalifikáciou by mali mať prístup na trh práce, ak je to možné, s cieľom posilniť ich autonómiu v celej Únii (odporúčanie č. 7 a diskusia v pracovnej skupine).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6">
            <wp:simplePos x="0" y="0"/>
            <wp:positionH relativeFrom="column">
              <wp:posOffset>10160</wp:posOffset>
            </wp:positionH>
            <wp:positionV relativeFrom="paragraph">
              <wp:posOffset>3810</wp:posOffset>
            </wp:positionV>
            <wp:extent cx="913765" cy="913765"/>
            <wp:effectExtent l="0" t="0" r="0" b="0"/>
            <wp:wrapSquare wrapText="largest"/>
            <wp:docPr id="69" name="Obrázok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ok29"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Vzdelávanie, kultúra, mládež a šport</w:t>
      </w:r>
    </w:p>
    <w:p>
      <w:pPr>
        <w:pStyle w:val="Titre3"/>
        <w:numPr>
          <w:ilvl w:val="2"/>
          <w:numId w:val="2"/>
        </w:numPr>
        <w:rPr/>
      </w:pPr>
      <w:bookmarkStart w:id="99" w:name="__RefHeading___Toc298372_1346298689"/>
      <w:bookmarkEnd w:id="99"/>
      <w:r>
        <w:rPr/>
        <w:t>46. Návrh: Vzdelávanie</w:t>
      </w:r>
    </w:p>
    <w:p>
      <w:pPr>
        <w:pStyle w:val="P68B1DB1Normal15"/>
        <w:rPr/>
      </w:pPr>
      <w:r>
        <w:rPr/>
        <w:t>Cieľ: EÚ a jej členské štáty by sa mali usilovať o vytvorenie inkluzívneho európskeho vzdelávacieho priestoru do roku 2025, v ktorom budú mať všetci občania rovnaký prístup ku kvalitnému celoživotnému vzdelávaniu a vzdelávaniu vrátane ľudí žijúcich vo vidieckych a odľahlých oblastiach. Na tento účel by Európska únia a jej členské štáty mali najmä:</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tabs>
          <w:tab w:val="clear" w:pos="720"/>
        </w:tabs>
        <w:rPr/>
      </w:pPr>
      <w:r>
        <w:rPr/>
        <w:t>1.</w:t>
        <w:tab/>
        <w:t>Koordinovať úroveň všetkých rôznych vzdelávacích programov v Európskej únii prijatím vnútroštátneho, regionálneho a miestneho obsahu a vytvoriť užšie prepojenie medzi vzdelávacími systémami, najmä prostredníctvom rovnocennosti diplomov</w:t>
      </w:r>
      <w:r>
        <w:rPr>
          <w:rStyle w:val="Ancredenotedefin"/>
          <w:rStyle w:val="Ancredenotedefin"/>
        </w:rPr>
        <w:endnoteReference w:id="171"/>
      </w:r>
      <w:r>
        <w:rPr/>
        <w:t>. Certifikovaný minimálny štandard pre výučbu základných predmetov by sa mal prijať už v základnej škole</w:t>
      </w:r>
      <w:r>
        <w:rPr>
          <w:rStyle w:val="Ancredenotedefin"/>
          <w:rStyle w:val="Ancredenotedefin"/>
        </w:rPr>
        <w:endnoteReference w:id="172"/>
      </w:r>
      <w:r>
        <w:rPr/>
        <w:t>171. Spoločné právomoci by sa mali stanoviť v oblasti vzdelávania, aspoň pokiaľ ide o občiansku výchovu, a vykonávanie tejto právomoci Úniou nemôže brániť členským štátom vo výkone ich vlastných právomocí. Diplomy a odborná príprava by sa mali potvrdzovať a vzájomne uznávať vo všetkých členských štátoch Únie</w:t>
      </w:r>
      <w:r>
        <w:rPr>
          <w:rStyle w:val="Ancredenotedefin"/>
          <w:rStyle w:val="Ancredenotedefin"/>
        </w:rPr>
        <w:endnoteReference w:id="173"/>
      </w:r>
      <w:r>
        <w:rPr/>
        <w:t>. Európska únia by mala využívať aj uznávanie neformálneho vzdelávania</w:t>
      </w:r>
      <w:r>
        <w:rPr>
          <w:rStyle w:val="Ancredenotedefin"/>
          <w:rStyle w:val="Ancredenotedefin"/>
        </w:rPr>
        <w:endnoteReference w:id="174"/>
      </w:r>
      <w:r>
        <w:rPr/>
        <w:t xml:space="preserve"> a informálneho učenia sa a mládežníckych organizácií, ktoré ho ponúkajú, ako aj študijné pobyty v zahraničí.</w:t>
      </w:r>
    </w:p>
    <w:p>
      <w:pPr>
        <w:pStyle w:val="Puce3"/>
        <w:tabs>
          <w:tab w:val="clear" w:pos="720"/>
        </w:tabs>
        <w:rPr/>
      </w:pPr>
      <w:r>
        <w:rPr/>
        <w:t>2.</w:t>
        <w:tab/>
        <w:t>Rozvoj nadčasového celoživotného vzdelávania a vzdelávania v Európe – v súlade s právom na odbornú prípravu na pracovisku pre všetkých – so zameraním na tieto aspekty:</w:t>
        <w:br/>
        <w:t>Občianske vzdelávanie o demokratických procesoch a hodnotách EÚ a histórii Európy</w:t>
      </w:r>
      <w:r>
        <w:rPr>
          <w:rStyle w:val="Ancredenotedefin"/>
          <w:rStyle w:val="Ancredenotedefin"/>
        </w:rPr>
        <w:endnoteReference w:id="175"/>
      </w:r>
      <w:r>
        <w:rPr/>
        <w:t>. Mal by sa vytvoriť spoločný modul, ktorý by sa mal vyučovať vo všetkých členských štátoch. Mali by sa zlepšiť aj vedomosti o ekonomike, aby sa umožnilo lepšie pochopenie procesu európskej integrácie</w:t>
      </w:r>
      <w:r>
        <w:rPr>
          <w:rStyle w:val="Ancredenotedefin"/>
          <w:rStyle w:val="Ancredenotedefin"/>
        </w:rPr>
        <w:endnoteReference w:id="176"/>
      </w:r>
      <w:r>
        <w:rPr/>
        <w:t>.</w:t>
        <w:br/>
        <w:t>Digitálne zručnosti</w:t>
      </w:r>
      <w:r>
        <w:rPr>
          <w:rStyle w:val="Ancredenotedefin"/>
          <w:rStyle w:val="Ancredenotedefin"/>
        </w:rPr>
        <w:endnoteReference w:id="177"/>
      </w:r>
      <w:r>
        <w:rPr/>
        <w:t>.</w:t>
        <w:br/>
        <w:t>STIAM</w:t>
      </w:r>
      <w:r>
        <w:rPr>
          <w:rStyle w:val="Ancredenotedefin"/>
          <w:rStyle w:val="Ancredenotedefin"/>
        </w:rPr>
        <w:endnoteReference w:id="178"/>
      </w:r>
      <w:r>
        <w:rPr/>
        <w:br/>
        <w:t>Podnikanie a výskum.</w:t>
        <w:br/>
        <w:t>Rozvoj kritického myslenia. Mediálna gramotnosť by sa mala zlepšiť s cieľom zabezpečiť online bezpečnosť a umožniť občanom vo všetkých členských štátoch nezávisle posúdiť, či sú informácie dôveryhodné alebo nie, a identifikovať nepravdivé informácie pri využívaní príležitostí, ktoré ponúka internet. Toto vzdelávanie by malo zahŕňať organizáciu osobitných kurzov na úrovni základného vzdelávania a malo by sa ponúkať na iných verejných priestranstvách občanom všetkých vekových kategórií pod záštitou špecializovaného orgánu na úrovni Únie, pričom by sa mali využívať osvedčené postupy, ktoré existujú vo všetkých členských štátoch. EÚ by mala zabezpečiť, aby sa finančné prostriedky osobitne pridelené na tieto činnosti využívali na zamýšľaný účel</w:t>
      </w:r>
      <w:r>
        <w:rPr>
          <w:rStyle w:val="Ancredenotedefin"/>
          <w:rStyle w:val="Ancredenotedefin"/>
        </w:rPr>
        <w:endnoteReference w:id="179"/>
      </w:r>
      <w:r>
        <w:rPr/>
        <w:t>.</w:t>
        <w:br/>
        <w:t>integrácia netechnických zručností do všetkých kurzov v učebných osnovách. Netechnická spôsobilosť znamená: vzájomného počúvania, dialógu, odolnosti, porozumenia, rešpektu a uznania ostatných, kritického myslenia, sebaučenia a zachovania zvedavosti a orientovaného na výsledky</w:t>
      </w:r>
      <w:r>
        <w:rPr>
          <w:rStyle w:val="Ancredenotedefin"/>
          <w:rStyle w:val="Ancredenotedefin"/>
        </w:rPr>
        <w:endnoteReference w:id="180"/>
      </w:r>
      <w:r>
        <w:rPr/>
        <w:t>; — Dáva všetkým príležitosť dozvedieť sa viac o environmentálnej udržateľnosti a jej prepojeniach so zdravím. Biodiverzita by mala byť v škole povinnou témou. Mala by sa začať v škole so špecifickými témami zaoberajúcimi sa všetkými ekologickými otázkami a mala by zahŕňať exkurzie s cieľom predložiť relevantné skutočné príklady, a to všetko s pomocou programu financovania</w:t>
      </w:r>
      <w:r>
        <w:rPr>
          <w:rStyle w:val="Ancredenotedefin"/>
          <w:rStyle w:val="Ancredenotedefin"/>
        </w:rPr>
        <w:endnoteReference w:id="181"/>
      </w:r>
      <w:r>
        <w:rPr/>
        <w:t xml:space="preserve">. </w:t>
        <w:br/>
        <w:t>Boj proti šikanovaniu v školách a rasizmu.</w:t>
      </w:r>
    </w:p>
    <w:p>
      <w:pPr>
        <w:pStyle w:val="Puce3"/>
        <w:tabs>
          <w:tab w:val="clear" w:pos="720"/>
        </w:tabs>
        <w:rPr/>
      </w:pPr>
      <w:r>
        <w:rPr/>
        <w:t>3.</w:t>
        <w:tab/>
        <w:t>Podporovať odbornú prípravu</w:t>
      </w:r>
      <w:r>
        <w:rPr>
          <w:rStyle w:val="Ancredenotedefin"/>
          <w:rStyle w:val="Ancredenotedefin"/>
        </w:rPr>
        <w:endnoteReference w:id="182"/>
      </w:r>
      <w:r>
        <w:rPr/>
        <w:t>učiteľov s cieľom poučiť sa z najlepších postupov a využívať aktuálne inovačné a kreatívne vyučovacie techniky, ktoré odrážajú vývoj pedagogických metód vrátane praktických činností, a to aj na základe ponaučení, ktoré sa majú získať z pandémie COVID-19 a iných druhov kríz, ako aj podpory príležitostí na mobilitu</w:t>
      </w:r>
      <w:r>
        <w:rPr>
          <w:rStyle w:val="Ancredenotedefin"/>
          <w:rStyle w:val="Ancredenotedefin"/>
        </w:rPr>
        <w:endnoteReference w:id="183"/>
      </w:r>
      <w:r>
        <w:rPr/>
        <w:t>.</w:t>
      </w:r>
    </w:p>
    <w:p>
      <w:pPr>
        <w:pStyle w:val="Puce3"/>
        <w:tabs>
          <w:tab w:val="clear" w:pos="720"/>
        </w:tabs>
        <w:rPr/>
      </w:pPr>
      <w:r>
        <w:rPr/>
        <w:t>4.</w:t>
        <w:tab/>
        <w:t>S cieľom uspokojiť vzdelávacie potreby všetkých detí a rodín uprednostniť prístup k vybaveniu a efektívne širokopásmové pripojenie</w:t>
      </w:r>
      <w:r>
        <w:rPr>
          <w:rStyle w:val="Ancredenotedefin"/>
          <w:rStyle w:val="Ancredenotedefin"/>
        </w:rPr>
        <w:endnoteReference w:id="184"/>
      </w:r>
      <w:r>
        <w:rPr/>
        <w:t>.</w:t>
      </w:r>
    </w:p>
    <w:p>
      <w:pPr>
        <w:pStyle w:val="Puce3"/>
        <w:tabs>
          <w:tab w:val="clear" w:pos="720"/>
        </w:tabs>
        <w:rPr/>
      </w:pPr>
      <w:r>
        <w:rPr/>
        <w:t>5.</w:t>
        <w:tab/>
        <w:t>Zriadiť informačnú platformu na výmenu poznatkov a skúseností na úrovni Únie výmenou informácií o nadnárodných kurzoch vzdelávania a odbornej prípravy v Únii, prezentovať príklady najlepších postupov a poskytovať občanom príležitosť prezentovať nové nápady na cezhraničné výmeny. Mal by poskytovať vzdelávacie materiály o zmene klímy, environmentálnych otázkach a digitalizácii a poskytovať informácie o existujúcich špecializovaných fórach o hlavných témach</w:t>
      </w:r>
      <w:r>
        <w:rPr>
          <w:rStyle w:val="Ancredenotedefin"/>
          <w:rStyle w:val="Ancredenotedefin"/>
        </w:rPr>
        <w:endnoteReference w:id="185"/>
      </w:r>
      <w:r>
        <w:rPr/>
        <w:t>. — Mohlo by to sprevádzať program financovania na podporu využívania a využívania informácií platformy.</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Návrh: Otázky týkajúce sa európskej mládeže</w:t>
      </w:r>
    </w:p>
    <w:p>
      <w:pPr>
        <w:pStyle w:val="P68B1DB1Normal15"/>
        <w:rPr/>
      </w:pPr>
      <w:r>
        <w:rPr/>
        <w:t>Cieľ: EÚ a jej členské štáty by sa mali zamerať na osobitné potreby mladých ľudí vo všetkých príslušných politikách vrátane regionálnej politiky EÚ s cieľom poskytnúť im najlepšie možné podmienky na štúdium, prácu a začatie nezávislého života a zároveň ich zapojiť do demokratického života a rozhodovacích procesov, a to aj na európskej úrovni. Mládežnícke organizácie zohrávajú kľúčovú úlohu. Na dosiahnutie tohto cieľa navrhujeme nasledovné:</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tabs>
          <w:tab w:val="clear" w:pos="720"/>
        </w:tabs>
        <w:rPr/>
      </w:pPr>
      <w:r>
        <w:rPr/>
        <w:t>1.</w:t>
        <w:tab/>
        <w:t>Poskytnúť mladým ľuďom viac príležitostí na účasť a zastúpenie v demokratických a rozhodovacích procesoch na všetkých úrovniach a podporovať existujúce programy v tejto oblasti, a to aj organizovaním občianskych panelov s deťmi (napr. vo veku 10 – 16 rokov) v školách. Európski zástupcovia by sa mohli stretnúť so školopovinnými deťmi vo svojich školách s cieľom posilniť blízkosť a pochopenie Európy občanmi už od útleho veku</w:t>
      </w:r>
      <w:r>
        <w:rPr>
          <w:rStyle w:val="Ancredenotedefin"/>
          <w:rStyle w:val="Ancredenotedefin"/>
        </w:rPr>
        <w:endnoteReference w:id="186"/>
      </w:r>
      <w:r>
        <w:rPr/>
        <w:t>. Na to, aby sa všetky politické rozhodnutia EÚ analyzovali prostredníctvom šošovky pre mladých ľudí, by sa mal vypracovať „test mládeže“ na európskej úrovni, aby sa zabezpečilo, že každá nová politika a legislatívny návrh bude predmetom posúdenia vplyvu zameraného na mládež vrátane konzultácií s mládežou.</w:t>
      </w:r>
    </w:p>
    <w:p>
      <w:pPr>
        <w:pStyle w:val="Puce3"/>
        <w:tabs>
          <w:tab w:val="clear" w:pos="720"/>
        </w:tabs>
        <w:rPr/>
      </w:pPr>
      <w:r>
        <w:rPr/>
        <w:t>2.</w:t>
        <w:tab/>
        <w:t>Malo by sa prediskutovať a zvážiť udelenie volebného práva od veku 16 rokov vo voľbách do Európskeho parlamentu spolu s posilnením výchovy k občianstvu a EÚ. Národné politické strany by tiež mali zabezpečiť, aby mladší kandidáti boli zaradení do svojich zoznamov na účely volieb do Európskeho parlamentu</w:t>
      </w:r>
      <w:r>
        <w:rPr>
          <w:rStyle w:val="Ancredenotedefin"/>
          <w:rStyle w:val="Ancredenotedefin"/>
        </w:rPr>
        <w:endnoteReference w:id="187"/>
      </w:r>
      <w:r>
        <w:rPr/>
        <w:t>.</w:t>
      </w:r>
    </w:p>
    <w:p>
      <w:pPr>
        <w:pStyle w:val="Puce3"/>
        <w:tabs>
          <w:tab w:val="clear" w:pos="720"/>
        </w:tabs>
        <w:rPr/>
      </w:pPr>
      <w:r>
        <w:rPr/>
        <w:t>3.</w:t>
        <w:tab/>
        <w:t>Lepšie pripraviť mladých ľudí na vstup na pracovnú silu, poskytnúť študentom stredných škôl (vo veku od 12 rokov) príležitosť zúčastniť sa kvalitných pozorovacích návštev v neziskových a neziskových organizáciách v úzkej spolupráci medzi školami, miestnymi orgánmi a príslušnými organizáciami a podnikmi</w:t>
      </w:r>
      <w:r>
        <w:rPr>
          <w:rStyle w:val="Ancredenotedefin"/>
          <w:rStyle w:val="Ancredenotedefin"/>
        </w:rPr>
        <w:endnoteReference w:id="188"/>
      </w:r>
      <w:r>
        <w:rPr/>
        <w:t>. Tieto návštevy by sa mali považovať za súčasť širšieho procesu profesijného poradenstva vo formálnom vzdelávaní s cieľom umožniť mladým ľuďom, aby mali prvý kontakt so svetom práce, aby mohli usmerňovať svoje profesijné rozhodnutia a/alebo uvažovať o tom, že sa stanú podnikateľmi.</w:t>
      </w:r>
    </w:p>
    <w:p>
      <w:pPr>
        <w:pStyle w:val="Puce3"/>
        <w:tabs>
          <w:tab w:val="clear" w:pos="720"/>
        </w:tabs>
        <w:rPr/>
      </w:pPr>
      <w:r>
        <w:rPr/>
        <w:t>4.</w:t>
        <w:tab/>
        <w:t>Väčšie finančné prostriedky EÚ v rámci nástroja NextGenerationEU by sa mali vyčleniť aj na vykonávanie posilnenej európskej záruky pre mladých ľudí vrátane väčšej angažovanosti, zvýšenia informovanosti, lepšej kvality ponuky, financovania a opatrení zo strany všetkých členských štátov a príslušných úrovní orgánov. Keďže mládežnícke organizácie dokážu lepšie identifikovať potreby mladých ľudí, národné vlády by mali spolupracovať s mládežníckymi organizáciami prostredníctvom úzkeho dialógu s cieľom zabezpečiť čo najefektívnejšie vykonávanie záruky pre mladých ľudí.</w:t>
      </w:r>
    </w:p>
    <w:p>
      <w:pPr>
        <w:pStyle w:val="Puce3"/>
        <w:tabs>
          <w:tab w:val="clear" w:pos="720"/>
        </w:tabs>
        <w:rPr/>
      </w:pPr>
      <w:r>
        <w:rPr/>
        <w:t>5.</w:t>
        <w:tab/>
        <w:t>Zabezpečiť, aby stáže a pracovné miesta mladých ľudí spĺňali normy kvality, najmä pokiaľ ide o odmeňovanie, skoncovaním s minimálnymi mzdami pre mladých ľudí a akýmikoľvek inými diskriminačnými ustanoveniami pracovného práva špecifických pre mládež a prostredníctvom právneho nástroja zakázali neplatené stáže na trhu práce a mimo formálneho vzdelávania</w:t>
      </w:r>
      <w:r>
        <w:rPr>
          <w:rStyle w:val="Ancredenotedefin"/>
          <w:rStyle w:val="Ancredenotedefin"/>
        </w:rPr>
        <w:endnoteReference w:id="189"/>
      </w:r>
      <w:r>
        <w:rPr/>
        <w:t>.</w:t>
      </w:r>
    </w:p>
    <w:p>
      <w:pPr>
        <w:pStyle w:val="Puce3"/>
        <w:tabs>
          <w:tab w:val="clear" w:pos="720"/>
        </w:tabs>
        <w:rPr/>
      </w:pPr>
      <w:r>
        <w:rPr/>
        <w:t>6.</w:t>
        <w:tab/>
        <w:t>Zabezpečiť primeranú životnú úroveň pre mladých ľudí vrátane prístupu k sociálnej ochrane a bývaniu. Mladí ľudia by mali mať prístup k rovnakej úrovni sociálnej ochrany, akú majú iné vekové skupiny. Mal by sa uľahčiť aj prístup k cenovo dostupnému bývaniu pre mladých ľudí, a to aj prostredníctvom financovania EÚ</w:t>
      </w:r>
      <w:r>
        <w:rPr>
          <w:rStyle w:val="Ancredenotedefin"/>
          <w:rStyle w:val="Ancredenotedefin"/>
        </w:rPr>
        <w:endnoteReference w:id="190"/>
      </w:r>
      <w:r>
        <w:rPr/>
        <w:t>.</w:t>
      </w:r>
    </w:p>
    <w:p>
      <w:pPr>
        <w:pStyle w:val="Puce3"/>
        <w:tabs>
          <w:tab w:val="clear" w:pos="720"/>
        </w:tabs>
        <w:rPr/>
      </w:pPr>
      <w:r>
        <w:rPr/>
        <w:t>7.</w:t>
        <w:tab/>
        <w:t>Sú potrebné osobitné opatrenia na zabránenie úniku mozgov z určitých regiónov a krajín v rámci Únie z dôvodu nedostatočných príležitostí pre mladých ľudí a zároveň na zatraktívnenie Európy, aby sa zabránilo úniku európskych talentov a pracovnej sily do tretích krajín, aby sa zabránilo oslabovaniu územnej súdržnosti, najmä pokiaľ ide o regióny, ktoré trpia značnou stratou mladých talentov, a to aj prostredníctvom financovania EÚ</w:t>
      </w:r>
      <w:r>
        <w:rPr>
          <w:rStyle w:val="Ancredenotedefin"/>
          <w:rStyle w:val="Ancredenotedefin"/>
        </w:rPr>
        <w:endnoteReference w:id="191"/>
      </w:r>
      <w:r>
        <w:rPr/>
        <w:t>.</w:t>
      </w:r>
    </w:p>
    <w:p>
      <w:pPr>
        <w:pStyle w:val="Puce3"/>
        <w:tabs>
          <w:tab w:val="clear" w:pos="720"/>
        </w:tabs>
        <w:rPr/>
      </w:pPr>
      <w:r>
        <w:rPr/>
        <w:t>8.</w:t>
        <w:tab/>
        <w:t>V prípade vážnej krízy (napr. zdravotnej krízy, vojny) by mali byť dobre navrhnuté plány s podrobnými scenármi pripravené na pružné zavádzanie s cieľom minimalizovať vplyv na vzdelávanie, odbornú prípravu, prechod na trh práce a duševnú pohodu mladých ľudí</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Návrh: Kultúra a výmeny</w:t>
      </w:r>
    </w:p>
    <w:p>
      <w:pPr>
        <w:pStyle w:val="P68B1DB1Normal15"/>
        <w:rPr/>
      </w:pPr>
      <w:r>
        <w:rPr/>
        <w:t>Cieľ: V záujme podpory kultúry výmeny a podpory európskej identity a rozmanitosti v rôznych oblastiach by členské štáty mali s pomocou Európskej únie: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r>
        <w:rPr>
          <w:rStyle w:val="Ancredenotedefin"/>
          <w:rStyle w:val="Ancredenotedefin"/>
          <w:b/>
        </w:rPr>
        <w:endnoteReference w:id="193"/>
      </w:r>
      <w:r>
        <w:rPr/>
        <w:t>:</w:t>
      </w:r>
    </w:p>
    <w:p>
      <w:pPr>
        <w:pStyle w:val="Puce3"/>
        <w:tabs>
          <w:tab w:val="clear" w:pos="720"/>
        </w:tabs>
        <w:rPr/>
      </w:pPr>
      <w:r>
        <w:rPr/>
        <w:t>1.</w:t>
        <w:tab/>
        <w:t>Podporovať európske výmeny v rôznych oblastiach, fyzicky aj digitálne, vrátane vzdelávacích výmen, twinningu, cestovania a profesijnej mobility (najmä pre učiteľov a miestnych volených úradníkov). Takéto výmeny by sa mali sprístupniť všetkým vo všetkých členských štátoch bez ohľadu na vek, úroveň vzdelania, pôvod a finančné prostriedky</w:t>
      </w:r>
      <w:r>
        <w:rPr>
          <w:rStyle w:val="Ancredenotedefin"/>
          <w:rStyle w:val="Ancredenotedefin"/>
        </w:rPr>
        <w:endnoteReference w:id="194"/>
      </w:r>
      <w:r>
        <w:rPr/>
        <w:t>. Na tento účel by Únia mala posilniť existujúce výmenné programy a programy mobility na úrovni Únie, ako sú Európsky zbor solidarity, Erasmus+ a DiscoverEU, zabezpečiť širšiu a diverzifikovanú účasť na týchto programoch a zvážiť pridanie nových prvkov, ako je dodatočný cieľ občianskej služby podporovanej dobrovoľníctvom (pre Európsky zbor solidarity) a „názvy na prístup ku kultúre“ (pre DiscoverEU). Miestne a regionálne samosprávy musia pod záštitou Výboru regiónov zohrávať vedúcu úlohu v tejto oblasti.</w:t>
      </w:r>
    </w:p>
    <w:p>
      <w:pPr>
        <w:pStyle w:val="Puce3"/>
        <w:tabs>
          <w:tab w:val="clear" w:pos="720"/>
        </w:tabs>
        <w:rPr/>
      </w:pPr>
      <w:r>
        <w:rPr/>
        <w:t>2.</w:t>
        <w:tab/>
        <w:t>Podporovať viacjazyčnosť ako bránu do iných kultúr od útleho veku. Regionálne a menšinové jazyky potrebujú dodatočnú ochranu, berúc do úvahy Dohovor Rady Európy o menšinových jazykoch a Rámcový dohovor na ochranu národnostných menšín. EÚ by mala zvážiť zriadenie inštitúcie na podporu jazykovej rozmanitosti na európskej úrovni. Od detí by sa malo vyžadovať, aby na základnej škole získali zručnosti v inom aktívnom jazyku EÚ ako v ich vlastnom jazyku na najvyššej možnej úrovni. S cieľom uľahčiť európskym občanom komunikovať so širšími skupinami iných Európanov a ako faktor európskej súdržnosti by členské štáty mali podporovať učenie sa jazyka členských štátov EÚ priamo hraničiacich s pohraničnými regiónmi a získanie certifikovanej úrovne angličtiny</w:t>
      </w:r>
      <w:r>
        <w:rPr>
          <w:rStyle w:val="Ancredenotedefin"/>
          <w:rStyle w:val="Ancredenotedefin"/>
        </w:rPr>
        <w:endnoteReference w:id="195"/>
      </w:r>
      <w:r>
        <w:rPr/>
        <w:t>.</w:t>
      </w:r>
    </w:p>
    <w:p>
      <w:pPr>
        <w:pStyle w:val="Puce3"/>
        <w:tabs>
          <w:tab w:val="clear" w:pos="720"/>
        </w:tabs>
        <w:rPr/>
      </w:pPr>
      <w:r>
        <w:rPr/>
        <w:t>3.</w:t>
        <w:tab/>
        <w:t>Vytvárať príležitosti na zdieľanie európskych kultúr, zbližovať ľudí a podporovať spoločnú európsku identitu, napríklad prostredníctvom podujatí a stretnutí, na ktorých sa zúčastňujú všetky cieľové skupiny a ktoré sa konajú na rôznych miestach. Medzi príklady patrí organizácia Svetových dní</w:t>
      </w:r>
      <w:r>
        <w:rPr>
          <w:rStyle w:val="Ancredenotedefin"/>
          <w:rStyle w:val="Ancredenotedefin"/>
        </w:rPr>
        <w:endnoteReference w:id="196"/>
      </w:r>
      <w:r>
        <w:rPr/>
        <w:t>umenia, európska výstava s pedagogickými podujatiami alebo transformácia Dňa Európy (9. mája) na oficiálny európsky sviatok pre všetkých občanov EÚ</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Chrániť európske kultúrne dedičstvo a európsku kultúru,</w:t>
      </w:r>
      <w:r>
        <w:rPr>
          <w:rStyle w:val="Ancredenotedefin"/>
          <w:rStyle w:val="Ancredenotedefin"/>
        </w:rPr>
        <w:endnoteReference w:id="198"/>
      </w:r>
      <w:r>
        <w:rPr/>
        <w:t>najmä uznaním miestnych a regionálnych špecifík v oblasti kultúry a výroby,</w:t>
      </w:r>
      <w:r>
        <w:rPr>
          <w:rStyle w:val="Ancredenotedefin"/>
          <w:rStyle w:val="Ancredenotedefin"/>
        </w:rPr>
        <w:endnoteReference w:id="199"/>
      </w:r>
      <w:r>
        <w:rPr/>
        <w:t>novými iniciatívami na jeho zachovanie a oslavu, prostredníctvom mobility na podporu výmeny kultúrneho dedičstva a podporou existujúcich opatrení, ako sú Kreatívna Európa, Nový európsky Bauhaus, twinningové programy miest a Európske hlavné mestá kultúry v súlade s cieľmi trvalo udržateľného rozvoja.</w:t>
      </w:r>
    </w:p>
    <w:p>
      <w:pPr>
        <w:pStyle w:val="Puce3"/>
        <w:tabs>
          <w:tab w:val="clear" w:pos="720"/>
        </w:tabs>
        <w:rPr/>
      </w:pPr>
      <w:r>
        <w:rPr/>
        <w:t>5.</w:t>
        <w:tab/>
        <w:t>Prijať opatrenia na zabezpečenie dostatočnej ochrany odborníkov v oblasti kultúry na úrovni EÚ, najmä v prípade akejkoľvek budúcej krízy, prostredníctvom prijatia právneho štatútu na európskej úrovni.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Návrh: Šport</w:t>
      </w:r>
    </w:p>
    <w:p>
      <w:pPr>
        <w:pStyle w:val="P68B1DB1Normal15"/>
        <w:rPr/>
      </w:pPr>
      <w:r>
        <w:rPr/>
        <w:t>Cieľ: Šport má zásadný význam pre naše spoločnosti – aby sme chránili naše hodnoty, viedli zdravý životný štýl a vek v dobrom zdravotnom stave, podporovali kultúru výmeny a oslavovali rozmanitosť európskeho dedičstva. Z tohto dôvodu by sa členské štáty mali s pomocou Európskej únie zamerať na: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Opatrenia:</w:t>
      </w:r>
    </w:p>
    <w:p>
      <w:pPr>
        <w:pStyle w:val="Puce3"/>
        <w:tabs>
          <w:tab w:val="clear" w:pos="720"/>
        </w:tabs>
        <w:rPr/>
      </w:pPr>
      <w:r>
        <w:rPr/>
        <w:t>1.</w:t>
        <w:tab/>
        <w:t>Zdôrazniť hodnoty, najmä rodovú rovnosť, rovnosť a začlenenie, ktoré sa môžu konkrétne odraziť v športe počas celej vzdelávacej cesty.</w:t>
      </w:r>
    </w:p>
    <w:p>
      <w:pPr>
        <w:pStyle w:val="Puce3"/>
        <w:tabs>
          <w:tab w:val="clear" w:pos="720"/>
        </w:tabs>
        <w:rPr/>
      </w:pPr>
      <w:r>
        <w:rPr/>
        <w:t>2.</w:t>
        <w:tab/>
        <w:t>Zvýšiť informovanosť o zdravotných výhodách športu a fyzickej aktivity</w:t>
      </w:r>
      <w:r>
        <w:rPr>
          <w:rStyle w:val="Ancredenotedefin"/>
          <w:rStyle w:val="Ancredenotedefin"/>
        </w:rPr>
        <w:endnoteReference w:id="200"/>
      </w:r>
      <w:r>
        <w:rPr/>
        <w:t>.</w:t>
      </w:r>
    </w:p>
    <w:p>
      <w:pPr>
        <w:pStyle w:val="Puce3"/>
        <w:tabs>
          <w:tab w:val="clear" w:pos="720"/>
        </w:tabs>
        <w:rPr/>
      </w:pPr>
      <w:r>
        <w:rPr/>
        <w:t>3.</w:t>
        <w:tab/>
        <w:t>Začleniť športové aktivity do výmenných programov a programov mobility na úrovni EÚ</w:t>
      </w:r>
      <w:r>
        <w:rPr>
          <w:rStyle w:val="Ancredenotedefin"/>
          <w:rStyle w:val="Ancredenotedefin"/>
        </w:rPr>
        <w:endnoteReference w:id="201"/>
      </w:r>
      <w:r>
        <w:rPr/>
        <w:t>200.</w:t>
      </w:r>
    </w:p>
    <w:p>
      <w:pPr>
        <w:pStyle w:val="Puce3"/>
        <w:tabs>
          <w:tab w:val="clear" w:pos="720"/>
        </w:tabs>
        <w:rPr/>
      </w:pPr>
      <w:r>
        <w:rPr/>
        <w:t>4.</w:t>
        <w:tab/>
        <w:t>Zlepšiť pozornosť venovanú nielen profesionálnym a komerčným športom, ale aj miestnym a tradičným športom, ktoré sú svedkami európskej kultúrnej rozmanitosti, s cieľom propagovať kultúrne dedičstvo a podporovať športových šampiónov v neprofesionálnom prostredí.</w:t>
      </w:r>
    </w:p>
    <w:p>
      <w:pPr>
        <w:pStyle w:val="Normal"/>
        <w:rPr/>
      </w:pPr>
      <w:r>
        <w:rPr/>
      </w:r>
    </w:p>
    <w:p>
      <w:pPr>
        <w:pStyle w:val="Puce3"/>
        <w:tabs>
          <w:tab w:val="clear" w:pos="720"/>
        </w:tabs>
        <w:rPr/>
      </w:pPr>
      <w:r>
        <w:rPr/>
        <w:t>5.</w:t>
        <w:tab/>
        <w:t>Zároveň podporovať propagáciu európskej identity organizovaním väčšieho počtu medzieurópskych športových podujatí,</w:t>
      </w:r>
      <w:r>
        <w:rPr/>
        <w:commentReference w:id="0"/>
      </w:r>
      <w:r>
        <w:rPr/>
        <w:t>vytváraním športových tímov EÚ alebo zobrazovaním európskych vlajok alebo symbolov na európskych športových podujatiach.</w:t>
      </w:r>
    </w:p>
    <w:p>
      <w:pPr>
        <w:pStyle w:val="Puce3"/>
        <w:tabs>
          <w:tab w:val="clear" w:pos="720"/>
        </w:tabs>
        <w:rPr/>
      </w:pPr>
      <w:r>
        <w:rPr/>
        <w:t>6.</w:t>
        <w:tab/>
        <w:t>Viac investovať do komunikácie, ako je Európsky týždeň športu, aby občania v celej EÚ mohli spoločne využívať špičkové príležitosti.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Záverečné úvahy výkonnej rady</w:t>
      </w:r>
    </w:p>
    <w:p>
      <w:pPr>
        <w:pStyle w:val="Normal"/>
        <w:rPr/>
      </w:pPr>
      <w:r>
        <w:rPr/>
      </w:r>
      <w:r>
        <w:br w:type="page"/>
      </w:r>
    </w:p>
    <w:p>
      <w:pPr>
        <w:pStyle w:val="Corpsdetexte"/>
        <w:rPr/>
      </w:pPr>
      <w:r>
        <w:rPr/>
        <w:t>Hlavným cieľom Konferencie o budúcnosti Európy bolo zabezpečiť, aby Európska únia bola pripravená čeliť súčasným a budúcim výzvam tým, že občanom poskytne príležitosť vyjadriť svoje obavy a ambície a v spolupráci so zástupcami troch inštitúcií, národných parlamentov a iných zainteresovaných strán poskytnúť usmernenia pre budúcnosť. Na dosiahnutie tohto cieľa musela byť konferencia zameraná na občanov založená na prístupe zdola nahor, schopná vytvoriť nový priestor na diskusiu o prioritách Európy a vypracovať prehľad o tom, čo občania očakávajú od Európskej únie.</w:t>
      </w:r>
    </w:p>
    <w:p>
      <w:pPr>
        <w:pStyle w:val="Corpsdetexte"/>
        <w:rPr/>
      </w:pPr>
      <w:r>
        <w:rPr/>
        <w:t>Táto konferencia bola skutočne schopná zohrať túto úlohu. Európski občania zo všetkých oblastí života a zo všetkých kútov Únie sa na konferencii zúčastnili a predložili odporúčania z panelových diskusií občanov a návrhy týkajúce sa budúcnosti Európy v spolupráci s nasledujúcim plenárnym zasadnutím vrátane členov Európskeho parlamentu, Rady a Európskej komisie, ako aj zástupcov všetkých národných parlamentov, Výboru regiónov, volených regionálnych a miestnych zástupcov, Európskeho hospodárskeho a sociálneho výboru, sociálnych partnerov a občianskej spoločnosti a ďalších kľúčových aktérov. Nástroje a metodika vyvinuté pre tento proces predstavujú jedinečný súbor zdrojov, ktorý by mohol slúžiť ako základ pre budúce cvičenia týkajúce sa účasti občanov a poradnej demokracie na úrovni EÚ.</w:t>
      </w:r>
    </w:p>
    <w:p>
      <w:pPr>
        <w:pStyle w:val="Corpsdetexte"/>
        <w:rPr/>
      </w:pPr>
      <w:r>
        <w:rPr/>
        <w:t>Vďaka množstvu podujatí a diskusií v celej EÚ, interaktívnej viacjazyčnej digitálnej platforme, európskym a národným diskusiám občanov a plenárnemu zasadnutiu konferencie teraz konferencia predložila záverečnú správu vrátane prehľadu práce vykonanej udržateľným spôsobom v tomto roku, ako aj návrhov plenárneho zhromaždenia o budúcnosti Európy. Z týchto návrhov je veľmi jasné, že EÚ musí konať, aby uspela v zelenej a digitálnej transformácii, posilnila odolnosť Európy a jej sociálnu zmluvu a zároveň riešila nerovnosti a zabezpečila, aby Európska únia bola spravodlivým, udržateľným, inovatívnym a konkurencieschopným hospodárstvom, ktoré na nikoho nezabudne.</w:t>
      </w:r>
    </w:p>
    <w:p>
      <w:pPr>
        <w:pStyle w:val="Corpsdetexte"/>
        <w:rPr/>
      </w:pPr>
      <w:r>
        <w:rPr/>
        <w:t>Vývoj geopolitickej situácie počas konferencie, a najmä ruská vojna agresie proti Ukrajine, tiež ukázali, že EÚ sa musí stať asertívnejšou a zohrávať vedúcu úlohu na svetovej scéne pri presadzovaní svojich hodnôt a noriem v čoraz viac otrasenom svete.</w:t>
      </w:r>
    </w:p>
    <w:p>
      <w:pPr>
        <w:pStyle w:val="Corpsdetexte"/>
        <w:rPr/>
      </w:pPr>
      <w:r>
        <w:rPr/>
        <w:t>Konferencia poskytla jasné usmernenia v týchto oblastiach a tri inštitúcie EÚ musia teraz zvážiť, ako riešiť vyjadrené obavy, ambície a myšlienky. Ďalším krokom v tomto procese je vypracovať konkrétne opatrenia EÚ na základe výsledkov konferencie, ako sa uvádza v tejto záverečnej správe. Inštitúcie EÚ preto teraz preskúmajú túto správu a jej následné opatrenia v rámci svojich právomocí a v súlade so zmluvami. Nadväzujúce podujatie sa uskutoční na jeseň 2022 s cieľom informovať občanov o tom, ako budú inštitúcie plniť svoj záväzok zabezpečiť, aby boli vypočutí a držaní v rukách budúcnosti Európy.</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78">
            <wp:simplePos x="0" y="0"/>
            <wp:positionH relativeFrom="column">
              <wp:align>center</wp:align>
            </wp:positionH>
            <wp:positionV relativeFrom="paragraph">
              <wp:posOffset>635</wp:posOffset>
            </wp:positionV>
            <wp:extent cx="6120130" cy="8642350"/>
            <wp:effectExtent l="0" t="0" r="0" b="0"/>
            <wp:wrapSquare wrapText="largest"/>
            <wp:docPr id="70" name="Obrázok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ok30" descr=""/>
                    <pic:cNvPicPr>
                      <a:picLocks noChangeAspect="1" noChangeArrowheads="1"/>
                    </pic:cNvPicPr>
                  </pic:nvPicPr>
                  <pic:blipFill>
                    <a:blip r:embed="rId82"/>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Príloha I – Odporúčania štyroch európskych panelových diskusií občanov</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Obrázok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ázok31" descr=""/>
                    <pic:cNvPicPr>
                      <a:picLocks noChangeAspect="1" noChangeArrowheads="1"/>
                    </pic:cNvPicPr>
                  </pic:nvPicPr>
                  <pic:blipFill>
                    <a:blip r:embed="rId83"/>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83">
                <wp:simplePos x="0" y="0"/>
                <wp:positionH relativeFrom="column">
                  <wp:posOffset>128270</wp:posOffset>
                </wp:positionH>
                <wp:positionV relativeFrom="paragraph">
                  <wp:posOffset>2223770</wp:posOffset>
                </wp:positionV>
                <wp:extent cx="4250690" cy="3210560"/>
                <wp:effectExtent l="0" t="0" r="0" b="0"/>
                <wp:wrapTopAndBottom/>
                <wp:docPr id="72" name="Rámec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pPr>
                            <w:r>
                              <w:rPr/>
                              <w:t xml:space="preserve">Konferencia o </w:t>
                            </w:r>
                          </w:p>
                          <w:p>
                            <w:pPr>
                              <w:pStyle w:val="P68B1DB1Normal16"/>
                              <w:rPr/>
                            </w:pPr>
                            <w:r>
                              <w:rPr/>
                              <w:t xml:space="preserve">budúcnosť Európy </w:t>
                            </w:r>
                          </w:p>
                          <w:p>
                            <w:pPr>
                              <w:pStyle w:val="P68B1DB1Normal17"/>
                              <w:rPr/>
                            </w:pPr>
                            <w:r>
                              <w:rPr/>
                              <w:t xml:space="preserve"> </w:t>
                            </w:r>
                            <w:r>
                              <w:rPr/>
                              <w:t>Európsky</w:t>
                            </w:r>
                            <w:r>
                              <w:rPr>
                                <w:sz w:val="32"/>
                              </w:rPr>
                              <w:t xml:space="preserve">panel občanov 1: Silnejšia ekonomika, sociálna spravodlivosť a zamestnanosť/vzdelávanie, kultúra, mládež a šport/digitálna transformácia </w:t>
                            </w:r>
                          </w:p>
                          <w:p>
                            <w:pPr>
                              <w:pStyle w:val="P68B1DB1Normal17"/>
                              <w:rPr/>
                            </w:pPr>
                            <w:r>
                              <w:rPr/>
                              <w:t xml:space="preserve"> </w:t>
                            </w:r>
                          </w:p>
                          <w:p>
                            <w:pPr>
                              <w:pStyle w:val="P68B1DB1Normal17"/>
                              <w:rPr/>
                            </w:pPr>
                            <w:r>
                              <w:rPr/>
                              <w:t>Odporúčania</w:t>
                            </w:r>
                          </w:p>
                          <w:p>
                            <w:pPr>
                              <w:pStyle w:val="P68B1DB1Normal17"/>
                              <w:rPr/>
                            </w:pPr>
                            <w:r>
                              <w:rPr/>
                              <w:t xml:space="preserve"> </w:t>
                            </w:r>
                            <w:r>
                              <w:rPr/>
                              <w:t>Fotografie © Európska únia,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Rámec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pPr>
                      <w:r>
                        <w:rPr/>
                        <w:t xml:space="preserve">Konferencia o </w:t>
                      </w:r>
                    </w:p>
                    <w:p>
                      <w:pPr>
                        <w:pStyle w:val="P68B1DB1Normal16"/>
                        <w:rPr/>
                      </w:pPr>
                      <w:r>
                        <w:rPr/>
                        <w:t xml:space="preserve">budúcnosť Európy </w:t>
                      </w:r>
                    </w:p>
                    <w:p>
                      <w:pPr>
                        <w:pStyle w:val="P68B1DB1Normal17"/>
                        <w:rPr/>
                      </w:pPr>
                      <w:r>
                        <w:rPr/>
                        <w:t xml:space="preserve"> </w:t>
                      </w:r>
                      <w:r>
                        <w:rPr/>
                        <w:t>Európsky</w:t>
                      </w:r>
                      <w:r>
                        <w:rPr>
                          <w:sz w:val="32"/>
                        </w:rPr>
                        <w:t xml:space="preserve">panel občanov 1: Silnejšia ekonomika, sociálna spravodlivosť a zamestnanosť/vzdelávanie, kultúra, mládež a šport/digitálna transformácia </w:t>
                      </w:r>
                    </w:p>
                    <w:p>
                      <w:pPr>
                        <w:pStyle w:val="P68B1DB1Normal17"/>
                        <w:rPr/>
                      </w:pPr>
                      <w:r>
                        <w:rPr/>
                        <w:t xml:space="preserve"> </w:t>
                      </w:r>
                    </w:p>
                    <w:p>
                      <w:pPr>
                        <w:pStyle w:val="P68B1DB1Normal17"/>
                        <w:rPr/>
                      </w:pPr>
                      <w:r>
                        <w:rPr/>
                        <w:t>Odporúčania</w:t>
                      </w:r>
                    </w:p>
                    <w:p>
                      <w:pPr>
                        <w:pStyle w:val="P68B1DB1Normal17"/>
                        <w:rPr/>
                      </w:pPr>
                      <w:r>
                        <w:rPr/>
                        <w:t xml:space="preserve"> </w:t>
                      </w:r>
                      <w:r>
                        <w:rPr/>
                        <w:t>Fotografie © Európska únia,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Európsky panel občanov 1: Silnejšia ekonomika, sociálna spravodlivosť a zamestnanosť/vzdelávanie, kultúra, mládež a šport/digitálna transformácia </w:t>
      </w:r>
    </w:p>
    <w:p>
      <w:pPr>
        <w:pStyle w:val="P68B1DB1Normal18"/>
        <w:widowControl w:val="false"/>
        <w:spacing w:lineRule="exact" w:line="468"/>
        <w:ind w:left="425" w:right="0" w:hanging="0"/>
        <w:jc w:val="left"/>
        <w:rPr/>
      </w:pPr>
      <w:r>
        <w:rPr>
          <w:b/>
          <w:color w:val="1C4587"/>
        </w:rPr>
        <w:t>ODPORÚČANIA PRIJATÉ SKUPINOU ODBORNÍKOV (KTORÉ SA MAJÚ PREDLOŽIŤ PLÉNU)</w:t>
      </w:r>
      <w:r>
        <w:rPr>
          <w:color w:val="000000"/>
        </w:rPr>
        <w:t xml:space="preserve"> </w:t>
      </w:r>
    </w:p>
    <w:p>
      <w:pPr>
        <w:pStyle w:val="Titre3"/>
        <w:numPr>
          <w:ilvl w:val="2"/>
          <w:numId w:val="2"/>
        </w:numPr>
        <w:rPr/>
      </w:pPr>
      <w:bookmarkStart w:id="106" w:name="__RefHeading___Toc297145_1346298689"/>
      <w:bookmarkEnd w:id="106"/>
      <w:r>
        <w:rPr/>
        <w:t xml:space="preserve">Os 1: Práca v Európe </w:t>
      </w:r>
    </w:p>
    <w:p>
      <w:pPr>
        <w:pStyle w:val="Titre4"/>
        <w:numPr>
          <w:ilvl w:val="3"/>
          <w:numId w:val="2"/>
        </w:numPr>
        <w:rPr/>
      </w:pPr>
      <w:bookmarkStart w:id="107" w:name="__RefHeading___Toc297147_1346298689"/>
      <w:bookmarkEnd w:id="107"/>
      <w:r>
        <w:rPr/>
        <w:t xml:space="preserve">Podos 1.1 Trh práce </w:t>
      </w:r>
    </w:p>
    <w:p>
      <w:pPr>
        <w:pStyle w:val="P68B1DB1Normal15"/>
        <w:rPr/>
      </w:pPr>
      <w:r>
        <w:rPr/>
        <w:t xml:space="preserve">1. Odporúčame zaviesť minimálnu mzdu s cieľom zabezpečiť podobnú kvalitu života vo všetkých členských štátoch. Uvedomujeme si prebiehajúce úsilie podľa smernice EÚ COM(2020) 682 o harmonizáciu spôsobu života. Minimálna mzda musí zaručiť minimálny čistý príjem, aby sa dosiahol základný cieľ: všetci v núdzi by mali mať vyšší príjem. Minimálna mzda by mala zohľadňovať tieto aspekty: </w:t>
      </w:r>
    </w:p>
    <w:p>
      <w:pPr>
        <w:pStyle w:val="P68B1DB1Normal15"/>
        <w:rPr/>
      </w:pPr>
      <w:r>
        <w:rPr/>
        <w:t xml:space="preserve">● </w:t>
      </w:r>
      <w:r>
        <w:rPr/>
        <w:t xml:space="preserve">EÚ by mala zabezpečiť jej účinné vykonávanie, keďže v súčasnosti nie všetky členské štáty správne uplatňujú ochranu pracovníkov; </w:t>
      </w:r>
    </w:p>
    <w:p>
      <w:pPr>
        <w:pStyle w:val="P68B1DB1Normal15"/>
        <w:rPr/>
      </w:pPr>
      <w:r>
        <w:rPr/>
        <w:t xml:space="preserve">● </w:t>
      </w:r>
      <w:r>
        <w:rPr/>
        <w:t xml:space="preserve">osobitná pozornosť by sa mala venovať monitorovaniu zlepšovania životnej úrovne; </w:t>
      </w:r>
    </w:p>
    <w:p>
      <w:pPr>
        <w:pStyle w:val="Normal"/>
        <w:rPr/>
      </w:pPr>
      <w:r>
        <w:rPr>
          <w:b/>
        </w:rPr>
        <w:t xml:space="preserve">● </w:t>
      </w:r>
      <w:r>
        <w:rPr>
          <w:b/>
        </w:rPr>
        <w:t>minimálna mzda musí zohľadňovať kúpnu silu v rôznych krajinách. Na jeho prispôsobenie zmenám životných nákladov (napr. s cieľom zohľadniť infláciu) je potrebný postup pravidelného preskúmania.</w:t>
      </w:r>
      <w:r>
        <w:rPr/>
        <w:t xml:space="preserve"> </w:t>
      </w:r>
    </w:p>
    <w:p>
      <w:pPr>
        <w:pStyle w:val="Normal"/>
        <w:rPr/>
      </w:pPr>
      <w:r>
        <w:rPr/>
        <w:t xml:space="preserve"> </w:t>
      </w:r>
    </w:p>
    <w:p>
      <w:pPr>
        <w:pStyle w:val="Normal"/>
        <w:rPr/>
      </w:pPr>
      <w:r>
        <w:rPr/>
        <w:t xml:space="preserve">Toto odporúčanie predkladáme, pretože minimálna mzda posilňuje sociálnu spravodlivosť na trhu práce a zlepšuje konkrétne životné podmienky pracovníkov vo všetkých členských štátoch, čo je obzvlášť dôležité v kontexte rýchlo sa meniaceho pracovného prostredia, napríklad v dôsledku digitalizácie. </w:t>
      </w:r>
    </w:p>
    <w:p>
      <w:pPr>
        <w:pStyle w:val="Normal"/>
        <w:rPr/>
      </w:pPr>
      <w:r>
        <w:rPr/>
        <w:t xml:space="preserve"> </w:t>
      </w:r>
    </w:p>
    <w:p>
      <w:pPr>
        <w:pStyle w:val="P68B1DB1Normal15"/>
        <w:rPr/>
      </w:pPr>
      <w:r>
        <w:rPr/>
        <w:t xml:space="preserve">2. Už existuje legislatívny akt EÚ (smernica EÚ 2003/88/ES o pracovnom čase), ale nestačí na zabezpečenie zdravej rovnováhy medzi pracovným a súkromným životom. Ako prvý krok odporúčame preskúmať existujúci rámec s cieľom zabezpečiť, aby bol prispôsobený súčasným okolnostiam. Po druhé, EÚ by mala zaviesť prísnejší monitorovací mechanizmus na zabezpečenie jeho vykonávania vo všetkých členských štátoch. Osobitná pozornosť by sa mala venovať rôznym odvetviam s rôznymi úrovňami stresu a záťaže, a to psychologicky aj fyzicky. Ostatné odvetvia však zároveň závisia od väčšej flexibility zo strany ich zamestnancov, aby sa prispôsobili špecifickým potrebám podnikov. </w:t>
      </w:r>
    </w:p>
    <w:p>
      <w:pPr>
        <w:pStyle w:val="Normal"/>
        <w:rPr/>
      </w:pPr>
      <w:r>
        <w:rPr/>
        <w:t xml:space="preserve">Toto odporúčanie predkladáme z dôvodu dôležitosti lepšej rovnováhy medzi pracovným a súkromným životom. Lepšia rovnováha medzi pracovným a súkromným životom posilňuje sociálnu súdržnosť a prispieva k vytváraniu rovnakých podmienok pre pracovníkov. Okrem toho má pozitívny vplyv na individuálne blaho pracovníkov. </w:t>
      </w:r>
    </w:p>
    <w:p>
      <w:pPr>
        <w:pStyle w:val="Normal"/>
        <w:rPr/>
      </w:pPr>
      <w:r>
        <w:rPr/>
        <w:t xml:space="preserve"> </w:t>
      </w:r>
    </w:p>
    <w:p>
      <w:pPr>
        <w:pStyle w:val="Titre4"/>
        <w:numPr>
          <w:ilvl w:val="3"/>
          <w:numId w:val="2"/>
        </w:numPr>
        <w:rPr/>
      </w:pPr>
      <w:bookmarkStart w:id="108" w:name="__RefHeading___Toc297151_1346298689"/>
      <w:bookmarkEnd w:id="108"/>
      <w:r>
        <w:rPr/>
        <w:t xml:space="preserve">Podos 1.2 Mládež a zamestnanosť </w:t>
      </w:r>
    </w:p>
    <w:p>
      <w:pPr>
        <w:pStyle w:val="Normal"/>
        <w:rPr/>
      </w:pPr>
      <w:r>
        <w:rPr/>
        <w:t xml:space="preserve"> </w:t>
      </w:r>
    </w:p>
    <w:p>
      <w:pPr>
        <w:pStyle w:val="P68B1DB1Normal15"/>
        <w:rPr/>
      </w:pPr>
      <w:r>
        <w:rPr/>
        <w:t xml:space="preserve">3. Odporúčame harmonizovať úroveň všetkých rôznych vzdelávacích programov v EÚ a akceptovať vnútroštátny obsah. Preto odporúčame, aby všetky odborné diplomy boli validované a vzájomne uznávané vo všetkých členských štátoch EÚ. </w:t>
      </w:r>
    </w:p>
    <w:p>
      <w:pPr>
        <w:pStyle w:val="Normal"/>
        <w:rPr/>
      </w:pPr>
      <w:r>
        <w:rPr/>
        <w:t xml:space="preserve"> </w:t>
      </w:r>
    </w:p>
    <w:p>
      <w:pPr>
        <w:pStyle w:val="Normal"/>
        <w:rPr/>
      </w:pPr>
      <w:r>
        <w:rPr/>
        <w:t xml:space="preserve">Toto odporúčanie predkladáme, pretože chceme uľahčiť mobilitu európskej pracovnej sily a znížiť administratívnu záťaž. </w:t>
      </w:r>
    </w:p>
    <w:p>
      <w:pPr>
        <w:pStyle w:val="Normal"/>
        <w:rPr/>
      </w:pPr>
      <w:r>
        <w:rPr/>
      </w:r>
    </w:p>
    <w:p>
      <w:pPr>
        <w:pStyle w:val="P68B1DB1Normal15"/>
        <w:rPr/>
      </w:pPr>
      <w:r>
        <w:rPr/>
        <w:t xml:space="preserve">4. Odporúčame študentom stredných škôl (vo veku od 12 rokov) poskytnúť prehľad o ich budúcom trhu práce tým, že im poskytne príležitosť zúčastniť sa rôznych kvalitných pozorovacích návštev v neziskových a neziskových organizáciách. Navrhujeme povzbudiť spoločnosti, aby privítali študentov na pozorovanie stáží tým, že im poskytnú granty. V odľahlých oblastiach s nedostatkom príležitostí musia miestne školy, verejné orgány, organizácie a podniky úzko spolupracovať, aby sa zabezpečilo, že tieto pozorovacie návštevy budú k dispozícii. </w:t>
      </w:r>
    </w:p>
    <w:p>
      <w:pPr>
        <w:pStyle w:val="Normal"/>
        <w:rPr/>
      </w:pPr>
      <w:r>
        <w:rPr/>
        <w:t xml:space="preserve"> </w:t>
      </w:r>
    </w:p>
    <w:p>
      <w:pPr>
        <w:pStyle w:val="Normal"/>
        <w:rPr/>
      </w:pPr>
      <w:r>
        <w:rPr/>
        <w:t xml:space="preserve">Toto odporúčanie predkladáme, pretože chceme, aby mladí ľudia získali predstavu o rôznych príležitostiach, ktoré ponúka trh práce, aby si mohli lepšie vybrať svoje štúdium a svoju budúcu prácu a pochopiť význam výberu správneho vzdelávania. Zároveň by im naučil pocit zodpovednosti a rešpektovania trhu práce a pomohol by im začleniť sa do trhu práce a poskytnúť im výhody pre všetkých. </w:t>
      </w:r>
    </w:p>
    <w:p>
      <w:pPr>
        <w:pStyle w:val="Normal"/>
        <w:rPr/>
      </w:pPr>
      <w:r>
        <w:rPr/>
        <w:t xml:space="preserve"> </w:t>
      </w:r>
    </w:p>
    <w:p>
      <w:pPr>
        <w:pStyle w:val="P68B1DB1Normal15"/>
        <w:rPr/>
      </w:pPr>
      <w:r>
        <w:rPr/>
        <w:t xml:space="preserve">5. Odporúčame začleniť prax netechnických zručností do všetkých učebných osnov. Netechnickými zručnosťami máme na mysli: vzájomné počúvanie, dialóg, odolnosť, porozumenie, rešpekt a uznanie druhých, kritické myslenie, sebaučenie a zostať zvedavý a orientovaný na výsledky. Učitelia by mali byť vyškolení v oblasti prenosu týchto zručností úzkou spoluprácou so sociálnymi pracovníkmi a/alebo psychológmi. Ďalšie návrhy na implementáciu: organizovanie študentských výmenných programov medzi školami, účasť na medziškolských športových a kultúrnych podujatiach atď. </w:t>
      </w:r>
    </w:p>
    <w:p>
      <w:pPr>
        <w:pStyle w:val="Normal"/>
        <w:rPr/>
      </w:pPr>
      <w:r>
        <w:rPr/>
        <w:t xml:space="preserve"> </w:t>
      </w:r>
    </w:p>
    <w:p>
      <w:pPr>
        <w:pStyle w:val="Normal"/>
        <w:rPr/>
      </w:pPr>
      <w:r>
        <w:rPr/>
        <w:t xml:space="preserve">Toto odporúčanie predkladáme, pretože netechnické zručnosti sú nevyhnutné základné zručnosti, ktoré sa strácajú v digitálnom veku a že naši mladí ľudia budú vo svojom budúcom živote absolútne potrebovať. Preto trváme na začlenení týchto zručností do školských osnov s cieľom pomôcť mladým ľuďom byť odolní a vyhnúť sa duševným problémom, s ktorými sa môžu stretnúť v ich budúcom živote, alebo ich prekonať. Sociálne zručnosti posilňujú vzťahy medzi ľuďmi, a tým pomáhajú ľuďom nájsť si svoje miesto v spoločnosti. </w:t>
      </w:r>
    </w:p>
    <w:p>
      <w:pPr>
        <w:pStyle w:val="Normal"/>
        <w:rPr/>
      </w:pPr>
      <w:r>
        <w:rPr/>
        <w:t xml:space="preserve"> </w:t>
      </w:r>
    </w:p>
    <w:p>
      <w:pPr>
        <w:pStyle w:val="P68B1DB1Normal15"/>
        <w:rPr/>
      </w:pPr>
      <w:r>
        <w:rPr/>
        <w:t xml:space="preserve">6. Odporúčame, aby v prípade vážnej krízy (zdravotná kríza, vojna atď.) boli dobre navrhnuté plány s podrobnými scenármi pripravené na pružné zavádzanie s cieľom minimalizovať vplyv našich mladých ľudí na vzdelávanie, odbornú prípravu a duševnú pohodu atď. zvýšenie nákladov na vzdelávanie alebo odbornú prípravu, povinné rozšírenie štúdia, nemožnosť absolvovať stáže, nárast problémov s duševným zdravím. Tieto plány sa musia realizovať tak, aby sa minimalizoval vplyv na mladých ľudí a ich prechod na trh práce. </w:t>
      </w:r>
    </w:p>
    <w:p>
      <w:pPr>
        <w:pStyle w:val="Normal"/>
        <w:rPr/>
      </w:pPr>
      <w:r>
        <w:rPr/>
        <w:t xml:space="preserve"> </w:t>
      </w:r>
    </w:p>
    <w:p>
      <w:pPr>
        <w:pStyle w:val="Normal"/>
        <w:rPr/>
      </w:pPr>
      <w:r>
        <w:rPr/>
        <w:t xml:space="preserve">Toto odporúčanie predkladáme, pretože mladí ľudia sú v čase krízy veľmi zraniteľní. </w:t>
      </w:r>
    </w:p>
    <w:p>
      <w:pPr>
        <w:pStyle w:val="Normal"/>
        <w:rPr/>
      </w:pPr>
      <w:r>
        <w:rPr/>
        <w:t xml:space="preserve"> </w:t>
      </w:r>
    </w:p>
    <w:p>
      <w:pPr>
        <w:pStyle w:val="Titre4"/>
        <w:numPr>
          <w:ilvl w:val="3"/>
          <w:numId w:val="2"/>
        </w:numPr>
        <w:rPr/>
      </w:pPr>
      <w:bookmarkStart w:id="109" w:name="__RefHeading___Toc297153_1346298689"/>
      <w:bookmarkEnd w:id="109"/>
      <w:r>
        <w:rPr/>
        <w:t xml:space="preserve">Podos 1.3 Digitálna transformácia pri práci </w:t>
      </w:r>
    </w:p>
    <w:p>
      <w:pPr>
        <w:pStyle w:val="Normal"/>
        <w:rPr/>
      </w:pPr>
      <w:r>
        <w:rPr/>
        <w:t xml:space="preserve"> </w:t>
      </w:r>
    </w:p>
    <w:p>
      <w:pPr>
        <w:pStyle w:val="P68B1DB1Normal15"/>
        <w:rPr/>
      </w:pPr>
      <w:r>
        <w:rPr/>
        <w:t xml:space="preserve">7. Odporúčame, aby EÚ zaviedla alebo posilnila existujúce právne predpisy týkajúce sa inteligentnej práce, t. j. práce online a na diaľku, napr. doma alebo z iného prepojeného online miesta. Odporúčame tiež, aby právne predpisy EÚ podnecovali spoločnosti k tomu, aby boli sociálne zodpovedné a aby si udržali kvalitné mobilné pracovné miesta v EÚ. Stimuly môžu mať finančnú povahu a/alebo zohrávať úlohu z hľadiska imidžu spoločnosti a mali by zohľadňovať medzinárodne uznávané environmentálne, sociálne a správne kritériá (ESG). Na tento účel by EÚ mala zriadiť pracovnú skupinu zloženú z odborníkov zo všetkých zainteresovaných strán s cieľom preskúmať a posilniť tieto právne predpisy. </w:t>
      </w:r>
    </w:p>
    <w:p>
      <w:pPr>
        <w:pStyle w:val="Normal"/>
        <w:rPr/>
      </w:pPr>
      <w:r>
        <w:rPr/>
        <w:t xml:space="preserve"> </w:t>
      </w:r>
    </w:p>
    <w:p>
      <w:pPr>
        <w:pStyle w:val="Normal"/>
        <w:rPr/>
      </w:pPr>
      <w:r>
        <w:rPr/>
        <w:t xml:space="preserve">Toto odporúčanie predkladáme, pretože musíme podporovať kvalitné mobilné pracovné miesta a zabrániť ich premiestňovaniu do tretích krajín s nižšími nákladmi. Pandémia COVID-19 a globálne hospodárske trendy zdôrazňujú naliehavosť ochrany pracovných miest v EÚ a regulácie mobilnej práce. </w:t>
      </w:r>
    </w:p>
    <w:p>
      <w:pPr>
        <w:pStyle w:val="Normal"/>
        <w:rPr/>
      </w:pPr>
      <w:r>
        <w:rPr/>
        <w:t xml:space="preserve"> </w:t>
      </w:r>
    </w:p>
    <w:p>
      <w:pPr>
        <w:pStyle w:val="P68B1DB1Normal15"/>
        <w:rPr/>
      </w:pPr>
      <w:r>
        <w:rPr/>
        <w:t xml:space="preserve">8. Odporúčame, aby EÚ zaručila všetkým občanom EÚ právo na digitálnu odbornú prípravu. Digitálne zručnosti mladých ľudí by sa mohli posilniť najmä zavedením certifikátu EÚ v školách, ktorý by ich pripravil na budúci trh práce. Odporúčame tiež osobitnú odbornú prípravu na úrovni EÚ zameranú na rekvalifikáciu a zvyšovanie úrovne zručností pracovníkov, aby zostali konkurencieschopní na trhu práce. Napokon odporúčame, aby EÚ zvýšila informovanosť o existujúcich digitálnych platformách, ktoré spájajú občanov so zamestnávateľmi a pomáhajú im nájsť si prácu v EÚ, napr. EURES. </w:t>
      </w:r>
    </w:p>
    <w:p>
      <w:pPr>
        <w:pStyle w:val="Normal"/>
        <w:rPr/>
      </w:pPr>
      <w:r>
        <w:rPr/>
        <w:t xml:space="preserve"> </w:t>
      </w:r>
    </w:p>
    <w:p>
      <w:pPr>
        <w:pStyle w:val="Normal"/>
        <w:rPr/>
      </w:pPr>
      <w:r>
        <w:rPr/>
        <w:t xml:space="preserve">Toto odporúčanie predkladáme, pretože certifikované digitálne zručnosti sú nevyhnutné pre prístup na trh práce a pre pracovníkov na rekvalifikáciu a udržanie konkurencieschopnosti. </w:t>
      </w:r>
    </w:p>
    <w:p>
      <w:pPr>
        <w:pStyle w:val="Normal"/>
        <w:rPr/>
      </w:pPr>
      <w:r>
        <w:rPr/>
        <w:t xml:space="preserve"> </w:t>
      </w:r>
    </w:p>
    <w:p>
      <w:pPr>
        <w:pStyle w:val="Titre3"/>
        <w:numPr>
          <w:ilvl w:val="2"/>
          <w:numId w:val="2"/>
        </w:numPr>
        <w:rPr/>
      </w:pPr>
      <w:bookmarkStart w:id="110" w:name="__RefHeading___Toc297155_1346298689"/>
      <w:bookmarkEnd w:id="110"/>
      <w:r>
        <w:rPr/>
        <w:t xml:space="preserve">Os 2 Ekonomika orientovaná na budúcnosť </w:t>
      </w:r>
    </w:p>
    <w:p>
      <w:pPr>
        <w:pStyle w:val="Normal"/>
        <w:rPr/>
      </w:pPr>
      <w:r>
        <w:rPr/>
        <w:t xml:space="preserve"> </w:t>
      </w:r>
    </w:p>
    <w:p>
      <w:pPr>
        <w:pStyle w:val="Titre4"/>
        <w:numPr>
          <w:ilvl w:val="3"/>
          <w:numId w:val="2"/>
        </w:numPr>
        <w:rPr/>
      </w:pPr>
      <w:bookmarkStart w:id="111" w:name="__RefHeading___Toc297157_1346298689"/>
      <w:bookmarkEnd w:id="111"/>
      <w:r>
        <w:rPr/>
        <w:t xml:space="preserve">Podos 2.1 Inovácia a európska konkurencieschopnosť </w:t>
      </w:r>
    </w:p>
    <w:p>
      <w:pPr>
        <w:pStyle w:val="Normal"/>
        <w:rPr/>
      </w:pPr>
      <w:r>
        <w:rPr/>
        <w:t xml:space="preserve"> </w:t>
      </w:r>
    </w:p>
    <w:p>
      <w:pPr>
        <w:pStyle w:val="P68B1DB1Normal15"/>
        <w:rPr/>
      </w:pPr>
      <w:r>
        <w:rPr/>
        <w:t xml:space="preserve">9. Odporúčame, aby EÚ vytvorila príležitosti na investície do výskumu a inovácií pre rôzne subjekty (univerzity, podniky, výskumné ústavy atď.) s cieľom rozvíjať: </w:t>
      </w:r>
    </w:p>
    <w:p>
      <w:pPr>
        <w:pStyle w:val="P68B1DB1Normal15"/>
        <w:rPr/>
      </w:pPr>
      <w:r>
        <w:rPr/>
        <w:t xml:space="preserve">● </w:t>
      </w:r>
      <w:r>
        <w:rPr/>
        <w:t xml:space="preserve">nové, udržateľnejšie a biologicky diverzifikované materiály, ktoré nahrádzajú tie, ktoré sa v súčasnosti používajú, </w:t>
      </w:r>
    </w:p>
    <w:p>
      <w:pPr>
        <w:pStyle w:val="P68B1DB1Normal15"/>
        <w:rPr/>
      </w:pPr>
      <w:r>
        <w:rPr/>
        <w:t xml:space="preserve">● </w:t>
      </w:r>
      <w:r>
        <w:rPr/>
        <w:t xml:space="preserve">inovatívne využitie existujúcich materiálov (založené okrem iného na recyklácii a najmodernejších technikách s najnižšou environmentálnou stopou). </w:t>
      </w:r>
    </w:p>
    <w:p>
      <w:pPr>
        <w:pStyle w:val="Normal"/>
        <w:rPr/>
      </w:pPr>
      <w:r>
        <w:rPr>
          <w:b/>
        </w:rPr>
        <w:t>Odporúčame, aby to bol trvalý a dlhodobý záväzok EÚ (aspoň do roku 2050).</w:t>
      </w:r>
      <w:r>
        <w:rPr/>
        <w:t xml:space="preserve"> </w:t>
      </w:r>
    </w:p>
    <w:p>
      <w:pPr>
        <w:pStyle w:val="Normal"/>
        <w:rPr/>
      </w:pPr>
      <w:r>
        <w:rPr/>
        <w:t xml:space="preserve"> </w:t>
      </w:r>
    </w:p>
    <w:p>
      <w:pPr>
        <w:pStyle w:val="Normal"/>
        <w:rPr/>
      </w:pPr>
      <w:r>
        <w:rPr/>
        <w:t xml:space="preserve">Robíme toto odporúčanie, pretože žijeme na planéte s obmedzenými zdrojmi. Ak chceme mať budúcnosť, musíme chrániť klímu a hľadať alternatívy, ktoré rešpektujú planétu. Chceme tiež, aby sa EÚ stala popredným hráčom v tejto oblasti so silnou konkurenčnou výhodou na medzinárodnej scéne. Cieľom odporúčania je prinášať inovačné výsledky, ktoré sa môžu uplatňovať vo veľkom rozsahu a môžu sa implementovať v rôznych oblastiach a krajinách. Takisto by to malo pozitívny vplyv na hospodárstvo a trh práce prostredníctvom vytvárania nových pracovných príležitostí v oblasti udržateľných inovácií. Mohlo by to prispieť k boju proti sociálnej nespravodlivosti do tej miery, že súčasné výrobné prostriedky založené na vykorisťovaní by boli nahradené inými, viac etickými. </w:t>
      </w:r>
    </w:p>
    <w:p>
      <w:pPr>
        <w:pStyle w:val="Normal"/>
        <w:rPr/>
      </w:pPr>
      <w:r>
        <w:rPr/>
        <w:t xml:space="preserve"> </w:t>
      </w:r>
    </w:p>
    <w:p>
      <w:pPr>
        <w:pStyle w:val="P68B1DB1Normal15"/>
        <w:rPr/>
      </w:pPr>
      <w:r>
        <w:rPr/>
        <w:t xml:space="preserve">10. Odporúčame, aby sa EÚ v dlhodobom horizonte nepretržite zaviazala výrazne zvyšovať svoj podiel energie vyrobenej udržateľným spôsobom s využitím širokej škály obnoviteľných zdrojov s najnižšou environmentálnou stopou (na základe komplexnej analýzy životného cyklu). Okrem toho by EÚ mala investovať do zlepšovania a udržania kvality elektrickej infraštruktúry a rozvodnej siete. Takisto odporúčame, aby sa prístup k energii a jej cenová dostupnosť uznali za základné právo občanov. </w:t>
      </w:r>
    </w:p>
    <w:p>
      <w:pPr>
        <w:pStyle w:val="P68B1DB1Normal15"/>
        <w:rPr/>
      </w:pPr>
      <w:r>
        <w:rPr/>
        <w:t xml:space="preserve"> </w:t>
      </w:r>
    </w:p>
    <w:p>
      <w:pPr>
        <w:pStyle w:val="Normal"/>
        <w:rPr/>
      </w:pPr>
      <w:r>
        <w:rPr/>
        <w:t xml:space="preserve">Toto odporúčanie predkladáme z nasledujúcich dôvodov: </w:t>
      </w:r>
    </w:p>
    <w:p>
      <w:pPr>
        <w:pStyle w:val="Normal"/>
        <w:rPr/>
      </w:pPr>
      <w:r>
        <w:rPr/>
        <w:t xml:space="preserve">● </w:t>
      </w:r>
      <w:r>
        <w:rPr/>
        <w:t xml:space="preserve">diverzifikácia zdrojov energie (vrátane slnečnej, veternej, vodíkovej, morskej vody alebo akejkoľvek inej budúcej udržateľnej metódy) by zvýšila energetickú nezávislosť EÚ; </w:t>
      </w:r>
    </w:p>
    <w:p>
      <w:pPr>
        <w:pStyle w:val="Normal"/>
        <w:rPr/>
      </w:pPr>
      <w:r>
        <w:rPr/>
        <w:t xml:space="preserve">● </w:t>
      </w:r>
      <w:r>
        <w:rPr/>
        <w:t xml:space="preserve">by sa tým znížili náklady na elektrickú energiu pre občanov EÚ; </w:t>
      </w:r>
    </w:p>
    <w:p>
      <w:pPr>
        <w:pStyle w:val="Normal"/>
        <w:rPr/>
      </w:pPr>
      <w:r>
        <w:rPr/>
        <w:t xml:space="preserve">● </w:t>
      </w:r>
      <w:r>
        <w:rPr/>
        <w:t xml:space="preserve">vytvorí pracovné miesta a reštrukturalizuje trh s energiou (najmä v regiónoch, ktoré sa doteraz spoliehali na fosílne palivá); </w:t>
      </w:r>
    </w:p>
    <w:p>
      <w:pPr>
        <w:pStyle w:val="Normal"/>
        <w:rPr/>
      </w:pPr>
      <w:r>
        <w:rPr/>
        <w:t xml:space="preserve">● </w:t>
      </w:r>
      <w:r>
        <w:rPr/>
        <w:t xml:space="preserve">mohla by podporiť vedecký rozvoj inovačných techník dodávok energie; </w:t>
      </w:r>
    </w:p>
    <w:p>
      <w:pPr>
        <w:pStyle w:val="Normal"/>
        <w:rPr/>
      </w:pPr>
      <w:r>
        <w:rPr/>
        <w:t xml:space="preserve">● </w:t>
      </w:r>
      <w:r>
        <w:rPr/>
        <w:t xml:space="preserve">kvalita elektrickej infraštruktúry a rozvodnej siete je rovnako dôležitá ako zdroje energie, pretože umožňuje hladkú, efektívnu a cenovo dostupnú distribúciu a prenos energie. </w:t>
      </w:r>
    </w:p>
    <w:p>
      <w:pPr>
        <w:pStyle w:val="Normal"/>
        <w:rPr/>
      </w:pPr>
      <w:r>
        <w:rPr/>
        <w:t xml:space="preserve"> </w:t>
      </w:r>
    </w:p>
    <w:p>
      <w:pPr>
        <w:pStyle w:val="P68B1DB1Normal15"/>
        <w:rPr/>
      </w:pPr>
      <w:r>
        <w:rPr/>
        <w:t xml:space="preserve">11. Odporúčame, aby EÚ aktívne podporovala ekologickejšie výrobné procesy tým, že dotuje alebo inak odmeňuje spoločnosti, ktoré investujú do znižovania environmentálnych nákladov svojej výroby. Vyzývame tiež na úsilie o rast postindustriálnych lokalít a vytvorenie chránených zelených plôch v okolí existujúcich lokalít. Od spoločností by sa malo vyžadovať, aby aspoň čiastočne financovali toto úsilie z vlastných peňazí. </w:t>
      </w:r>
    </w:p>
    <w:p>
      <w:pPr>
        <w:pStyle w:val="Normal"/>
        <w:rPr/>
      </w:pPr>
      <w:r>
        <w:rPr/>
        <w:t xml:space="preserve"> </w:t>
      </w:r>
    </w:p>
    <w:p>
      <w:pPr>
        <w:pStyle w:val="Normal"/>
        <w:rPr/>
      </w:pPr>
      <w:r>
        <w:rPr/>
        <w:t xml:space="preserve">Toto odporúčanie predkladáme, pretože výrobné procesy sú dôležitou súčasťou dodávateľského reťazca. Ak by boli šetrnejšie k životnému prostrediu, mohlo by to výrazne znížiť náš vplyv na klímu. Veríme, že spoločnosti a priemyselné odvetvia by mali byť brané na zodpovednosť za spôsob, akým vyrábajú svoje výrobky (vrátane opatrení na rekultiváciu a ochranu životného prostredia). Ekologizácia výrobných procesov tiež pripravuje podniky na budúcnosť a posilňuje ich odolnosť (ktorá chráni pracovné miesta). </w:t>
      </w:r>
    </w:p>
    <w:p>
      <w:pPr>
        <w:pStyle w:val="Normal"/>
        <w:rPr/>
      </w:pPr>
      <w:r>
        <w:rPr/>
      </w:r>
    </w:p>
    <w:p>
      <w:pPr>
        <w:pStyle w:val="Titre4"/>
        <w:numPr>
          <w:ilvl w:val="3"/>
          <w:numId w:val="2"/>
        </w:numPr>
        <w:rPr/>
      </w:pPr>
      <w:bookmarkStart w:id="112" w:name="__RefHeading___Toc297159_1346298689"/>
      <w:bookmarkEnd w:id="112"/>
      <w:r>
        <w:rPr/>
        <w:t xml:space="preserve">Podos 2.2 Udržateľné hospodárstvo/podos 2.3 Zdaňovanie </w:t>
      </w:r>
    </w:p>
    <w:p>
      <w:pPr>
        <w:pStyle w:val="Normal"/>
        <w:rPr/>
      </w:pPr>
      <w:r>
        <w:rPr/>
        <w:t xml:space="preserve"> </w:t>
      </w:r>
    </w:p>
    <w:p>
      <w:pPr>
        <w:pStyle w:val="P68B1DB1Normal15"/>
        <w:rPr/>
      </w:pPr>
      <w:r>
        <w:rPr/>
        <w:t xml:space="preserve">12. Odporúčame opustiť plastové obaly a zovšeobecniť opakovane použiteľné obaly. Spotrebiteľom a podnikom by sa mali poskytnúť stimuly, aby nebolo pre spotrebiteľa drahšie nakupovať voľne ložené výrobky („veľkoobjemové“ v angličtine alebo „sfuso“ v taliančine) ako balené výrobky. Spoločnosti, ktoré prispievajú k tomuto prechodu, by mali využívať daňové výhody a iné by mali platiť viac daní. Výrobky, ktoré nemožno opätovne použiť, by mali byť recyklovateľné a/alebo biologicky rozložiteľné. Je potrebné zriadiť verejnú alebo dozornú inštitúciu zodpovednú za monitorovanie, stanovenie pravidiel a ich šírenie všetkým. Odporúča sa vzdelávať a komunikovať – a to aj prostredníctvom sociálnych médií – o týchto opatreniach a oslovovať podniky aj spotrebiteľov, aby zmenili svoje dlhodobé správanie. Spoločnosti (napr. stavebné spoločnosti) by sa mali podporovať a pomáhať pri hľadaní najlepších riešení pre svoj odpad. </w:t>
      </w:r>
    </w:p>
    <w:p>
      <w:pPr>
        <w:pStyle w:val="Normal"/>
        <w:rPr/>
      </w:pPr>
      <w:r>
        <w:rPr/>
        <w:t xml:space="preserve"> </w:t>
      </w:r>
    </w:p>
    <w:p>
      <w:pPr>
        <w:pStyle w:val="Normal"/>
        <w:rPr/>
      </w:pPr>
      <w:r>
        <w:rPr/>
        <w:t xml:space="preserve">Robíme toto odporúčanie, pretože za svoje činy musíme byť zodpovední všetci. Preto je potrebné prehodnotiť všetky výrobné procesy. Recyklácia si vyžaduje veľa zdrojov (voda, energia), a preto nemôže byť jediným riešením, a preto ponúkame predaj výrobkov vo veľkom. Recyklácia by sa mala používať len v prípade ľahko recyklovateľných materiálov a z fínskeho príkladu sme sa dozvedeli, že je možné recyklovať vo veľkom rozsahu. </w:t>
      </w:r>
    </w:p>
    <w:p>
      <w:pPr>
        <w:pStyle w:val="Normal"/>
        <w:rPr/>
      </w:pPr>
      <w:r>
        <w:rPr/>
      </w:r>
    </w:p>
    <w:p>
      <w:pPr>
        <w:pStyle w:val="P68B1DB1Normal15"/>
        <w:rPr/>
      </w:pPr>
      <w:r>
        <w:rPr/>
        <w:t xml:space="preserve">13. Odporúčame mať rovnaké daňové pravidlá v celej Európe a harmonizovať daňovú politiku v celej EÚ. Harmonizácia v tejto oblasti by mala jednotlivým členským štátom ponechať priestor na to, aby si stanovili vlastné pravidlá a zároveň by sa mali vyhýbať daňovým únikom. Skoncuje s škodlivými daňovými praktikami a daňovou konkurenciou. Dane by sa mali ukladať na obchodné transakcie, ak sa uskutočňujú: keď spoločnosť predáva v krajine, mala by platiť dane v tejto krajine. Cieľom týchto nových pravidiel by bolo zabrániť premiestňovaniu a zabezpečiť, aby sa výroba a transakcie uskutočňovali medzi európskymi krajinami. </w:t>
      </w:r>
    </w:p>
    <w:p>
      <w:pPr>
        <w:pStyle w:val="Normal"/>
        <w:rPr/>
      </w:pPr>
      <w:r>
        <w:rPr/>
        <w:t xml:space="preserve"> </w:t>
      </w:r>
    </w:p>
    <w:p>
      <w:pPr>
        <w:pStyle w:val="Normal"/>
        <w:rPr/>
      </w:pPr>
      <w:r>
        <w:rPr/>
        <w:t xml:space="preserve">Toto odporúčanie navrhujeme chrániť a rozvíjať zamestnanosť a hospodársku činnosť v Európe spôsobom, ktorý je spravodlivý pre všetky členské štáty. Týmto spôsobom bude mať Európa spoločné chápanie daňového systému a absurdná monopolná situácia veľmi veľkých spoločností, ktoré neplatia dostatočné dane v porovnaní s menšími spoločnosťami, sa ukončí. Okrem toho sa finančné zdroje presmerujú na miesto, kde sa uskutočňujú komerčné činnosti. </w:t>
      </w:r>
    </w:p>
    <w:p>
      <w:pPr>
        <w:pStyle w:val="Normal"/>
        <w:rPr/>
      </w:pPr>
      <w:r>
        <w:rPr/>
        <w:t xml:space="preserve"> </w:t>
      </w:r>
    </w:p>
    <w:p>
      <w:pPr>
        <w:pStyle w:val="P68B1DB1Normal15"/>
        <w:rPr/>
      </w:pPr>
      <w:r>
        <w:rPr/>
        <w:t xml:space="preserve">14. Odporúčame odstrániť programovaný systém zastarávania zo všetkých elektronických zariadení. Zmena by sa mala uskutočniť individuálne aj komerčne, aby sa zabezpečilo, že zariadenia sa budú môcť dlhodobo opraviť a modernizovať a bude ich možné dlhodobo uchovávať. Odporúčame propagovať zrekonštruované zariadenia. Predpisy by mali vyžadovať od spoločností, aby zaručili právo na opravu vrátane aktualizácií softvéru a aktualizácií, ako aj na dlhodobú recykláciu všetkých zariadení. Odporúča sa tiež, aby každá spoločnosť používala štandardné konektory. </w:t>
      </w:r>
    </w:p>
    <w:p>
      <w:pPr>
        <w:pStyle w:val="P68B1DB1Normal15"/>
        <w:rPr/>
      </w:pPr>
      <w:r>
        <w:rPr/>
        <w:t xml:space="preserve"> </w:t>
      </w:r>
    </w:p>
    <w:p>
      <w:pPr>
        <w:pStyle w:val="Normal"/>
        <w:rPr/>
      </w:pPr>
      <w:r>
        <w:rPr/>
        <w:t xml:space="preserve">Robíme toto odporúčanie, pretože v modernom svete majú výrobky tendenciu trvať dva roky a naším želaním je, aby mali oveľa dlhšiu životnosť, asi 10 rokov. Tento návrh bude mať pozitívny vplyv na zmenu klímy a ekológiu. Znížia sa tým aj náklady pre spotrebiteľov, ako aj pre spotrebiteľov. </w:t>
      </w:r>
    </w:p>
    <w:p>
      <w:pPr>
        <w:pStyle w:val="Normal"/>
        <w:rPr/>
      </w:pPr>
      <w:r>
        <w:rPr/>
      </w:r>
    </w:p>
    <w:p>
      <w:pPr>
        <w:pStyle w:val="P68B1DB1Normal15"/>
        <w:rPr/>
      </w:pPr>
      <w:r>
        <w:rPr/>
        <w:t xml:space="preserve">15. Odporúčame pomôcť každému dozvedieť sa viac o našom životnom prostredí a jeho prepojeniach na individuálne zdravie prostredníctvom vzdelávania. Vzdelávacie cesty pomôžu každému definovať svoje vlastné osobné stratégie na integráciu týchto tém do svojho každodenného života. Toto vzdelávanie by sa malo začať v škole s konkrétnymi predmetmi, ktoré sa zaoberajú všetkými ekologickými otázkami, a mali by sme sa naďalej vzdelávať počas celého nášho života (napríklad v práci). Pomôže znížiť množstvo odpadu a chrániť životné prostredie a ľudské zdravie a podporiť miestnu spotrebu zdravých a nespracovaných výrobkov od miestnych výrobcov. Tí, ktorí nerobia nič, aby znížili svoj odpad, budú musieť absolvovať bezplatnú odbornú prípravu v tejto oblasti. Na prispôsobenie spôsobu života musia byť ceny spravodlivé tak pre výrobcu, ako aj pre spotrebiteľa. Preto navrhujeme, aby mali malí miestni výrobcovia šetrní k životnému prostrediu prospech z oslobodenia od dane. </w:t>
      </w:r>
    </w:p>
    <w:p>
      <w:pPr>
        <w:pStyle w:val="Normal"/>
        <w:rPr/>
      </w:pPr>
      <w:r>
        <w:rPr/>
        <w:t xml:space="preserve"> </w:t>
      </w:r>
    </w:p>
    <w:p>
      <w:pPr>
        <w:pStyle w:val="Normal"/>
        <w:rPr/>
      </w:pPr>
      <w:r>
        <w:rPr/>
        <w:t xml:space="preserve">Robíme toto odporúčanie, pretože veríme, že mnohí ľudia sa ešte necítia znepokojení týmito problémami. To je dôvod, prečo je potrebné zaviesť vzdelávanie pre všetkých. Okrem toho, miestne a zdravé výrobky majú tendenciu byť pre mnohých ľudí nedostupné. Musíme zabezpečiť, aby boli miestne výrobky dostupnejšie pre všetkých. </w:t>
      </w:r>
    </w:p>
    <w:p>
      <w:pPr>
        <w:pStyle w:val="Normal"/>
        <w:rPr/>
      </w:pPr>
      <w:r>
        <w:rPr/>
      </w:r>
    </w:p>
    <w:p>
      <w:pPr>
        <w:pStyle w:val="Titre4"/>
        <w:numPr>
          <w:ilvl w:val="3"/>
          <w:numId w:val="2"/>
        </w:numPr>
        <w:rPr/>
      </w:pPr>
      <w:bookmarkStart w:id="113" w:name="__RefHeading___Toc297161_1346298689"/>
      <w:bookmarkEnd w:id="113"/>
      <w:r>
        <w:rPr/>
        <w:t xml:space="preserve">Podos 2.4 Poľnohospodárstvo/podos 2.5 Digitálna infraštruktúra </w:t>
      </w:r>
    </w:p>
    <w:p>
      <w:pPr>
        <w:pStyle w:val="Normal"/>
        <w:rPr/>
      </w:pPr>
      <w:r>
        <w:rPr/>
        <w:t xml:space="preserve"> </w:t>
      </w:r>
    </w:p>
    <w:p>
      <w:pPr>
        <w:pStyle w:val="P68B1DB1Normal15"/>
        <w:rPr/>
      </w:pPr>
      <w:r>
        <w:rPr/>
        <w:t xml:space="preserve">16. Odporúčame zaviesť spoločný európsky systém označovania spotrebiteľov a výživovej hodnoty, ktorý je ľahko zrozumiteľný (napr. alergény, krajina pôvodu atď.); odporúčame transparentnosť prebiehajúcich procesov udeľovania povolení a digitalizáciu informácií o výrobkoch prostredníctvom štandardizovanej európskej aplikácie, ktorá by poskytla užívateľsky ústretovejší prístup k informáciám a poskytla by ďalšie informácie o výrobkoch a výrobnom reťazci. Vidíme tiež potrebu skutočne nezávislého orgánu, ktorý bude regulovať potravinové normy v celej EÚ a bude mať legislatívne právomoci na presadzovanie sankcií. </w:t>
      </w:r>
    </w:p>
    <w:p>
      <w:pPr>
        <w:pStyle w:val="Normal"/>
        <w:rPr/>
      </w:pPr>
      <w:r>
        <w:rPr/>
        <w:t xml:space="preserve"> </w:t>
      </w:r>
    </w:p>
    <w:p>
      <w:pPr>
        <w:pStyle w:val="Normal"/>
        <w:rPr/>
      </w:pPr>
      <w:r>
        <w:rPr/>
        <w:t xml:space="preserve">Tieto odporúčania predkladáme, pretože všetci občania EÚ by mali mať možnosť spoľahnúť sa na rovnakú kvalitu potravín. Integrita potravinových výrobkov je nevyhnutná na zaistenie bezpečnosti občanov. Tieto odporúčania boli formulované s cieľom harmonizovaným spôsobom zlepšiť monitorovanie postupov povoľovania a transparentnosť výroby potravín. </w:t>
      </w:r>
    </w:p>
    <w:p>
      <w:pPr>
        <w:pStyle w:val="Normal"/>
        <w:rPr/>
      </w:pPr>
      <w:r>
        <w:rPr/>
      </w:r>
    </w:p>
    <w:p>
      <w:pPr>
        <w:pStyle w:val="P68B1DB1Normal15"/>
        <w:rPr/>
      </w:pPr>
      <w:r>
        <w:rPr/>
        <w:t xml:space="preserve">17. Odporúčame, aby infraštruktúra bola vo vlastníctve štátu, aby sa zabránilo vzniku monopolov v sektore telekomunikácií a internetových služieb. Prístup na internet by mal byť právom; prioritou by malo byť začlenenie internetového pripojenia do „bielych oblastí/mŕtvych zón“ (oblasti bez prístupu na internet). Pokiaľ ide o prístup k internetu a počítačovému vybaveniu, deti a rodiny sú prioritou, najmä pokiaľ ide o vzdelávanie, a najmä v čase pandémie. Je potrebná iniciatíva na podporu práce na diaľku, napríklad vytvorením kancelárskych priestorov s prístupom k rýchlemu a spoľahlivému internetovému pripojeniu alebo organizovaním digitálneho vzdelávania. </w:t>
      </w:r>
    </w:p>
    <w:p>
      <w:pPr>
        <w:pStyle w:val="Normal"/>
        <w:rPr/>
      </w:pPr>
      <w:r>
        <w:rPr/>
        <w:t xml:space="preserve"> </w:t>
      </w:r>
    </w:p>
    <w:p>
      <w:pPr>
        <w:pStyle w:val="Normal"/>
        <w:rPr/>
      </w:pPr>
      <w:r>
        <w:rPr/>
        <w:t xml:space="preserve">Toto odporúčanie predkladáme, pretože musíme zabezpečiť, aby sa digitálna transformácia uskutočnila spravodlivo. Prístup na internet je základom demokracie a je právom všetkých európskych občanov. </w:t>
      </w:r>
    </w:p>
    <w:p>
      <w:pPr>
        <w:pStyle w:val="Normal"/>
        <w:rPr/>
      </w:pPr>
      <w:r>
        <w:rPr/>
      </w:r>
    </w:p>
    <w:p>
      <w:pPr>
        <w:pStyle w:val="Normal"/>
        <w:rPr/>
      </w:pPr>
      <w:r>
        <w:rPr>
          <w:b/>
        </w:rPr>
        <w:t>18. Odporúčame rešpektovať miestny hmyz a chrániť ho pred inváznymi druhmi. Navrhujeme tiež podporovať a obhajovať povinnosť poskytovať zelené plochy v nových urbanizačných projektoch. Vyzývame, aby sa biodiverzita stala povinnou témou v školách a aby sa stala predmetom školských aktivít, napríklad praktických aktivít. Je dôležité zvýšiť informovanosť verejnosti o biodiverzite prostredníctvom mediálnych kampaní a „súťaží“ podporovaných v celej EÚ (súťaže na úrovni miestnej komunity). Odporúčame stanoviť záväzné vnútroštátne ciele vo všetkých členských štátoch EÚ týkajúce sa opätovného zalesňovania pôvodnými stromami a opätovného zavedenia miestnej flóry</w:t>
      </w:r>
      <w:r>
        <w:rPr/>
        <w:t xml:space="preserve">. </w:t>
      </w:r>
    </w:p>
    <w:p>
      <w:pPr>
        <w:pStyle w:val="Normal"/>
        <w:rPr/>
      </w:pPr>
      <w:r>
        <w:rPr/>
        <w:t xml:space="preserve"> </w:t>
      </w:r>
    </w:p>
    <w:p>
      <w:pPr>
        <w:pStyle w:val="Normal"/>
        <w:rPr/>
      </w:pPr>
      <w:r>
        <w:rPr/>
        <w:t xml:space="preserve">Toto odporúčanie predkladáme, pretože biodiverzita je nevyhnutná pre životné prostredie, kvalitu života a boj proti zmene klímy.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Os 3 Spravodlivá spoločnosť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Podos 3.1 Sociálne zabezpečenie </w:t>
      </w:r>
    </w:p>
    <w:p>
      <w:pPr>
        <w:pStyle w:val="Normal"/>
        <w:rPr/>
      </w:pPr>
      <w:r>
        <w:rPr/>
        <w:t xml:space="preserve"> </w:t>
      </w:r>
    </w:p>
    <w:p>
      <w:pPr>
        <w:pStyle w:val="P68B1DB1Normal15"/>
        <w:rPr/>
      </w:pPr>
      <w:r>
        <w:rPr/>
        <w:t xml:space="preserve">19. Odporúčame podporovať rovnaké práva a sociálne politiky vrátane politík v oblasti zdravia, ktoré sú harmonizované v celej EÚ, berúc do úvahy prijaté nariadenia a minimálne požiadavky v celej krajine. </w:t>
      </w:r>
    </w:p>
    <w:p>
      <w:pPr>
        <w:pStyle w:val="Normal"/>
        <w:rPr/>
      </w:pPr>
      <w:r>
        <w:rPr/>
        <w:t xml:space="preserve"> </w:t>
      </w:r>
    </w:p>
    <w:p>
      <w:pPr>
        <w:pStyle w:val="Normal"/>
        <w:rPr/>
      </w:pPr>
      <w:r>
        <w:rPr/>
        <w:t xml:space="preserve">Toto odporúčanie predkladáme, pretože medzi členskými štátmi existujú veľké rozdiely, pokiaľ ide o sociálne politiky, ktoré sa musia znížiť, aby sa zabezpečil dôstojný život pre všetkých občanov a aby sa z rôznych dôvodov (zdravie, vek, sexuálna orientácia atď.) poskytla potrebná starostlivosť a podpora zraniteľným osobám. </w:t>
      </w:r>
    </w:p>
    <w:p>
      <w:pPr>
        <w:pStyle w:val="Normal"/>
        <w:rPr/>
      </w:pPr>
      <w:r>
        <w:rPr/>
      </w:r>
    </w:p>
    <w:p>
      <w:pPr>
        <w:pStyle w:val="P68B1DB1Normal15"/>
        <w:rPr/>
      </w:pPr>
      <w:r>
        <w:rPr/>
        <w:t xml:space="preserve">20. Odporúčame podporovať sociálny a zdravotnícky výskum v EÚ v súlade s prioritnými líniami, ktoré sa považujú za oblasti verejného záujmu a ktoré schválili členské štáty, a zabezpečenie primeraného financovania. Musíme posilniť spoluprácu medzi odbornými znalosťami, krajinami, študijnými centrami (univerzity atď.). </w:t>
      </w:r>
    </w:p>
    <w:p>
      <w:pPr>
        <w:pStyle w:val="Normal"/>
        <w:rPr/>
      </w:pPr>
      <w:r>
        <w:rPr/>
        <w:t xml:space="preserve"> </w:t>
      </w:r>
    </w:p>
    <w:p>
      <w:pPr>
        <w:pStyle w:val="Normal"/>
        <w:rPr/>
      </w:pPr>
      <w:r>
        <w:rPr/>
        <w:t xml:space="preserve">Toto odporúčanie predkladáme, pretože existuje mnoho oblastí, v ktorých musíme pokročiť a prehĺbiť svoje vedomosti. Skúsenosti s pandémiou sú príkladom toho, ako je výskum nevyhnutný na zlepšenie života, že spolupráca medzi verejným a súkromným sektorom a medzi vládami je nevyhnutná a že je potrebná finančná podpora. </w:t>
      </w:r>
    </w:p>
    <w:p>
      <w:pPr>
        <w:pStyle w:val="Normal"/>
        <w:rPr/>
      </w:pPr>
      <w:r>
        <w:rPr/>
      </w:r>
    </w:p>
    <w:p>
      <w:pPr>
        <w:pStyle w:val="P68B1DB1Normal15"/>
        <w:rPr/>
      </w:pPr>
      <w:r>
        <w:rPr/>
        <w:t xml:space="preserve">21. Odporúčame, aby EÚ mala väčšie právomoci v oblasti sociálnych politík s cieľom harmonizovať minimálne pravidlá a dôchodkové dávky v celej EÚ a vytvoriť nové pravidlá na základe dôkladnej diagnózy. Minimálny dôchodok musí byť nad hranicou chudoby v krajine. Vek odchodu do dôchodku by sa mal líšiť v závislosti od pracovných kategórií a mal by byť nižší v prípade mentálne a fyzicky náročných povolaní. Zároveň by sa malo zaručiť právo na prácu starším ľuďom, ktorí chcú pokračovať v práci na dobrovoľnom základe. </w:t>
      </w:r>
    </w:p>
    <w:p>
      <w:pPr>
        <w:pStyle w:val="Normal"/>
        <w:rPr/>
      </w:pPr>
      <w:r>
        <w:rPr/>
        <w:t xml:space="preserve"> </w:t>
      </w:r>
    </w:p>
    <w:p>
      <w:pPr>
        <w:pStyle w:val="Normal"/>
        <w:rPr/>
      </w:pPr>
      <w:r>
        <w:rPr/>
        <w:t xml:space="preserve">Dávame toto odporúčanie, pretože priemerná dĺžka života sa zvyšuje a pôrodnosť klesá. Európske obyvateľstvo starne, a preto musíme podniknúť ďalšie kroky, aby sme zabránili riziku marginalizácie starších ľudí a zaručili im dôstojný život. </w:t>
      </w:r>
    </w:p>
    <w:p>
      <w:pPr>
        <w:pStyle w:val="Normal"/>
        <w:rPr/>
      </w:pPr>
      <w:r>
        <w:rPr/>
        <w:t xml:space="preserve"> </w:t>
      </w:r>
    </w:p>
    <w:p>
      <w:pPr>
        <w:pStyle w:val="Normal"/>
        <w:rPr/>
      </w:pPr>
      <w:r>
        <w:rPr>
          <w:b/>
        </w:rPr>
        <w:t>22. Odporúčame prijať súbor opatrení na podporu zvýšenia pôrodnosti a zabezpečenie vhodných riešení starostlivosti o deti. Tieto opatrenia by sa mali okrem iného týkať cenovo dostupných a prístupných služieb starostlivosti o deti (v práci, v noci, zníženej DPH na zariadenia pre deti), bývania, stability zamestnania, podpory materstva, osobitnej podpory a ochrany pri práci pre mladých ľudí a rodičov, ako aj podpory matiek a otcov vo forme prístupu k poznatkom po návrate do práce.</w:t>
      </w:r>
      <w:r>
        <w:rPr/>
        <w:t xml:space="preserve"> </w:t>
      </w:r>
    </w:p>
    <w:p>
      <w:pPr>
        <w:pStyle w:val="Normal"/>
        <w:rPr/>
      </w:pPr>
      <w:r>
        <w:rPr/>
        <w:t xml:space="preserve"> </w:t>
      </w:r>
    </w:p>
    <w:p>
      <w:pPr>
        <w:pStyle w:val="Normal"/>
        <w:rPr/>
      </w:pPr>
      <w:r>
        <w:rPr/>
        <w:t xml:space="preserve">Toto odporúčanie predkladáme, pretože EÚ sa vyznačuje nízkou pôrodnosťou, ktorá tiež prispieva k starnutiu európskeho obyvateľstva a ktorá si vyžaduje okamžité opatrenia. Cieľom navrhovaného balíka je zabezpečiť, aby mladé rodiny mali potrebnú stabilitu pri starostlivosti o deti. </w:t>
      </w:r>
    </w:p>
    <w:p>
      <w:pPr>
        <w:pStyle w:val="Normal"/>
        <w:rPr/>
      </w:pPr>
      <w:r>
        <w:rPr/>
      </w:r>
    </w:p>
    <w:p>
      <w:pPr>
        <w:pStyle w:val="P68B1DB1Normal15"/>
        <w:rPr/>
      </w:pPr>
      <w:r>
        <w:rPr/>
        <w:t xml:space="preserve">23. Odporúčame zabezpečiť sociálnu pomoc a zdravotnú starostlivosť pre starších ľudí doma a v opatrovateľských zariadeniach. Je tiež potrebné zlepšiť podporu pre tých, ktorí sa starajú o starších ľudí (blízko). </w:t>
      </w:r>
    </w:p>
    <w:p>
      <w:pPr>
        <w:pStyle w:val="Normal"/>
        <w:rPr/>
      </w:pPr>
      <w:r>
        <w:rPr/>
        <w:t xml:space="preserve"> </w:t>
      </w:r>
    </w:p>
    <w:p>
      <w:pPr>
        <w:pStyle w:val="Normal"/>
        <w:rPr/>
      </w:pPr>
      <w:r>
        <w:rPr/>
        <w:t xml:space="preserve">Toto odporúčanie predkladáme, pretože priemerná dĺžka života sa zvyšuje a pôrodnosť klesá; európske obyvateľstvo starne, a preto musíme podniknúť ďalšie kroky, aby sme zabránili riziku marginalizácie starších ľudí a zaručili im dôstojný život. </w:t>
      </w:r>
    </w:p>
    <w:p>
      <w:pPr>
        <w:pStyle w:val="Normal"/>
        <w:rPr/>
      </w:pPr>
      <w:r>
        <w:rPr/>
        <w:t xml:space="preserve"> </w:t>
      </w:r>
    </w:p>
    <w:p>
      <w:pPr>
        <w:pStyle w:val="P68B1DB1Normal15"/>
        <w:rPr/>
      </w:pPr>
      <w:r>
        <w:rPr/>
        <w:t xml:space="preserve">24. Odporúčame, aby EÚ podporovala paliatívnu starostlivosť a asistovanú smrť (eutanáziu) v súlade s konkrétnym súborom pravidiel a predpisov. </w:t>
      </w:r>
    </w:p>
    <w:p>
      <w:pPr>
        <w:pStyle w:val="Normal"/>
        <w:rPr/>
      </w:pPr>
      <w:r>
        <w:rPr/>
        <w:t xml:space="preserve"> </w:t>
      </w:r>
    </w:p>
    <w:p>
      <w:pPr>
        <w:pStyle w:val="Normal"/>
        <w:rPr/>
      </w:pPr>
      <w:r>
        <w:rPr/>
        <w:t xml:space="preserve">Robíme toto odporúčanie, pretože by to znížilo bolesť pacientov a rodín a zabezpečilo slušný koniec života. </w:t>
      </w:r>
    </w:p>
    <w:p>
      <w:pPr>
        <w:pStyle w:val="Normal"/>
        <w:rPr/>
      </w:pPr>
      <w:r>
        <w:rPr/>
        <w:t xml:space="preserve"> </w:t>
      </w:r>
    </w:p>
    <w:p>
      <w:pPr>
        <w:pStyle w:val="Titre4"/>
        <w:numPr>
          <w:ilvl w:val="3"/>
          <w:numId w:val="2"/>
        </w:numPr>
        <w:rPr/>
      </w:pPr>
      <w:bookmarkStart w:id="117" w:name="__RefHeading___Toc297169_1346298689"/>
      <w:bookmarkEnd w:id="117"/>
      <w:r>
        <w:rPr/>
        <w:t xml:space="preserve">Podos 3.2 Rovnosť práv </w:t>
      </w:r>
    </w:p>
    <w:p>
      <w:pPr>
        <w:pStyle w:val="Normal"/>
        <w:rPr/>
      </w:pPr>
      <w:r>
        <w:rPr/>
        <w:t xml:space="preserve"> </w:t>
      </w:r>
    </w:p>
    <w:p>
      <w:pPr>
        <w:pStyle w:val="P68B1DB1Normal15"/>
        <w:rPr/>
      </w:pPr>
      <w:r>
        <w:rPr/>
        <w:t xml:space="preserve">25. Odporúčame, aby EÚ podporovala cielený prístup občanov k dôstojnému sociálnemu bývaniu podľa ich osobitných potrieb. Finančné úsilie by sa malo rozdeliť medzi súkromných darcov, majiteľov domov, príjemcov bývania, vlády členských štátov na ústrednej a miestnej úrovni a Európsku úniu. Cieľom by malo byť uľahčenie výstavby/opravy existujúceho fondu sociálneho bývania, a to aj prostredníctvom družstevných združení, prenájmu a nákupu. Pomoc by sa mala poskytovať na základe jasných kritérií (napr. maximálna dotovaná plocha/osoba, príjem príjemcov atď.). </w:t>
      </w:r>
    </w:p>
    <w:p>
      <w:pPr>
        <w:pStyle w:val="Normal"/>
        <w:rPr/>
      </w:pPr>
      <w:r>
        <w:rPr/>
        <w:t xml:space="preserve"> </w:t>
      </w:r>
    </w:p>
    <w:p>
      <w:pPr>
        <w:pStyle w:val="Normal"/>
        <w:rPr/>
      </w:pPr>
      <w:r>
        <w:rPr/>
        <w:t xml:space="preserve">Toto odporúčanie predkladáme, pretože zlepšenie prístupu k bývaniu by zabezpečilo, že občania EÚ budú mať hmatateľné rovnaké práva a pomôžu zmierniť sociálne napätie. EÚ sa predovšetkým vyzýva, aby dohliadala na mechanizmus podpory; vnútroštátne a miestne orgány by mali vyvinúť väčšie úsilie na riešenie problémov s bývaním. </w:t>
      </w:r>
    </w:p>
    <w:p>
      <w:pPr>
        <w:pStyle w:val="Normal"/>
        <w:rPr/>
      </w:pPr>
      <w:r>
        <w:rPr/>
      </w:r>
    </w:p>
    <w:p>
      <w:pPr>
        <w:pStyle w:val="P68B1DB1Normal15"/>
        <w:rPr/>
      </w:pPr>
      <w:r>
        <w:rPr/>
        <w:t xml:space="preserve">26. Odporúčame, aby EÚ zlepšila reguláciu a jednotné vykonávanie podporných opatrení pre rodiny s deťmi vo všetkých členských štátoch. Tieto opatrenia zahŕňajú najmä: zvýšenie dĺžky rodičovskej dovolenky, výšky príspevku na pôrod a príspevku na starostlivosť o dieťa. </w:t>
      </w:r>
    </w:p>
    <w:p>
      <w:pPr>
        <w:pStyle w:val="Normal"/>
        <w:rPr/>
      </w:pPr>
      <w:r>
        <w:rPr/>
        <w:t xml:space="preserve"> </w:t>
      </w:r>
    </w:p>
    <w:p>
      <w:pPr>
        <w:pStyle w:val="Normal"/>
        <w:rPr/>
      </w:pPr>
      <w:r>
        <w:rPr/>
        <w:t xml:space="preserve">Toto odporúčanie predkladáme, pretože sa domnievame, že tieto opatrenia by zmiernili demografický problém, ktorému EÚ čelí. Zlepší sa aj rodová rovnosť medzi rodičmi. </w:t>
      </w:r>
    </w:p>
    <w:p>
      <w:pPr>
        <w:pStyle w:val="Normal"/>
        <w:rPr/>
      </w:pPr>
      <w:r>
        <w:rPr/>
      </w:r>
    </w:p>
    <w:p>
      <w:pPr>
        <w:pStyle w:val="P68B1DB1Normal15"/>
        <w:rPr/>
      </w:pPr>
      <w:r>
        <w:rPr/>
        <w:t xml:space="preserve">27. Odporúčame, aby EÚ podnikla kroky na zabezpečenie toho, aby všetky rodiny mali rovnaké rodinné práva vo všetkých členských štátoch. Tieto práva zahŕňajú právo na manželstvo a adopciu. </w:t>
      </w:r>
    </w:p>
    <w:p>
      <w:pPr>
        <w:pStyle w:val="Normal"/>
        <w:rPr/>
      </w:pPr>
      <w:r>
        <w:rPr/>
        <w:t xml:space="preserve"> </w:t>
      </w:r>
    </w:p>
    <w:p>
      <w:pPr>
        <w:pStyle w:val="Normal"/>
        <w:rPr/>
      </w:pPr>
      <w:r>
        <w:rPr/>
        <w:t xml:space="preserve">Toto odporúčanie predkladáme, pretože sme presvedčení, že všetci občania EÚ by mali mať rovnaké práva vrátane rodinných práv. Rodina je základnou formou sociálnej organizácie. Šťastná rodina prispieva k zdravej spoločnosti. Cieľom odporúčania je zabezpečiť, aby všetci občania požívali rodinné práva bez ohľadu na pohlavie, dospelosť, etnický pôvod alebo fyzické zdravie.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Podos 3.3 Equity/sub-os 3.4 Prístup k športu </w:t>
      </w:r>
      <w:commentRangeEnd w:id="1"/>
      <w:r>
        <w:commentReference w:id="1"/>
      </w:r>
      <w:r>
        <w:rPr/>
      </w:r>
    </w:p>
    <w:p>
      <w:pPr>
        <w:pStyle w:val="Normal"/>
        <w:rPr/>
      </w:pPr>
      <w:r>
        <w:rPr/>
        <w:t xml:space="preserve"> </w:t>
      </w:r>
    </w:p>
    <w:p>
      <w:pPr>
        <w:pStyle w:val="P68B1DB1Normal15"/>
        <w:rPr/>
      </w:pPr>
      <w:r>
        <w:rPr/>
        <w:t xml:space="preserve">28. Odporúčame, aby sa stratégia EÚ pre rodovú rovnosť na roky 2020 – 2025 dôrazne presadzovala a aby sa jej prisúdila vysoká priorita ako naliehavá otázka, ktorú členské štáty účinne riešia. EÚ by mala a) vymedziť ukazovatele (polohy, rozdiely v odmeňovaní, zamestnanosť, vedenie atď.), každoročne monitorovať stratégiu a byť transparentná, pokiaľ ide o dosiahnuté výsledky; a b) zriadiť ombudsmana na získanie priamej spätnej väzby od občanov. </w:t>
      </w:r>
    </w:p>
    <w:p>
      <w:pPr>
        <w:pStyle w:val="Normal"/>
        <w:rPr/>
      </w:pPr>
      <w:r>
        <w:rPr/>
        <w:t xml:space="preserve"> </w:t>
      </w:r>
    </w:p>
    <w:p>
      <w:pPr>
        <w:pStyle w:val="Normal"/>
        <w:rPr/>
      </w:pPr>
      <w:r>
        <w:rPr/>
        <w:t xml:space="preserve">Toto odporúčanie predkladáme, pretože sme presvedčení, že rodová situácia v EÚ nie je ani zďaleka uspokojivá. Mala by existovať harmónia v oblasti rodovej rovnosti a občianskych práv na európskej úrovni, aby sa dosiahli ciele rodovej rovnosti a občianskych práv vo všetkých krajinách, nielen v tých krajinách, v ktorých je kompromis silnejší. Zaviazali sme sa k prítomnosti a prínosu žien na mocenských pozíciách a vo všetkých typoch povolaní, aby sme mali rozmanitú a naplňujúcu Európsku úniu. Ženy sú znevýhodnené v mnohých situáciách (aj keď majú dobrú úroveň vzdelania/certifikované vysokoškolské vzdelanie alebo iné privilégiá), takže takáto stratégia je absolútne nevyhnutná. </w:t>
      </w:r>
    </w:p>
    <w:p>
      <w:pPr>
        <w:pStyle w:val="Normal"/>
        <w:rPr/>
      </w:pPr>
      <w:r>
        <w:rPr/>
      </w:r>
    </w:p>
    <w:p>
      <w:pPr>
        <w:pStyle w:val="P68B1DB1Normal15"/>
        <w:rPr/>
      </w:pPr>
      <w:r>
        <w:rPr/>
        <w:t xml:space="preserve">29. Odporúčame, aby EÚ podporovala a zvyšovala informovanosť verejnosti o športe a fyzickej aktivite vo všetkých členských štátoch vzhľadom na ich prínosy pre zdravie. Šport a fyzická aktivita by mali byť zahrnuté do sociálnych politík, politík v oblasti duševného a telesného zdravia, vzdelávania a pracovných politík (t. j. podpora predpisovania športu a/alebo telesnej aktivity zo strany lekárov a v prípade potreby zabezpečenie prístupu k športovým zariadeniam; 1 hodina práce/týždeň pre fyzickú aktivitu atď.). </w:t>
      </w:r>
    </w:p>
    <w:p>
      <w:pPr>
        <w:pStyle w:val="Normal"/>
        <w:rPr/>
      </w:pPr>
      <w:r>
        <w:rPr/>
        <w:t xml:space="preserve"> </w:t>
      </w:r>
    </w:p>
    <w:p>
      <w:pPr>
        <w:pStyle w:val="Normal"/>
        <w:rPr/>
      </w:pPr>
      <w:r>
        <w:rPr/>
        <w:t xml:space="preserve">Robíme to preto, lebo ide o dlhodobú investíciu. Investovanie do športu a fyzickej aktivity znižuje náklady a zaťaženie zdravotníckych služieb. Napríklad šport a fyzická aktivita ako zásah do zdravia by skrátili trvanie liečby a zefektívnili ich. Táto stratégia sa už úspešne vykonáva v niektorých krajinách, napríklad v Nemecku. Šport je spôsob, ako budovať hodnoty, ako sú odhodlanie, úsilie, sebaúcta, rešpekt alebo kamaraderie. Sedavý životný štýl je bežnejší ako pre predchádzajúce generácie, okrem iného kvôli väčšiemu počtu pracovných miest v kancelárii a/alebo zmenám v návykoch vo voľnom čase. </w:t>
      </w:r>
    </w:p>
    <w:p>
      <w:pPr>
        <w:pStyle w:val="Normal"/>
        <w:rPr/>
      </w:pPr>
      <w:r>
        <w:rPr/>
      </w:r>
    </w:p>
    <w:p>
      <w:pPr>
        <w:pStyle w:val="P68B1DB1Normal15"/>
        <w:rPr/>
      </w:pPr>
      <w:r>
        <w:rPr/>
        <w:t xml:space="preserve">30. Odporúčame, aby EÚ uložila každému členskému štátu povinnosť mať minimálnu mzdu, ktorá je vymedzená podľa životných nákladov na jeho území a ktorá sa považuje za spravodlivú mzdu, ktorá umožňuje minimálne životné podmienky nad hranicou chudoby. Každý členský štát ho musí monitorovať. </w:t>
      </w:r>
    </w:p>
    <w:p>
      <w:pPr>
        <w:pStyle w:val="Normal"/>
        <w:rPr/>
      </w:pPr>
      <w:r>
        <w:rPr/>
        <w:t xml:space="preserve"> </w:t>
      </w:r>
    </w:p>
    <w:p>
      <w:pPr>
        <w:pStyle w:val="Normal"/>
        <w:rPr/>
      </w:pPr>
      <w:r>
        <w:rPr/>
        <w:t xml:space="preserve">Toto odporúčanie predkladáme, pretože je nespravodlivé, aby sme nedosiahli koniec mesiaca, v ktorom pracujeme. Spravodlivé mzdy by mali prispievať ku kvalite života na sociálnej úrovni. Nespravodlivé mzdy majú pre štáty vysoké náklady (bezpečnosť, daňové úniky, vyššie sociálne náklady atď.). </w:t>
      </w:r>
    </w:p>
    <w:p>
      <w:pPr>
        <w:pStyle w:val="Normal"/>
        <w:rPr/>
      </w:pPr>
      <w:r>
        <w:rPr/>
      </w:r>
    </w:p>
    <w:p>
      <w:pPr>
        <w:pStyle w:val="P68B1DB1Normal15"/>
        <w:rPr/>
      </w:pPr>
      <w:r>
        <w:rPr/>
        <w:t xml:space="preserve">31. Odporúčame harmonizáciu daní v členských štátoch na úrovni EÚ (s cieľom vyhnúť sa daňovým rajom v EÚ a bojovať proti premiestňovaniu v rámci Európy), ako aj daňový stimul na odrádzanie od premiestňovania pracovných miest mimo Európy. </w:t>
      </w:r>
    </w:p>
    <w:p>
      <w:pPr>
        <w:pStyle w:val="Normal"/>
        <w:rPr/>
      </w:pPr>
      <w:r>
        <w:rPr/>
        <w:t xml:space="preserve"> </w:t>
      </w:r>
    </w:p>
    <w:p>
      <w:pPr>
        <w:pStyle w:val="Normal"/>
        <w:rPr/>
      </w:pPr>
      <w:r>
        <w:rPr/>
        <w:t xml:space="preserve">Toto odporúčanie predkladáme, pretože nás znepokojuje vplyv premiestňovania pracovných miest mimo Európy a domnievame sa, že by to zabránilo daňovej konkurencii medzi členskými štátmi EÚ. </w:t>
      </w:r>
    </w:p>
    <w:p>
      <w:pPr>
        <w:pStyle w:val="Normal"/>
        <w:rPr/>
      </w:pPr>
      <w:r>
        <w:rPr/>
      </w:r>
    </w:p>
    <w:p>
      <w:pPr>
        <w:pStyle w:val="Titre3"/>
        <w:numPr>
          <w:ilvl w:val="2"/>
          <w:numId w:val="2"/>
        </w:numPr>
        <w:rPr/>
      </w:pPr>
      <w:bookmarkStart w:id="119" w:name="__RefHeading___Toc297173_1346298689"/>
      <w:bookmarkEnd w:id="119"/>
      <w:r>
        <w:rPr/>
        <w:t xml:space="preserve">Os 4 Vzdelávanie v Európe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Podos 4.1 Európska identita/podos 4.2 Digitálne vzdelávanie </w:t>
      </w:r>
      <w:commentRangeEnd w:id="2"/>
      <w:r>
        <w:commentReference w:id="2"/>
      </w:r>
      <w:r>
        <w:rPr/>
      </w:r>
    </w:p>
    <w:p>
      <w:pPr>
        <w:pStyle w:val="Normal"/>
        <w:rPr/>
      </w:pPr>
      <w:r>
        <w:rPr/>
        <w:t xml:space="preserve"> </w:t>
      </w:r>
    </w:p>
    <w:p>
      <w:pPr>
        <w:pStyle w:val="P68B1DB1Normal15"/>
        <w:rPr/>
      </w:pPr>
      <w:r>
        <w:rPr/>
        <w:t xml:space="preserve">32. Odporúčame podporovať viacjazyčnosť už od útleho veku, napríklad z materskej školy. Od základnej školy by malo byť povinné, aby deti dosiahli úroveň C1 v inom aktívnom jazyku EÚ ako v ich vlastnom jazyku. </w:t>
      </w:r>
    </w:p>
    <w:p>
      <w:pPr>
        <w:pStyle w:val="Normal"/>
        <w:rPr/>
      </w:pPr>
      <w:r>
        <w:rPr/>
        <w:t xml:space="preserve"> </w:t>
      </w:r>
    </w:p>
    <w:p>
      <w:pPr>
        <w:pStyle w:val="Normal"/>
        <w:rPr/>
      </w:pPr>
      <w:r>
        <w:rPr/>
        <w:t xml:space="preserve">Toto odporúčanie vytvárame, pretože viacjazyčnosť je nástroj, ktorý spája občanov a most s inými kultúrami, čím sa ďalšie krajiny a ich kultúry stávajú dostupnejšími. Posilňuje európsku identitu a medzikultúrne výmeny. Je dôležité oboznámiť sa s inými kultúrami v kontexte Európskej únie. Schopnosť hovoriť na dobrej úrovni v dvoch jazykoch by preto prispela k vytvoreniu spoločnej európskej identity a porozumeniu iným európskym kultúram. EÚ musí úzko spolupracovať so vzdelávacími inštitúciami, aby dosiahla dobré výsledky vo vzdelávaní. Takisto je potrebné vytvoriť osobitný program (napr. digitálne platformy, rozšírené programy Erasmus+ atď.) výlučne na podporu viacjazyčnosti. Súčasné európske školy môžu v tejto súvislosti slúžiť ako vzor. EÚ by mala vytvárať a aktívne podporovať takéto školy. </w:t>
      </w:r>
    </w:p>
    <w:p>
      <w:pPr>
        <w:pStyle w:val="Normal"/>
        <w:rPr/>
      </w:pPr>
      <w:r>
        <w:rPr/>
      </w:r>
    </w:p>
    <w:p>
      <w:pPr>
        <w:pStyle w:val="P68B1DB1Normal15"/>
        <w:rPr/>
      </w:pPr>
      <w:r>
        <w:rPr/>
        <w:t xml:space="preserve">33. Odporúčame, aby EÚ zvýšila informovanosť mladých ľudí o nebezpečenstvách internetu a digitalizácie vytvorením povinného predmetu základného vzdelávania. EÚ by mala vyvinúť nástroje a vytvoriť spoločné priestory odbornej prípravy pre mladých ľudí, aby sa mohli učiť spoločne. </w:t>
      </w:r>
    </w:p>
    <w:p>
      <w:pPr>
        <w:pStyle w:val="Normal"/>
        <w:rPr/>
      </w:pPr>
      <w:r>
        <w:rPr/>
        <w:t xml:space="preserve"> </w:t>
      </w:r>
    </w:p>
    <w:p>
      <w:pPr>
        <w:pStyle w:val="Normal"/>
        <w:rPr/>
      </w:pPr>
      <w:r>
        <w:rPr/>
        <w:t xml:space="preserve">Dávame toto odporúčanie, pretože súčasné iniciatívy alebo programy v tejto oblasti nie sú dostatočné. Okrem toho mnohí občania EÚ nie sú informovaní o existujúcich iniciatívach EÚ v týchto oblastiach. Deti nie sú dostatočne informované o nebezpečenstvách internetu, a preto by sme mali urobiť oveľa viac na zvýšenie povedomia mladšej generácie. </w:t>
      </w:r>
    </w:p>
    <w:p>
      <w:pPr>
        <w:pStyle w:val="Normal"/>
        <w:rPr/>
      </w:pPr>
      <w:r>
        <w:rPr/>
        <w:t xml:space="preserve"> </w:t>
      </w:r>
    </w:p>
    <w:p>
      <w:pPr>
        <w:pStyle w:val="P68B1DB1Normal15"/>
        <w:rPr/>
      </w:pPr>
      <w:r>
        <w:rPr/>
        <w:t xml:space="preserve">34. Odporúčame, aby EÚ pracovala na zlepšení dostupnosti technológií pre starších ľudí prostredníctvom podpory programov a iniciatív, napríklad formou kurzov prispôsobených ich potrebám. EÚ by mala zaručiť právo na používanie digitálnych technológií pre tých, ktorí ju chcú, a navrhnúť alternatívy pre tých, ktorí ju nechcú. </w:t>
      </w:r>
    </w:p>
    <w:p>
      <w:pPr>
        <w:pStyle w:val="Normal"/>
        <w:rPr/>
      </w:pPr>
      <w:r>
        <w:rPr/>
        <w:t xml:space="preserve"> </w:t>
      </w:r>
    </w:p>
    <w:p>
      <w:pPr>
        <w:pStyle w:val="Normal"/>
        <w:rPr/>
      </w:pPr>
      <w:r>
        <w:rPr/>
        <w:t xml:space="preserve">Toto odporúčanie predkladáme, pretože EÚ by mala zabezpečiť, aby sa starší ľudia mohli zúčastňovať na digitálnom svete a aby nikto nebol diskriminovaný. Mali by sa zaviesť zjednodušené nástroje pre generácie, ktoré majú menej skúseností s používaním určitých technológií, s cieľom začleniť ich do dnešného sveta. Odporúčame lepšie propagovať existujúce iniciatívy, aby o nich občania vedeli. Starší ľudia by nemali byť diskriminovaní v EÚ, pokiaľ ide o používanie IT nástrojov. (Ako incident to znamená, že občania by mali mať možnosť žiť svoj život bez toho, aby museli prejsť internetovou sieťou). EÚ by mala organizovať a sprístupňovať starším ľuďom trvalú bezplatnú pomoc s cieľom uľahčiť prístup k digitálnym nástrojom. </w:t>
      </w:r>
    </w:p>
    <w:p>
      <w:pPr>
        <w:pStyle w:val="Normal"/>
        <w:rPr/>
      </w:pPr>
      <w:r>
        <w:rPr/>
      </w:r>
    </w:p>
    <w:p>
      <w:pPr>
        <w:pStyle w:val="Titre4"/>
        <w:numPr>
          <w:ilvl w:val="3"/>
          <w:numId w:val="2"/>
        </w:numPr>
        <w:rPr/>
      </w:pPr>
      <w:bookmarkStart w:id="121" w:name="__RefHeading___Toc297177_1346298689"/>
      <w:bookmarkEnd w:id="121"/>
      <w:r>
        <w:rPr/>
        <w:t xml:space="preserve">Podos 4.3 Kultúrna výmena/podos 4.4 Environmentálne vzdelávanie </w:t>
      </w:r>
    </w:p>
    <w:p>
      <w:pPr>
        <w:pStyle w:val="Normal"/>
        <w:rPr/>
      </w:pPr>
      <w:r>
        <w:rPr/>
        <w:t xml:space="preserve"> </w:t>
      </w:r>
    </w:p>
    <w:p>
      <w:pPr>
        <w:pStyle w:val="P68B1DB1Normal15"/>
        <w:rPr/>
      </w:pPr>
      <w:r>
        <w:rPr/>
        <w:t xml:space="preserve">35. Odporúčame, aby EÚ vytvorila platformu, na ktorej budú k dispozícii vzdelávacie materiály o zmene klímy, udržateľnosti a environmentálnych otázkach na vzdelávacie účely. Takéto informácie by sa mali zakladať na skutočnostiach, mali by ich overovať odborníci a mali by byť prispôsobené každému členskému štátu. Platforma: </w:t>
      </w:r>
    </w:p>
    <w:p>
      <w:pPr>
        <w:pStyle w:val="P68B1DB1Normal15"/>
        <w:rPr/>
      </w:pPr>
      <w:r>
        <w:rPr/>
        <w:t xml:space="preserve">● </w:t>
      </w:r>
      <w:r>
        <w:rPr/>
        <w:t xml:space="preserve">by mali zahŕňať lekcie pre rôzne cieľové skupiny, napr. pre ľudí žijúcich v mestských alebo vidieckych oblastiach, pre všetky vekové skupiny a pre predchádzajúce úrovne znalostí; </w:t>
      </w:r>
    </w:p>
    <w:p>
      <w:pPr>
        <w:pStyle w:val="P68B1DB1Normal15"/>
        <w:rPr/>
      </w:pPr>
      <w:r>
        <w:rPr/>
        <w:t xml:space="preserve">● </w:t>
      </w:r>
      <w:r>
        <w:rPr/>
        <w:t xml:space="preserve">musí byť k dispozícii všetkým členským štátom a musí byť ľahko prístupný; </w:t>
      </w:r>
    </w:p>
    <w:p>
      <w:pPr>
        <w:pStyle w:val="P68B1DB1Normal15"/>
        <w:rPr/>
      </w:pPr>
      <w:r>
        <w:rPr/>
        <w:t xml:space="preserve">● </w:t>
      </w:r>
      <w:r>
        <w:rPr/>
        <w:t xml:space="preserve">by mal zahŕňať pri jeho vykonávaní plán propagácie, ktorý by mal zahŕňať príslušné podniky; </w:t>
      </w:r>
    </w:p>
    <w:p>
      <w:pPr>
        <w:pStyle w:val="P68B1DB1Normal15"/>
        <w:rPr/>
      </w:pPr>
      <w:r>
        <w:rPr/>
        <w:t xml:space="preserve">● </w:t>
      </w:r>
      <w:r>
        <w:rPr/>
        <w:t xml:space="preserve">by sa mohli sprístupniť súčasne s programom financovania na podporu využívania a vykonávania informácií dostupných na platforme. Týmto financovaním by sa mali podporiť aj návštevy v teréne s cieľom predložiť konkrétne príklady. </w:t>
      </w:r>
    </w:p>
    <w:p>
      <w:pPr>
        <w:pStyle w:val="Normal"/>
        <w:rPr/>
      </w:pPr>
      <w:r>
        <w:rPr/>
        <w:t xml:space="preserve"> </w:t>
      </w:r>
    </w:p>
    <w:p>
      <w:pPr>
        <w:pStyle w:val="Normal"/>
        <w:rPr/>
      </w:pPr>
      <w:r>
        <w:rPr/>
        <w:t xml:space="preserve">Toto odporúčanie predkladáme, pretože ľudia všetkých vekových kategórií potrebujú prístup k faktickým informáciám o tom, ako riešiť klimatické zmeny, udržateľnosť a otázky životného prostredia. Dôležité pojmy, ako je ekologická stopa, musia pochopiť všetci, najmä mladí ľudia, pretože to, čo sa učíme, nás sprevádza počas celého nášho života. Tieto témy sú zložité a dezinformácie sú rozšírené. Potrebujeme spoľahlivý zdroj a EÚ má dôveryhodnosť a zdroje na to, aby túto úlohu prevzala. Je to dôležité aj preto, že úroveň znalostí a prístup k dôveryhodným informáciám sa v jednotlivých členských štátoch líšia. </w:t>
      </w:r>
    </w:p>
    <w:p>
      <w:pPr>
        <w:pStyle w:val="Normal"/>
        <w:rPr/>
      </w:pPr>
      <w:r>
        <w:rPr/>
      </w:r>
    </w:p>
    <w:p>
      <w:pPr>
        <w:pStyle w:val="P68B1DB1Normal15"/>
        <w:rPr/>
      </w:pPr>
      <w:r>
        <w:rPr/>
        <w:t xml:space="preserve">36. Odporúčame, aby EÚ uprednostnila zabezpečenie dostupnosti výmenných programov pre všetkých (vekové skupiny, členské štáty, úroveň vzdelania a finančnú kapacitu) a umožnenie stáží alebo výmen medzi sektormi, krajinami, vzdelávacími inštitúciami, mestami a podnikmi. EÚ by mala byť zodpovedná za začatie, sprostredkovanie a financovanie kultúrnych a sociálnych výmen v celej EÚ, a to fyzických aj digitálnych. EÚ musí aktívne podporovať tieto iniciatívy a zamerať sa na ľudí, ktorí ešte nie sú oboznámení s kultúrnymi a sociálnymi výmennými programami. Konferencia o budúcnosti Európy, pre ktorú boli občania náhodne vybraní, je dokonalým príkladom európskej výmeny. Chceme viac iniciatív tohto druhu, ale chceme aj menšie iniciatívy, ako aj výmeny v oblasti športu, hudby, (spoločenských) stáží atď. </w:t>
      </w:r>
    </w:p>
    <w:p>
      <w:pPr>
        <w:pStyle w:val="P68B1DB1Normal15"/>
        <w:rPr/>
      </w:pPr>
      <w:r>
        <w:rPr/>
        <w:t xml:space="preserve"> </w:t>
      </w:r>
    </w:p>
    <w:p>
      <w:pPr>
        <w:pStyle w:val="Normal"/>
        <w:rPr/>
      </w:pPr>
      <w:r>
        <w:rPr/>
        <w:t xml:space="preserve">Toto odporúčanie predkladáme, pretože je dôležité vytvoriť pocit spolupatričnosti a súdržnosti a podporovať toleranciu voči našej nádhernej rozmanitosti a perspektívam, ako aj rozvoju individuálnych zručností. Tento proces bude rozvíjať priateľstvá, vzájomné porozumenie a kritické myslenie. Chceli by sme podporiť zapojenie všetkých členov našich komunít, dokonca aj tých, ktorí sa doteraz na takýchto iniciatívach nezúčastnili. </w:t>
      </w:r>
    </w:p>
    <w:p>
      <w:pPr>
        <w:pStyle w:val="Normal"/>
        <w:rPr/>
      </w:pPr>
      <w:r>
        <w:rPr/>
      </w:r>
    </w:p>
    <w:p>
      <w:pPr>
        <w:pStyle w:val="Titre4"/>
        <w:numPr>
          <w:ilvl w:val="3"/>
          <w:numId w:val="2"/>
        </w:numPr>
        <w:rPr/>
      </w:pPr>
      <w:bookmarkStart w:id="122" w:name="__RefHeading___Toc297179_1346298689"/>
      <w:bookmarkEnd w:id="122"/>
      <w:r>
        <w:rPr/>
        <w:t xml:space="preserve">Podos 4.5 Kvalita, financovanie a prístup k vzdelávaniu/podos 4.6 Harmonizácia vzdelávania </w:t>
      </w:r>
    </w:p>
    <w:p>
      <w:pPr>
        <w:pStyle w:val="Normal"/>
        <w:rPr/>
      </w:pPr>
      <w:r>
        <w:rPr/>
        <w:t xml:space="preserve"> </w:t>
      </w:r>
    </w:p>
    <w:p>
      <w:pPr>
        <w:pStyle w:val="P68B1DB1Normal15"/>
        <w:rPr/>
      </w:pPr>
      <w:r>
        <w:rPr/>
        <w:t xml:space="preserve">37. Odporúčame, aby všetky členské štáty definovali a prijali minimálny štandard certifikovaného vzdelávania v základných predmetoch od základnej školy. Cieľom je zabezpečiť, aby všetci občania mali rovnaký prístup ku kvalitnému vzdelávaniu, ktoré zaručuje rovnosť a rovnosť. </w:t>
      </w:r>
    </w:p>
    <w:p>
      <w:pPr>
        <w:pStyle w:val="Normal"/>
        <w:rPr/>
      </w:pPr>
      <w:r>
        <w:rPr/>
      </w:r>
    </w:p>
    <w:p>
      <w:pPr>
        <w:pStyle w:val="Normal"/>
        <w:rPr/>
      </w:pPr>
      <w:r>
        <w:rPr/>
        <w:t xml:space="preserve">Toto odporúčanie predkladáme z nasledujúcich dôvodov: </w:t>
      </w:r>
    </w:p>
    <w:p>
      <w:pPr>
        <w:pStyle w:val="Normal"/>
        <w:rPr/>
      </w:pPr>
      <w:r>
        <w:rPr/>
        <w:t xml:space="preserve">● </w:t>
      </w:r>
      <w:r>
        <w:rPr/>
        <w:t xml:space="preserve">existencia minimálnej normy by posilnila dôveru rodičov, učiteľov a študentov v ich vzdelávacie systémy a zároveň by ponechala priestor pre iniciatívu a rozmanitosť. </w:t>
      </w:r>
    </w:p>
    <w:p>
      <w:pPr>
        <w:pStyle w:val="Normal"/>
        <w:rPr/>
      </w:pPr>
      <w:r>
        <w:rPr/>
        <w:t xml:space="preserve">Ak sa naše odporúčanie vykoná, posilní a posilní spoločnú európsku identitu a podporí súdržnosť, jednotu a pocit spolupatričnosti. </w:t>
      </w:r>
    </w:p>
    <w:p>
      <w:pPr>
        <w:pStyle w:val="Normal"/>
        <w:rPr/>
      </w:pPr>
      <w:r>
        <w:rPr/>
        <w:t xml:space="preserve">● </w:t>
      </w:r>
      <w:r>
        <w:rPr/>
        <w:t xml:space="preserve">Vykonávaním tohto odporúčania by sa posilnila spolupráca a výmeny medzi školami v celej EÚ, čo by zlepšilo vzťahy medzi pedagogickými pracovníkmi a žiakmi a výrazne uľahčilo výmenné programy. </w:t>
      </w:r>
    </w:p>
    <w:p>
      <w:pPr>
        <w:pStyle w:val="Normal"/>
        <w:rPr/>
      </w:pPr>
      <w:r>
        <w:rPr/>
      </w:r>
    </w:p>
    <w:p>
      <w:pPr>
        <w:pStyle w:val="P68B1DB1Normal15"/>
        <w:rPr/>
      </w:pPr>
      <w:r>
        <w:rPr/>
        <w:t xml:space="preserve">38. Odporúčame, aby sa angličtina podľa osvedčenej normy vyučovala ako hlavný predmet na základných školách vo všetkých členských štátoch EÚ s cieľom uľahčiť a posilniť schopnosť európskych občanov efektívne komunikovať. </w:t>
      </w:r>
    </w:p>
    <w:p>
      <w:pPr>
        <w:pStyle w:val="Normal"/>
        <w:rPr/>
      </w:pPr>
      <w:r>
        <w:rPr/>
        <w:t xml:space="preserve"> </w:t>
      </w:r>
    </w:p>
    <w:p>
      <w:pPr>
        <w:pStyle w:val="Normal"/>
        <w:rPr/>
      </w:pPr>
      <w:r>
        <w:rPr/>
        <w:t xml:space="preserve">Toto odporúčanie predkladáme z nasledujúcich dôvodov: </w:t>
      </w:r>
    </w:p>
    <w:p>
      <w:pPr>
        <w:pStyle w:val="Normal"/>
        <w:rPr/>
      </w:pPr>
      <w:r>
        <w:rPr/>
        <w:t xml:space="preserve">● </w:t>
      </w:r>
      <w:r>
        <w:rPr/>
        <w:t xml:space="preserve">to by umožnilo väčšiu jednotu a rovnosť posilnením schopnosti občanov navzájom komunikovať a podporiť silnejšiu spoločnú európsku identitu; </w:t>
      </w:r>
    </w:p>
    <w:p>
      <w:pPr>
        <w:pStyle w:val="Normal"/>
        <w:rPr/>
      </w:pPr>
      <w:r>
        <w:rPr/>
        <w:t xml:space="preserve">● </w:t>
      </w:r>
      <w:r>
        <w:rPr/>
        <w:t xml:space="preserve">tým by sa rozšíril trh práce a stal by sa pružnejším a prístupnejším, čo by občanom poskytlo dôveru v prácu a komunikáciu vo všetkých ostatných členských štátoch, ktoré ponúkajú osobnejšie a profesionálnejšie perspektívy. </w:t>
      </w:r>
    </w:p>
    <w:p>
      <w:pPr>
        <w:pStyle w:val="Normal"/>
        <w:rPr/>
      </w:pPr>
      <w:r>
        <w:rPr/>
        <w:t xml:space="preserve">● </w:t>
      </w:r>
      <w:r>
        <w:rPr/>
        <w:t xml:space="preserve">takýto prístup by umožnil šírenie spoločného európskeho jazyka vo veľmi krátkom čase; </w:t>
      </w:r>
    </w:p>
    <w:p>
      <w:pPr>
        <w:pStyle w:val="Normal"/>
        <w:rPr/>
      </w:pPr>
      <w:r>
        <w:rPr/>
        <w:t xml:space="preserve">● </w:t>
      </w:r>
      <w:r>
        <w:rPr/>
        <w:t xml:space="preserve">používanie spoločného jazyka urýchľuje výmenu informácií, čo by prospelo spolupráci, spoločnej reakcii na krízy, humanitárnej pomoci a zblíženiu medzi Európou a Európanmi. </w:t>
      </w:r>
    </w:p>
    <w:p>
      <w:pPr>
        <w:pStyle w:val="Normal"/>
        <w:rPr/>
      </w:pPr>
      <w:r>
        <w:rPr/>
      </w:r>
    </w:p>
    <w:p>
      <w:pPr>
        <w:pStyle w:val="Titre3"/>
        <w:numPr>
          <w:ilvl w:val="2"/>
          <w:numId w:val="2"/>
        </w:numPr>
        <w:rPr/>
      </w:pPr>
      <w:bookmarkStart w:id="123" w:name="__RefHeading___Toc297181_1346298689"/>
      <w:bookmarkEnd w:id="123"/>
      <w:r>
        <w:rPr/>
        <w:t xml:space="preserve">Os 5 Etická a bezpečná digitálna transformácia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Podos 5.1 Demoratizácia digitálnej transformácie/podos 5.2 Kybernetická bezpečnosť </w:t>
      </w:r>
      <w:commentRangeEnd w:id="3"/>
      <w:r>
        <w:commentReference w:id="3"/>
      </w:r>
      <w:r>
        <w:rPr/>
      </w:r>
    </w:p>
    <w:p>
      <w:pPr>
        <w:pStyle w:val="Normal"/>
        <w:rPr/>
      </w:pPr>
      <w:r>
        <w:rPr/>
        <w:t xml:space="preserve"> </w:t>
      </w:r>
    </w:p>
    <w:p>
      <w:pPr>
        <w:pStyle w:val="P68B1DB1Normal15"/>
        <w:rPr/>
      </w:pPr>
      <w:r>
        <w:rPr/>
        <w:t xml:space="preserve">39. Odporúčame, aby EÚ mala viac právomocí na boj proti nezákonnému obsahu a počítačovej kriminalite. Odporúčame posilniť kapacitu Europolu/Európskeho centra boja proti počítačovej kriminalite vrátane: </w:t>
      </w:r>
    </w:p>
    <w:p>
      <w:pPr>
        <w:pStyle w:val="P68B1DB1Normal15"/>
        <w:rPr/>
      </w:pPr>
      <w:r>
        <w:rPr/>
        <w:t xml:space="preserve">● </w:t>
      </w:r>
      <w:r>
        <w:rPr/>
        <w:t xml:space="preserve">zvýšenie finančných zdrojov a personálneho obsadenia </w:t>
      </w:r>
    </w:p>
    <w:p>
      <w:pPr>
        <w:pStyle w:val="P68B1DB1Normal15"/>
        <w:rPr/>
      </w:pPr>
      <w:r>
        <w:rPr/>
        <w:t xml:space="preserve">● </w:t>
      </w:r>
      <w:r>
        <w:rPr/>
        <w:t xml:space="preserve">zaručenie podobných sankcií v každej krajine ● zabezpečenie rýchlej a účinnej kontroly zákonnosti </w:t>
      </w:r>
    </w:p>
    <w:p>
      <w:pPr>
        <w:pStyle w:val="Normal"/>
        <w:rPr/>
      </w:pPr>
      <w:r>
        <w:rPr/>
        <w:t xml:space="preserve"> </w:t>
      </w:r>
    </w:p>
    <w:p>
      <w:pPr>
        <w:pStyle w:val="Normal"/>
        <w:rPr/>
      </w:pPr>
      <w:r>
        <w:rPr/>
        <w:t xml:space="preserve">Toto odporúčanie predkladáme s cieľom zabezpečiť slobodu na internete a zároveň zabezpečiť, aby sa diskriminácia, zneužívanie a obťažovanie trestali. Podporujeme myšlienku európskeho verejného orgánu, pretože nechceme ponechať reguláciu online platforiem na súkromné spoločnosti. Online platformy musia prevziať zodpovednosť za distribuovaný obsah, ale chceme sa uistiť, že neprevládajú ich záujmy. Regulácia obsahu a stíhanie páchateľov musia byť včasné a účinné, aby mali odrádzajúci účinok aj na škodlivé osoby. </w:t>
      </w:r>
    </w:p>
    <w:p>
      <w:pPr>
        <w:pStyle w:val="Normal"/>
        <w:rPr/>
      </w:pPr>
      <w:r>
        <w:rPr/>
      </w:r>
    </w:p>
    <w:p>
      <w:pPr>
        <w:pStyle w:val="P68B1DB1Normal15"/>
        <w:rPr/>
      </w:pPr>
      <w:r>
        <w:rPr/>
        <w:t xml:space="preserve">40. Odporúčame, aby EÚ investovala do inovačnej a vysokokvalitnej digitálnej infraštruktúry (napríklad 5G, ktorá sa vyvíja v Európe) s cieľom zabezpečiť autonómiu Európy a zabrániť závislosti od tretích krajín alebo súkromných spoločností. EÚ by mala venovať osobitnú pozornosť investíciám v zaostávajúcich regiónoch. </w:t>
      </w:r>
    </w:p>
    <w:p>
      <w:pPr>
        <w:pStyle w:val="Normal"/>
        <w:rPr/>
      </w:pPr>
      <w:r>
        <w:rPr/>
        <w:t xml:space="preserve"> </w:t>
      </w:r>
    </w:p>
    <w:p>
      <w:pPr>
        <w:pStyle w:val="Normal"/>
        <w:rPr/>
      </w:pPr>
      <w:r>
        <w:rPr/>
        <w:t xml:space="preserve">Toto odporúčanie predkladáme, pretože digitálna infraštruktúra zohráva kľúčovú úlohu v európskom hospodárstve, ako aj v každodennom živote Európanov, čo uľahčujú. Európa preto potrebuje kvalitnú digitálnu infraštruktúru. Ak to závisí od tretích strán, Európa môže byť zraniteľná voči negatívnym vplyvom súkromných spoločností alebo zahraničných krajín. Európa by preto mala investovať do digitálnej infraštruktúry s cieľom zlepšiť jej autonómiu. Takisto je dôležité zabezpečiť digitálne začlenenie tým, že sa zabezpečí, aby z investícií profitovali menej digitálne rozvinuté regióny. </w:t>
      </w:r>
    </w:p>
    <w:p>
      <w:pPr>
        <w:pStyle w:val="Normal"/>
        <w:rPr/>
      </w:pPr>
      <w:r>
        <w:rPr/>
      </w:r>
    </w:p>
    <w:p>
      <w:pPr>
        <w:pStyle w:val="P68B1DB1Normal15"/>
        <w:rPr/>
      </w:pPr>
      <w:r>
        <w:rPr/>
        <w:t xml:space="preserve">41. Odporúčame, aby EÚ v európskych školách podporovala vzdelávanie o falošných správach, dezinformáciách a bezpečnosti na internete. Mala by vychádzať z príkladov osvedčených postupov z celej EÚ. EÚ by mala zriadiť organizáciu osobitne zodpovednú za podporu tejto práce a poskytovanie odporúčaní vzdelávacím systémom. Mal by tiež podporovať neformálne vzdelávanie, ako aj inovatívne a kreatívne vyučovacie techniky (napr. participatívne hry). </w:t>
      </w:r>
    </w:p>
    <w:p>
      <w:pPr>
        <w:pStyle w:val="Normal"/>
        <w:rPr/>
      </w:pPr>
      <w:r>
        <w:rPr/>
      </w:r>
    </w:p>
    <w:p>
      <w:pPr>
        <w:pStyle w:val="Normal"/>
        <w:rPr/>
      </w:pPr>
      <w:r>
        <w:rPr/>
        <w:t xml:space="preserve">Toto odporúčanie predkladáme, pretože zavedenie kurzov o online bezpečnosti a kultúre digitálnej bezpečnosti (boj proti online podvodom, falošným správam atď.) v škole je dôležité, aby sme všetkým poskytli nástroje na ochranu pred online hrozbami. Je dôležité zamerať sa na mladých ľudí, ktorí sú vysoko vystavení takýmto hrozbám. Školy môžu komunikovať aj s rodičmi s cieľom podporiť osvedčené postupy. Tieto kurzy môžu byť založené na príkladoch osvedčených postupov v Európe (napr. vo Fínsku), pričom sa prispôsobujú potrebám každej krajiny. </w:t>
      </w:r>
    </w:p>
    <w:p>
      <w:pPr>
        <w:pStyle w:val="Normal"/>
        <w:rPr/>
      </w:pPr>
      <w:r>
        <w:rPr/>
        <w:t xml:space="preserve"> </w:t>
      </w:r>
    </w:p>
    <w:p>
      <w:pPr>
        <w:pStyle w:val="Titre4"/>
        <w:numPr>
          <w:ilvl w:val="3"/>
          <w:numId w:val="2"/>
        </w:numPr>
        <w:rPr/>
      </w:pPr>
      <w:bookmarkStart w:id="125" w:name="__RefHeading___Toc297185_1346298689"/>
      <w:bookmarkEnd w:id="125"/>
      <w:r>
        <w:rPr/>
        <w:t xml:space="preserve">Podos 5.3 Ochrana údajov </w:t>
      </w:r>
    </w:p>
    <w:p>
      <w:pPr>
        <w:pStyle w:val="Normal"/>
        <w:rPr/>
      </w:pPr>
      <w:r>
        <w:rPr/>
        <w:t xml:space="preserve"> </w:t>
      </w:r>
    </w:p>
    <w:p>
      <w:pPr>
        <w:pStyle w:val="P68B1DB1Normal15"/>
        <w:rPr/>
      </w:pPr>
      <w:r>
        <w:rPr/>
        <w:t xml:space="preserve">42. Odporúčame ďalej obmedziť zneužívanie údajov „dátovými gigantmi“ zvýšením dodržiavania všeobecného nariadenia o ochrane údajov (všeobecné nariadenie o ochrane údajov), vytvorením štandardizovanejších mechanizmov v celej EÚ a zabezpečením toho, aby aj neeurópske spoločnosti pôsobiace v EÚ dodržiavali toto nariadenie. Týmto zlepšením by sa malo zabezpečiť jasné a stručné vysvetlenie podmienok používania údajov s cieľom vyhnúť sa nejednoznačnosti a poskytnúť dodatočné informácie o tom, ako sa údaje budú používať a kým budú použité, a s cieľom zabrániť tomu, aby bol súhlas s opakovaným použitím a ďalším predajom údajov štandardnou možnosťou. Mal by zabezpečiť, aby sa údaje natrvalo vymazali, ak o to občan požiada. Mal by tiež zvýšiť konzistentnosť monitorovania dodržiavania pravidiel, pokiaľ ide o profilovanie jednotlivcov na základe ich online činností. Navrhujeme dva druhy sankcií: pokuta úmerná obratu a obmedzeniam činnosti spoločnosti. </w:t>
      </w:r>
    </w:p>
    <w:p>
      <w:pPr>
        <w:pStyle w:val="Normal"/>
        <w:rPr/>
      </w:pPr>
      <w:r>
        <w:rPr/>
        <w:t xml:space="preserve"> </w:t>
      </w:r>
    </w:p>
    <w:p>
      <w:pPr>
        <w:pStyle w:val="Normal"/>
        <w:rPr/>
      </w:pPr>
      <w:r>
        <w:rPr/>
        <w:t xml:space="preserve">Toto odporúčanie predkladáme, pretože transparentnosť je v súčasnosti veľmi obmedzená, pokiaľ ide o druh zhromaždených údajov, spôsob ich spracovania a totožnosť tých, ktorým sa predávajú. Musíme ďalej obmedziť zneužívanie moci dátovými gigantmi a zabezpečiť, aby občania vedome súhlasili so spracovaním ich údajov. </w:t>
      </w:r>
    </w:p>
    <w:p>
      <w:pPr>
        <w:pStyle w:val="Normal"/>
        <w:rPr/>
      </w:pPr>
      <w:r>
        <w:rPr/>
        <w:t xml:space="preserve"> </w:t>
      </w:r>
    </w:p>
    <w:p>
      <w:pPr>
        <w:pStyle w:val="P68B1DB1Normal15"/>
        <w:rPr/>
      </w:pPr>
      <w:r>
        <w:rPr/>
        <w:t xml:space="preserve">43. Odporúčame vytvoriť nezávislú celoeurópsku agentúru, ktorá by mala jasne definovať rušivé správanie (napr. spam) a vypracovať usmernenia o tom, ako môžu občania namietať proti spracovaniu svojich údajov a dosiahnuť ich vymazanie, najmä od tretích strán. Táto agentúra musí mať mandát identifikovať a sankcionovať podvodníkov a organizácie, ktoré nedodržiavajú pravidlá. Mal by sa zamerať na zabezpečenie dodržiavania pravidiel EÚ subjektmi usadenými mimo EÚ, ale pôsobiacimi tam. Bude financovaný inštitúciami EÚ a bude pozostávať zo spoločnej rady nezávislých orgánov (t. j. odborníkov z akademickej obce a subjektov zastupujúcich odborníkov). To by malo mať rotujúce praesidium. Navrhujeme dva druhy sankcií: pokuta úmerná obratu podnikov a obmedzeniam činnosti podnikov. </w:t>
      </w:r>
    </w:p>
    <w:p>
      <w:pPr>
        <w:pStyle w:val="Normal"/>
        <w:rPr/>
      </w:pPr>
      <w:r>
        <w:rPr/>
      </w:r>
    </w:p>
    <w:p>
      <w:pPr>
        <w:pStyle w:val="Normal"/>
        <w:rPr/>
      </w:pPr>
      <w:r>
        <w:rPr/>
        <w:t xml:space="preserve">Toto odporúčanie predkladáme, pretože neexistuje žiadna centrálna agentúra so silným mandátom, ktorá by mohla pomôcť občanom, najmä ak majú problém a potrebujú pomoc, poradenstvo alebo podporu. Neexistujú žiadne jasné a záväzné pravidlá, ktoré musia spoločnosti dodržiavať. Pokiaľ ide o sankcie, neuplatňujú sa alebo majú zanedbateľný vplyv na spoločnosti. </w:t>
      </w:r>
    </w:p>
    <w:p>
      <w:pPr>
        <w:pStyle w:val="Normal"/>
        <w:rPr/>
      </w:pPr>
      <w:r>
        <w:rPr/>
        <w:t xml:space="preserve"> </w:t>
      </w:r>
    </w:p>
    <w:p>
      <w:pPr>
        <w:pStyle w:val="P68B1DB1Normal15"/>
        <w:rPr/>
      </w:pPr>
      <w:r>
        <w:rPr/>
        <w:t xml:space="preserve">44. Odporúčame vytvoriť certifikačný systém EÚ, ktorý by transparentným spôsobom preukazoval súlad s nariadením GDPR (všeobecné nariadenie o ochrane údajov) a ktorý by zabezpečil, že informácie o ochrane údajov budú prezentované dostupným, jasným a jednoduchým spôsobom. Toto osvedčenie by bolo povinné a viditeľné na webových stránkach a platformách. Mal by ho vydávať nezávislý certifikačný orgán na európskej úrovni, existujúci alebo vytvorený na tento účel, ktorý by nebol prepojený s národnými vládami alebo súkromným sektorom. </w:t>
      </w:r>
    </w:p>
    <w:p>
      <w:pPr>
        <w:pStyle w:val="Normal"/>
        <w:rPr/>
      </w:pPr>
      <w:r>
        <w:rPr/>
        <w:t xml:space="preserve"> </w:t>
      </w:r>
    </w:p>
    <w:p>
      <w:pPr>
        <w:pStyle w:val="Normal"/>
        <w:rPr/>
      </w:pPr>
      <w:r>
        <w:rPr/>
        <w:t xml:space="preserve">Toto odporúčanie predkladáme, pretože v súčasnosti existuje len malá alebo žiadna transparentnosť, pokiaľ ide o to, ako sú údaje chránené každou spoločnosťou a používatelia/zákazníci nemôžu robiť informované rozhodnutia. </w:t>
      </w:r>
    </w:p>
    <w:p>
      <w:pPr>
        <w:pStyle w:val="Normal"/>
        <w:rPr/>
      </w:pPr>
      <w:r>
        <w:rPr/>
      </w:r>
    </w:p>
    <w:p>
      <w:pPr>
        <w:pStyle w:val="P68B1DB1Normal15"/>
        <w:rPr/>
      </w:pPr>
      <w:r>
        <w:rPr/>
        <w:t xml:space="preserve">45. Odporúčame lepšie vysvetliť GDPR (všeobecné nariadenie o ochrane údajov) a zlepšiť komunikáciu o ňom vytvorením štandardného textu o súlade, ktorý používa jednoduchý a jasný jazyk, zrozumiteľný pre všetkých. Tento text by mal obsahovať kľúčové posolstvo a/alebo základné zásady. Postup súhlasu by mal byť vizuálnejší (napr. žiadosť o výslovné povolenie prístupu na telefón prostredníctvom žiadosti). Mala by byť sprevádzaná informačnou kampaňou (vrátane televízie) a systematicky povinnými kurzami (aspoň pre tých, ktorí pracujú s údajmi) a poradenstvom o zámere tých, ktorí potrebujú pomoc. </w:t>
      </w:r>
    </w:p>
    <w:p>
      <w:pPr>
        <w:pStyle w:val="Normal"/>
        <w:rPr/>
      </w:pPr>
      <w:r>
        <w:rPr/>
        <w:t xml:space="preserve"> </w:t>
      </w:r>
    </w:p>
    <w:p>
      <w:pPr>
        <w:pStyle w:val="Normal"/>
        <w:rPr/>
      </w:pPr>
      <w:r>
        <w:rPr/>
        <w:t xml:space="preserve">Toto odporúčanie predkladáme, pretože v súčasnosti je znenie všeobecného nariadenia o ochrane údajov príliš vágne a príliš technické a množstvo informácií je ohromujúce a nie je prístupné pre všetkých. Komunikácia nie je v jednotlivých krajinách podobná a často vylučuje rôzne skupiny, najmä starších ľudí a ľudí narodených pred digitalizáciou. </w:t>
      </w:r>
    </w:p>
    <w:p>
      <w:pPr>
        <w:pStyle w:val="Normal"/>
        <w:rPr/>
      </w:pPr>
      <w:r>
        <w:rPr/>
      </w:r>
    </w:p>
    <w:p>
      <w:pPr>
        <w:pStyle w:val="Titre4"/>
        <w:numPr>
          <w:ilvl w:val="3"/>
          <w:numId w:val="2"/>
        </w:numPr>
        <w:rPr/>
      </w:pPr>
      <w:bookmarkStart w:id="126" w:name="__RefHeading___Toc297187_1346298689"/>
      <w:bookmarkEnd w:id="126"/>
      <w:r>
        <w:rPr/>
        <w:t xml:space="preserve">Podos 5.4 Digitálna transformácia a zdravie </w:t>
      </w:r>
    </w:p>
    <w:p>
      <w:pPr>
        <w:pStyle w:val="Normal"/>
        <w:rPr/>
      </w:pPr>
      <w:r>
        <w:rPr/>
        <w:t xml:space="preserve"> </w:t>
      </w:r>
    </w:p>
    <w:p>
      <w:pPr>
        <w:pStyle w:val="P68B1DB1Normal15"/>
        <w:rPr/>
      </w:pPr>
      <w:r>
        <w:rPr/>
        <w:t xml:space="preserve">46. Odporúčame, aby EÚ riešila problém „falošných informácií“ dvoma spôsobmi: </w:t>
      </w:r>
    </w:p>
    <w:p>
      <w:pPr>
        <w:pStyle w:val="P68B1DB1Normal15"/>
        <w:rPr/>
      </w:pPr>
      <w:r>
        <w:rPr/>
        <w:t xml:space="preserve">● </w:t>
      </w:r>
      <w:r>
        <w:rPr/>
        <w:t xml:space="preserve">právne predpisy umožňujúce spoločnostiam sociálnych médií implementovať algoritmy strojového učenia, ktoré môžu zvýrazniť spoľahlivosť informácií na sociálnych médiách a nových médiách a poskytnúť používateľovi overené zdroje informácií. Odporúčame, aby algoritmy kontrolovali odborníci s cieľom zabezpečiť ich riadne fungovanie; </w:t>
      </w:r>
    </w:p>
    <w:p>
      <w:pPr>
        <w:pStyle w:val="P68B1DB1Normal15"/>
        <w:rPr/>
      </w:pPr>
      <w:r>
        <w:rPr/>
        <w:t xml:space="preserve">● </w:t>
      </w:r>
      <w:r>
        <w:rPr/>
        <w:t xml:space="preserve">zriadenie digitálnej platformy na prideľovanie skóre informáciám z tradičných médií (napr. televízia, tlač, rozhlas) bez ohľadu na politické a hospodárske záujmy a ktorá informuje občanov o kvalite informácií bez uplatnenia akejkoľvek formy cenzúry. Táto platforma by mala podliehať verejnej kontrole a dodržiavať najprísnejšie normy transparentnosti a EÚ by mala zabezpečiť, aby sa finančné prostriedky, ktoré sú na ňu pridelené, použili na zamýšľaný účel. </w:t>
      </w:r>
    </w:p>
    <w:p>
      <w:pPr>
        <w:pStyle w:val="Normal"/>
        <w:rPr/>
      </w:pPr>
      <w:r>
        <w:rPr/>
        <w:t xml:space="preserve"> </w:t>
      </w:r>
    </w:p>
    <w:p>
      <w:pPr>
        <w:pStyle w:val="Normal"/>
        <w:rPr/>
      </w:pPr>
      <w:r>
        <w:rPr/>
        <w:t xml:space="preserve">Toto odporúčanie predkladáme, pretože znepokojujú rôzne typy médií a veríme, že sankcie alebo odstránenie obsahu by mohli viesť k cenzúre a podkopať slobodu prejavu a slobodu tlače. Odporúčame, aby odborníci kontrolovali a kontrolovali správne fungovanie algoritmu, aby sa uistili, že funguje správne. Nakoniec odporúčame, aby platforma bola apolitická a nezávislá s cieľom zabezpečiť transparentnosť a slobodu prejavu. Okrem toho, keďže nie je možné úplne sa zbaviť nepravdivých informácií, sprístupnenie týchto nástrojov občanom pomôže znížiť ich účinky v Európe. </w:t>
      </w:r>
    </w:p>
    <w:p>
      <w:pPr>
        <w:pStyle w:val="Normal"/>
        <w:rPr/>
      </w:pPr>
      <w:r>
        <w:rPr/>
        <w:t xml:space="preserve"> </w:t>
      </w:r>
    </w:p>
    <w:p>
      <w:pPr>
        <w:pStyle w:val="P68B1DB1Normal15"/>
        <w:rPr/>
      </w:pPr>
      <w:r>
        <w:rPr/>
        <w:t xml:space="preserve">47. Odporúčame, aby EÚ prijala rôzne opatrenia na zabezpečenie zdravého používania internetu: </w:t>
      </w:r>
    </w:p>
    <w:p>
      <w:pPr>
        <w:pStyle w:val="P68B1DB1Normal15"/>
        <w:rPr/>
      </w:pPr>
      <w:r>
        <w:rPr/>
        <w:t xml:space="preserve">● </w:t>
      </w:r>
      <w:r>
        <w:rPr/>
        <w:t xml:space="preserve">V prvom rade musí EÚ riešiť nedostatok infraštruktúry a vybavenia, ktoré občanom bránia v prístupe na internet; </w:t>
      </w:r>
    </w:p>
    <w:p>
      <w:pPr>
        <w:pStyle w:val="P68B1DB1Normal15"/>
        <w:rPr/>
      </w:pPr>
      <w:r>
        <w:rPr/>
        <w:t xml:space="preserve">● </w:t>
      </w:r>
      <w:r>
        <w:rPr/>
        <w:t xml:space="preserve">Ďalej odporúčame, aby EÚ nabádala členské štáty, aby zaviedli odbornú prípravu na internete a jej riziká pre všetky vekové skupiny. Mohlo by sa to dosiahnuť zavedením kurzov v školách pre deti a mládež a vytvorením rôznych učebných plánov a učebných plánov s cieľom osloviť dospelých a starších občanov. Obsah týchto kurzov by mala určiť na európskej úrovni skupina nezávislých odborníkov. </w:t>
      </w:r>
    </w:p>
    <w:p>
      <w:pPr>
        <w:pStyle w:val="P68B1DB1Normal15"/>
        <w:rPr/>
      </w:pPr>
      <w:r>
        <w:rPr/>
        <w:t xml:space="preserve">● </w:t>
      </w:r>
      <w:r>
        <w:rPr/>
        <w:t xml:space="preserve">Napokon vyzývame EÚ, aby prijala všetky potrebné opatrenia na zabezpečenie toho, aby digitalizácia spoločnosti nevylučovala starších ľudí, a aby zabezpečila, že základné služby budú prístupné aj osobne. </w:t>
      </w:r>
    </w:p>
    <w:p>
      <w:pPr>
        <w:pStyle w:val="Normal"/>
        <w:rPr/>
      </w:pPr>
      <w:r>
        <w:rPr/>
      </w:r>
    </w:p>
    <w:p>
      <w:pPr>
        <w:pStyle w:val="P68B1DB1Normal15"/>
        <w:rPr/>
      </w:pPr>
      <w:r>
        <w:rPr/>
        <w:t xml:space="preserve">● </w:t>
      </w:r>
      <w:r>
        <w:rPr/>
        <w:t xml:space="preserve">EÚ by mala zabezpečiť, aby sa finančné prostriedky osobitne pridelené na tieto činnosti využívali na zamýšľaný účel. </w:t>
      </w:r>
    </w:p>
    <w:p>
      <w:pPr>
        <w:pStyle w:val="Normal"/>
        <w:rPr/>
      </w:pPr>
      <w:r>
        <w:rPr/>
        <w:t xml:space="preserve"> </w:t>
      </w:r>
    </w:p>
    <w:p>
      <w:pPr>
        <w:pStyle w:val="Normal"/>
        <w:rPr/>
      </w:pPr>
      <w:r>
        <w:rPr/>
        <w:t xml:space="preserve">Toto odporúčanie predkladáme z dôvodu nedostatku infraštruktúry a vybavenia (napr. zariadení) na niektorých miestach v Európe a potreby zabezpečiť pripojenie pred vzdelávaním občanov, pretože vieme, že prístup na internet je v niektorých regiónoch a pre určité profily obmedzený. Odporúčame organizovať kurzy s cieľom pomôcť deťom získať digitálne zručnosti, poskytnúť dodatočné programy na pomoc starším ľuďom pri digitalizácii a podniknúť potrebné kroky na ubezpečenie, že digitálna transformácia neohrozuje práva starších ľudí. </w:t>
      </w:r>
    </w:p>
    <w:p>
      <w:pPr>
        <w:pStyle w:val="Normal"/>
        <w:rPr/>
      </w:pPr>
      <w:r>
        <w:rPr/>
      </w:r>
    </w:p>
    <w:p>
      <w:pPr>
        <w:pStyle w:val="P68B1DB1Normal15"/>
        <w:rPr/>
      </w:pPr>
      <w:r>
        <w:rPr/>
        <w:t xml:space="preserve">48. Odporúčame, aby EÚ podporovala vzdelávanie občanov v každom členskom štáte s cieľom posilniť kritické myslenie, skepticizmus a overovanie faktov a naučiť ich nezávisle posúdiť, či sú informácie spoľahlivé alebo nie. Toto vzdelávanie by malo zahŕňať organizovanie osobitných kurzov na úrovni základného vzdelávania a malo by sa ponúkať na iných verejných priestranstvách občanom všetkých vekových kategórií, ktorí ho chcú využívať. EÚ by mala zabezpečiť, aby sa finančné prostriedky osobitne pridelené na tieto činnosti využívali na zamýšľaný účel. </w:t>
      </w:r>
    </w:p>
    <w:p>
      <w:pPr>
        <w:pStyle w:val="Normal"/>
        <w:rPr/>
      </w:pPr>
      <w:r>
        <w:rPr/>
        <w:t xml:space="preserve"> </w:t>
      </w:r>
    </w:p>
    <w:p>
      <w:pPr>
        <w:pStyle w:val="Normal"/>
        <w:rPr/>
      </w:pPr>
      <w:r>
        <w:rPr/>
        <w:t xml:space="preserve">Robíme toto odporúčanie, pretože si myslíme, že nie je možné úplne sa zbaviť nepravdivých informácií. Táto odborná príprava pomôže občanom rozpoznať ich samých. V dôsledku toho sa znížia účinky nepravdivých informácií na spoločnosť a na samotných občanov. Občanom by to tiež ponúklo väčšie možnosti konať, a nie spoliehať sa na inštitúcie pri získavaní spoľahlivých informácií. </w:t>
      </w:r>
    </w:p>
    <w:p>
      <w:pPr>
        <w:pStyle w:val="Normal"/>
        <w:rPr/>
      </w:pPr>
      <w:r>
        <w:rPr/>
        <w:t xml:space="preserve"> </w:t>
      </w:r>
    </w:p>
    <w:p>
      <w:pPr>
        <w:pStyle w:val="Titre3"/>
        <w:numPr>
          <w:ilvl w:val="2"/>
          <w:numId w:val="2"/>
        </w:numPr>
        <w:rPr/>
      </w:pPr>
      <w:bookmarkStart w:id="127" w:name="__RefHeading___Toc297189_1346298689"/>
      <w:bookmarkEnd w:id="127"/>
      <w:r>
        <w:rPr/>
        <w:t xml:space="preserve">Príloha: ĎALŠIE ODPORÚČANIA, KTORÉ VÝBOR ZVÁŽIL A KTORÉ NEBOLI PRIJATÉ </w:t>
      </w:r>
    </w:p>
    <w:p>
      <w:pPr>
        <w:pStyle w:val="Normal"/>
        <w:rPr/>
      </w:pPr>
      <w:r>
        <w:rPr/>
        <w:t xml:space="preserve"> </w:t>
      </w:r>
    </w:p>
    <w:p>
      <w:pPr>
        <w:pStyle w:val="Titre4"/>
        <w:numPr>
          <w:ilvl w:val="3"/>
          <w:numId w:val="2"/>
        </w:numPr>
        <w:rPr/>
      </w:pPr>
      <w:bookmarkStart w:id="128" w:name="__RefHeading___Toc297191_1346298689"/>
      <w:bookmarkEnd w:id="128"/>
      <w:r>
        <w:rPr/>
        <w:t xml:space="preserve">Os 3 Spravodlivá spoločnosť </w:t>
      </w:r>
    </w:p>
    <w:p>
      <w:pPr>
        <w:pStyle w:val="Normal"/>
        <w:rPr/>
      </w:pPr>
      <w:r>
        <w:rPr/>
        <w:t xml:space="preserve"> </w:t>
      </w:r>
    </w:p>
    <w:p>
      <w:pPr>
        <w:pStyle w:val="Normal"/>
        <w:rPr/>
      </w:pPr>
      <w:r>
        <w:rPr/>
        <w:t xml:space="preserve">Podos 3.2 Rovnosť práv </w:t>
      </w:r>
    </w:p>
    <w:p>
      <w:pPr>
        <w:pStyle w:val="Normal"/>
        <w:rPr/>
      </w:pPr>
      <w:r>
        <w:rPr/>
        <w:t xml:space="preserve"> </w:t>
      </w:r>
    </w:p>
    <w:p>
      <w:pPr>
        <w:pStyle w:val="P68B1DB1Normal15"/>
        <w:rPr/>
      </w:pPr>
      <w:r>
        <w:rPr/>
        <w:t xml:space="preserve">Odporúčame, aby EÚ vytvorila mechanizmus na monitorovanie a dodržiavanie práv menšín (napr. portál alebo úrad, na ktorom by ľudia mohli podávať sťažnosti). </w:t>
      </w:r>
    </w:p>
    <w:p>
      <w:pPr>
        <w:pStyle w:val="Normal"/>
        <w:rPr/>
      </w:pPr>
      <w:r>
        <w:rPr/>
        <w:t xml:space="preserve"> </w:t>
      </w:r>
    </w:p>
    <w:p>
      <w:pPr>
        <w:pStyle w:val="Normal"/>
        <w:rPr/>
      </w:pPr>
      <w:r>
        <w:rPr/>
        <w:t xml:space="preserve">Robíme toto odporúčanie, pretože veríme, že každý jednotlivec môže vyjadriť svoj názor a má právo hľadať a prijímať pomoc. Takýto úrad je potrebný na zníženie napätia medzi menšinami a väčšinou. </w:t>
      </w:r>
    </w:p>
    <w:p>
      <w:pPr>
        <w:pStyle w:val="Normal"/>
        <w:rPr/>
      </w:pPr>
      <w:r>
        <w:rPr/>
      </w:r>
    </w:p>
    <w:p>
      <w:pPr>
        <w:pStyle w:val="Normal"/>
        <w:rPr/>
      </w:pPr>
      <w:r>
        <w:rPr/>
        <w:t xml:space="preserve">Podos 3.3 Equity/sub-os 3.4 Prístup k športu </w:t>
      </w:r>
    </w:p>
    <w:p>
      <w:pPr>
        <w:pStyle w:val="Normal"/>
        <w:rPr/>
      </w:pPr>
      <w:r>
        <w:rPr/>
        <w:t xml:space="preserve"> </w:t>
      </w:r>
    </w:p>
    <w:p>
      <w:pPr>
        <w:pStyle w:val="P68B1DB1Normal15"/>
        <w:rPr/>
      </w:pPr>
      <w:r>
        <w:rPr/>
        <w:t xml:space="preserve">Odporúčame, aby EÚ zvyšovala informovanosť o fyzickej aktivite prostredníctvom modelovania úloh s účasťou verejných činiteľov (takže podujatia organizované Parlamentom by mali na niekoľko sekúnd zahŕňať určitú formu fyzickej aktivity alebo pohybu, ako je strečovanie, chôdza alebo skákanie). </w:t>
      </w:r>
    </w:p>
    <w:p>
      <w:pPr>
        <w:pStyle w:val="Normal"/>
        <w:rPr/>
      </w:pPr>
      <w:r>
        <w:rPr/>
        <w:t xml:space="preserve"> </w:t>
      </w:r>
    </w:p>
    <w:p>
      <w:pPr>
        <w:pStyle w:val="Normal"/>
        <w:rPr/>
      </w:pPr>
      <w:r>
        <w:rPr/>
        <w:t xml:space="preserve">Toto odporúčanie predkladáme, pretože mobilizácia verejných činiteľov pre fyzickú aktivitu zvýši informovanosť verejnosti. </w:t>
      </w:r>
    </w:p>
    <w:p>
      <w:pPr>
        <w:pStyle w:val="Normal"/>
        <w:rPr/>
      </w:pPr>
      <w:r>
        <w:rPr/>
      </w:r>
    </w:p>
    <w:p>
      <w:pPr>
        <w:pStyle w:val="Titre4"/>
        <w:numPr>
          <w:ilvl w:val="3"/>
          <w:numId w:val="2"/>
        </w:numPr>
        <w:rPr/>
      </w:pPr>
      <w:bookmarkStart w:id="129" w:name="__RefHeading___Toc297193_1346298689"/>
      <w:bookmarkEnd w:id="129"/>
      <w:r>
        <w:rPr/>
        <w:t xml:space="preserve">Os 5 Etická a bezpečná digitálna transformácia </w:t>
      </w:r>
    </w:p>
    <w:p>
      <w:pPr>
        <w:pStyle w:val="Normal"/>
        <w:rPr/>
      </w:pPr>
      <w:r>
        <w:rPr/>
        <w:t xml:space="preserve"> </w:t>
      </w:r>
    </w:p>
    <w:p>
      <w:pPr>
        <w:pStyle w:val="Normal"/>
        <w:rPr/>
      </w:pPr>
      <w:r>
        <w:rPr/>
        <w:t xml:space="preserve">Podos 5.3 Ochrana údajov </w:t>
      </w:r>
    </w:p>
    <w:p>
      <w:pPr>
        <w:pStyle w:val="Normal"/>
        <w:rPr/>
      </w:pPr>
      <w:r>
        <w:rPr/>
        <w:t xml:space="preserve"> </w:t>
      </w:r>
    </w:p>
    <w:p>
      <w:pPr>
        <w:pStyle w:val="P68B1DB1Normal15"/>
        <w:rPr/>
      </w:pPr>
      <w:r>
        <w:rPr/>
        <w:t xml:space="preserve">Odporúčame vytvoriť webové ID, ktoré bude uchovávať osobné a citlivé údaje, ale sprístupní ich len orgánom a polícii. Online platformy a predajcovia budú používať online kód spojený s daným webovým identifikátorom a údaje potrebné na danú činnosť. Predvolené nastavenie zdieľania údajov s použitím tohto identifikátora by nemalo byť súhlasné. Údaje by sa mali oznamovať len priamo dotknutým stranám, a nie tretej strane. Ak sa údaje oznámia tretej strane, občan by mal mať možnosť voči nim jednoducho namietať. Údaje by mali byť k dispozícii len na obmedzený čas alebo pre konkrétnu transakciu. Povolenie na používanie údajov by malo byť časovo obmedzené alebo by malo byť jasne vymedzené, čo môžu spoločnosti s týmito údajmi robiť. </w:t>
      </w:r>
    </w:p>
    <w:p>
      <w:pPr>
        <w:pStyle w:val="Normal"/>
        <w:rPr/>
      </w:pPr>
      <w:r>
        <w:rPr/>
        <w:t xml:space="preserve"> </w:t>
      </w:r>
    </w:p>
    <w:p>
      <w:pPr>
        <w:pStyle w:val="Normal"/>
        <w:rPr/>
      </w:pPr>
      <w:r>
        <w:rPr/>
        <w:t xml:space="preserve">Toto odporúčanie predkladáme, pretože v súčasnosti môžu spoločnosti zhromažďovať všetky údaje vrátane osobných údajov a citlivých údajov a používať ich na mnohé účely bez toho, aby presne zverejnili, ako a prečo. Operátori tak získajú viac informácií, ako v skutočnosti potrebujú, aby nám poskytli služby, a potom môžu ďalej predávať alebo opätovne používať iné údaje bez nášho súhlasu. Zároveň sa tým zabezpečí zodpovednosť používateľov internetu a zároveň sa zachová ich relatívna anonymita. </w:t>
      </w:r>
      <w:r>
        <w:br w:type="page"/>
      </w:r>
    </w:p>
    <w:p>
      <w:pPr>
        <w:pStyle w:val="Titre2"/>
        <w:numPr>
          <w:ilvl w:val="1"/>
          <w:numId w:val="2"/>
        </w:numPr>
        <w:rPr/>
      </w:pPr>
      <w:bookmarkStart w:id="130" w:name="__RefHeading___Toc297195_1346298689"/>
      <w:bookmarkEnd w:id="130"/>
      <w:r>
        <w:rPr/>
        <w:t xml:space="preserve">Európska panelová diskusia občanov 2: „Európska demokracia; hodnoty a práva, právny štát, bezpečnosť </w:t>
      </w:r>
    </w:p>
    <w:p>
      <w:pPr>
        <w:pStyle w:val="Normal"/>
        <w:rPr/>
      </w:pPr>
      <w:r>
        <w:rPr/>
      </w:r>
    </w:p>
    <w:p>
      <w:pPr>
        <w:pStyle w:val="Normal"/>
        <w:rPr/>
      </w:pPr>
      <w:r>
        <w:rPr/>
        <w:t xml:space="preserve">ODPORÚČANIA PRIJATÉ SKUPINOU ODBORNÍKOV (KTORÉ SA MAJÚ PREDLOŽIŤ PLÉNU) </w:t>
      </w:r>
    </w:p>
    <w:p>
      <w:pPr>
        <w:pStyle w:val="Normal"/>
        <w:rPr/>
      </w:pPr>
      <w:r>
        <w:rPr/>
        <w:t xml:space="preserve"> </w:t>
      </w:r>
    </w:p>
    <w:p>
      <w:pPr>
        <w:pStyle w:val="Titre3"/>
        <w:numPr>
          <w:ilvl w:val="2"/>
          <w:numId w:val="2"/>
        </w:numPr>
        <w:rPr/>
      </w:pPr>
      <w:bookmarkStart w:id="131" w:name="__RefHeading___Toc297197_1346298689"/>
      <w:bookmarkEnd w:id="131"/>
      <w:r>
        <w:rPr/>
        <w:t xml:space="preserve">Os 1: Zaručenie práv a nediskriminácie </w:t>
      </w:r>
    </w:p>
    <w:p>
      <w:pPr>
        <w:pStyle w:val="Normal"/>
        <w:rPr/>
      </w:pPr>
      <w:r>
        <w:rPr/>
        <w:t xml:space="preserve"> </w:t>
      </w:r>
    </w:p>
    <w:p>
      <w:pPr>
        <w:pStyle w:val="Titre4"/>
        <w:numPr>
          <w:ilvl w:val="3"/>
          <w:numId w:val="2"/>
        </w:numPr>
        <w:rPr/>
      </w:pPr>
      <w:bookmarkStart w:id="132" w:name="__RefHeading___Toc297199_1346298689"/>
      <w:bookmarkEnd w:id="132"/>
      <w:r>
        <w:rPr/>
        <w:t xml:space="preserve">Podos 1.1 Nediskriminácia/podos 1.2 Rodová rovnosť </w:t>
      </w:r>
    </w:p>
    <w:p>
      <w:pPr>
        <w:pStyle w:val="Normal"/>
        <w:rPr/>
      </w:pPr>
      <w:r>
        <w:rPr/>
        <w:t xml:space="preserve"> </w:t>
      </w:r>
    </w:p>
    <w:p>
      <w:pPr>
        <w:pStyle w:val="P68B1DB1Normal15"/>
        <w:rPr/>
      </w:pPr>
      <w:r>
        <w:rPr/>
        <w:t xml:space="preserve">1. „Odporúčame, aby EÚ zahrnula kritériá na boj proti diskriminácii na trhu práce (kvóty pre mladých ľudí, starších ľudí, ženy, menšiny). Ak spoločnosti spĺňajú tieto kritériá, dostanú dotácie alebo daňové úľavy.“ </w:t>
      </w:r>
    </w:p>
    <w:p>
      <w:pPr>
        <w:pStyle w:val="P68B1DB1Normal15"/>
        <w:rPr/>
      </w:pPr>
      <w:r>
        <w:rPr/>
        <w:t xml:space="preserve">Odporúčame zvýšiť informovanosť zamestnancov o nasledujúcich otázkach: </w:t>
      </w:r>
    </w:p>
    <w:p>
      <w:pPr>
        <w:pStyle w:val="P68B1DB1Normal15"/>
        <w:rPr/>
      </w:pPr>
      <w:r>
        <w:rPr/>
        <w:t xml:space="preserve">● </w:t>
      </w:r>
      <w:r>
        <w:rPr/>
        <w:t xml:space="preserve">nadnárodné a vnútroštátne inštitúcie (napr. odborové zväzy); </w:t>
      </w:r>
    </w:p>
    <w:p>
      <w:pPr>
        <w:pStyle w:val="P68B1DB1Normal15"/>
        <w:rPr/>
      </w:pPr>
      <w:r>
        <w:rPr/>
        <w:t xml:space="preserve">● </w:t>
      </w:r>
      <w:r>
        <w:rPr/>
        <w:t xml:space="preserve">mechanizmy na zabezpečenie toho, aby spoločnosti dodržiavali existujúce pravidlá nediskriminácie na pracovisku; </w:t>
      </w:r>
    </w:p>
    <w:p>
      <w:pPr>
        <w:pStyle w:val="P68B1DB1Normal15"/>
        <w:rPr/>
      </w:pPr>
      <w:r>
        <w:rPr/>
        <w:t xml:space="preserve">● </w:t>
      </w:r>
      <w:r>
        <w:rPr/>
        <w:t xml:space="preserve">kvalifikačné programy pre sociálne skupiny, ktoré čelia diskriminácii na trhu práce (mladí ľudia, starší ľudia, ženy, menšiny). </w:t>
      </w:r>
    </w:p>
    <w:p>
      <w:pPr>
        <w:pStyle w:val="Normal"/>
        <w:rPr/>
      </w:pPr>
      <w:r>
        <w:rPr/>
        <w:t xml:space="preserve"> </w:t>
      </w:r>
    </w:p>
    <w:p>
      <w:pPr>
        <w:pStyle w:val="P68B1DB1Normal15"/>
        <w:rPr/>
      </w:pPr>
      <w:r>
        <w:rPr/>
        <w:t xml:space="preserve">Odporúčame prijať právne predpisy EÚ v dvoch etapách. Po prvé, mali by sa poskytnúť dotácie na prijímanie zamestnancov z určitých kategórií, ktoré by mohli byť diskriminované. Po druhé, v legislatívnom akte by sa od zamestnávateľov malo vyžadovať, aby tieto skupiny zamestnávali počas minimálneho časového obdobia. </w:t>
      </w:r>
    </w:p>
    <w:p>
      <w:pPr>
        <w:pStyle w:val="Normal"/>
        <w:rPr/>
      </w:pPr>
      <w:r>
        <w:rPr/>
        <w:t xml:space="preserve"> </w:t>
      </w:r>
    </w:p>
    <w:p>
      <w:pPr>
        <w:pStyle w:val="Normal"/>
        <w:rPr/>
      </w:pPr>
      <w:r>
        <w:rPr/>
        <w:t xml:space="preserve">EÚ je v skutočnosti zodpovedná za zachovanie rovnováhy medzi záujmami voľného trhu a ochranou zraniteľných skupín, ktoré musia byť zákonne chránené. Heterogénne skupiny sú pre spoločnosti žiadúce, pretože ponúkajú rôznorodé kvalifikácie. Dotácie sú dodatočným stimulom, ktorý sa poskytuje spoločnostiam. </w:t>
      </w:r>
    </w:p>
    <w:p>
      <w:pPr>
        <w:pStyle w:val="Normal"/>
        <w:rPr/>
      </w:pPr>
      <w:r>
        <w:rPr/>
        <w:t xml:space="preserve"> </w:t>
      </w:r>
    </w:p>
    <w:p>
      <w:pPr>
        <w:pStyle w:val="P68B1DB1Normal15"/>
        <w:rPr/>
      </w:pPr>
      <w:r>
        <w:rPr/>
        <w:t xml:space="preserve">2. „Odporúčame, aby EÚ vytvorila stimulačný program, ktorý uľahčí vytváranie cenovo dostupných materských škôl a detských ihrísk vo veľkých a malých podnikoch. Spoločné zariadenia sú tiež životaschopným riešením pre malé podniky, aby mohli využívať dotáciu. </w:t>
      </w:r>
    </w:p>
    <w:p>
      <w:pPr>
        <w:pStyle w:val="P68B1DB1Normal15"/>
        <w:rPr/>
      </w:pPr>
      <w:r>
        <w:rPr/>
        <w:t xml:space="preserve">Odporúčame, aby EÚ uložila spoločnostiam povinnosť zriaďovať materské školy v pomere k počtu zamestnancov. </w:t>
      </w:r>
    </w:p>
    <w:p>
      <w:pPr>
        <w:pStyle w:val="Normal"/>
        <w:rPr/>
      </w:pPr>
      <w:r>
        <w:rPr/>
        <w:t xml:space="preserve"> </w:t>
      </w:r>
    </w:p>
    <w:p>
      <w:pPr>
        <w:pStyle w:val="Normal"/>
        <w:rPr/>
      </w:pPr>
      <w:r>
        <w:rPr/>
        <w:t xml:space="preserve">Odporúčame to, pretože zosúladenie rodinného a pracovného života zlepšuje pracovný výkon, znižuje nezamestnanosť a umiestňuje rodičov, najmä ženy, do pozície, ktorá im umožňuje pokračovať v kariére. Navrhované riešenie so zameraním na sociálny rozmer zabezpečuje bezpečnosť detí a znižuje úzkosť rodičov. </w:t>
      </w:r>
    </w:p>
    <w:p>
      <w:pPr>
        <w:pStyle w:val="Normal"/>
        <w:rPr/>
      </w:pPr>
      <w:r>
        <w:rPr/>
      </w:r>
    </w:p>
    <w:p>
      <w:pPr>
        <w:pStyle w:val="Titre4"/>
        <w:numPr>
          <w:ilvl w:val="3"/>
          <w:numId w:val="2"/>
        </w:numPr>
        <w:rPr/>
      </w:pPr>
      <w:bookmarkStart w:id="133" w:name="__RefHeading___Toc297201_1346298689"/>
      <w:bookmarkEnd w:id="133"/>
      <w:r>
        <w:rPr/>
        <w:t xml:space="preserve">Podosí 1.3: Ochrana ľudských práv a práv prírody a zvierat </w:t>
      </w:r>
    </w:p>
    <w:p>
      <w:pPr>
        <w:pStyle w:val="Normal"/>
        <w:rPr/>
      </w:pPr>
      <w:r>
        <w:rPr/>
        <w:t xml:space="preserve"> </w:t>
      </w:r>
    </w:p>
    <w:p>
      <w:pPr>
        <w:pStyle w:val="P68B1DB1Normal15"/>
        <w:rPr/>
      </w:pPr>
      <w:r>
        <w:rPr/>
        <w:t xml:space="preserve">3. „Odporúčame zachovať dobré životné podmienky a udržateľnosť zvierat zmenou a doplnením smernice 98/58/ES o ochrane zvierat na farmách. Je potrebné vymedziť podrobnejšie minimálne kritériá. Musia byť presné, merateľné a časovo obmedzené. Minimálne kritériá sa musia stanoviť tak, aby viedli k vyšším normám v oblasti dobrých životných podmienok zvierat a zároveň umožnili prechod na udržateľnú klímu a životné prostredie a ekologické poľnohospodárstvo. </w:t>
      </w:r>
    </w:p>
    <w:p>
      <w:pPr>
        <w:pStyle w:val="Normal"/>
        <w:rPr/>
      </w:pPr>
      <w:r>
        <w:rPr/>
        <w:t xml:space="preserve"> </w:t>
      </w:r>
    </w:p>
    <w:p>
      <w:pPr>
        <w:pStyle w:val="Normal"/>
        <w:rPr/>
      </w:pPr>
      <w:r>
        <w:rPr/>
        <w:t xml:space="preserve">Ako občania sa domnievame, že je dôležité, aby sa v EÚ harmonizovali prísnejšie minimálne normy pre chov hospodárskych zvierat. Uvedomujeme si, že prechod by mohol spôsobiť problémy v niektorých poľnohospodárskych odvetviach, ktoré dostávajú dotácie, a pre tie, ktoré prechádzajú na ekologické a udržateľné poľnohospodárstvo. Domnievame sa však, že je veľmi dôležité zabezpečiť, aby sa tento prechod uskutočnil. </w:t>
      </w:r>
    </w:p>
    <w:p>
      <w:pPr>
        <w:pStyle w:val="Normal"/>
        <w:rPr/>
      </w:pPr>
      <w:r>
        <w:rPr/>
        <w:t xml:space="preserve"> </w:t>
      </w:r>
    </w:p>
    <w:p>
      <w:pPr>
        <w:pStyle w:val="P68B1DB1Normal15"/>
        <w:rPr/>
      </w:pPr>
      <w:r>
        <w:rPr/>
        <w:t xml:space="preserve">4. Odporúčame podporovať poľnohospodárstvo šetrnejšie k životnému prostrediu a klíme v Európe a na celom svete, napríklad zdaňovaním všetkých negatívnych emisií, pesticídov a extrémneho využívania vody v závislosti od ich vplyvu na životné prostredie. Clo na všetky poľnohospodárske výrobky dovážané do Únie musí odstrániť konkurenčné výhody tretích krajín, ktoré nespĺňajú rovnaké normy ako Únia. Na podporu poľnohospodárstva šetrného k zvieratám odporúčame zdaňovať emisie spôsobené prepravou zvierat na veľké vzdialenosti. </w:t>
      </w:r>
    </w:p>
    <w:p>
      <w:pPr>
        <w:pStyle w:val="Normal"/>
        <w:rPr/>
      </w:pPr>
      <w:r>
        <w:rPr/>
        <w:t xml:space="preserve"> </w:t>
      </w:r>
    </w:p>
    <w:p>
      <w:pPr>
        <w:pStyle w:val="Normal"/>
        <w:rPr/>
      </w:pPr>
      <w:r>
        <w:rPr/>
        <w:t xml:space="preserve">Vytvorením takéhoto systému sa domnievame, že je možné podporiť prechod na poľnohospodárstvo šetrné ku klíme a šetrné k životnému prostrediu. </w:t>
      </w:r>
    </w:p>
    <w:p>
      <w:pPr>
        <w:pStyle w:val="Normal"/>
        <w:rPr/>
      </w:pPr>
      <w:r>
        <w:rPr/>
        <w:t xml:space="preserve"> </w:t>
      </w:r>
    </w:p>
    <w:p>
      <w:pPr>
        <w:pStyle w:val="P68B1DB1Normal15"/>
        <w:rPr/>
      </w:pPr>
      <w:r>
        <w:rPr/>
        <w:t xml:space="preserve">5. Zatiaľ čo veľa falošných správ v poslednej dobe cirkuluje, odporúčame podporovať nezávislejšie, objektívnejšie a vyváženejšie mediálne pokrytie vykonaním nasledujúcich krokov: 1. vypracovať smernicu EÚ, ktorou sa stanovujú minimálne normy pre nezávislosť médií; 2. podporovať na úrovni Únie rozvoj mediálnych zručností pre každého občana.“ </w:t>
      </w:r>
    </w:p>
    <w:p>
      <w:pPr>
        <w:pStyle w:val="Normal"/>
        <w:rPr/>
      </w:pPr>
      <w:r>
        <w:rPr/>
        <w:t xml:space="preserve"> </w:t>
      </w:r>
    </w:p>
    <w:p>
      <w:pPr>
        <w:pStyle w:val="Normal"/>
        <w:rPr/>
      </w:pPr>
      <w:r>
        <w:rPr/>
        <w:t xml:space="preserve">EÚ musí vypracovať smernicu s cieľom zaručiť nezávislosť médií a slobodu prejavu. </w:t>
      </w:r>
    </w:p>
    <w:p>
      <w:pPr>
        <w:pStyle w:val="Normal"/>
        <w:rPr/>
      </w:pPr>
      <w:r>
        <w:rPr/>
        <w:t xml:space="preserve"> </w:t>
      </w:r>
    </w:p>
    <w:p>
      <w:pPr>
        <w:pStyle w:val="Normal"/>
        <w:rPr/>
      </w:pPr>
      <w:r>
        <w:rPr>
          <w:b/>
        </w:rPr>
        <w:t>6. Odporúčame, aby sme prestali dotovať masovú poľnohospodársku výrobu, ak to nepovedie k prechodu na klimatické, ekologické a udržateľné poľnohospodárstvo. Namiesto toho odporúčame presmerovať granty na podporu udržateľnej transformácie.</w:t>
      </w:r>
      <w:r>
        <w:rPr/>
        <w:t xml:space="preserve"> </w:t>
      </w:r>
    </w:p>
    <w:p>
      <w:pPr>
        <w:pStyle w:val="Normal"/>
        <w:rPr/>
      </w:pPr>
      <w:r>
        <w:rPr/>
        <w:t xml:space="preserve"> </w:t>
      </w:r>
    </w:p>
    <w:p>
      <w:pPr>
        <w:pStyle w:val="Normal"/>
        <w:rPr/>
      </w:pPr>
      <w:r>
        <w:rPr/>
        <w:t xml:space="preserve">Namiesto dotovania poľnohospodárskeho sektora hromadného chovu by sa dotácie mali presmerovať na poľnohospodárske podniky, ktoré prechádzajú tak, aby spĺňali nové minimálne normy v oblasti dobrých životných podmienok zvierat. </w:t>
      </w:r>
    </w:p>
    <w:p>
      <w:pPr>
        <w:pStyle w:val="Normal"/>
        <w:rPr/>
      </w:pPr>
      <w:r>
        <w:rPr/>
        <w:t xml:space="preserve"> </w:t>
      </w:r>
    </w:p>
    <w:p>
      <w:pPr>
        <w:pStyle w:val="Titre4"/>
        <w:numPr>
          <w:ilvl w:val="3"/>
          <w:numId w:val="2"/>
        </w:numPr>
        <w:rPr/>
      </w:pPr>
      <w:bookmarkStart w:id="134" w:name="__RefHeading___Toc297203_1346298689"/>
      <w:bookmarkEnd w:id="134"/>
      <w:r>
        <w:rPr/>
        <w:t xml:space="preserve">Podosí 1.4 Právo na súkromie </w:t>
      </w:r>
    </w:p>
    <w:p>
      <w:pPr>
        <w:pStyle w:val="Normal"/>
        <w:rPr/>
      </w:pPr>
      <w:r>
        <w:rPr/>
        <w:t xml:space="preserve"> </w:t>
      </w:r>
    </w:p>
    <w:p>
      <w:pPr>
        <w:pStyle w:val="P68B1DB1Normal15"/>
        <w:rPr/>
      </w:pPr>
      <w:r>
        <w:rPr/>
        <w:t xml:space="preserve">7. „Odporúčame, aby subjekty, ktoré spracúvajú osobné údaje, boli oprávnené na úrovni EÚ. Tieto subjekty budú musieť podliehať aj nezávislému, externému ročnému auditu ochrany údajov. Tieto subjekty budú sankcionované za porušenia ochrany údajov v pomere k ich ročnému obratu, a to prísnejším spôsobom ako podľa súčasného nariadenia. Schválenie by sa malo odňať po dvoch po sebe nasledujúcich porušeniach a bezprostredne po závažnom porušení. </w:t>
      </w:r>
    </w:p>
    <w:p>
      <w:pPr>
        <w:pStyle w:val="Normal"/>
        <w:rPr/>
      </w:pPr>
      <w:r>
        <w:rPr/>
        <w:t xml:space="preserve"> </w:t>
      </w:r>
    </w:p>
    <w:p>
      <w:pPr>
        <w:pStyle w:val="Normal"/>
        <w:rPr/>
      </w:pPr>
      <w:r>
        <w:rPr/>
        <w:t xml:space="preserve">Odporúčame takéto opatrenia, pretože súčasná regulácia (GDPR) nie je dostatočná a subjekty musia byť lepšie kontrolované a sankcionované, aby sa zabezpečilo, že neporušujú ochranu údajov a právo na súkromie. </w:t>
      </w:r>
    </w:p>
    <w:p>
      <w:pPr>
        <w:pStyle w:val="Normal"/>
        <w:rPr/>
      </w:pPr>
      <w:r>
        <w:rPr/>
        <w:t xml:space="preserve"> </w:t>
      </w:r>
    </w:p>
    <w:p>
      <w:pPr>
        <w:pStyle w:val="P68B1DB1Normal15"/>
        <w:rPr/>
      </w:pPr>
      <w:r>
        <w:rPr/>
        <w:t xml:space="preserve">8. „Odporúčame posilniť právomoci Únie v týchto oblastiach: 1) vzdelávanie o ochrane údajov, 2) informovanosť o ochrane údajov a 3) ochrana osobných údajov maloletých osôb. Odporúčame objasniť a sprísniť pravidlá týkajúce sa spracúvania údajov maloletých v GDPR vrátane pravidiel týkajúcich sa súhlasu, overovania veku a kontroly zákonnými opatrovníkmi. Odporúčame tiež zaviesť do všeobecného nariadenia o ochrane údajov osobitnú kategóriu citlivých údajov maloletých osôb (napr. register trestov, zdravotné informácie, nahota), aby boli maloleté osoby chránené pred akoukoľvek formou zneužívania a diskriminácie. </w:t>
      </w:r>
    </w:p>
    <w:p>
      <w:pPr>
        <w:pStyle w:val="Normal"/>
        <w:rPr/>
      </w:pPr>
      <w:r>
        <w:rPr/>
        <w:t xml:space="preserve"> </w:t>
      </w:r>
    </w:p>
    <w:p>
      <w:pPr>
        <w:pStyle w:val="Normal"/>
        <w:rPr/>
      </w:pPr>
      <w:r>
        <w:rPr/>
        <w:t xml:space="preserve">Toto odporúčanie je potrebné, pretože maloleté osoby sú obzvlášť zraniteľné voči ochrane údajov a porušovaniu súkromia a pretože v súčasnosti si všeobecná populácia (najmä maloleté osoby, učitelia a zákonní opatrovníci) nie je dostatočne vedomá ochrany údajov. Všetci sa musia naučiť používať online a offline dátové služby a chrániť práva detí na súkromie. Zákonní opatrovníci môžu navyše často súhlasiť so spracovaním údajov o deťoch bez toho, aby boli plne informovaní alebo informovaní a deti môžu sfalšovať súhlas rodičov. A napokon, toto odporúčanie je potrebné, pretože neexistuje žiadna skutočná celoeurópska informačná kampaň o ochrane údajov, ktorá by sa zameriavala najmä na maloletých, zákonných zástupcov a učiteľov, pričom takáto kampaň je nevyhnutná. </w:t>
      </w:r>
    </w:p>
    <w:p>
      <w:pPr>
        <w:pStyle w:val="Normal"/>
        <w:rPr/>
      </w:pPr>
      <w:r>
        <w:rPr/>
      </w:r>
    </w:p>
    <w:p>
      <w:pPr>
        <w:pStyle w:val="P68B1DB1Normal15"/>
        <w:rPr/>
      </w:pPr>
      <w:r>
        <w:rPr/>
        <w:t xml:space="preserve">9. Odporúčame zaviesť štandardizované zásady ochrany osobných údajov a ľahko zrozumiteľné, stručné a intuitívne formuláre súhlasu, ktoré jasne uvádzajú, aké spracovanie údajov je nevyhnutne potrebné a čo je nepovinné. Odporúčame, aby odvolanie súhlasu bolo jednoduché, rýchle a trvalé. Odporúčame zakázať subjektom, aby obmedzili svoje služby viac, ako je potrebné, ak nebol udelený súhlas s voliteľným spracovaním údajov. </w:t>
      </w:r>
    </w:p>
    <w:p>
      <w:pPr>
        <w:pStyle w:val="Normal"/>
        <w:rPr/>
      </w:pPr>
      <w:r>
        <w:rPr/>
        <w:t xml:space="preserve"> </w:t>
      </w:r>
    </w:p>
    <w:p>
      <w:pPr>
        <w:pStyle w:val="Normal"/>
        <w:rPr/>
      </w:pPr>
      <w:r>
        <w:rPr/>
        <w:t xml:space="preserve">Odporúčame to, pretože súčasné pravidlá EÚ nie sú dostatočne presné, odvolanie súhlasu je dlhé, dočasné a zložité a subjekty nemajú záujem ponúkať svoje služby občanom, ktorí sa dovolávajú svojho práva na ochranu údajov. </w:t>
      </w:r>
    </w:p>
    <w:p>
      <w:pPr>
        <w:pStyle w:val="Normal"/>
        <w:rPr/>
      </w:pPr>
      <w:r>
        <w:rPr/>
        <w:t xml:space="preserve"> </w:t>
      </w:r>
    </w:p>
    <w:p>
      <w:pPr>
        <w:pStyle w:val="Titre3"/>
        <w:numPr>
          <w:ilvl w:val="2"/>
          <w:numId w:val="2"/>
        </w:numPr>
        <w:rPr/>
      </w:pPr>
      <w:bookmarkStart w:id="135" w:name="__RefHeading___Toc297205_1346298689"/>
      <w:bookmarkEnd w:id="135"/>
      <w:r>
        <w:rPr/>
        <w:t xml:space="preserve">Os 2: Ochrana demokracie a právneho štátu </w:t>
      </w:r>
    </w:p>
    <w:p>
      <w:pPr>
        <w:pStyle w:val="Normal"/>
        <w:rPr/>
      </w:pPr>
      <w:r>
        <w:rPr/>
        <w:t xml:space="preserve"> </w:t>
      </w:r>
    </w:p>
    <w:p>
      <w:pPr>
        <w:pStyle w:val="Titre4"/>
        <w:numPr>
          <w:ilvl w:val="3"/>
          <w:numId w:val="2"/>
        </w:numPr>
        <w:rPr/>
      </w:pPr>
      <w:bookmarkStart w:id="136" w:name="__RefHeading___Toc297207_1346298689"/>
      <w:bookmarkEnd w:id="136"/>
      <w:r>
        <w:rPr/>
        <w:t xml:space="preserve">Podos 2.1 Ochrana právneho štátu </w:t>
      </w:r>
    </w:p>
    <w:p>
      <w:pPr>
        <w:pStyle w:val="Normal"/>
        <w:rPr/>
      </w:pPr>
      <w:r>
        <w:rPr/>
        <w:t xml:space="preserve"> </w:t>
      </w:r>
    </w:p>
    <w:p>
      <w:pPr>
        <w:pStyle w:val="P68B1DB1Normal15"/>
        <w:rPr/>
      </w:pPr>
      <w:r>
        <w:rPr/>
        <w:t xml:space="preserve">10. „Odporúčame, aby sa nariadenie o krížovom plnení (2020/2092, prijaté 16. decembra 2020) zmenilo tak, aby sa vzťahovalo na všetky porušenia zásad právneho štátu, a nie na porušenia, ktoré majú vplyv na rozpočet EÚ.“ </w:t>
      </w:r>
    </w:p>
    <w:p>
      <w:pPr>
        <w:pStyle w:val="Normal"/>
        <w:rPr/>
      </w:pPr>
      <w:r>
        <w:rPr/>
        <w:t xml:space="preserve"> </w:t>
      </w:r>
    </w:p>
    <w:p>
      <w:pPr>
        <w:pStyle w:val="Normal"/>
        <w:rPr/>
      </w:pPr>
      <w:r>
        <w:rPr/>
        <w:t xml:space="preserve">Nariadenie o krížovom plnení umožňuje pozastavenie vyplácania finančných prostriedkov EÚ členským štátom, ktoré porušujú zásady právneho štátu. Vo svojom súčasnom znení sa však uplatňuje len na porušenia, ktoré majú alebo pravdepodobne budú mať vplyv na rozpočet EÚ. Okrem toho súčasné znenie nariadenia o krížovom plnení chráni rozpočet EÚ a inštitúcie EÚ, a nie občanov dotknutých členských štátov. Preto odporúčame zmeniť a doplniť súčasné znenie nariadenia tak, aby sa vzťahovalo na všetky porušenia zásad právneho štátu. </w:t>
      </w:r>
    </w:p>
    <w:p>
      <w:pPr>
        <w:pStyle w:val="Normal"/>
        <w:rPr/>
      </w:pPr>
      <w:r>
        <w:rPr/>
        <w:t xml:space="preserve"> </w:t>
      </w:r>
    </w:p>
    <w:p>
      <w:pPr>
        <w:pStyle w:val="P68B1DB1Normal15"/>
        <w:rPr/>
      </w:pPr>
      <w:r>
        <w:rPr/>
        <w:t xml:space="preserve">11. „Odporúčame, aby EÚ zorganizovala výročné konferencie o právnom štáte po uverejnení výročnej správy o právnom štáte (mechanizmu Komisie na monitorovanie dodržiavania zásad právneho štátu členskými štátmi). Členské štáty by mali byť povinné vyslať na konferenciu rôzne sociálne národné delegácie vrátane občanov aj štátnych zamestnancov.“ </w:t>
      </w:r>
    </w:p>
    <w:p>
      <w:pPr>
        <w:pStyle w:val="Normal"/>
        <w:rPr/>
      </w:pPr>
      <w:r>
        <w:rPr/>
        <w:t xml:space="preserve"> </w:t>
      </w:r>
    </w:p>
    <w:p>
      <w:pPr>
        <w:pStyle w:val="Normal"/>
        <w:rPr/>
      </w:pPr>
      <w:r>
        <w:rPr/>
        <w:t xml:space="preserve">Táto konferencia by podporila dialóg medzi občanmi EÚ o otázkach právneho štátu, ako aj dialóg medzi občanmi a odborníkmi, ktorí vypracúvajú výročné správy o právnom štáte. Veríme, že v atmosfére vzájomného uznania a zdieľania budú môcť účastníci priniesť osvedčené postupy a nápady späť do svojich domovských krajín. Konferencia by okrem toho zvýšila informovanosť a chápanie zásady právneho štátu a záverov a procesu, z ktorých vychádza výročná správa o právnom štáte. Zároveň by to pritiahlo pozornosť médií a umožnilo by občanom podeliť sa o svoje skúsenosti a porovnať ich so zisteniami správy. </w:t>
      </w:r>
    </w:p>
    <w:p>
      <w:pPr>
        <w:pStyle w:val="Normal"/>
        <w:rPr/>
      </w:pPr>
      <w:r>
        <w:rPr/>
      </w:r>
    </w:p>
    <w:p>
      <w:pPr>
        <w:pStyle w:val="Titre4"/>
        <w:numPr>
          <w:ilvl w:val="3"/>
          <w:numId w:val="2"/>
        </w:numPr>
        <w:rPr/>
      </w:pPr>
      <w:bookmarkStart w:id="137" w:name="__RefHeading___Toc297209_1346298689"/>
      <w:bookmarkEnd w:id="137"/>
      <w:r>
        <w:rPr/>
        <w:t xml:space="preserve">Podos 2.2 Ochrana a posilnenie demokracie/podosí 2.4 Médiá a dezinformácie </w:t>
      </w:r>
    </w:p>
    <w:p>
      <w:pPr>
        <w:pStyle w:val="Normal"/>
        <w:rPr/>
      </w:pPr>
      <w:r>
        <w:rPr/>
        <w:t xml:space="preserve"> </w:t>
      </w:r>
    </w:p>
    <w:p>
      <w:pPr>
        <w:pStyle w:val="P68B1DB1Normal15"/>
        <w:rPr/>
      </w:pPr>
      <w:r>
        <w:rPr/>
        <w:t xml:space="preserve">12. „Odporúčame, aby EÚ prísnejšie uplatňovala svoje pravidlá hospodárskej súťaže v mediálnom sektore s cieľom zabezpečiť ochranu plurality médií vo všetkých členských štátoch. EÚ by mala zabrániť veľkým mediálnym monopolom a politickým menovaniam v mediálnych radách. Odporúčame tiež, aby budúce právne predpisy EÚ o slobode médií obsahovali pravidlá, ktoré zabránia politikom vlastniť alebo mať silný vplyv na ich obsah. </w:t>
      </w:r>
    </w:p>
    <w:p>
      <w:pPr>
        <w:pStyle w:val="Normal"/>
        <w:rPr/>
      </w:pPr>
      <w:r>
        <w:rPr/>
        <w:t xml:space="preserve"> </w:t>
      </w:r>
    </w:p>
    <w:p>
      <w:pPr>
        <w:pStyle w:val="Normal"/>
        <w:rPr/>
      </w:pPr>
      <w:r>
        <w:rPr/>
        <w:t xml:space="preserve">Odporúčame to, pretože uplatňovanie pravidiel hospodárskej súťaže EÚ podporuje pluralitné mediálne prostredie, v ktorom majú občania na výber. Keďže Komisia v súčasnosti pripravuje legislatívny akt (o slobode médií) pre integritu mediálneho trhu EÚ, malo by sa tiež stanoviť, že médiá by nemali byť držané ani ovplyvňované politikmi. </w:t>
      </w:r>
    </w:p>
    <w:p>
      <w:pPr>
        <w:pStyle w:val="Normal"/>
        <w:rPr/>
      </w:pPr>
      <w:r>
        <w:rPr/>
        <w:t xml:space="preserve"> </w:t>
      </w:r>
    </w:p>
    <w:p>
      <w:pPr>
        <w:pStyle w:val="Titre4"/>
        <w:numPr>
          <w:ilvl w:val="3"/>
          <w:numId w:val="2"/>
        </w:numPr>
        <w:rPr/>
      </w:pPr>
      <w:bookmarkStart w:id="138" w:name="__RefHeading___Toc297211_1346298689"/>
      <w:bookmarkEnd w:id="138"/>
      <w:r>
        <w:rPr/>
        <w:t xml:space="preserve">Podosí 2.3 Bezpečnosť </w:t>
      </w:r>
    </w:p>
    <w:p>
      <w:pPr>
        <w:pStyle w:val="Normal"/>
        <w:rPr/>
      </w:pPr>
      <w:r>
        <w:rPr/>
        <w:t xml:space="preserve"> </w:t>
      </w:r>
    </w:p>
    <w:p>
      <w:pPr>
        <w:pStyle w:val="P68B1DB1Normal15"/>
        <w:rPr/>
      </w:pPr>
      <w:r>
        <w:rPr/>
        <w:t xml:space="preserve">13. „Odporúčame, aby inštitúcie EÚ zohrávali dôležitejšiu úlohu so všetkými nástrojmi, ktoré majú k dispozícii, vrátane národných centier kybernetickej bezpečnosti a Agentúry Európskej únie pre kybernetickú bezpečnosť (ENISA) s cieľom chrániť občanov, organizácie a inštitúcie pred novými hrozbami vyplývajúcimi z narušenia kybernetickej bezpečnosti a využívania umelej inteligencie na trestné účely. Takisto odporúčame, aby sa smernice z Európy a jej agentúr riadne vykonávali a šírili vo všetkých členských štátoch.“ </w:t>
      </w:r>
    </w:p>
    <w:p>
      <w:pPr>
        <w:pStyle w:val="Normal"/>
        <w:rPr/>
      </w:pPr>
      <w:r>
        <w:rPr/>
        <w:t xml:space="preserve"> </w:t>
      </w:r>
    </w:p>
    <w:p>
      <w:pPr>
        <w:pStyle w:val="Normal"/>
        <w:rPr/>
      </w:pPr>
      <w:r>
        <w:rPr/>
        <w:t xml:space="preserve">Odporúčame to preto, lebo občania sa cítia bezmocní a nevedia, čo Európska únia robí v boji proti týmto hrozbám. Odporúčame to, pretože tieto hrozby predstavujú vážny národný a európsky bezpečnostný problém. Odporúčame to, pretože Európa by mala byť skutočnou hnacou silou inovácií v tejto oblasti. </w:t>
      </w:r>
    </w:p>
    <w:p>
      <w:pPr>
        <w:pStyle w:val="Normal"/>
        <w:rPr/>
      </w:pPr>
      <w:r>
        <w:rPr/>
        <w:t xml:space="preserve"> </w:t>
      </w:r>
    </w:p>
    <w:p>
      <w:pPr>
        <w:pStyle w:val="P68B1DB1Normal15"/>
        <w:rPr/>
      </w:pPr>
      <w:r>
        <w:rPr/>
        <w:t xml:space="preserve">14. „Odporúčame, aby Únia vo svojich vzťahoch s vonkajšími krajinami najprv posilnila spoločné demokratické hodnoty na svojich hraniciach. Až po dosiahnutí tohto cieľa odporúčame, aby sa Únia stala veľvyslancom nášho demokratického modelu v krajinách, ktoré sú ochotné uplatňovať tento model a sú ochotné tak urobiť prostredníctvom diplomacie a dialógu. </w:t>
      </w:r>
    </w:p>
    <w:p>
      <w:pPr>
        <w:pStyle w:val="Normal"/>
        <w:rPr/>
      </w:pPr>
      <w:r>
        <w:rPr/>
        <w:t xml:space="preserve"> </w:t>
      </w:r>
    </w:p>
    <w:p>
      <w:pPr>
        <w:pStyle w:val="Normal"/>
        <w:rPr/>
      </w:pPr>
      <w:r>
        <w:rPr/>
        <w:t xml:space="preserve">Odporúčame toto opatrenie, pretože sa musíme pozrieť dovnútra, než sa pozeráme von. Pretože Európa môže a musí pomôcť členským štátom posilniť ich demokracie. Pretože sa chránime aj tým, že ideme príkladom a podporujeme úsilie vonkajších krajín o demokraciu. </w:t>
      </w:r>
    </w:p>
    <w:p>
      <w:pPr>
        <w:pStyle w:val="Normal"/>
        <w:rPr/>
      </w:pPr>
      <w:r>
        <w:rPr/>
        <w:t xml:space="preserve"> </w:t>
      </w:r>
    </w:p>
    <w:p>
      <w:pPr>
        <w:pStyle w:val="Titre3"/>
        <w:numPr>
          <w:ilvl w:val="2"/>
          <w:numId w:val="2"/>
        </w:numPr>
        <w:rPr/>
      </w:pPr>
      <w:bookmarkStart w:id="139" w:name="__RefHeading___Toc297213_1346298689"/>
      <w:bookmarkEnd w:id="139"/>
      <w:r>
        <w:rPr/>
        <w:t xml:space="preserve">Os 3: Reforma Európskej únie </w:t>
      </w:r>
    </w:p>
    <w:p>
      <w:pPr>
        <w:pStyle w:val="Normal"/>
        <w:rPr/>
      </w:pPr>
      <w:r>
        <w:rPr/>
        <w:t xml:space="preserve"> </w:t>
      </w:r>
    </w:p>
    <w:p>
      <w:pPr>
        <w:pStyle w:val="Titre4"/>
        <w:numPr>
          <w:ilvl w:val="3"/>
          <w:numId w:val="2"/>
        </w:numPr>
        <w:rPr/>
      </w:pPr>
      <w:bookmarkStart w:id="140" w:name="__RefHeading___Toc297215_1346298689"/>
      <w:bookmarkEnd w:id="140"/>
      <w:r>
        <w:rPr/>
        <w:t>Podos 3.1 Inštitucionálna reforma</w:t>
      </w:r>
    </w:p>
    <w:p>
      <w:pPr>
        <w:pStyle w:val="Normal"/>
        <w:rPr/>
      </w:pPr>
      <w:r>
        <w:rPr/>
        <w:t xml:space="preserve"> </w:t>
      </w:r>
    </w:p>
    <w:p>
      <w:pPr>
        <w:pStyle w:val="Normal"/>
        <w:rPr/>
      </w:pPr>
      <w:r>
        <w:rPr>
          <w:b/>
        </w:rPr>
        <w:t>15. „Odporúčame zmeniť názvy inštitúcií EÚ s cieľom objasniť ich funkcie. Rada Európskej únie by sa napríklad mohla nazývať Senát Európskej únie. Európska komisia by sa mohla nazývať Výkonnou komisiou Európskej únie</w:t>
      </w:r>
      <w:r>
        <w:rPr/>
        <w:t xml:space="preserve">. </w:t>
      </w:r>
    </w:p>
    <w:p>
      <w:pPr>
        <w:pStyle w:val="Normal"/>
        <w:rPr/>
      </w:pPr>
      <w:r>
        <w:rPr/>
        <w:t xml:space="preserve"> </w:t>
      </w:r>
    </w:p>
    <w:p>
      <w:pPr>
        <w:pStyle w:val="Normal"/>
        <w:rPr/>
      </w:pPr>
      <w:r>
        <w:rPr/>
        <w:t xml:space="preserve">Odporúčame to, pretože pre občanov je v súčasnosti ťažké pochopiť úlohy a funkcie každej inštitúcie EÚ. Ich mená neodrážajú ich funkcie. Od občanov nemožno očakávať, že rozlišujú medzi Radou Európskej únie, Európskou radou a Radou Európy. Je dôležité vyhnúť sa prekrývaniu. </w:t>
      </w:r>
    </w:p>
    <w:p>
      <w:pPr>
        <w:pStyle w:val="Normal"/>
        <w:rPr/>
      </w:pPr>
      <w:r>
        <w:rPr/>
        <w:t xml:space="preserve"> </w:t>
      </w:r>
    </w:p>
    <w:p>
      <w:pPr>
        <w:pStyle w:val="P68B1DB1Normal15"/>
        <w:rPr/>
      </w:pPr>
      <w:r>
        <w:rPr/>
        <w:t xml:space="preserve">16. Odporúčame prijať volebný zákon pre Európsky parlament, ktorý harmonizuje volebné podmienky (vek volebného práva, dátum volieb, požiadavky týkajúce sa volebných obvodov, kandidátov, politických strán a ich financovania). Európski občania by mali mať právo hlasovať za rôzne strany na úrovni EÚ, z ktorých každý sa skladá z kandidátov z viacerých členských štátov. Počas dostatočného prechodného obdobia by občania mohli stále hlasovať za národné a nadnárodné strany. </w:t>
      </w:r>
    </w:p>
    <w:p>
      <w:pPr>
        <w:pStyle w:val="Normal"/>
        <w:rPr/>
      </w:pPr>
      <w:r>
        <w:rPr/>
        <w:t xml:space="preserve"> </w:t>
      </w:r>
    </w:p>
    <w:p>
      <w:pPr>
        <w:pStyle w:val="Normal"/>
        <w:rPr/>
      </w:pPr>
      <w:r>
        <w:rPr/>
        <w:t xml:space="preserve">Odporúčame to preto, lebo Únia musí rozvíjať pocit jednoty, ktorý by sa mohol objaviť prostredníctvom skutočne jednotných volieb do Európskeho parlamentu. Tieto spoločné voľby umožnia posilniť postavenie poslancov Európskeho parlamentu a zamerať volebnú kampaň na spoločné európske témy. </w:t>
      </w:r>
    </w:p>
    <w:p>
      <w:pPr>
        <w:pStyle w:val="Normal"/>
        <w:rPr/>
      </w:pPr>
      <w:r>
        <w:rPr/>
        <w:t xml:space="preserve"> </w:t>
      </w:r>
    </w:p>
    <w:p>
      <w:pPr>
        <w:pStyle w:val="Titre4"/>
        <w:numPr>
          <w:ilvl w:val="3"/>
          <w:numId w:val="2"/>
        </w:numPr>
        <w:rPr/>
      </w:pPr>
      <w:bookmarkStart w:id="141" w:name="__RefHeading___Toc297217_1346298689"/>
      <w:bookmarkEnd w:id="141"/>
      <w:r>
        <w:rPr/>
        <w:t xml:space="preserve">Podos 3.2 Rozhodovanie </w:t>
      </w:r>
    </w:p>
    <w:p>
      <w:pPr>
        <w:pStyle w:val="Normal"/>
        <w:rPr/>
      </w:pPr>
      <w:r>
        <w:rPr/>
        <w:t xml:space="preserve"> </w:t>
      </w:r>
    </w:p>
    <w:p>
      <w:pPr>
        <w:pStyle w:val="P68B1DB1Normal15"/>
        <w:rPr/>
      </w:pPr>
      <w:r>
        <w:rPr/>
        <w:t xml:space="preserve">17. Odporúčame vytvoriť online platformu, kde občania môžu nájsť a vyžiadať si fakticky overené informácie. Platforma by mala byť jasne spojená s inštitúciami EÚ, mala by byť tematicky štruktúrovaná a ľahko dostupná (napr. poskytovaním horúcej linky). Občania by mali mať možnosť klásť kritické otázky odborníkom (napr. akademikom, novinárom) a získať faktické odpovede zo zdrojov. </w:t>
      </w:r>
    </w:p>
    <w:p>
      <w:pPr>
        <w:pStyle w:val="Normal"/>
        <w:rPr/>
      </w:pPr>
      <w:r>
        <w:rPr/>
        <w:t xml:space="preserve"> </w:t>
      </w:r>
    </w:p>
    <w:p>
      <w:pPr>
        <w:pStyle w:val="Normal"/>
        <w:rPr/>
      </w:pPr>
      <w:r>
        <w:rPr/>
        <w:t xml:space="preserve">Voľný prístup k faktickým informáciám je pre našu spoločnosť mimoriadne dôležitý, aby boli občania dobre informovaní a chránení pred falošnými správami a dezinformáciami. Potrebujeme dôveryhodný a nezávislý zdroj informácií, ktorý nie je ovplyvnený politickými, hospodárskymi a národnými záujmami. Platforma môže navyše vytvoriť most (t. j. priamy vzťah) medzi občanmi a EÚ. </w:t>
      </w:r>
    </w:p>
    <w:p>
      <w:pPr>
        <w:pStyle w:val="Normal"/>
        <w:rPr/>
      </w:pPr>
      <w:r>
        <w:rPr/>
      </w:r>
    </w:p>
    <w:p>
      <w:pPr>
        <w:pStyle w:val="P68B1DB1Normal15"/>
        <w:rPr/>
      </w:pPr>
      <w:r>
        <w:rPr/>
        <w:t xml:space="preserve">18. Odporúčame, aby sa vo výnimočných prípadoch uskutočnilo celoeurópske referendum o otázkach veľkého významu pre všetkých európskych občanov. Referendum by mal začať Európsky parlament a malo by byť právne záväzné. </w:t>
      </w:r>
    </w:p>
    <w:p>
      <w:pPr>
        <w:pStyle w:val="Normal"/>
        <w:rPr/>
      </w:pPr>
      <w:r>
        <w:rPr/>
        <w:t xml:space="preserve"> </w:t>
      </w:r>
    </w:p>
    <w:p>
      <w:pPr>
        <w:pStyle w:val="Normal"/>
        <w:rPr/>
      </w:pPr>
      <w:r>
        <w:rPr/>
        <w:t xml:space="preserve">Občania EÚ by mali mať priamejší vplyv na dôležité rozhodnutia o európskych otázkach. Referendum by sa však malo konať len za výnimočných okolností, pretože vzhľadom na ich vysoké náklady by nebolo možné ich pravidelne organizovať. Uvedomujeme si, že toto odporúčanie si môže vyžadovať zmenu zmluvy a úpravu národných ústav. </w:t>
      </w:r>
    </w:p>
    <w:p>
      <w:pPr>
        <w:pStyle w:val="Normal"/>
        <w:rPr/>
      </w:pPr>
      <w:r>
        <w:rPr/>
        <w:t xml:space="preserve"> </w:t>
      </w:r>
    </w:p>
    <w:p>
      <w:pPr>
        <w:pStyle w:val="P68B1DB1Normal15"/>
        <w:rPr/>
      </w:pPr>
      <w:r>
        <w:rPr/>
        <w:t xml:space="preserve">19. Odporúčame vytvoriť multifunkčnú digitálnu platformu, prostredníctvom ktorej môžu občania voliť vo voľbách a prieskumoch online. Občania by mali mať možnosť motivovať svoje hlasovanie o dôležitých otázkach a legislatívnych návrhoch európskych inštitúcií. Táto platforma by mala byť bezpečná, široko prístupná a vysoko viditeľná pre každého občana. </w:t>
      </w:r>
    </w:p>
    <w:p>
      <w:pPr>
        <w:pStyle w:val="Normal"/>
        <w:rPr/>
      </w:pPr>
      <w:r>
        <w:rPr/>
        <w:t xml:space="preserve"> </w:t>
      </w:r>
    </w:p>
    <w:p>
      <w:pPr>
        <w:pStyle w:val="Normal"/>
        <w:rPr/>
      </w:pPr>
      <w:r>
        <w:rPr/>
        <w:t xml:space="preserve">Cieľom tejto platformy je zvýšiť účasť na európskej politike a uľahčiť občanom prístup k konzultáciám a hlasovaniu. Existujúce nástroje a procesy nie sú dostatočne viditeľné, a preto potrebujeme nový integrovaný nástroj pre tieto rôzne funkcie. Väčšia účasť vedie k lepším rozhodnutiam, väčšej dôvere medzi európskymi občanmi a k lepšiemu fungovaniu Únie vo všeobecnosti. </w:t>
      </w:r>
    </w:p>
    <w:p>
      <w:pPr>
        <w:pStyle w:val="Normal"/>
        <w:rPr/>
      </w:pPr>
      <w:r>
        <w:rPr/>
        <w:t xml:space="preserve"> </w:t>
      </w:r>
    </w:p>
    <w:p>
      <w:pPr>
        <w:pStyle w:val="P68B1DB1Normal15"/>
        <w:rPr/>
      </w:pPr>
      <w:r>
        <w:rPr/>
        <w:t xml:space="preserve">20. „Odporúčame, aby sa systémy hlasovania v inštitúciách EÚ prehodnotili zameraním sa na otázku jednomyseľného hlasovania. „Váženie“ hlasov by sa malo vypočítať spravodlivo, aby sa chránili záujmy malých krajín. </w:t>
      </w:r>
    </w:p>
    <w:p>
      <w:pPr>
        <w:pStyle w:val="Normal"/>
        <w:rPr/>
      </w:pPr>
      <w:r>
        <w:rPr/>
        <w:t xml:space="preserve"> </w:t>
      </w:r>
    </w:p>
    <w:p>
      <w:pPr>
        <w:pStyle w:val="Normal"/>
        <w:rPr/>
      </w:pPr>
      <w:r>
        <w:rPr/>
        <w:t xml:space="preserve">Jednomyseľnosť je dôležitou výzvou pre rozhodovanie v EÚ. Vzhľadom na veľký počet členských štátov je veľmi ťažké dosiahnuť dohodu. V prípade potreby by sa európske zmluvy mali zmeniť a doplniť s cieľom vyriešiť otázku jednomyseľnosti. </w:t>
      </w:r>
    </w:p>
    <w:p>
      <w:pPr>
        <w:pStyle w:val="Normal"/>
        <w:rPr/>
      </w:pPr>
      <w:r>
        <w:rPr/>
        <w:t xml:space="preserve"> </w:t>
      </w:r>
    </w:p>
    <w:p>
      <w:pPr>
        <w:pStyle w:val="Titre4"/>
        <w:numPr>
          <w:ilvl w:val="3"/>
          <w:numId w:val="2"/>
        </w:numPr>
        <w:rPr/>
      </w:pPr>
      <w:bookmarkStart w:id="142" w:name="__RefHeading___Toc297219_1346298689"/>
      <w:bookmarkEnd w:id="142"/>
      <w:r>
        <w:rPr/>
        <w:t xml:space="preserve">Sub-os 3.3 užšia integrácia </w:t>
      </w:r>
    </w:p>
    <w:p>
      <w:pPr>
        <w:pStyle w:val="Normal"/>
        <w:rPr/>
      </w:pPr>
      <w:r>
        <w:rPr/>
        <w:t xml:space="preserve"> </w:t>
      </w:r>
    </w:p>
    <w:p>
      <w:pPr>
        <w:pStyle w:val="P68B1DB1Normal15"/>
        <w:rPr/>
      </w:pPr>
      <w:r>
        <w:rPr/>
        <w:t xml:space="preserve">21. „Odporúčame, aby Únia uskutočnila verejné investície, ktoré vedú k vytváraniu vhodných pracovných miest a zlepšeniu a harmonizácii kvality života v celej Únii, medzi členskými štátmi a v rámci členských štátov (t. j. na regionálnej úrovni). Je potrebné zabezpečiť účinný dohľad, transparentnosť a komunikáciu s občanmi pri realizácii verejných investícií a umožniť občanom monitorovať celý investičný proces. V záujme lepšej kvality života by sa mali investovať do oblastí, ako je vzdelávanie, zdravotníctvo, bývanie, fyzická infraštruktúra, starostlivosť o starších ľudí a osoby so zdravotným postihnutím, pričom by sa mali zohľadniť potreby každého členského štátu. Dodatočné investície by sa mali zamerať na dosiahnutie rovnováhy medzi vhodným pracovným a osobným životom, aby sa umožnil zdravý životný štýl. </w:t>
      </w:r>
    </w:p>
    <w:p>
      <w:pPr>
        <w:pStyle w:val="Normal"/>
        <w:rPr/>
      </w:pPr>
      <w:r>
        <w:rPr/>
        <w:t xml:space="preserve"> </w:t>
      </w:r>
    </w:p>
    <w:p>
      <w:pPr>
        <w:pStyle w:val="Normal"/>
        <w:rPr/>
      </w:pPr>
      <w:r>
        <w:rPr/>
        <w:t xml:space="preserve">Toto opatrenie odporúčame, pretože harmonizácia životnej úrovne v Únii zlepší hospodársky pokrok v celej Únii, čo povedie k jednotnej Európskej únii. Ide o kľúčový ukazovateľ ďalšej integrácie Únie. Hoci niektoré z týchto mechanizmov sú už zavedené, domnievame sa, že ich ešte možno zlepšiť. </w:t>
      </w:r>
    </w:p>
    <w:p>
      <w:pPr>
        <w:pStyle w:val="Normal"/>
        <w:rPr/>
      </w:pPr>
      <w:r>
        <w:rPr/>
        <w:t xml:space="preserve"> </w:t>
      </w:r>
    </w:p>
    <w:p>
      <w:pPr>
        <w:pStyle w:val="P68B1DB1Normal15"/>
        <w:rPr/>
      </w:pPr>
      <w:r>
        <w:rPr/>
        <w:t xml:space="preserve">22. „Odporúčame vytvoriť spoločný základ založený na súbore ekonomických ukazovateľov a ukazovateľov kvality života pre všetky členské štáty s cieľom ponúknuť rovnaké príležitosti a postaviť každého na rovnakú úroveň, aby sa dosiahla spoločná hospodárska štruktúra. Je dôležité, aby sa tento spoločný základ stanovil podľa jasného a realistického harmonogramu stanoveného inštitúciami na odporúčanie odborníkov. Mali by sa konzultovať aj s odborníkmi, pokiaľ ide o formu takejto spoločnej hospodárskej štruktúry. Je tiež dôležité, aby sa ukazovatele, na ktorých je tento spoločný základ založený, presnejšie vymedzili s pomocou odborníkov. </w:t>
      </w:r>
    </w:p>
    <w:p>
      <w:pPr>
        <w:pStyle w:val="Normal"/>
        <w:rPr/>
      </w:pPr>
      <w:r>
        <w:rPr/>
        <w:t xml:space="preserve"> </w:t>
      </w:r>
    </w:p>
    <w:p>
      <w:pPr>
        <w:pStyle w:val="Normal"/>
        <w:rPr/>
      </w:pPr>
      <w:r>
        <w:rPr/>
        <w:t xml:space="preserve">Odporúčame to, pretože ak budeme mať spravodlivú Úniu, budeme mať zjednotenejšiu Európu. Aby sme boli spravodliví, musíme ponúknuť rovnaké príležitosti a spoločný základ pre celú Úniu. Spoločnú hospodársku štruktúru bude možné dosiahnuť len vtedy, keď sa vytvorí spoločný základ. </w:t>
      </w:r>
    </w:p>
    <w:p>
      <w:pPr>
        <w:pStyle w:val="Normal"/>
        <w:rPr/>
      </w:pPr>
      <w:r>
        <w:rPr/>
        <w:t xml:space="preserve"> </w:t>
      </w:r>
    </w:p>
    <w:p>
      <w:pPr>
        <w:pStyle w:val="P68B1DB1Normal15"/>
        <w:rPr/>
      </w:pPr>
      <w:r>
        <w:rPr/>
        <w:t xml:space="preserve">23. Odporúčame zdaňovanie veľkých spoločností a príjmov právnických osôb, ktoré prispievajú k verejným investíciám, a využívanie daní na investovanie do vzdelávania a rozvoja v každej krajine (výskum a vývoj, štipendiá – Erasmus atď.). Je tiež dôležité zabezpečiť, aby sa v EÚ zrušili daňové raje.“ </w:t>
      </w:r>
    </w:p>
    <w:p>
      <w:pPr>
        <w:pStyle w:val="Normal"/>
        <w:rPr/>
      </w:pPr>
      <w:r>
        <w:rPr/>
        <w:t xml:space="preserve"> </w:t>
      </w:r>
    </w:p>
    <w:p>
      <w:pPr>
        <w:pStyle w:val="Normal"/>
        <w:rPr/>
      </w:pPr>
      <w:r>
        <w:rPr/>
        <w:t xml:space="preserve">Odporúčame toto opatrenie, pretože pomôže predchádzať daňovým únikom a vytváraniu daňových rajov a podporí dodržiavanie predpisov. </w:t>
      </w:r>
    </w:p>
    <w:p>
      <w:pPr>
        <w:pStyle w:val="Normal"/>
        <w:rPr/>
      </w:pPr>
      <w:r>
        <w:rPr/>
      </w:r>
    </w:p>
    <w:p>
      <w:pPr>
        <w:pStyle w:val="Titre3"/>
        <w:numPr>
          <w:ilvl w:val="2"/>
          <w:numId w:val="2"/>
        </w:numPr>
        <w:rPr/>
      </w:pPr>
      <w:bookmarkStart w:id="143" w:name="__RefHeading___Toc297221_1346298689"/>
      <w:bookmarkEnd w:id="143"/>
      <w:r>
        <w:rPr/>
        <w:t xml:space="preserve">Os 4: Budovanie európskej identity </w:t>
      </w:r>
    </w:p>
    <w:p>
      <w:pPr>
        <w:pStyle w:val="Normal"/>
        <w:rPr/>
      </w:pPr>
      <w:r>
        <w:rPr/>
        <w:t xml:space="preserve"> </w:t>
      </w:r>
    </w:p>
    <w:p>
      <w:pPr>
        <w:pStyle w:val="Titre4"/>
        <w:numPr>
          <w:ilvl w:val="3"/>
          <w:numId w:val="2"/>
        </w:numPr>
        <w:rPr/>
      </w:pPr>
      <w:bookmarkStart w:id="144" w:name="__RefHeading___Toc297223_1346298689"/>
      <w:bookmarkEnd w:id="144"/>
      <w:r>
        <w:rPr/>
        <w:t xml:space="preserve">Podos 4.1 Vzdelávanie pre demokraciu </w:t>
      </w:r>
    </w:p>
    <w:p>
      <w:pPr>
        <w:pStyle w:val="Normal"/>
        <w:rPr/>
      </w:pPr>
      <w:r>
        <w:rPr/>
        <w:t xml:space="preserve"> </w:t>
      </w:r>
    </w:p>
    <w:p>
      <w:pPr>
        <w:pStyle w:val="P68B1DB1Normal15"/>
        <w:rPr/>
      </w:pPr>
      <w:r>
        <w:rPr/>
        <w:t xml:space="preserve">24. Odporúčame, aby vzdelávanie o demokracii v EÚ zlepšilo a dosiahlo minimálnu úroveň vedomostí vo všetkých členských štátoch. Toto vzdelávanie by sa malo okrem iného vzťahovať na demokratické procesy a všeobecné informácie o Únii, ktoré by sa mali vyučovať vo všetkých členských štátoch EÚ. Mal by byť obohatený súborom rôznych koncepcií zameraných na výučbu demokratického procesu, ktorý by mal byť atraktívny a vhodný pre vek. </w:t>
      </w:r>
    </w:p>
    <w:p>
      <w:pPr>
        <w:pStyle w:val="Normal"/>
        <w:rPr/>
      </w:pPr>
      <w:r>
        <w:rPr/>
        <w:t xml:space="preserve"> </w:t>
      </w:r>
    </w:p>
    <w:p>
      <w:pPr>
        <w:pStyle w:val="Normal"/>
        <w:rPr/>
      </w:pPr>
      <w:r>
        <w:rPr/>
        <w:t xml:space="preserve">Toto odporúčanie a jeho dôvody sú dôležité, pretože ak sa vykoná, povedie k harmonickejšiemu a demokratickejšiemu životu v Únii. Odôvodnenia sú nasledovné: mladí ľudia by boli vzdelaní v demokratických procesoch; toto vzdelávanie by mohlo obmedziť populizmus a dezinformácie vo verejnej diskusii; mohlo by to znížiť diskrimináciu; a nakoniec by to umožnilo vzdelávať a mobilizovať občanov pre demokraciu nad rámec ich jednoduchej povinnosti voliť. </w:t>
      </w:r>
    </w:p>
    <w:p>
      <w:pPr>
        <w:pStyle w:val="Normal"/>
        <w:rPr/>
      </w:pPr>
      <w:r>
        <w:rPr/>
        <w:t xml:space="preserve"> </w:t>
      </w:r>
    </w:p>
    <w:p>
      <w:pPr>
        <w:pStyle w:val="P68B1DB1Normal15"/>
        <w:rPr/>
      </w:pPr>
      <w:r>
        <w:rPr/>
        <w:t xml:space="preserve">25. „Odporúčame, aby sa existujúce a vznikajúce prekladateľské technológie, ako je umelá inteligencia, ďalej rozvíjali, zlepšovali a sprístupňovali s cieľom znížiť jazykové bariéry a posilniť spoločnú identitu a demokraciu v EÚ.“ </w:t>
      </w:r>
    </w:p>
    <w:p>
      <w:pPr>
        <w:pStyle w:val="Normal"/>
        <w:rPr/>
      </w:pPr>
      <w:r>
        <w:rPr/>
        <w:t xml:space="preserve"> </w:t>
      </w:r>
    </w:p>
    <w:p>
      <w:pPr>
        <w:pStyle w:val="Normal"/>
        <w:rPr/>
      </w:pPr>
      <w:r>
        <w:rPr/>
        <w:t xml:space="preserve">Toto odporúčanie a jeho dôvody sú dôležité, pretože ak sa vykoná, prispeje k budovaniu spoločnej európskej identity zlepšením komunikácie medzi občanmi všetkých členských štátov. </w:t>
      </w:r>
    </w:p>
    <w:p>
      <w:pPr>
        <w:pStyle w:val="Normal"/>
        <w:rPr/>
      </w:pPr>
      <w:r>
        <w:rPr/>
        <w:t xml:space="preserve"> </w:t>
      </w:r>
    </w:p>
    <w:p>
      <w:pPr>
        <w:pStyle w:val="P68B1DB1Normal15"/>
        <w:rPr/>
      </w:pPr>
      <w:r>
        <w:rPr/>
        <w:t xml:space="preserve">26. Odporúčame, aby sa overiteľné informácie ľahko a zrozumiteľne sprístupnili občanom prostredníctvom mobilnej aplikácie s cieľom zlepšiť transparentnosť, verejnú diskusiu a demokraciu. Táto aplikácia by sa mohla použiť na šírenie informácií napríklad o právnych predpisoch, diskusiách v rámci EÚ, zmenách a doplneniach zmlúv atď. </w:t>
      </w:r>
    </w:p>
    <w:p>
      <w:pPr>
        <w:pStyle w:val="Normal"/>
        <w:rPr/>
      </w:pPr>
      <w:r>
        <w:rPr/>
        <w:t xml:space="preserve"> </w:t>
      </w:r>
    </w:p>
    <w:p>
      <w:pPr>
        <w:pStyle w:val="Normal"/>
        <w:rPr/>
      </w:pPr>
      <w:r>
        <w:rPr/>
        <w:t xml:space="preserve">Toto odporúčanie a jeho dôvody sú dôležité, pretože ak sa vykoná, uľahčí komunikáciu v rozsahu, v akom umožní informovanejšiu diskusiu medzi občanmi rôznych členských štátov prostredníctvom žiadosti, ktorá by mohla mať mnoho rôznych funkcií. Táto aplikácia by mala byť navrhnutá tak, aby bola pravdepodobne zaujímavá pre všetkých a bola schopná ďalej prilákať zvedavosť a zvýšiť dostupnosť a atraktívnosť technických informácií. Žiadosť by sa mala vnímať ako doplnkový zdroj, ktorý šíri informácie oficiálne overené priamo Úniou s cieľom zlepšiť dôveru a transparentnosť vo verejnej diskusii a prispieť k budovaniu spoločnej európskej identity. </w:t>
      </w:r>
    </w:p>
    <w:p>
      <w:pPr>
        <w:pStyle w:val="Normal"/>
        <w:rPr/>
      </w:pPr>
      <w:r>
        <w:rPr/>
      </w:r>
    </w:p>
    <w:p>
      <w:pPr>
        <w:pStyle w:val="Titre4"/>
        <w:numPr>
          <w:ilvl w:val="3"/>
          <w:numId w:val="2"/>
        </w:numPr>
        <w:rPr/>
      </w:pPr>
      <w:bookmarkStart w:id="145" w:name="__RefHeading___Toc297225_1346298689"/>
      <w:bookmarkEnd w:id="145"/>
      <w:r>
        <w:rPr/>
        <w:t xml:space="preserve">Podos 4.2 Európske hodnoty a identita </w:t>
      </w:r>
    </w:p>
    <w:p>
      <w:pPr>
        <w:pStyle w:val="Normal"/>
        <w:rPr/>
      </w:pPr>
      <w:r>
        <w:rPr/>
        <w:t xml:space="preserve"> </w:t>
      </w:r>
    </w:p>
    <w:p>
      <w:pPr>
        <w:pStyle w:val="P68B1DB1Normal15"/>
        <w:rPr/>
      </w:pPr>
      <w:r>
        <w:rPr/>
        <w:t xml:space="preserve">27. „Odporúčame, aby EÚ zriadila osobitný fond pre online a offline interakcie (t. j. výmenné programy, panely, stretnutia) s krátkym a dlhodobým trvaním medzi občanmi EÚ s cieľom posilniť európsku identitu. Účastníci by mali byť reprezentatívni pre spoločnosť v rámci Únie vrátane skupín vybraných cieleným spôsobom na základe rôznych kritérií, t. j. demografických, sociálno-ekonomických a pracovných kritérií. Ciele tohto fondu musia byť jasne stanovené, aby sa podporila európska identita, a tento fond by sa mal pravidelne hodnotiť. </w:t>
      </w:r>
    </w:p>
    <w:p>
      <w:pPr>
        <w:pStyle w:val="Normal"/>
        <w:rPr/>
      </w:pPr>
      <w:r>
        <w:rPr/>
        <w:t xml:space="preserve"> </w:t>
      </w:r>
    </w:p>
    <w:p>
      <w:pPr>
        <w:pStyle w:val="Normal"/>
        <w:rPr/>
      </w:pPr>
      <w:r>
        <w:rPr/>
        <w:t xml:space="preserve">Odporúčame to, pretože tento typ interakcie umožňuje občanom vymieňať si nápady a dlhšie výmeny im umožňujú pochopiť rôzne kultúry a vymieňať si skúsenosti vrátane odborných postupov. Je potrebný fond EÚ, pretože je dôležité, aby sa na ňom mohol zúčastniť každý vrátane tých, ktorí sa zvyčajne nezúčastňujú. </w:t>
      </w:r>
    </w:p>
    <w:p>
      <w:pPr>
        <w:pStyle w:val="Normal"/>
        <w:rPr/>
      </w:pPr>
      <w:r>
        <w:rPr/>
        <w:t xml:space="preserve"> </w:t>
      </w:r>
    </w:p>
    <w:p>
      <w:pPr>
        <w:pStyle w:val="P68B1DB1Normal15"/>
        <w:rPr/>
      </w:pPr>
      <w:r>
        <w:rPr/>
        <w:t xml:space="preserve">28. „Odporúčame, aby EÚ urýchlene investovala do boja proti dezinformáciám a podporovala existujúce organizácie a iniciatívy, ako je Kódex postupov pre dezinformácie a Európske stredisko pre monitorovanie digitálnych médií, ako aj porovnateľné iniciatívy v členských štátoch. Mohli by sa zaviesť rôzne protiopatrenia: overovanie faktov, informovanosť o dezinformáciách, tvorba ľahko dostupných štatistík, uloženie primeraných sankcií podľa právneho rámca tým, ktorí šíria dezinformácie, a boj proti zdrojom dezinformácií. </w:t>
      </w:r>
    </w:p>
    <w:p>
      <w:pPr>
        <w:pStyle w:val="Normal"/>
        <w:rPr/>
      </w:pPr>
      <w:r>
        <w:rPr/>
        <w:t xml:space="preserve"> </w:t>
      </w:r>
    </w:p>
    <w:p>
      <w:pPr>
        <w:pStyle w:val="Normal"/>
        <w:rPr/>
      </w:pPr>
      <w:r>
        <w:rPr/>
        <w:t xml:space="preserve">Toto odporúčanie je dôležité, pretože dezinformácie a dezinformácie z EÚ aj mimo nej majú za následok vytváranie konfliktov medzi občanmi EÚ, polarizáciu spoločnosti, ohrozenie demokracie a poškodzovanie hospodárstva. Vzhľadom na zložitosť tejto témy sú potrebné značné ľudské a finančné zdroje. </w:t>
      </w:r>
    </w:p>
    <w:p>
      <w:pPr>
        <w:pStyle w:val="Normal"/>
        <w:rPr/>
      </w:pPr>
      <w:r>
        <w:rPr/>
        <w:t xml:space="preserve"> </w:t>
      </w:r>
    </w:p>
    <w:p>
      <w:pPr>
        <w:pStyle w:val="P68B1DB1Normal15"/>
        <w:rPr/>
      </w:pPr>
      <w:r>
        <w:rPr/>
        <w:t xml:space="preserve">29. „Odporúčame 1) zvýšiť frekvenciu online a offline interakcií medzi Úniou a jej občanmi (t. j. priamym rozhovorom s občanmi o európskych otázkach a vytvorením ľahko použiteľnej platformy na zabezpečenie toho, aby každý občan mohol komunikovať s inštitúciami a úradníkmi EÚ) a 2) zabezpečiť, aby sa občania mohli zúčastňovať na procese tvorby politiky EÚ, vyjadrovať svoje názory a získať spätnú väzbu, a odporúčame vypracovať chartu alebo kódex správania alebo usmernenia pre úradníkov EÚ. Mali by existovať rôzne spôsoby interakcie, aby sa mohol zúčastniť každý občan. </w:t>
      </w:r>
    </w:p>
    <w:p>
      <w:pPr>
        <w:pStyle w:val="Normal"/>
        <w:rPr/>
      </w:pPr>
      <w:r>
        <w:rPr/>
        <w:t xml:space="preserve"> </w:t>
      </w:r>
    </w:p>
    <w:p>
      <w:pPr>
        <w:pStyle w:val="Normal"/>
        <w:rPr/>
      </w:pPr>
      <w:r>
        <w:rPr/>
        <w:t xml:space="preserve">Odporúčame toto opatrenie, pretože existuje niekoľko spôsobov, ako sa dostať do kontaktu s európskymi inštitúciami (online platformy, zastupiteľské orgány), ale nie sú známe, nie sú účinné a transparentné. Prístupnosť sa v jednotlivých krajinách značne líši. Častejšie a lepšie interakcie vzbudia pocit zodpovednosti za európske občianstvo. </w:t>
      </w:r>
    </w:p>
    <w:p>
      <w:pPr>
        <w:pStyle w:val="Normal"/>
        <w:rPr/>
      </w:pPr>
      <w:r>
        <w:rPr/>
        <w:t xml:space="preserve"> </w:t>
      </w:r>
    </w:p>
    <w:p>
      <w:pPr>
        <w:pStyle w:val="P68B1DB1Normal15"/>
        <w:rPr/>
      </w:pPr>
      <w:r>
        <w:rPr/>
        <w:t xml:space="preserve">30. Odporúčame, aby európska identita a hodnoty (t. j. právny štát, demokracia a solidarita) zohrávali osobitnú úlohu v procese integrácie migrantov. Možno uvažovať o rôznych opatreniach, ako je vytvorenie programov alebo podpora už existujúcich (miestnych) programov s cieľom podporiť sociálnu interakciu medzi migrantmi a občanmi EÚ alebo účasť podnikov na programoch na podporu integrácie migrantov. Zároveň by sa mali spustiť podobné programy na zvýšenie informovanosti občanov EÚ o otázkach súvisiacich s migráciou. </w:t>
      </w:r>
    </w:p>
    <w:p>
      <w:pPr>
        <w:pStyle w:val="Normal"/>
        <w:rPr/>
      </w:pPr>
      <w:r>
        <w:rPr/>
        <w:t xml:space="preserve"> </w:t>
      </w:r>
    </w:p>
    <w:p>
      <w:pPr>
        <w:pStyle w:val="Normal"/>
        <w:rPr/>
      </w:pPr>
      <w:r>
        <w:rPr/>
        <w:t xml:space="preserve">Toto odporúčanie je dôležité, pretože programy sociálnej interakcie môžu pomôcť migrantom v ich novom živote a umožniť nemigrantom lepšie pochopiť každodenný život migrantov. Ak migranti žijú v getách, nie je možné ich integrovať do spoločnosti na vnútroštátnej úrovni ani na úrovni EÚ. Je potrebná spoločná politika, pretože keď migranti vstúpia na územie Únie, môžu ísť do všetkých krajín EÚ. Miestne iniciatívy by sa mali podporovať, keďže miestne samosprávy budú využívať finančné prostriedky efektívnejšie ako na vnútroštátnej úrovni. </w:t>
      </w:r>
    </w:p>
    <w:p>
      <w:pPr>
        <w:pStyle w:val="Normal"/>
        <w:rPr/>
      </w:pPr>
      <w:r>
        <w:rPr/>
        <w:t xml:space="preserve"> </w:t>
      </w:r>
    </w:p>
    <w:p>
      <w:pPr>
        <w:pStyle w:val="Titre4"/>
        <w:numPr>
          <w:ilvl w:val="3"/>
          <w:numId w:val="2"/>
        </w:numPr>
        <w:rPr/>
      </w:pPr>
      <w:bookmarkStart w:id="146" w:name="__RefHeading___Toc297227_1346298689"/>
      <w:bookmarkEnd w:id="146"/>
      <w:r>
        <w:rPr/>
        <w:t xml:space="preserve">Podosí 4.3 Informácie o EÚ </w:t>
      </w:r>
    </w:p>
    <w:p>
      <w:pPr>
        <w:pStyle w:val="Normal"/>
        <w:rPr/>
      </w:pPr>
      <w:r>
        <w:rPr/>
        <w:t xml:space="preserve"> </w:t>
      </w:r>
    </w:p>
    <w:p>
      <w:pPr>
        <w:pStyle w:val="P68B1DB1Normal15"/>
        <w:rPr/>
      </w:pPr>
      <w:r>
        <w:rPr/>
        <w:t xml:space="preserve">31. „Odporúčame, aby EÚ lepšie informovala európskych občanov. Na tento účel by Únia mala využiť všetky potrebné prostriedky pri rešpektovaní slobody a nezávislosti médií. Mala by médiám poskytovať všeobecné a spoľahlivé zdroje a informácie o činnostiach a politikách Únie. Únia by mala zabezpečiť, aby sa informácie šírili rovnomerne vo všetkých členských štátoch prostredníctvom vnútroštátnych a európskych médií, a zabezpečiť, aby členské štáty nabádali verejnoprávnych vysielateľov a verejnoprávne spravodajské agentúry, aby riešili európske otázky.“ </w:t>
      </w:r>
    </w:p>
    <w:p>
      <w:pPr>
        <w:pStyle w:val="Normal"/>
        <w:rPr/>
      </w:pPr>
      <w:r>
        <w:rPr/>
      </w:r>
    </w:p>
    <w:p>
      <w:pPr>
        <w:pStyle w:val="Normal"/>
        <w:rPr/>
      </w:pPr>
      <w:r>
        <w:rPr/>
        <w:t xml:space="preserve">Odporúčame to, pretože podľa našich osobných skúseností a podľa údajov Eurobarometra je väčšina európskych občanov informovaná hlavnými médiami (tlač, rozhlas a televízia) a tieto kanály v súčasnosti poskytujú veľmi málo informácií o EÚ. Médiá vrátane verejnoprávnych médií majú funkciu verejnej služby. Preto je nevyhnutné zaoberať sa európskymi otázkami, ktoré majú vplyv na európske obyvateľstvo, s cieľom plniť túto funkciu. Odporúčame, aby informácie EÚ šírené v rôznych členských štátoch boli rovnaké, aby sa podporila integrácia, a odporúčame vyhnúť sa rozdielnym informáciám o rôznych otázkach v jednotlivých krajinách. Je pohodlnejšie a lacnejšie používať existujúce mediálne kanály ako vytvoriť nový kanál pre rovnaký výsledok. Existujúce kanály majú tiež tú výhodu, že sú občanom už známe. Žiadny občan by si nemal vyberať medzi rôznymi kanálmi na prístup k odlišnému obsahu (vnútroštátnemu alebo európskemu). </w:t>
      </w:r>
    </w:p>
    <w:p>
      <w:pPr>
        <w:pStyle w:val="Normal"/>
        <w:rPr/>
      </w:pPr>
      <w:r>
        <w:rPr/>
        <w:t xml:space="preserve"> </w:t>
      </w:r>
    </w:p>
    <w:p>
      <w:pPr>
        <w:pStyle w:val="P68B1DB1Normal15"/>
        <w:rPr/>
      </w:pPr>
      <w:r>
        <w:rPr/>
        <w:t xml:space="preserve">32. „Odporúčame, aby EÚ vytvorila a podporovala viacjazyčné online fóra a offline stretnutia, ktoré občanom umožnia zapojiť sa do diskusie so zástupcami EÚ bez ohľadu na tému a geografický rozsah nastolenej otázky. Odpovede na otázky položené na týchto online fórach a offline stretnutiach by sa mali poskytnúť v presne vymedzenom krátkom časovom rámci. Všetky informácie týkajúce sa týchto priestorov by sa mali centralizovať na integrovanom oficiálnom webovom sídle s rôznymi funkciami, ako je priestor na často kladené otázky, možnosť podeliť sa o nápady, návrhy alebo obavy s inými občanmi a mechanizmus na označenie toho, ktorí z nich získajú najväčšiu podporu. V každom prípade by mal byť prístup na túto stránku jednoduchý a mal by sa používať nebyrokratický jazyk. </w:t>
      </w:r>
    </w:p>
    <w:p>
      <w:pPr>
        <w:pStyle w:val="Normal"/>
        <w:rPr/>
      </w:pPr>
      <w:r>
        <w:rPr/>
        <w:t xml:space="preserve"> </w:t>
      </w:r>
    </w:p>
    <w:p>
      <w:pPr>
        <w:pStyle w:val="Normal"/>
        <w:rPr/>
      </w:pPr>
      <w:r>
        <w:rPr/>
        <w:t xml:space="preserve">Odporúčame to, pretože je to spôsob, ako vytvoriť priamy most medzi európskymi občanmi a európskymi zástupcami, aby mohli hovoriť a spolupracovať, poskytnúť občanom jednoduchý prístup k informáciám o Únii a lepšie ich informovať o informáciách, ktoré sú už k dispozícii. To vytvorí transparentnejšiu a otvorenejšiu Úniu a pomôže občanom zdieľať ich problémy a úvahy a prijímať politické reakcie a riešenia a umožní občanom zapojiť sa a vymieňať si názory a skúsenosti s ostatnými občanmi. </w:t>
      </w:r>
    </w:p>
    <w:p>
      <w:pPr>
        <w:pStyle w:val="Normal"/>
        <w:rPr/>
      </w:pPr>
      <w:r>
        <w:rPr/>
        <w:t xml:space="preserve"> </w:t>
      </w:r>
    </w:p>
    <w:p>
      <w:pPr>
        <w:pStyle w:val="Normal"/>
        <w:rPr/>
      </w:pPr>
      <w:r>
        <w:rPr>
          <w:b/>
        </w:rPr>
        <w:t xml:space="preserve">33. </w:t>
      </w:r>
      <w:commentRangeStart w:id="4"/>
      <w:r>
        <w:rPr>
          <w:b/>
        </w:rPr>
        <w:t>„</w:t>
      </w:r>
      <w:r>
        <w:rPr>
          <w:b/>
          <w:i/>
        </w:rPr>
        <w:t>Odporúčame, aby inštitúcie a zástupcovia EÚ používali prístupnejší jazyk a vyhýbali sa používaniu byrokratických pojmov vo svojej komunikácii, pričom by sa zachovala kvalita a technická úroveň poskytovaných informácií.</w:t>
      </w:r>
      <w:r>
        <w:rPr>
          <w:b/>
        </w:rPr>
        <w:t xml:space="preserve"> Únia</w:t>
      </w:r>
      <w:r>
        <w:rPr/>
      </w:r>
      <w:commentRangeEnd w:id="4"/>
      <w:r>
        <w:commentReference w:id="4"/>
      </w:r>
      <w:r>
        <w:rPr>
          <w:b/>
        </w:rPr>
        <w:t xml:space="preserve">by mala tiež prispôsobiť informácie, ktoré poskytuje občanom, ktorí využívajú rôzne komunikačné kanály a rôzne publikum (napr. noviny, televízia, sociálne médiá). EÚ by mala vyvinúť osobitné úsilie na prispôsobenie komunikácie digitálnym médiám s cieľom zvýšiť svoju schopnosť osloviť mladých ľudí.“ </w:t>
      </w:r>
    </w:p>
    <w:p>
      <w:pPr>
        <w:pStyle w:val="Normal"/>
        <w:rPr/>
      </w:pPr>
      <w:r>
        <w:rPr/>
        <w:t xml:space="preserve"> </w:t>
      </w:r>
    </w:p>
    <w:p>
      <w:pPr>
        <w:pStyle w:val="Normal"/>
        <w:rPr/>
      </w:pPr>
      <w:r>
        <w:rPr/>
        <w:t xml:space="preserve">Odporúčame toto opatrenie, pretože zrozumiteľné informácie umožnia Únii osloviť viac európskych občanov, a nielen tých, ktorí sa angažujú. Vďaka novým moderným nástrojom zameraným na konkrétne publikum získajú občania lepšie pochopenie činností a politík EÚ, najmä mladých ľudí, ktorí sa necítia blízko k EÚ ani s ňou nie sú pripútaní. </w:t>
      </w:r>
    </w:p>
    <w:p>
      <w:pPr>
        <w:pStyle w:val="Normal"/>
        <w:rPr/>
      </w:pPr>
      <w:r>
        <w:rPr/>
      </w:r>
    </w:p>
    <w:p>
      <w:pPr>
        <w:pStyle w:val="Titre3"/>
        <w:numPr>
          <w:ilvl w:val="2"/>
          <w:numId w:val="2"/>
        </w:numPr>
        <w:rPr/>
      </w:pPr>
      <w:bookmarkStart w:id="147" w:name="__RefHeading___Toc297229_1346298689"/>
      <w:bookmarkEnd w:id="147"/>
      <w:r>
        <w:rPr/>
        <w:t xml:space="preserve">Os 5: Posilnenie účasti občanov </w:t>
      </w:r>
    </w:p>
    <w:p>
      <w:pPr>
        <w:pStyle w:val="Normal"/>
        <w:rPr/>
      </w:pPr>
      <w:r>
        <w:rPr/>
        <w:t xml:space="preserve"> </w:t>
      </w:r>
    </w:p>
    <w:p>
      <w:pPr>
        <w:pStyle w:val="Titre4"/>
        <w:numPr>
          <w:ilvl w:val="3"/>
          <w:numId w:val="2"/>
        </w:numPr>
        <w:rPr/>
      </w:pPr>
      <w:bookmarkStart w:id="148" w:name="__RefHeading___Toc297231_1346298689"/>
      <w:bookmarkEnd w:id="148"/>
      <w:r>
        <w:rPr/>
        <w:t xml:space="preserve">Podos 5.1 Účasť občanov </w:t>
      </w:r>
    </w:p>
    <w:p>
      <w:pPr>
        <w:pStyle w:val="Normal"/>
        <w:rPr/>
      </w:pPr>
      <w:r>
        <w:rPr/>
        <w:t xml:space="preserve"> </w:t>
      </w:r>
    </w:p>
    <w:p>
      <w:pPr>
        <w:pStyle w:val="P68B1DB1Normal15"/>
        <w:rPr/>
      </w:pPr>
      <w:r>
        <w:rPr/>
        <w:t xml:space="preserve">34. „Odporúčame, aby boli nezávislí pozorovatelia občanov prítomní vo všetkých rozhodovacích procesoch EÚ. Malo by existovať stále fórum alebo orgán zástupcov občanov, ktorý by bol zodpovedný za šírenie relevantných a dôležitých informácií pre všetkých občanov Únie, ktorí sú takto vymedzení. Títo občania by spolupracovali so všetkými ostatnými európskymi občanmi v prístupe zhora nadol/zdola nahor, čím by sa ďalej rozvíjal dialóg medzi občanmi a inštitúciami EÚ.“ </w:t>
      </w:r>
    </w:p>
    <w:p>
      <w:pPr>
        <w:pStyle w:val="Normal"/>
        <w:rPr/>
      </w:pPr>
      <w:r>
        <w:rPr/>
        <w:t xml:space="preserve"> </w:t>
      </w:r>
    </w:p>
    <w:p>
      <w:pPr>
        <w:pStyle w:val="Normal"/>
        <w:rPr/>
      </w:pPr>
      <w:r>
        <w:rPr/>
        <w:t xml:space="preserve">Občania si, samozrejme, zaslúžia byť informovaní o všetkých otázkach a je dôležité zabezpečiť, aby politici nemohli prehliadať niektoré otázky, ktoré by radšej ignorovali. Takéto opatrenie by preklenulo priepasť medzi občanmi a volenými zástupcami vytvorením nových spôsobov dôvery. </w:t>
      </w:r>
    </w:p>
    <w:p>
      <w:pPr>
        <w:pStyle w:val="Normal"/>
        <w:rPr/>
      </w:pPr>
      <w:r>
        <w:rPr/>
        <w:t xml:space="preserve"> </w:t>
      </w:r>
    </w:p>
    <w:p>
      <w:pPr>
        <w:pStyle w:val="P68B1DB1Normal15"/>
        <w:rPr/>
      </w:pPr>
      <w:r>
        <w:rPr/>
        <w:t xml:space="preserve"> </w:t>
      </w:r>
      <w:r>
        <w:rPr/>
        <w:t xml:space="preserve">35. „Odporúčame, aby Únia opätovne otvorila diskusiu o ústave Európy s cieľom vypracovať ústavu inšpirovanú občanmi Únie. Občania by mali mať možnosť hlasovať za takúto ústavu. Aby sa zabránilo akémukoľvek konfliktu s členskými štátmi, hodnoty ľudských práv a demokracie by sa mali do tejto ústavy zahrnúť ako priorita. Pri vypracovaní takejto ústavy je potrebné vziať do úvahy predchádzajúce snahy, ktoré nikdy nevyústili do ústavy. </w:t>
      </w:r>
    </w:p>
    <w:p>
      <w:pPr>
        <w:pStyle w:val="Normal"/>
        <w:rPr/>
      </w:pPr>
      <w:r>
        <w:rPr/>
        <w:t xml:space="preserve"> </w:t>
      </w:r>
    </w:p>
    <w:p>
      <w:pPr>
        <w:pStyle w:val="Normal"/>
        <w:rPr/>
      </w:pPr>
      <w:r>
        <w:rPr/>
        <w:t xml:space="preserve">Pretože táto ústava by zapojila mladých ľudí do politiky na úrovni EÚ a zmarila sily nacionalizmu, ktoré získavajú pôdu. Poskytla by spoločnú definíciu toho, čo je demokracia v Európe a ktorá by sa uplatňovala rovnako vo všetkých členských štátoch. Pretože EÚ má spoločné hodnoty v oblasti demokracie a ľudských práv. Keďže občania by mali možnosť zapojiť sa do rozhodovacieho procesu a viac sa s Úniou stotožniť prostredníctvom účasti na tomto procese. </w:t>
      </w:r>
    </w:p>
    <w:p>
      <w:pPr>
        <w:pStyle w:val="Normal"/>
        <w:rPr/>
      </w:pPr>
      <w:r>
        <w:rPr/>
        <w:t xml:space="preserve"> </w:t>
      </w:r>
    </w:p>
    <w:p>
      <w:pPr>
        <w:pStyle w:val="P68B1DB1Normal15"/>
        <w:rPr/>
      </w:pPr>
      <w:r>
        <w:rPr/>
        <w:t xml:space="preserve">36. Odporúčame politikom, aby boli zodpovednejší za to, ako zastupujú občanov, ktorí ich zvolili. Najmä mladí ľudia sú obzvlášť odlúčení od politiky a neberú ich vážne, keď sa zúčastňujú. Ale nechutnosť je univerzálny problém a ľudia všetkých vekových kategórií by mali byť viac angažovaní ako teraz. </w:t>
      </w:r>
    </w:p>
    <w:p>
      <w:pPr>
        <w:pStyle w:val="Normal"/>
        <w:rPr/>
      </w:pPr>
      <w:r>
        <w:rPr/>
        <w:t xml:space="preserve"> </w:t>
      </w:r>
    </w:p>
    <w:p>
      <w:pPr>
        <w:pStyle w:val="Normal"/>
        <w:rPr/>
      </w:pPr>
      <w:r>
        <w:rPr/>
        <w:t xml:space="preserve">Pretože definícia demokracie by sa mala aktualizovať. Musíme si uvedomiť, čo je to demokracia. Pretože mladí ľudia mali dosť a sú rozčarovaní politikmi, ktorých považujú za elity, ktoré nezdieľajú svoje názory. Preto sa občania musia viac angažovať originálnym a atraktívnym spôsobom. Vzdelávací systém, sociálne médiá a všetky ostatné formy médií by mohli plniť túto úlohu počas celého životného cyklu a vo všetkých jazykoch. </w:t>
      </w:r>
    </w:p>
    <w:p>
      <w:pPr>
        <w:pStyle w:val="Normal"/>
        <w:rPr/>
      </w:pPr>
      <w:r>
        <w:rPr/>
        <w:t xml:space="preserve"> </w:t>
      </w:r>
    </w:p>
    <w:p>
      <w:pPr>
        <w:pStyle w:val="Titre4"/>
        <w:numPr>
          <w:ilvl w:val="3"/>
          <w:numId w:val="2"/>
        </w:numPr>
        <w:rPr/>
      </w:pPr>
      <w:bookmarkStart w:id="149" w:name="__RefHeading___Toc297233_1346298689"/>
      <w:bookmarkEnd w:id="149"/>
      <w:r>
        <w:rPr/>
        <w:t xml:space="preserve">Podos 5.2 Účasť občanov </w:t>
      </w:r>
    </w:p>
    <w:p>
      <w:pPr>
        <w:pStyle w:val="Normal"/>
        <w:rPr/>
      </w:pPr>
      <w:r>
        <w:rPr/>
        <w:t xml:space="preserve"> </w:t>
      </w:r>
    </w:p>
    <w:p>
      <w:pPr>
        <w:pStyle w:val="P68B1DB1Normal15"/>
        <w:rPr/>
      </w:pPr>
      <w:r>
        <w:rPr/>
        <w:t xml:space="preserve">37. „Odporúčame, aby sa EÚ priblížila k občanom asertívnejším spôsobom. Na dosiahnutie tohto cieľa by sa členské štáty mali zapojiť do podpory účasti občanov v Únii. Únia by mala podporovať využívanie mechanizmov účasti občanov vytváraním komerčných a reklamných kampaní. Národné a miestne samosprávy by mali byť povinné zapojiť sa do tohto procesu. Únia by mala zabezpečiť účinnosť platforiem participatívnej demokracie.“ </w:t>
      </w:r>
    </w:p>
    <w:p>
      <w:pPr>
        <w:pStyle w:val="Normal"/>
        <w:rPr/>
      </w:pPr>
      <w:r>
        <w:rPr/>
        <w:t xml:space="preserve"> </w:t>
      </w:r>
    </w:p>
    <w:p>
      <w:pPr>
        <w:pStyle w:val="Normal"/>
        <w:rPr/>
      </w:pPr>
      <w:r>
        <w:rPr/>
        <w:t xml:space="preserve">Odporúčame to preto, lebo je potrebné posilniť a zefektívniť už existujúcu platformu: je potrebné získať viac spätnej väzby od občanov do EÚ a naopak. V rámci EÚ nie je dostatočná diskusia medzi občanmi, ako aj medzi vládami. Pretože občania nepredkladajú petície buď preto, že nevedia, že mechanizmus existuje, alebo preto, že neveria, že takéto petície môžu uspieť. </w:t>
      </w:r>
    </w:p>
    <w:p>
      <w:pPr>
        <w:pStyle w:val="Normal"/>
        <w:rPr/>
      </w:pPr>
      <w:r>
        <w:rPr/>
        <w:t xml:space="preserve"> </w:t>
      </w:r>
    </w:p>
    <w:p>
      <w:pPr>
        <w:pStyle w:val="P68B1DB1Normal15"/>
        <w:rPr/>
      </w:pPr>
      <w:r>
        <w:rPr/>
        <w:t xml:space="preserve">38. „Odporúčame, aby Únia vytvorila a vykonávala učebné osnovy pre školy o tom, čo sa v EÚ vykonáva v súvislosti s mechanizmami účasti. Takéto programy by sa mali začleniť do školských osnov o európskom občianstve a etike s obsahom prispôsobeným veku žiakov. Mali by existovať aj programy pre dospelých. Programy celoživotného vzdelávania by sa mali sprístupniť občanom s cieľom prehĺbiť ich znalosti o možnostiach účasti občanov v Únii.“ </w:t>
      </w:r>
    </w:p>
    <w:p>
      <w:pPr>
        <w:pStyle w:val="Normal"/>
        <w:rPr/>
      </w:pPr>
      <w:r>
        <w:rPr/>
        <w:t xml:space="preserve"> </w:t>
      </w:r>
    </w:p>
    <w:p>
      <w:pPr>
        <w:pStyle w:val="Normal"/>
        <w:rPr/>
      </w:pPr>
      <w:r>
        <w:rPr/>
        <w:t xml:space="preserve">Odporúčame toto opatrenie, pretože je dôležité pre budúcnosť našich detí. Občania chcú vedieť, ako vyjadriť svoj hlas. Je dôležité, aby poznali presné mechanizmy a ako ich možno použiť, aby Únia počula ich hlas. Je to dôležité pre všetkých európskych občanov, aby mali rovnaké postavenie. Ako európski občania musíme vedieť, ako využívať naše práva. Ako európski občania máme právo poznať tieto informácie. </w:t>
      </w:r>
    </w:p>
    <w:p>
      <w:pPr>
        <w:pStyle w:val="Normal"/>
        <w:rPr/>
      </w:pPr>
      <w:r>
        <w:rPr/>
        <w:t xml:space="preserve"> </w:t>
      </w:r>
    </w:p>
    <w:p>
      <w:pPr>
        <w:pStyle w:val="Titre4"/>
        <w:numPr>
          <w:ilvl w:val="3"/>
          <w:numId w:val="2"/>
        </w:numPr>
        <w:rPr/>
      </w:pPr>
      <w:bookmarkStart w:id="150" w:name="__RefHeading___Toc297235_1346298689"/>
      <w:bookmarkEnd w:id="150"/>
      <w:r>
        <w:rPr/>
        <w:t xml:space="preserve">Podos 5.3 Účasť občanov </w:t>
      </w:r>
    </w:p>
    <w:p>
      <w:pPr>
        <w:pStyle w:val="Normal"/>
        <w:rPr/>
      </w:pPr>
      <w:r>
        <w:rPr/>
        <w:t xml:space="preserve"> </w:t>
      </w:r>
    </w:p>
    <w:p>
      <w:pPr>
        <w:pStyle w:val="P68B1DB1Normal15"/>
        <w:rPr/>
      </w:pPr>
      <w:r>
        <w:rPr/>
        <w:t xml:space="preserve">39. Odporúčame, aby Únia zorganizovala zhromaždenia občanov. Dôrazne odporúčame, aby boli zavedené na základe právne záväzného a záväzného zákona alebo nariadenia. Tieto zhromaždenia občanov by sa mali konať každých 12 až 18 mesiacov. Účasť občanov by nemala byť povinná, ale mala by sa podporovať, pričom by sa mala organizovať na základe obmedzených mandátov. Účastníci musia byť náhodne vybraní podľa kritérií reprezentatívnosti. Nesmú zastupovať organizácie akéhokoľvek druhu a nemali by byť vyzvané na účasť z dôvodu ich profesionálnej funkcie, keď sú členmi zhromaždenia. V prípade potreby odborníci poskytnú podporu s cieľom zabezpečiť, aby členovia zhromaždenia mali dostatočné informácie na prerokovanie. Rozhodovanie bude v rukách občanov. Únia musí zaručiť záväzok politikov k rozhodnutiam, ktoré prijímajú občania v zhromaždeniach občanov. Ak sa návrhy občanov ignorujú alebo výslovne zamietnu, európske inštitúcie o nich musia podať správu s uvedením dôvodov, prečo bolo toto rozhodnutie prijaté. </w:t>
      </w:r>
    </w:p>
    <w:p>
      <w:pPr>
        <w:pStyle w:val="Normal"/>
        <w:rPr/>
      </w:pPr>
      <w:r>
        <w:rPr/>
        <w:t xml:space="preserve"> </w:t>
      </w:r>
    </w:p>
    <w:p>
      <w:pPr>
        <w:pStyle w:val="Normal"/>
        <w:rPr/>
      </w:pPr>
      <w:r>
        <w:rPr/>
        <w:t xml:space="preserve">Odporúčame zriadiť zhromaždenia občanov, pretože chceme, aby sa občania cítili bližšie k európskym inštitúciám a priamo prispievali k rozhodovaniu v spolupráci s politikmi s cieľom posilniť pocit spolupatričnosti a priamej účinnosti. Okrem toho chceme, aby sa politické strany brali na zodpovednosť voči občanom vrátane ich volebných programov. </w:t>
      </w:r>
    </w:p>
    <w:p>
      <w:pPr>
        <w:pStyle w:val="Normal"/>
        <w:rPr/>
      </w:pPr>
      <w:r>
        <w:rPr/>
        <w:t xml:space="preserve"> </w:t>
      </w:r>
    </w:p>
    <w:p>
      <w:pPr>
        <w:pStyle w:val="Titre3"/>
        <w:numPr>
          <w:ilvl w:val="2"/>
          <w:numId w:val="2"/>
        </w:numPr>
        <w:rPr/>
      </w:pPr>
      <w:bookmarkStart w:id="151" w:name="__RefHeading___Toc297237_1346298689"/>
      <w:bookmarkEnd w:id="151"/>
      <w:r>
        <w:rPr/>
        <w:t xml:space="preserve">Príloha: ĎALŠIE ODPORÚČANIA, KTORÉ VÝBOR ZVÁŽIL, ALE NEBOLI PRIJATÉ </w:t>
      </w:r>
    </w:p>
    <w:p>
      <w:pPr>
        <w:pStyle w:val="Normal"/>
        <w:rPr/>
      </w:pPr>
      <w:r>
        <w:rPr/>
        <w:t xml:space="preserve"> </w:t>
      </w:r>
    </w:p>
    <w:p>
      <w:pPr>
        <w:pStyle w:val="Titre4"/>
        <w:numPr>
          <w:ilvl w:val="3"/>
          <w:numId w:val="2"/>
        </w:numPr>
        <w:rPr/>
      </w:pPr>
      <w:bookmarkStart w:id="152" w:name="__RefHeading___Toc297239_1346298689"/>
      <w:bookmarkEnd w:id="152"/>
      <w:r>
        <w:rPr/>
        <w:t xml:space="preserve">Os 1: Zaručenie práv a nediskriminácie </w:t>
      </w:r>
    </w:p>
    <w:p>
      <w:pPr>
        <w:pStyle w:val="Normal"/>
        <w:rPr/>
      </w:pPr>
      <w:r>
        <w:rPr/>
        <w:t xml:space="preserve"> </w:t>
      </w:r>
    </w:p>
    <w:p>
      <w:pPr>
        <w:pStyle w:val="Normal"/>
        <w:rPr/>
      </w:pPr>
      <w:r>
        <w:rPr/>
        <w:t xml:space="preserve">Podos 1.1 Nediskriminácia/podos 1.2 Rodová rovnosť </w:t>
      </w:r>
    </w:p>
    <w:p>
      <w:pPr>
        <w:pStyle w:val="Normal"/>
        <w:rPr/>
      </w:pPr>
      <w:r>
        <w:rPr/>
        <w:t xml:space="preserve"> </w:t>
      </w:r>
    </w:p>
    <w:p>
      <w:pPr>
        <w:pStyle w:val="P68B1DB1Normal15"/>
        <w:rPr/>
      </w:pPr>
      <w:r>
        <w:rPr/>
        <w:t>„</w:t>
      </w:r>
      <w:r>
        <w:rPr/>
        <w:t xml:space="preserve">Odporúčame, aby EÚ aktívne zapojila menšiny do tvorby politiky týkajúcej sa kľúčových aspektov štátnych inštitúcií (napr. polície a mimovládnych organizácií). Odporúčame, aby Únia zriadila poradnú radu priamo volenú menšinami. Mal by pozostávať najmä zo zástupcov menšín, pričom by mal zahŕňať aj zástupcov mimovládnych organizácií. Mala by zohrávať úlohu odbornej prípravy pri zvyšovaní informovanosti verejných činiteľov o potrebách menšín. Tento orgán by mal mať právo veta v otázkach menšín. </w:t>
      </w:r>
    </w:p>
    <w:p>
      <w:pPr>
        <w:pStyle w:val="Normal"/>
        <w:rPr/>
      </w:pPr>
      <w:r>
        <w:rPr/>
        <w:t xml:space="preserve">Odporúčame to preto, lebo hlasy menšín nie sú dostatočne vypočuté. Mali by sa vyjadrovať vo vlastnom mene, samostatne a na profesionálnej úrovni; to je dôvod, prečo sme spojili zastúpenie prostredníctvom hlasovania a odborných znalostí. </w:t>
      </w:r>
    </w:p>
    <w:p>
      <w:pPr>
        <w:pStyle w:val="Normal"/>
        <w:rPr/>
      </w:pPr>
      <w:r>
        <w:rPr/>
        <w:t xml:space="preserve"> </w:t>
      </w:r>
    </w:p>
    <w:p>
      <w:pPr>
        <w:pStyle w:val="Titre4"/>
        <w:numPr>
          <w:ilvl w:val="3"/>
          <w:numId w:val="2"/>
        </w:numPr>
        <w:rPr/>
      </w:pPr>
      <w:bookmarkStart w:id="153" w:name="__RefHeading___Toc297241_1346298689"/>
      <w:bookmarkEnd w:id="153"/>
      <w:r>
        <w:rPr/>
        <w:t xml:space="preserve">Os 2: Ochrana demokracie a právneho štátu </w:t>
      </w:r>
    </w:p>
    <w:p>
      <w:pPr>
        <w:pStyle w:val="Normal"/>
        <w:rPr/>
      </w:pPr>
      <w:r>
        <w:rPr/>
        <w:t xml:space="preserve"> </w:t>
      </w:r>
    </w:p>
    <w:p>
      <w:pPr>
        <w:pStyle w:val="Normal"/>
        <w:rPr/>
      </w:pPr>
      <w:r>
        <w:rPr/>
        <w:t xml:space="preserve">Podos 2.2 Ochrana a posilnenie demokracie/podosí 2.4 Médiá a dezinformácie </w:t>
      </w:r>
    </w:p>
    <w:p>
      <w:pPr>
        <w:pStyle w:val="Normal"/>
        <w:rPr/>
      </w:pPr>
      <w:r>
        <w:rPr/>
        <w:t xml:space="preserve"> </w:t>
      </w:r>
    </w:p>
    <w:p>
      <w:pPr>
        <w:pStyle w:val="P68B1DB1Normal15"/>
        <w:rPr/>
      </w:pPr>
      <w:r>
        <w:rPr/>
        <w:t>„</w:t>
      </w:r>
      <w:r>
        <w:rPr/>
        <w:t xml:space="preserve">Odporúčame vytvoriť na európskej úrovni monitorovaciu agentúru pre audiovizuálne, tlačové a digitálne médiá. Táto agentúra by mala overiť, či vnútroštátne médiá pri tvorbe svojho obsahu dodržiavajú nestranný a objektívny proces. S cieľom zabrániť dezinformáciám by agentúra mala stanoviť systém hodnotenia spoľahlivosti vnútroštátnych médií. Tento systém hodnotenia by mal byť pre občanov ľahko pochopiteľný. </w:t>
      </w:r>
    </w:p>
    <w:p>
      <w:pPr>
        <w:pStyle w:val="Normal"/>
        <w:rPr/>
      </w:pPr>
      <w:r>
        <w:rPr/>
        <w:t xml:space="preserve"> </w:t>
      </w:r>
    </w:p>
    <w:p>
      <w:pPr>
        <w:pStyle w:val="Normal"/>
        <w:rPr/>
      </w:pPr>
      <w:r>
        <w:rPr/>
        <w:t xml:space="preserve">Odporúčame to, pretože potrebujeme posúdenie médií a ich spoľahlivosti, ale aj rozmanitosti médií v krajinách EÚ. Európska agentúra by bola najobjektívnejším orgánom na zabezpečenie takejto misie. Okrem toho takýto systém hodnotenia umožňuje občanom prijímať informované rozhodnutia a nabáda médiá, aby poskytovali spoľahlivé informácie. Ak sa ukáže, že ratingový systém nie je dostatočný na zabezpečenie spoľahlivosti médií, agentúra by mala mať tiež právomoc ukladať sankcie. </w:t>
      </w:r>
    </w:p>
    <w:p>
      <w:pPr>
        <w:pStyle w:val="Normal"/>
        <w:rPr/>
      </w:pPr>
      <w:r>
        <w:rPr/>
        <w:t xml:space="preserve"> </w:t>
      </w:r>
    </w:p>
    <w:p>
      <w:pPr>
        <w:pStyle w:val="Titre3"/>
        <w:numPr>
          <w:ilvl w:val="2"/>
          <w:numId w:val="2"/>
        </w:numPr>
        <w:rPr/>
      </w:pPr>
      <w:bookmarkStart w:id="154" w:name="__RefHeading___Toc297243_1346298689"/>
      <w:bookmarkEnd w:id="154"/>
      <w:r>
        <w:rPr/>
        <w:t xml:space="preserve">Os 5: Posilnenie účasti občanov </w:t>
      </w:r>
    </w:p>
    <w:p>
      <w:pPr>
        <w:pStyle w:val="Normal"/>
        <w:rPr/>
      </w:pPr>
      <w:r>
        <w:rPr/>
        <w:t xml:space="preserve"> </w:t>
      </w:r>
    </w:p>
    <w:p>
      <w:pPr>
        <w:pStyle w:val="Titre4"/>
        <w:numPr>
          <w:ilvl w:val="3"/>
          <w:numId w:val="2"/>
        </w:numPr>
        <w:rPr/>
      </w:pPr>
      <w:r>
        <w:rPr/>
        <w:t xml:space="preserve">Podos 5.1 Účasť občanov </w:t>
      </w:r>
    </w:p>
    <w:p>
      <w:pPr>
        <w:pStyle w:val="Normal"/>
        <w:rPr/>
      </w:pPr>
      <w:r>
        <w:rPr/>
        <w:t xml:space="preserve"> </w:t>
      </w:r>
    </w:p>
    <w:p>
      <w:pPr>
        <w:pStyle w:val="P68B1DB1Normal15"/>
        <w:rPr/>
      </w:pPr>
      <w:r>
        <w:rPr/>
        <w:t>„</w:t>
      </w:r>
      <w:r>
        <w:rPr/>
        <w:t xml:space="preserve">Odporúčame vytvoriť zastupiteľský orgán občanov, ktorý by diskutoval o rozhodovacom procese a významne k nemu prispel – vždy, keď sa rozhoduje o kľúčovej otázke pre európskych občanov na úrovni EÚ (podľa rozhodnutia občanov – prípadne prostredníctvom vyšetrovania). Mala by ísť o heterogénnu skupinu približne 100 občanov zo všetkých krajín EÚ, v ktorej je každá krajina zastúpená rovnako. Mala by to byť rotujúca skupina, ktorej členovia sú pravidelne nahradení. </w:t>
      </w:r>
    </w:p>
    <w:p>
      <w:pPr>
        <w:pStyle w:val="Normal"/>
        <w:rPr/>
      </w:pPr>
      <w:r>
        <w:rPr/>
        <w:t xml:space="preserve"> </w:t>
      </w:r>
    </w:p>
    <w:p>
      <w:pPr>
        <w:pStyle w:val="Normal"/>
        <w:rPr/>
      </w:pPr>
      <w:r>
        <w:rPr/>
        <w:t xml:space="preserve">Keďže je dôležité vyhnúť sa problémom, ako je korupcia, ktoré by mohli vzniknúť zo stáleho zastupiteľského orgánu, a je nevyhnutné, aby takýto orgán mal rovnaké zastúpenie všetkých krajín, aby sa zabránilo nespravodlivej rozhodovacej právomoci. Pretože tento spôsob prevádzky by zabránil problémom súvisiacim s inštaláciou alebo neustálym používaním vzdialených technológií. </w:t>
      </w:r>
    </w:p>
    <w:p>
      <w:pPr>
        <w:pStyle w:val="Normal"/>
        <w:rPr/>
      </w:pPr>
      <w:r>
        <w:rPr/>
        <w:t xml:space="preserve"> </w:t>
      </w:r>
      <w:r>
        <w:br w:type="page"/>
      </w:r>
    </w:p>
    <w:p>
      <w:pPr>
        <w:pStyle w:val="P68B1DB1Normal19"/>
        <w:rPr/>
      </w:pPr>
      <w:r>
        <w:rPr/>
        <w:t xml:space="preserve"> </w:t>
      </w:r>
    </w:p>
    <w:p>
      <w:pPr>
        <w:pStyle w:val="Titre2"/>
        <w:numPr>
          <w:ilvl w:val="1"/>
          <w:numId w:val="2"/>
        </w:numPr>
        <w:rPr/>
      </w:pPr>
      <w:bookmarkStart w:id="155" w:name="__RefHeading___Toc297245_1346298689"/>
      <w:bookmarkEnd w:id="155"/>
      <w:r>
        <w:rPr/>
        <w:t xml:space="preserve">Európsky panel občanov 3: Zmena klímy a životné prostredie/zdravie </w:t>
      </w:r>
    </w:p>
    <w:p>
      <w:pPr>
        <w:pStyle w:val="Normal"/>
        <w:rPr/>
      </w:pPr>
      <w:r>
        <w:rPr/>
        <w:t xml:space="preserve"> </w:t>
      </w:r>
    </w:p>
    <w:p>
      <w:pPr>
        <w:pStyle w:val="Normal"/>
        <w:rPr/>
      </w:pPr>
      <w:r>
        <w:rPr/>
        <w:t xml:space="preserve">ODPORÚČANIA PRIJATÉ SKUPINOU ODBORNÍKOV (KTORÉ SA MAJÚ PREDLOŽIŤ PLÉNU) </w:t>
      </w:r>
    </w:p>
    <w:p>
      <w:pPr>
        <w:pStyle w:val="Normal"/>
        <w:rPr/>
      </w:pPr>
      <w:r>
        <w:rPr/>
        <w:t xml:space="preserve"> </w:t>
      </w:r>
    </w:p>
    <w:p>
      <w:pPr>
        <w:pStyle w:val="Titre3"/>
        <w:numPr>
          <w:ilvl w:val="2"/>
          <w:numId w:val="2"/>
        </w:numPr>
        <w:rPr/>
      </w:pPr>
      <w:bookmarkStart w:id="156" w:name="__RefHeading___Toc297247_1346298689"/>
      <w:bookmarkEnd w:id="156"/>
      <w:r>
        <w:rPr/>
        <w:t xml:space="preserve">Os 1: Lepšie spôsoby života </w:t>
      </w:r>
    </w:p>
    <w:p>
      <w:pPr>
        <w:pStyle w:val="Normal"/>
        <w:rPr/>
      </w:pPr>
      <w:r>
        <w:rPr/>
        <w:t xml:space="preserve"> </w:t>
      </w:r>
    </w:p>
    <w:p>
      <w:pPr>
        <w:pStyle w:val="Titre4"/>
        <w:numPr>
          <w:ilvl w:val="3"/>
          <w:numId w:val="2"/>
        </w:numPr>
        <w:rPr/>
      </w:pPr>
      <w:bookmarkStart w:id="157" w:name="__RefHeading___Toc297249_1346298689"/>
      <w:bookmarkEnd w:id="157"/>
      <w:r>
        <w:rPr/>
        <w:t xml:space="preserve">Podos 1.1 Zdravý životný štýl </w:t>
      </w:r>
    </w:p>
    <w:p>
      <w:pPr>
        <w:pStyle w:val="P68B1DB1Normal15"/>
        <w:rPr/>
      </w:pPr>
      <w:r>
        <w:rPr/>
        <w:t xml:space="preserve">1. Odporúčame, aby EÚ poskytovala dotácie na ekologické poľnohospodárstvo vrátane stimulov pre ekologické pesticídy s cieľom zabezpečiť, aby ekologické výrobky boli cenovo dostupnejšie. EÚ musí okrem toho podporovať vzdelávanie poľnohospodárov v oblasti ekologického a udržateľného poľnohospodárstva a monokultúr by sa malo zabrániť. Malé ekologické poľnohospodárske podniky, neintenzívne poľnohospodárske podniky a poľnohospodárske podniky s krátkymi dodávateľskými reťazcami by mali mať prospech z podpory, ktorá im umožní zvýšiť ich konkurencieschopnosť. </w:t>
      </w:r>
    </w:p>
    <w:p>
      <w:pPr>
        <w:pStyle w:val="Normal"/>
        <w:rPr/>
      </w:pPr>
      <w:r>
        <w:rPr/>
        <w:t xml:space="preserve"> </w:t>
      </w:r>
    </w:p>
    <w:p>
      <w:pPr>
        <w:pStyle w:val="Normal"/>
        <w:rPr/>
      </w:pPr>
      <w:r>
        <w:rPr/>
        <w:t xml:space="preserve">Vďaka dotovaniu ekologických produktov by boli cenovo dostupnejšie. Mali by sme pomôcť supermarketom využívajúcim kratšie dodávateľské reťazce a malým poľnohospodárom tým, že im ponúkneme príležitosti na predaj svojich výrobkov. To umožňuje rozšíriť prístup k čerstvejším výrobkom. Okrem toho nízke ceny neekologických výrobkov neodrážajú škody, ktoré spôsobujú. </w:t>
      </w:r>
    </w:p>
    <w:p>
      <w:pPr>
        <w:pStyle w:val="Normal"/>
        <w:rPr/>
      </w:pPr>
      <w:r>
        <w:rPr/>
        <w:t xml:space="preserve"> </w:t>
      </w:r>
    </w:p>
    <w:p>
      <w:pPr>
        <w:pStyle w:val="P68B1DB1Normal15"/>
        <w:rPr/>
      </w:pPr>
      <w:r>
        <w:rPr/>
        <w:t xml:space="preserve">2. Odporúčame, aby sa inovácie vo vertikálnom poľnohospodárstve financovali z investícií EÚ. </w:t>
      </w:r>
    </w:p>
    <w:p>
      <w:pPr>
        <w:pStyle w:val="Normal"/>
        <w:rPr/>
      </w:pPr>
      <w:r>
        <w:rPr/>
        <w:t xml:space="preserve">Vertikálne poľnohospodárstvo nám umožňuje šetriť priestor, ktorý by sa namiesto toho mohol využiť na lesníctvo. Nevyžaduje ani pesticídy, čo nám umožňuje vyrábať viac ekologických potravín. Okrem toho nie je ovplyvnená nepriaznivými poveternostnými podmienkami, ktoré sú čoraz bežnejšie v dôsledku zmeny klímy a môžu skrátiť dodávateľské reťazce. </w:t>
      </w:r>
    </w:p>
    <w:p>
      <w:pPr>
        <w:pStyle w:val="Normal"/>
        <w:rPr/>
      </w:pPr>
      <w:r>
        <w:rPr/>
        <w:t xml:space="preserve"> </w:t>
      </w:r>
    </w:p>
    <w:p>
      <w:pPr>
        <w:pStyle w:val="P68B1DB1Normal15"/>
        <w:rPr/>
      </w:pPr>
      <w:r>
        <w:rPr/>
        <w:t xml:space="preserve">3. EÚ by mala stanoviť minimálne normy týkajúce sa kvality potravín, vysledovateľnosti potravín a spotreby sezónnych výrobkov v školských jedálňach. Zdravé zložky do školských jedální by sa preto mali dotovať, aby sa študentom poskytli kvalitné cenovo dostupné potraviny. </w:t>
      </w:r>
    </w:p>
    <w:p>
      <w:pPr>
        <w:pStyle w:val="Normal"/>
        <w:rPr/>
      </w:pPr>
      <w:r>
        <w:rPr/>
        <w:t xml:space="preserve"> </w:t>
      </w:r>
    </w:p>
    <w:p>
      <w:pPr>
        <w:pStyle w:val="Normal"/>
        <w:rPr/>
      </w:pPr>
      <w:r>
        <w:rPr/>
        <w:t xml:space="preserve">Získavame od raného veku návyky, ktoré formujú náš postoj k zdraviu; v škole by sa mali podporovať dobré návyky a študenti by ich mohli replikovať doma. Je to tiež otázka sociálnej spravodlivosti: každý študent EÚ by mal mať nárok na kvalitné jedlo v škole. </w:t>
      </w:r>
    </w:p>
    <w:p>
      <w:pPr>
        <w:pStyle w:val="Normal"/>
        <w:rPr/>
      </w:pPr>
      <w:r>
        <w:rPr/>
        <w:t xml:space="preserve"> </w:t>
      </w:r>
    </w:p>
    <w:p>
      <w:pPr>
        <w:pStyle w:val="P68B1DB1Normal15"/>
        <w:rPr/>
      </w:pPr>
      <w:r>
        <w:rPr/>
        <w:t xml:space="preserve">4. Odporúčame investovať do nových cyklistických trás a do zlepšenia existujúcich trás s cieľom zabezpečiť bezpečnosť a atraktívnosť cyklistiky a zabezpečiť, aby všetky vekové skupiny mohli využívať odbornú prípravu v oblasti pravidiel cestnej premávky v Európe, najmä pre používateľov elektronických bicyklov a ľudí bez vodičského preukazu. Od výrobcov elektrických bicyklov by sa malo vyžadovať, aby poskytovali informácie o používaní elektrického bicykla a súvisiacich rizikách. Cyklistom by sa mala poskytnúť právna ochrana v prípade nehody s vozidlom (pozri holandské pravidlá). Podporujeme oblasti bez áut v mestách (bez poškodenia obchodných oblastí). Všeobecnejšie odporúčame uprednostniť cyklistov a chodcov pred motorovými vozidlami a zároveň zabezpečiť bezpečnosť cestnej premávky a dodržiavanie pravidiel cestnej premávky. </w:t>
      </w:r>
    </w:p>
    <w:p>
      <w:pPr>
        <w:pStyle w:val="Normal"/>
        <w:rPr/>
      </w:pPr>
      <w:r>
        <w:rPr/>
        <w:t xml:space="preserve"> </w:t>
      </w:r>
    </w:p>
    <w:p>
      <w:pPr>
        <w:pStyle w:val="Normal"/>
        <w:rPr/>
      </w:pPr>
      <w:r>
        <w:rPr/>
        <w:t xml:space="preserve">Tieto odporúčania sú dôležité, pretože cyklistika prináša výhody z hľadiska individuálneho a verejného zdravia, kvality ovzdušia, hladiny hluku, klímy a dopravy v centrách miest. Cyklisti a chodci sa musia cítiť bezpečne vzhľadom na riziká spojené so zvýšeným používaním elektrického bicykla. Niekedy chýbajú cyklistické pruhy alebo sú v zlom stave. </w:t>
      </w:r>
    </w:p>
    <w:p>
      <w:pPr>
        <w:pStyle w:val="Normal"/>
        <w:rPr/>
      </w:pPr>
      <w:r>
        <w:rPr/>
        <w:t xml:space="preserve"> </w:t>
      </w:r>
    </w:p>
    <w:p>
      <w:pPr>
        <w:pStyle w:val="P68B1DB1Normal15"/>
        <w:rPr/>
      </w:pPr>
      <w:r>
        <w:rPr/>
        <w:t xml:space="preserve">5. Odporúčame začleniť výrobu potravín do verejného vzdelávania. Odporúčame dotovať a podporovať vytváranie záhrad v školách, ak je to možné, a mestské záhradnícke projekty vo verejných a súkromných priestoroch. Rámce mestského plánovania musia integrovať potrebu vesmírnej, vodnej a podpornej infraštruktúry. Napríklad bývalé parkoviská by sa mohli využiť na ekologizačné projekty, vertikálne záhradnícke projekty by sa mohli realizovať na budovách alebo získanie stavebných povolení by mohlo byť podmienené integráciou zelených plôch. Odporúčame výmenu inovatívnych a osvedčených postupov vo všetkých členských štátoch. </w:t>
      </w:r>
    </w:p>
    <w:p>
      <w:pPr>
        <w:pStyle w:val="Normal"/>
        <w:rPr/>
      </w:pPr>
      <w:r>
        <w:rPr/>
        <w:t xml:space="preserve"> </w:t>
      </w:r>
    </w:p>
    <w:p>
      <w:pPr>
        <w:pStyle w:val="Normal"/>
        <w:rPr/>
      </w:pPr>
      <w:r>
        <w:rPr/>
        <w:t xml:space="preserve">Záhradnícke projekty podporujú odolnosť miest a ich obyvateľov a spájajú ľudí rôzneho veku a sociálnych skupín. Množenie zelených plôch zlepšuje kvalitu života, kvalitu ovzdušia, duševné a fyzické zdravie a životné prostredie. </w:t>
      </w:r>
    </w:p>
    <w:p>
      <w:pPr>
        <w:pStyle w:val="Normal"/>
        <w:rPr/>
      </w:pPr>
      <w:r>
        <w:rPr/>
        <w:t xml:space="preserve"> </w:t>
      </w:r>
    </w:p>
    <w:p>
      <w:pPr>
        <w:pStyle w:val="Titre4"/>
        <w:numPr>
          <w:ilvl w:val="3"/>
          <w:numId w:val="2"/>
        </w:numPr>
        <w:rPr/>
      </w:pPr>
      <w:bookmarkStart w:id="158" w:name="__RefHeading___Toc297251_1346298689"/>
      <w:bookmarkEnd w:id="158"/>
      <w:r>
        <w:rPr/>
        <w:t xml:space="preserve">Podos 1.2 Environmentálne vzdelávanie </w:t>
      </w:r>
    </w:p>
    <w:p>
      <w:pPr>
        <w:pStyle w:val="P68B1DB1Normal15"/>
        <w:rPr/>
      </w:pPr>
      <w:r>
        <w:rPr/>
        <w:t>6. Odporúčame, aby EÚ prijala smernicu, v ktorej sa vyžaduje, aby programy územného plánovania spĺňali osobitné environmentálne požiadavky, aby sa mestá stali ekologickejšími. Táto smernica by sa mala vzťahovať na súkromné a verejné statky a priestory, najmä na nové budovy vo výstavbe. Musí stanoviť minimálne normy, aby sa zabezpečilo, že budovy a priestory budú čo najzelenšie. Prídavné meno „zelená“ sa tu vzťahuje na využívanie obnoviteľných zdrojov energie, zníženie spotreby energie, nízke emisie</w:t>
      </w:r>
      <w:r>
        <w:rPr>
          <w:vertAlign w:val="subscript"/>
        </w:rPr>
        <w:t>CO2 a</w:t>
      </w:r>
      <w:r>
        <w:rPr/>
        <w:t xml:space="preserve"> začlenenie zariadení do architektonických projektov. </w:t>
      </w:r>
    </w:p>
    <w:p>
      <w:pPr>
        <w:pStyle w:val="Normal"/>
        <w:rPr/>
      </w:pPr>
      <w:r>
        <w:rPr/>
        <w:t xml:space="preserve"> </w:t>
      </w:r>
    </w:p>
    <w:p>
      <w:pPr>
        <w:pStyle w:val="Normal"/>
        <w:rPr/>
      </w:pPr>
      <w:r>
        <w:rPr/>
        <w:t>Ekologickejšie mestá aktívne prispievajú k znižovaniu účinkov zmeny klímy a emisií</w:t>
      </w:r>
      <w:r>
        <w:rPr>
          <w:vertAlign w:val="subscript"/>
        </w:rPr>
        <w:t>CO2 a ozónu</w:t>
      </w:r>
      <w:r>
        <w:rPr/>
        <w:t xml:space="preserve">, ktoré majú negatívny vplyv na zdravie občanov. Investície do ekologickejších miest prispievajú k trvalo udržateľnému rozvoju komunity, ktorý prináša dlhodobé hospodárske a sociálne výhody. </w:t>
      </w:r>
    </w:p>
    <w:p>
      <w:pPr>
        <w:pStyle w:val="Normal"/>
        <w:rPr/>
      </w:pPr>
      <w:r>
        <w:rPr/>
        <w:t xml:space="preserve"> </w:t>
      </w:r>
    </w:p>
    <w:p>
      <w:pPr>
        <w:pStyle w:val="P68B1DB1Normal15"/>
        <w:rPr/>
      </w:pPr>
      <w:r>
        <w:rPr/>
        <w:t xml:space="preserve">7. Odporúčame, aby EÚ s pomocou členských štátov vypracovala, prijala a vykonávala spoločnú Európsku chartu zameranú na otázky životného prostredia v ich zložitosti. Charta poskytne členským štátom rámec na organizovanie pravidelných informačných a vzdelávacích kampaní šírených prostredníctvom všetkých dostupných mediálnych kanálov a na novom informačnom portáli vytvorenom na tento účel. Tieto kampane by sa mali organizovať v celej EÚ a na všetkých úrovniach s cieľom zvýšiť informovanosť všetkých občanov o životnom prostredí. </w:t>
      </w:r>
    </w:p>
    <w:p>
      <w:pPr>
        <w:pStyle w:val="Normal"/>
        <w:rPr/>
      </w:pPr>
      <w:r>
        <w:rPr/>
        <w:t xml:space="preserve"> </w:t>
      </w:r>
    </w:p>
    <w:p>
      <w:pPr>
        <w:pStyle w:val="Normal"/>
        <w:rPr/>
      </w:pPr>
      <w:r>
        <w:rPr/>
        <w:t xml:space="preserve">Nedostatočná koordinácia medzi členskými štátmi brzdí účinnosť existujúcich kampaní a spomaľuje úsilie o riešenie globálnej výzvy zmeny klímy. Spoločnou chartou sa podporí súčinnosť medzi akčnými plánmi členských štátov, čím sa zabezpečí väčšia účinnosť úsilia. Okrem toho sa zabezpečí, aby sa občanom poskytovali konzistentné a konzistentné informácie o vplyve ich každodenných činností, ako je výber spôsobu dopravy a spracovanie ich odpadu. </w:t>
      </w:r>
    </w:p>
    <w:p>
      <w:pPr>
        <w:pStyle w:val="Normal"/>
        <w:rPr/>
      </w:pPr>
      <w:r>
        <w:rPr/>
        <w:t xml:space="preserve"> </w:t>
      </w:r>
    </w:p>
    <w:p>
      <w:pPr>
        <w:pStyle w:val="Titre3"/>
        <w:numPr>
          <w:ilvl w:val="2"/>
          <w:numId w:val="2"/>
        </w:numPr>
        <w:rPr/>
      </w:pPr>
      <w:bookmarkStart w:id="159" w:name="__RefHeading___Toc297253_1346298689"/>
      <w:bookmarkEnd w:id="159"/>
      <w:r>
        <w:rPr/>
        <w:t xml:space="preserve">Os 2: Ochrana životného prostredia a zdravia </w:t>
      </w:r>
    </w:p>
    <w:p>
      <w:pPr>
        <w:pStyle w:val="Titre4"/>
        <w:numPr>
          <w:ilvl w:val="3"/>
          <w:numId w:val="2"/>
        </w:numPr>
        <w:rPr/>
      </w:pPr>
      <w:bookmarkStart w:id="160" w:name="__RefHeading___Toc297255_1346298689"/>
      <w:bookmarkEnd w:id="160"/>
      <w:r>
        <w:rPr/>
        <w:t xml:space="preserve">Podos 2.1 zdravé prírodné prostredie </w:t>
      </w:r>
    </w:p>
    <w:p>
      <w:pPr>
        <w:pStyle w:val="P68B1DB1Normal15"/>
        <w:rPr/>
      </w:pPr>
      <w:r>
        <w:rPr/>
        <w:t xml:space="preserve">8. Odporúčame jednotný systém ekologického jadra, ktorý zobrazuje celkovú environmentálnu stopu každého dostupného výrobku zakúpeného v EÚ. Výrobky z tretích krajín musia tento systém ekologického jadra dodržiavať transparentným spôsobom. Tento systém by mal byť založený na jasných klasifikačných kritériách uplatniteľných na samotné výrobky a mal by používať napríklad QR kód, ktorý poskytuje podrobnejšie informácie o výrobku. </w:t>
      </w:r>
    </w:p>
    <w:p>
      <w:pPr>
        <w:pStyle w:val="Normal"/>
        <w:rPr/>
      </w:pPr>
      <w:r>
        <w:rPr/>
        <w:t xml:space="preserve"> </w:t>
      </w:r>
    </w:p>
    <w:p>
      <w:pPr>
        <w:pStyle w:val="Normal"/>
        <w:rPr/>
      </w:pPr>
      <w:r>
        <w:rPr/>
        <w:t xml:space="preserve">Tieto informácie o životnom cykle výrobkov majú zásadný význam pre všetkých občanov EÚ s cieľom posilniť postavenie spotrebiteľov pri nakupovaní. To umožní občanom EÚ prijímať zodpovedné rozhodnutia, ktoré prispejú k ochrane ich životného prostredia. </w:t>
      </w:r>
    </w:p>
    <w:p>
      <w:pPr>
        <w:pStyle w:val="Normal"/>
        <w:rPr/>
      </w:pPr>
      <w:r>
        <w:rPr/>
        <w:t xml:space="preserve"> </w:t>
      </w:r>
    </w:p>
    <w:p>
      <w:pPr>
        <w:pStyle w:val="P68B1DB1Normal15"/>
        <w:rPr/>
      </w:pPr>
      <w:r>
        <w:rPr/>
        <w:t xml:space="preserve">9. Odporúčame, aby sa vynaložilo viac investícií na preskúmanie nových zdrojov energie šetrných k životnému prostrediu a až do zavedenia týchto nových zdrojov sa vyčlenili dodatočné investície do existujúcich optimálnych riešení výroby energie. Odporúčame tiež transparentne informovať a vzdelávať európskych občanov o konkrétnych zdrojoch energie. Dôrazne odporúčame zohľadniť celkové ekologické a sociálne vplyvy procesu výroby energie pre súčasné a budúce generácie. </w:t>
      </w:r>
    </w:p>
    <w:p>
      <w:pPr>
        <w:pStyle w:val="Normal"/>
        <w:rPr/>
      </w:pPr>
      <w:r>
        <w:rPr/>
        <w:t xml:space="preserve"> </w:t>
      </w:r>
    </w:p>
    <w:p>
      <w:pPr>
        <w:pStyle w:val="Normal"/>
        <w:rPr/>
      </w:pPr>
      <w:r>
        <w:rPr/>
        <w:t xml:space="preserve">Čelíme veľmi vysokým úrovniam emisií uhlíka a iných toxických látok z výroby energie, ktoré degradujú klímu a kvalitu ovzdušia. Aby sme boli v súlade s usmerneniami EÚ, odporúčaniami zo správ IPCC a cieľmi konferencie COP26, musíme posilniť výskum a investície s cieľom dosiahnuť klimaticky neutrálnu výrobu energie. </w:t>
      </w:r>
    </w:p>
    <w:p>
      <w:pPr>
        <w:pStyle w:val="Normal"/>
        <w:rPr/>
      </w:pPr>
      <w:r>
        <w:rPr/>
        <w:t xml:space="preserve"> </w:t>
      </w:r>
    </w:p>
    <w:p>
      <w:pPr>
        <w:pStyle w:val="Titre4"/>
        <w:numPr>
          <w:ilvl w:val="3"/>
          <w:numId w:val="2"/>
        </w:numPr>
        <w:rPr/>
      </w:pPr>
      <w:bookmarkStart w:id="161" w:name="__RefHeading___Toc297257_1346298689"/>
      <w:bookmarkEnd w:id="161"/>
      <w:r>
        <w:rPr/>
        <w:t xml:space="preserve">Podos 2.2 Ochrana našej biodiverzity </w:t>
      </w:r>
    </w:p>
    <w:p>
      <w:pPr>
        <w:pStyle w:val="P68B1DB1Normal15"/>
        <w:rPr/>
      </w:pPr>
      <w:r>
        <w:rPr/>
        <w:t xml:space="preserve">10. Odporúčame drasticky znížiť používanie chemických pesticídov a hnojív vo všetkých typoch poľnohospodárstva zabezpečením uplatňovania prísnejších spoločných noriem, urýchlením výskumu prírodných alternatív a podporou prijímania nových riešení vrátane školení pre poľnohospodárov. </w:t>
      </w:r>
    </w:p>
    <w:p>
      <w:pPr>
        <w:pStyle w:val="Normal"/>
        <w:rPr/>
      </w:pPr>
      <w:r>
        <w:rPr/>
        <w:t xml:space="preserve"> </w:t>
      </w:r>
    </w:p>
    <w:p>
      <w:pPr>
        <w:pStyle w:val="Normal"/>
        <w:rPr/>
      </w:pPr>
      <w:r>
        <w:rPr/>
        <w:t xml:space="preserve">Hoci sa dosiahol pokrok v oblasti hnojív a alternatívnych pesticídov, väčšina z nich ešte nie je použiteľná vo veľkých poľnohospodárskych podnikoch. Preto je potrebné vynaložiť viac úsilia na vývoj nových riešení. Výskum by sa mal podporovať prostredníctvom verejných výdavkov a vyšších noriem používania pesticídov a hnojív. Výsledky výskumu sa musia rýchlo šíriť na úrovni EÚ. </w:t>
      </w:r>
    </w:p>
    <w:p>
      <w:pPr>
        <w:pStyle w:val="Normal"/>
        <w:rPr/>
      </w:pPr>
      <w:r>
        <w:rPr/>
        <w:t xml:space="preserve"> </w:t>
      </w:r>
    </w:p>
    <w:p>
      <w:pPr>
        <w:pStyle w:val="P68B1DB1Normal15"/>
        <w:rPr/>
      </w:pPr>
      <w:r>
        <w:rPr/>
        <w:t xml:space="preserve">11. Odporúčame rozšíriť chránené územia na ochranu biodiverzity (cicavce, vtáky, hmyz a rastliny) a posilniť právny štát, pokiaľ ide o ľudské zásahy v týchto oblastiach. Chránené oblasti sa budú považovať nielen za ostrovčeky, ale aj za kontinuum s ekologickejšími mestskými oblasťami v súlade s harmonizovanými normami EÚ. </w:t>
      </w:r>
    </w:p>
    <w:p>
      <w:pPr>
        <w:pStyle w:val="Normal"/>
        <w:rPr/>
      </w:pPr>
      <w:r>
        <w:rPr/>
        <w:t xml:space="preserve"> </w:t>
      </w:r>
    </w:p>
    <w:p>
      <w:pPr>
        <w:pStyle w:val="Normal"/>
        <w:rPr/>
      </w:pPr>
      <w:r>
        <w:rPr/>
        <w:t xml:space="preserve">Biodiverzita veľmi trpí odlesňovaním. Vytvorenie chránených oblastí je jedným z hlavných prostriedkov na ochranu suchozemskej biodiverzity. Je však ťažké zachovať chránené oblasti v blízkosti znečistených miest alebo zabrániť zasahovaniu ľudí, keď okolité oblasti ponechávajú málo miesta pre prírodu. Musíme zrekonštruovať obytné plochy a integrovať ich do okolitej prírody. </w:t>
      </w:r>
    </w:p>
    <w:p>
      <w:pPr>
        <w:pStyle w:val="Normal"/>
        <w:rPr/>
      </w:pPr>
      <w:r>
        <w:rPr/>
        <w:t xml:space="preserve"> </w:t>
      </w:r>
    </w:p>
    <w:p>
      <w:pPr>
        <w:pStyle w:val="Normal"/>
        <w:rPr/>
      </w:pPr>
      <w:r>
        <w:rPr>
          <w:b/>
        </w:rPr>
        <w:t>12. Odporúčame presmerovať všeobecné dotácie do poľnohospodárstva najmä na projekty súvisiace s rozvojom udržateľného poľnohospodárstva vrátane rešpektovania prírody a pracovníkov. Príjemcovia by mali dodržiavať jasné environmentálne normy a mali by sa pozorne monitorovať.</w:t>
      </w:r>
      <w:r>
        <w:rPr/>
        <w:t xml:space="preserve"> </w:t>
      </w:r>
    </w:p>
    <w:p>
      <w:pPr>
        <w:pStyle w:val="Normal"/>
        <w:rPr/>
      </w:pPr>
      <w:r>
        <w:rPr/>
        <w:t xml:space="preserve"> </w:t>
      </w:r>
    </w:p>
    <w:p>
      <w:pPr>
        <w:pStyle w:val="Normal"/>
        <w:rPr/>
      </w:pPr>
      <w:r>
        <w:rPr/>
        <w:t xml:space="preserve">Domnievame sa, že by sa malo podporovať len udržateľné poľnohospodárstvo, čo znamená prerozdelenie finančných prostriedkov, ktoré sa v súčasnosti používajú na všeobecné dotácie. Okrem toho je možné zvýšiť efektívnosť použitých finančných prostriedkov zameraním sa skôr na transformačné projekty a inovačné riešenia než na ročné platby. Malo by sa zabezpečiť lepšie monitorovanie ekologického vplyvu poľnohospodárskych činností a projektov. Ľudské práva pracovníkov treba vnímať aj ako neoddeliteľnú súčasť udržateľnosti. </w:t>
      </w:r>
    </w:p>
    <w:p>
      <w:pPr>
        <w:pStyle w:val="Normal"/>
        <w:rPr/>
      </w:pPr>
      <w:r>
        <w:rPr/>
        <w:t xml:space="preserve"> </w:t>
      </w:r>
    </w:p>
    <w:p>
      <w:pPr>
        <w:pStyle w:val="Normal"/>
        <w:rPr/>
      </w:pPr>
      <w:r>
        <w:rPr>
          <w:b/>
        </w:rPr>
        <w:t>13. Odporúčame, aby EÚ zabezpečila spravodlivú hospodársku súťaž pre ekologické poľnohospodárske výrobky tým, že stanoví prísnejšie normy pre výrobky z EÚ aj dovážané výrobky, zabezpečí vysledovateľnosť, označovanie a kontrolu kvality.</w:t>
      </w:r>
      <w:r>
        <w:rPr/>
        <w:t xml:space="preserve"> </w:t>
      </w:r>
    </w:p>
    <w:p>
      <w:pPr>
        <w:pStyle w:val="Normal"/>
        <w:rPr/>
      </w:pPr>
      <w:r>
        <w:rPr/>
        <w:t xml:space="preserve"> </w:t>
      </w:r>
    </w:p>
    <w:p>
      <w:pPr>
        <w:pStyle w:val="Normal"/>
        <w:rPr/>
      </w:pPr>
      <w:r>
        <w:rPr/>
        <w:t xml:space="preserve">Nižšia produktivita udržateľných poľnohospodárskych výrobkov oslabuje ich nákladovú konkurencieschopnosť. Dovážané výrobky by mali spĺňať rovnaké prísne normy, pokiaľ ide o vplyv ich výroby na životné prostredie. Naše orgány by mali byť schopné zabezpečiť vysledovateľnosť dovážaných poľnohospodárskych výrobkov. </w:t>
      </w:r>
    </w:p>
    <w:p>
      <w:pPr>
        <w:pStyle w:val="Normal"/>
        <w:rPr/>
      </w:pPr>
      <w:r>
        <w:rPr/>
        <w:t xml:space="preserve"> </w:t>
      </w:r>
    </w:p>
    <w:p>
      <w:pPr>
        <w:pStyle w:val="P68B1DB1Normal15"/>
        <w:rPr/>
      </w:pPr>
      <w:r>
        <w:rPr/>
        <w:t xml:space="preserve">14. Odporúčame rýchle a masívne zalesňovanie a zalesňovanie v EÚ vďaka optimalizovanému využívaniu pôdy. Osobitná pozornosť by sa mala venovať opätovnému zalesňovaniu využívaných alebo zničených lesov a zalesňovaniu oblastí s degradovanou pôdou. Mali by sa podporovať nové, zodpovednejšie riešenia na lepšie využívanie dreva, napríklad s cieľom nahradiť plasty a iné chemikálie, dosiahnuť vyššiu energetickú účinnosť z biomasy a recyklovať výrobky z dreva. </w:t>
      </w:r>
    </w:p>
    <w:p>
      <w:pPr>
        <w:pStyle w:val="Normal"/>
        <w:rPr/>
      </w:pPr>
      <w:r>
        <w:rPr/>
        <w:t xml:space="preserve"> </w:t>
      </w:r>
    </w:p>
    <w:p>
      <w:pPr>
        <w:pStyle w:val="Normal"/>
        <w:rPr/>
      </w:pPr>
      <w:r>
        <w:rPr/>
        <w:t xml:space="preserve">Opätovné zalesňovanie má jasný pozitívny vplyv na životné prostredie a biodiverzitu vo všeobecnosti. Zároveň musíme používať menej dreva, aby sme sa ohriali, ale viac, aby sme z nich urobili výrobky s vysokou pridanou hodnotou; napríklad, ak chcete nahradiť plasty, použitie dreva je prvoradé. </w:t>
      </w:r>
    </w:p>
    <w:p>
      <w:pPr>
        <w:pStyle w:val="Normal"/>
        <w:rPr/>
      </w:pPr>
      <w:r>
        <w:rPr/>
        <w:t xml:space="preserve"> </w:t>
      </w:r>
    </w:p>
    <w:p>
      <w:pPr>
        <w:pStyle w:val="Titre4"/>
        <w:numPr>
          <w:ilvl w:val="3"/>
          <w:numId w:val="2"/>
        </w:numPr>
        <w:rPr/>
      </w:pPr>
      <w:bookmarkStart w:id="162" w:name="__RefHeading___Toc297259_1346298689"/>
      <w:bookmarkEnd w:id="162"/>
      <w:r>
        <w:rPr/>
        <w:t xml:space="preserve">Podosí 2.3 Bezpečné a zdravé potraviny </w:t>
      </w:r>
    </w:p>
    <w:p>
      <w:pPr>
        <w:pStyle w:val="P68B1DB1Normal15"/>
        <w:rPr/>
      </w:pPr>
      <w:r>
        <w:rPr/>
        <w:t xml:space="preserve">15. Odporúčame rýchle a postupné odstraňovanie neudržateľných obalov používaných v potravinách vrátane plastových obalov a iných biologicky nerozložiteľných obalov. Na tento účel navrhujeme ponúknuť finančné stimuly spoločnostiam, ktoré sa presúvajú na plne biologicky rozložiteľné formy obalov, investujú do hľadania alternatív a ukladajú sankcie spoločnostiam, ktoré nepoužívajú biologicky rozložiteľné obaly. </w:t>
      </w:r>
    </w:p>
    <w:p>
      <w:pPr>
        <w:pStyle w:val="Normal"/>
        <w:rPr/>
      </w:pPr>
      <w:r>
        <w:rPr/>
        <w:t xml:space="preserve"> </w:t>
      </w:r>
    </w:p>
    <w:p>
      <w:pPr>
        <w:pStyle w:val="Normal"/>
        <w:rPr/>
      </w:pPr>
      <w:r>
        <w:rPr/>
        <w:t xml:space="preserve">Plastový odpad, najmä mikroplasty, sa stáva čoraz hojnejším a pomaly degradujúcim. Spotreba plastov oslabuje kvalitu a bezpečnosť potravín a zároveň predstavuje riziko pre zdravie ľudí a zvierat. Okrem toho existujúce právne predpisy EÚ na zníženie biologicky nerozložiteľných obalov sú nedostatočné. </w:t>
      </w:r>
    </w:p>
    <w:p>
      <w:pPr>
        <w:pStyle w:val="Normal"/>
        <w:rPr/>
      </w:pPr>
      <w:r>
        <w:rPr/>
        <w:t xml:space="preserve"> </w:t>
      </w:r>
    </w:p>
    <w:p>
      <w:pPr>
        <w:pStyle w:val="P68B1DB1Normal15"/>
        <w:rPr/>
      </w:pPr>
      <w:r>
        <w:rPr/>
        <w:t xml:space="preserve">16. Odporúčame postupné upustenie od intenzívneho chovu vrátane ukončenia ponižujúcich životných podmienok zvierat. Navrhujeme stanoviť spoločné normy pre chov hospodárskych zvierat (napr. maximálny počet zvierat, prispôsobený vonkajší priestor) a viac investovať do neintenzívnych metód (rozsiahle a udržateľné poľnohospodárstvo) poskytnutím finančných stimulov a odbornej prípravy pre poľnohospodárov na podporu tohto rozvoja. </w:t>
      </w:r>
    </w:p>
    <w:p>
      <w:pPr>
        <w:pStyle w:val="Normal"/>
        <w:rPr/>
      </w:pPr>
      <w:r>
        <w:rPr/>
        <w:t xml:space="preserve"> </w:t>
      </w:r>
    </w:p>
    <w:p>
      <w:pPr>
        <w:pStyle w:val="Normal"/>
        <w:rPr/>
      </w:pPr>
      <w:r>
        <w:rPr/>
        <w:t xml:space="preserve">Postupné ukončenie intenzívneho poľnohospodárstva zníži úroveň znečistenia životného prostredia a posilní ochranu prírody. Okrem toho postupné ukončenie intenzívneho chovu hospodárskych zvierat zníži množstvo liekov potrebných na boj proti chorobám zvierat a na zlepšenie kvality našej stravy. Intenzívne poľnohospodárstvo tiež nerešpektuje dobré životné podmienky zvierat, ale existujú udržateľnejšie formy poľnohospodárstva, ako je extenzívne poľnohospodárstvo; je potrebné poskytnúť poľnohospodárom dotácie, aby im pomohli nastúpiť na túto cestu. </w:t>
      </w:r>
    </w:p>
    <w:p>
      <w:pPr>
        <w:pStyle w:val="Normal"/>
        <w:rPr/>
      </w:pPr>
      <w:r>
        <w:rPr/>
        <w:t xml:space="preserve"> </w:t>
      </w:r>
    </w:p>
    <w:p>
      <w:pPr>
        <w:pStyle w:val="P68B1DB1Normal15"/>
        <w:rPr/>
      </w:pPr>
      <w:r>
        <w:rPr/>
        <w:t xml:space="preserve">17. Odporúčame posilniť kontroly zákazu nepotrebného používania antibiotík a iných veterinárnych liekov v kŕmnych doplnkových látkach: dovoľme, aby sa táto iniciatíva stala! Navrhujeme, aby sa používanie antibiotík v chove hospodárskych zvierat povolilo len vtedy, ak je to absolútne nevyhnutné na ochranu zdravia a dobrých životných podmienok zvierat, a nie preventívnym spôsobom. Okrem toho je potrebné viac investovať do hľadania účinnejších antibiotík, vyvíjať alternatívy a zároveň stavať na prebiehajúcom výskume v tejto oblasti. </w:t>
      </w:r>
    </w:p>
    <w:p>
      <w:pPr>
        <w:pStyle w:val="Normal"/>
        <w:rPr/>
      </w:pPr>
      <w:r>
        <w:rPr/>
        <w:t xml:space="preserve"> </w:t>
      </w:r>
    </w:p>
    <w:p>
      <w:pPr>
        <w:pStyle w:val="Normal"/>
        <w:rPr/>
      </w:pPr>
      <w:r>
        <w:rPr/>
        <w:t xml:space="preserve">Ľudská rezistencia voči antibiotikám sa znižuje v dôsledku konzumácie potravín získaných zo zvierat, ktorým boli podávané antibiotiká. Okrem toho trvá určitý čas na to, aby sa vyvinuli vhodné riešenia na nahradenie existujúcich antibiotík a aby sa zabezpečilo, že poľnohospodári budú informovaní a ochotní ich používať. Uznávame, že existujú smernice EÚ o antibiotikách; tieto opatrenia sa však vo všetkých členských štátoch nevykonávali rovnakým spôsobom. Napokon, veterinárne lieky sa zneužívajú na dopingové účely; prísnejšie právne predpisy v tejto oblasti preto posilnia dobré životné podmienky zvierat a zvýšia kvalitu ich života. </w:t>
      </w:r>
    </w:p>
    <w:p>
      <w:pPr>
        <w:pStyle w:val="Normal"/>
        <w:rPr/>
      </w:pPr>
      <w:r>
        <w:rPr/>
        <w:t xml:space="preserve"> </w:t>
      </w:r>
    </w:p>
    <w:p>
      <w:pPr>
        <w:pStyle w:val="P68B1DB1Normal15"/>
        <w:rPr/>
      </w:pPr>
      <w:r>
        <w:rPr/>
        <w:t xml:space="preserve">18. Odporúčame, aby sa v právnych predpisoch EÚ vyžadovalo podávanie správ o používaní hormonálnych látok a endokrinných disruptorov pri výrobe potravín s cieľom špecifikovať druh, množstvo a expozíciu použitého konečného výrobku. Na obale všetkých príslušných potravinových výrobkov musia byť uvedené etikety, ktoré jasne uvádzajú prítomné látky a dôvody ich použitia. Okrem toho by sa mal urýchliť výskum účinkov hormonálnych látok a endokrinných disruptorov na ľudské zdravie. </w:t>
      </w:r>
    </w:p>
    <w:p>
      <w:pPr>
        <w:pStyle w:val="Normal"/>
        <w:rPr/>
      </w:pPr>
      <w:r>
        <w:rPr/>
        <w:t xml:space="preserve"> </w:t>
      </w:r>
    </w:p>
    <w:p>
      <w:pPr>
        <w:pStyle w:val="Normal"/>
        <w:rPr/>
      </w:pPr>
      <w:r>
        <w:rPr/>
        <w:t xml:space="preserve">V súčasnosti je vysledovateľnosť potravinových výrobkov nedostatočná, najmä pokiaľ ide o hormonálne látky a endokrinné disruptory. Domnievame sa, že transparentnosť vo výrobe potravín je nevyhnutná na splnenie zodpovednosti. Okrem toho by spotrebitelia mali mať možnosť poznať zloženie potravín, ktoré konzumujú, v celom rozsahu a mali by mať možnosť slobodne si vybrať, čo jedia. Okrem toho neexistuje dostatočný výskum o vplyve na ľudí (a potenciálnych rizikách) spojený s konzumáciou potravinových výrobkov obsahujúcich hormonálne látky a endokrinné disruptory. </w:t>
      </w:r>
    </w:p>
    <w:p>
      <w:pPr>
        <w:pStyle w:val="Normal"/>
        <w:rPr/>
      </w:pPr>
      <w:r>
        <w:rPr/>
        <w:t xml:space="preserve"> </w:t>
      </w:r>
    </w:p>
    <w:p>
      <w:pPr>
        <w:pStyle w:val="P68B1DB1Normal15"/>
        <w:rPr/>
      </w:pPr>
      <w:r>
        <w:rPr/>
        <w:t xml:space="preserve">19. Odporúčame odrádzať od spotreby spracovaných potravín uplatňovaním daní na potraviny, ktoré sú škodlivé pre zdravie, a investovaním finančných prostriedkov do zdravých potravín. Navrhujeme vytvoriť celoeurópsky systém hodnotenia zdravých potravín založený na osvedčených postupoch v členských štátoch a umiestniť etikety na potraviny s cieľom informovať spotrebiteľov o ich účinkoch na zdravie. </w:t>
      </w:r>
    </w:p>
    <w:p>
      <w:pPr>
        <w:pStyle w:val="Normal"/>
        <w:rPr/>
      </w:pPr>
      <w:r>
        <w:rPr/>
        <w:t xml:space="preserve"> </w:t>
      </w:r>
    </w:p>
    <w:p>
      <w:pPr>
        <w:pStyle w:val="Normal"/>
        <w:rPr/>
      </w:pPr>
      <w:r>
        <w:rPr/>
        <w:t xml:space="preserve">Takto získané finančné prostriedky možno použiť na rozvoj informačných a propagačných kampaní, na uprednostňovanie zdravého stravovania v sektore vzdelávania a na zníženie viditeľnosti nezdravých potravín v supermarketoch. Investície do zdravých potravín takisto prispievajú k zlepšeniu celkového zdravia obyvateľstva a následne k zníženiu úrovne verejných výdavkov potrebných na riešenie zdravotných problémov vyplývajúcich zo zlej výživy. Okrem toho sa domnievame, že dane a dotácie povzbudia podniky, aby vyrábali zdravšie potraviny. </w:t>
      </w:r>
    </w:p>
    <w:p>
      <w:pPr>
        <w:pStyle w:val="Normal"/>
        <w:rPr/>
      </w:pPr>
      <w:r>
        <w:rPr/>
        <w:t xml:space="preserve"> </w:t>
      </w:r>
    </w:p>
    <w:p>
      <w:pPr>
        <w:pStyle w:val="Titre3"/>
        <w:numPr>
          <w:ilvl w:val="2"/>
          <w:numId w:val="2"/>
        </w:numPr>
        <w:rPr/>
      </w:pPr>
      <w:bookmarkStart w:id="163" w:name="__RefHeading___Toc297261_1346298689"/>
      <w:bookmarkEnd w:id="163"/>
      <w:r>
        <w:rPr/>
        <w:t xml:space="preserve">Os 3: preorientovanie nášho hospodárstva a spotreby </w:t>
      </w:r>
    </w:p>
    <w:p>
      <w:pPr>
        <w:pStyle w:val="Titre4"/>
        <w:numPr>
          <w:ilvl w:val="3"/>
          <w:numId w:val="2"/>
        </w:numPr>
        <w:rPr/>
      </w:pPr>
      <w:bookmarkStart w:id="164" w:name="__RefHeading___Toc297263_1346298689"/>
      <w:bookmarkEnd w:id="164"/>
      <w:r>
        <w:rPr/>
        <w:t xml:space="preserve">Podos 3.1 Regulácia nadvýroby a nadmernej spotreby </w:t>
      </w:r>
    </w:p>
    <w:p>
      <w:pPr>
        <w:pStyle w:val="P68B1DB1Normal15"/>
        <w:rPr/>
      </w:pPr>
      <w:r>
        <w:rPr/>
        <w:t xml:space="preserve">20. Odporúčame, aby EÚ prijala viac opatrení s cieľom umožniť spotrebiteľom dlhšie používať výrobky a nabádať ich, aby tak urobili. EÚ by mala bojovať proti plánovanému zastarávaniu predĺžením záruky na výrobok a stanovením maximálnej ceny náhradných dielov po uplynutí záručnej doby. Všetky členské štáty by mali zaviesť zníženie dane z opravárenských služieb, ako je to v prípade Švédska. Od výrobcov by sa malo vyžadovať, aby uviedli očakávanú životnosť svojich výrobkov. EÚ by mala poskytovať informácie o tom, ako opätovne použiť a opraviť výrobky prostredníctvom webovej stránky a prostredníctvom vzdelávania. </w:t>
      </w:r>
    </w:p>
    <w:p>
      <w:pPr>
        <w:pStyle w:val="Normal"/>
        <w:rPr/>
      </w:pPr>
      <w:r>
        <w:rPr/>
        <w:t xml:space="preserve"> </w:t>
      </w:r>
    </w:p>
    <w:p>
      <w:pPr>
        <w:pStyle w:val="Normal"/>
        <w:rPr/>
      </w:pPr>
      <w:r>
        <w:rPr/>
        <w:t xml:space="preserve">Naša odpadová spoločnosť nie je životaschopná, pretože vytvára príliš veľa odpadu. Uplatňovaním navrhovaných opatrení sa budeme vyvíjať smerom k spoločnosti, v ktorej budú výrobky opätovne použité a opravované, ktorých počet sa zníži, čím sa zníži nadmerná spotreba. </w:t>
      </w:r>
    </w:p>
    <w:p>
      <w:pPr>
        <w:pStyle w:val="Normal"/>
        <w:rPr/>
      </w:pPr>
      <w:r>
        <w:rPr/>
        <w:t xml:space="preserve"> </w:t>
      </w:r>
    </w:p>
    <w:p>
      <w:pPr>
        <w:pStyle w:val="P68B1DB1Normal15"/>
        <w:rPr/>
      </w:pPr>
      <w:r>
        <w:rPr/>
        <w:t xml:space="preserve">21. Odporúčame, aby EÚ uplatňovala prísnejšie environmentálne normy a zabezpečila spravodlivé pracovné podmienky v celom výrobnom reťazci. Výrobné normy EÚ by mali byť udržateľnejšie a harmonizovanejšie medzi členskými štátmi a mali by sa uplatňovať na dovážaný tovar. Tieto normy musia mať aj sociálny charakter vrátane dôstojného príjmu pre pracovníkov a uspokojivých pracovných podmienok v továrňach. Mali by existovať dôsledky pre tovar, ktorý nespĺňa tieto normy. </w:t>
      </w:r>
    </w:p>
    <w:p>
      <w:pPr>
        <w:pStyle w:val="Normal"/>
        <w:rPr/>
      </w:pPr>
      <w:r>
        <w:rPr/>
        <w:t xml:space="preserve"> </w:t>
      </w:r>
    </w:p>
    <w:p>
      <w:pPr>
        <w:pStyle w:val="Normal"/>
        <w:rPr/>
      </w:pPr>
      <w:r>
        <w:rPr/>
        <w:t xml:space="preserve">Je dôležité stanoviť environmentálne a sociálne homogénne výrobné normy v Európe s cieľom zabezpečiť, aby sa všetky ponúkané výrobky vyrábali udržateľným spôsobom. Tieto opatrenia sú nevyhnutné na preorientovanie nášho hospodárstva a zmenu modelov podnikateľskej výroby. </w:t>
      </w:r>
    </w:p>
    <w:p>
      <w:pPr>
        <w:pStyle w:val="Normal"/>
        <w:rPr/>
      </w:pPr>
      <w:r>
        <w:rPr/>
        <w:t xml:space="preserve"> </w:t>
      </w:r>
    </w:p>
    <w:p>
      <w:pPr>
        <w:pStyle w:val="P68B1DB1Normal15"/>
        <w:rPr/>
      </w:pPr>
      <w:r>
        <w:rPr/>
        <w:t xml:space="preserve">22. Odporúčame, aby EÚ a členské štáty zaviedli opatrenia na obmedzenie reklamy výrobkov, ktoré poškodzujú životné prostredie. Na výrobky s nízkou trvanlivosťou by sa malo vzťahovať povinné ustanovenie o nezodpovednosti vo všetkých formách reklamy, ktoré preukazujú, že sú škodlivé pre životné prostredie. EÚ by mala zakázať reklamu na výrobky, ktoré nie sú vôbec udržateľné. </w:t>
      </w:r>
    </w:p>
    <w:p>
      <w:pPr>
        <w:pStyle w:val="Normal"/>
        <w:rPr/>
      </w:pPr>
      <w:r>
        <w:rPr/>
        <w:t xml:space="preserve"> </w:t>
      </w:r>
    </w:p>
    <w:p>
      <w:pPr>
        <w:pStyle w:val="Normal"/>
        <w:rPr/>
      </w:pPr>
      <w:r>
        <w:rPr/>
        <w:t xml:space="preserve">Reklama podporuje spotrebu; výrobky, ktoré poškodzujú životné prostredie, by sa nemali zdôrazňovať. Spotrebitelia tak budú mať menšiu pravdepodobnosť, že budú kupovať výrobky škodlivé pre životné prostredie. </w:t>
      </w:r>
    </w:p>
    <w:p>
      <w:pPr>
        <w:pStyle w:val="Normal"/>
        <w:rPr/>
      </w:pPr>
      <w:r>
        <w:rPr/>
        <w:t xml:space="preserve"> </w:t>
      </w:r>
    </w:p>
    <w:p>
      <w:pPr>
        <w:pStyle w:val="P68B1DB1Normal15"/>
        <w:rPr/>
      </w:pPr>
      <w:r>
        <w:rPr/>
        <w:t xml:space="preserve">23. Odporúčame, aby EÚ vytvorila a rozvíjala infraštruktúru systémov zálohovania pre všetky primárne obaly zo skla, plastov, hliníka atď., a to jednotne v celej EÚ. Výrobcovia by mali v čo najväčšej miere opätovne použiť spiatočný obal ich sterilizáciou, a nie jednoducho recyklovať materiály. Okrem balenia potravín a nápojov by sa zariadenie malo vzťahovať aj na iné typy fliaš a nádob, ako sú šampónové fľaše. </w:t>
      </w:r>
    </w:p>
    <w:p>
      <w:pPr>
        <w:pStyle w:val="Normal"/>
        <w:rPr/>
      </w:pPr>
      <w:r>
        <w:rPr/>
        <w:t xml:space="preserve"> </w:t>
      </w:r>
    </w:p>
    <w:p>
      <w:pPr>
        <w:pStyle w:val="Normal"/>
        <w:rPr/>
      </w:pPr>
      <w:r>
        <w:rPr/>
        <w:t xml:space="preserve">V súčasnosti spotrebitelia hádzajú príliš veľa obalov, znečisťujú a ničia naše ekosystémy. Systémy zálohovania pomáhajú znižovať odpad tým, že nabádajú občanov, aby priniesli obaly späť namiesto toho, aby ich vyhadzovali. Prostredníctvom vývoja tohto systému budeme využívať menej zdrojov; množstvo vzniknutého odpadu sa zníži. </w:t>
      </w:r>
    </w:p>
    <w:p>
      <w:pPr>
        <w:pStyle w:val="Normal"/>
        <w:rPr/>
      </w:pPr>
      <w:r>
        <w:rPr/>
        <w:t xml:space="preserve"> </w:t>
      </w:r>
    </w:p>
    <w:p>
      <w:pPr>
        <w:pStyle w:val="Titre4"/>
        <w:numPr>
          <w:ilvl w:val="3"/>
          <w:numId w:val="2"/>
        </w:numPr>
        <w:rPr/>
      </w:pPr>
      <w:bookmarkStart w:id="165" w:name="__RefHeading___Toc297265_1346298689"/>
      <w:bookmarkEnd w:id="165"/>
      <w:r>
        <w:rPr/>
        <w:t xml:space="preserve">Podos 3.2 Zníženie odpadu </w:t>
      </w:r>
    </w:p>
    <w:p>
      <w:pPr>
        <w:pStyle w:val="P68B1DB1Normal15"/>
        <w:rPr/>
      </w:pPr>
      <w:r>
        <w:rPr/>
        <w:t xml:space="preserve">24. Odporúčame podporovať intenzívnejšie vykonávanie politík obehového hospodárstva na európskej úrovni so zameraním na podniky aj občanov vo forme finančných stimulov pre tých, ktorí ich dodržiavajú. </w:t>
      </w:r>
    </w:p>
    <w:p>
      <w:pPr>
        <w:pStyle w:val="Normal"/>
        <w:rPr/>
      </w:pPr>
      <w:r>
        <w:rPr/>
        <w:t xml:space="preserve"> </w:t>
      </w:r>
    </w:p>
    <w:p>
      <w:pPr>
        <w:pStyle w:val="Normal"/>
        <w:rPr/>
      </w:pPr>
      <w:r>
        <w:rPr/>
        <w:t xml:space="preserve">Mnohí ľudia sa nakoniec ocitnú nezamestnaní, ak výrobné spoločnosti znížia svoju pracovnú silu alebo dokonca skončí v stave ukončenia platieb/fermentov. Rekvalifikačné opatrenia pre nezamestnaných podporia postupy šetrné k životnému prostrediu a zároveň obmedzia nezamestnanosť a podporia modernizáciu diverzifikovaného hospodárstva. </w:t>
      </w:r>
    </w:p>
    <w:p>
      <w:pPr>
        <w:pStyle w:val="Normal"/>
        <w:rPr/>
      </w:pPr>
      <w:r>
        <w:rPr/>
        <w:t xml:space="preserve"> </w:t>
      </w:r>
    </w:p>
    <w:p>
      <w:pPr>
        <w:pStyle w:val="P68B1DB1Normal15"/>
        <w:rPr/>
      </w:pPr>
      <w:r>
        <w:rPr/>
        <w:t xml:space="preserve">25. Odporúčame, aby EÚ regulovala používanie ekologicky bezpečných obalov (t. j. obalov založených na biologicky rozložiteľných alebo recyklovateľných alebo udržateľnejších materiáloch, ak je to možné) a/alebo používanie menej objemných obalov, a to aj s QR kódom poskytujúcim informácie týkajúce sa procesu recyklácie a/alebo likvidácie obalov po použití. </w:t>
      </w:r>
    </w:p>
    <w:p>
      <w:pPr>
        <w:pStyle w:val="Normal"/>
        <w:rPr/>
      </w:pPr>
      <w:r>
        <w:rPr/>
        <w:t xml:space="preserve"> </w:t>
      </w:r>
    </w:p>
    <w:p>
      <w:pPr>
        <w:pStyle w:val="Normal"/>
        <w:rPr/>
      </w:pPr>
      <w:r>
        <w:rPr/>
        <w:t xml:space="preserve">Toto odporúčanie povedie k zníženiu objemu obalov, zníženiu množstva odpadu a následne k znečisteniu; životné prostredie bude preto čistejšie a v konečnom dôsledku bude uhlíková stopa menšia. Nižšie bude aj daňové zaťaženie výrobcov. </w:t>
      </w:r>
    </w:p>
    <w:p>
      <w:pPr>
        <w:pStyle w:val="Normal"/>
        <w:rPr/>
      </w:pPr>
      <w:r>
        <w:rPr/>
        <w:t xml:space="preserve"> </w:t>
      </w:r>
    </w:p>
    <w:p>
      <w:pPr>
        <w:pStyle w:val="Titre4"/>
        <w:numPr>
          <w:ilvl w:val="3"/>
          <w:numId w:val="2"/>
        </w:numPr>
        <w:rPr/>
      </w:pPr>
      <w:bookmarkStart w:id="166" w:name="__RefHeading___Toc297267_1346298689"/>
      <w:bookmarkEnd w:id="166"/>
      <w:r>
        <w:rPr/>
        <w:t xml:space="preserve">Podos 3.3 Spravodlivé výrobky, rovnaký prístup a spravodlivá spotreba </w:t>
      </w:r>
    </w:p>
    <w:p>
      <w:pPr>
        <w:pStyle w:val="P68B1DB1Normal15"/>
        <w:rPr/>
      </w:pPr>
      <w:r>
        <w:rPr/>
        <w:t xml:space="preserve">26. Odporúčame, aby Európska únia vytvorila právny rámec na zabezpečenie toho, aby všetci európski spotrebitelia mali cenovo dostupný a lepší prístup ku kvalitným a miestnym potravinovým výrobkom. </w:t>
      </w:r>
    </w:p>
    <w:p>
      <w:pPr>
        <w:pStyle w:val="Normal"/>
        <w:rPr/>
      </w:pPr>
      <w:r>
        <w:rPr/>
        <w:t xml:space="preserve"> </w:t>
      </w:r>
    </w:p>
    <w:p>
      <w:pPr>
        <w:pStyle w:val="Normal"/>
        <w:rPr/>
      </w:pPr>
      <w:r>
        <w:rPr/>
        <w:t xml:space="preserve">V súčasnosti neexistuje na úrovni EÚ spoločný výklad toho, čo by sa malo považovať za miestne a kvalitné potraviny. Túto medzeru je potrebné vyplniť. </w:t>
      </w:r>
    </w:p>
    <w:p>
      <w:pPr>
        <w:pStyle w:val="Normal"/>
        <w:rPr/>
      </w:pPr>
      <w:r>
        <w:rPr/>
        <w:t xml:space="preserve">Dovoz výrobkov nízkej kvality má priamy negatívny vplyv na životné prostredie. V záujme boja proti zmene klímy musíme riešiť všetky jej príčiny vrátane dovozu výrobkov nízkej kvality: je potrebné znížiť prepravnú vzdialenosť a propagovať sezónne výrobky. </w:t>
      </w:r>
    </w:p>
    <w:p>
      <w:pPr>
        <w:pStyle w:val="Normal"/>
        <w:rPr/>
      </w:pPr>
      <w:r>
        <w:rPr/>
        <w:t xml:space="preserve">Toto odporúčanie je sľubné, pretože by sa mohlo vzťahovať aj na nepotravinové výrobky. </w:t>
      </w:r>
    </w:p>
    <w:p>
      <w:pPr>
        <w:pStyle w:val="Normal"/>
        <w:rPr/>
      </w:pPr>
      <w:r>
        <w:rPr/>
        <w:t xml:space="preserve"> </w:t>
      </w:r>
    </w:p>
    <w:p>
      <w:pPr>
        <w:pStyle w:val="P68B1DB1Normal15"/>
        <w:rPr/>
      </w:pPr>
      <w:r>
        <w:rPr/>
        <w:t xml:space="preserve">27. Odporúčame, aby Európska únia podporovala výskum a vývoj prostredníctvom programov financovania s cieľom zabezpečiť, aby boli na európskom trhu dostupné udržateľnejšie a cenovo dostupnejšie výrobky na trhu. Európska únia musí tiež viesť konzultácie s občanmi na všetkých úrovniach rozhodovania, a to aj na miestnej úrovni, s cieľom určiť ich potreby v oblasti udržateľných výrobkov. </w:t>
      </w:r>
    </w:p>
    <w:p>
      <w:pPr>
        <w:pStyle w:val="Normal"/>
        <w:rPr/>
      </w:pPr>
      <w:r>
        <w:rPr/>
        <w:t xml:space="preserve"> </w:t>
      </w:r>
    </w:p>
    <w:p>
      <w:pPr>
        <w:pStyle w:val="Normal"/>
        <w:rPr/>
      </w:pPr>
      <w:r>
        <w:rPr/>
        <w:t xml:space="preserve">Domnievame sa, že výskum v oblasti udržateľných výrobkov je nedostatočný a je naliehavo potrebné vyčleniť viac finančných zdrojov na výskum, aby Európania mali prístup k cenovo dostupnejším udržateľným výrobkom. </w:t>
      </w:r>
    </w:p>
    <w:p>
      <w:pPr>
        <w:pStyle w:val="Normal"/>
        <w:rPr/>
      </w:pPr>
      <w:r>
        <w:rPr/>
        <w:t xml:space="preserve">Občania sa musia zúčastňovať na rozhodovacom procese. Program pre výskum a inovácie sa musí vypracovať spoločne s občanmi. Mali by byť informovaní o následných opatreniach a výsledky by sa im mali oznámiť. </w:t>
      </w:r>
    </w:p>
    <w:p>
      <w:pPr>
        <w:pStyle w:val="Normal"/>
        <w:rPr/>
      </w:pPr>
      <w:r>
        <w:rPr/>
      </w:r>
    </w:p>
    <w:p>
      <w:pPr>
        <w:pStyle w:val="P68B1DB1Normal15"/>
        <w:rPr/>
      </w:pPr>
      <w:r>
        <w:rPr/>
        <w:t xml:space="preserve">28. Odporúčame, aby Európska únia zaviedla regulačný mechanizmus pre módne predmety vstupujúce na spoločný trh. Cieľom tohto mechanizmu by bolo podporiť lepšiu spotrebu prostredníctvom ukazovateľa, ktorým sa zabezpečí, aby výrobok spĺňal kritériá udržateľnosti. </w:t>
      </w:r>
    </w:p>
    <w:p>
      <w:pPr>
        <w:pStyle w:val="Normal"/>
        <w:rPr/>
      </w:pPr>
      <w:r>
        <w:rPr/>
        <w:t xml:space="preserve"> </w:t>
      </w:r>
    </w:p>
    <w:p>
      <w:pPr>
        <w:pStyle w:val="Normal"/>
        <w:rPr/>
      </w:pPr>
      <w:r>
        <w:rPr/>
        <w:t xml:space="preserve">Módny sektor, ktorý produkuje príliš veľa tovarov nízkej kvality mimo európskych hraníc, neuplatňuje etické normy a neprijíma udržateľné správanie. </w:t>
      </w:r>
    </w:p>
    <w:p>
      <w:pPr>
        <w:pStyle w:val="Normal"/>
        <w:rPr/>
      </w:pPr>
      <w:r>
        <w:rPr/>
        <w:t xml:space="preserve">Musíme nájsť spravodlivý mechanizmus, ktorý umožní spotrebiteľom lepšie spotrebovať. Je však dôležité nezvyšovať dane, čo by malo negatívne dôsledky pre spotrebiteľov znížením ich kúpnej sily. </w:t>
      </w:r>
    </w:p>
    <w:p>
      <w:pPr>
        <w:pStyle w:val="Normal"/>
        <w:rPr/>
      </w:pPr>
      <w:r>
        <w:rPr/>
        <w:t xml:space="preserve">Spotrebitelia by mali vedieť, za akých podmienok sa výrobky, ktoré kupujú, vyrábajú a či spĺňajú udržateľné normy kvality. </w:t>
      </w:r>
    </w:p>
    <w:p>
      <w:pPr>
        <w:pStyle w:val="Normal"/>
        <w:rPr/>
      </w:pPr>
      <w:r>
        <w:rPr/>
        <w:t xml:space="preserve"> </w:t>
      </w:r>
    </w:p>
    <w:p>
      <w:pPr>
        <w:pStyle w:val="Titre3"/>
        <w:numPr>
          <w:ilvl w:val="2"/>
          <w:numId w:val="2"/>
        </w:numPr>
        <w:rPr/>
      </w:pPr>
      <w:bookmarkStart w:id="167" w:name="__RefHeading___Toc297269_1346298689"/>
      <w:bookmarkEnd w:id="167"/>
      <w:r>
        <w:rPr/>
        <w:t xml:space="preserve">Os 4: smerom k udržateľnej spoločnosti </w:t>
      </w:r>
    </w:p>
    <w:p>
      <w:pPr>
        <w:pStyle w:val="Titre4"/>
        <w:numPr>
          <w:ilvl w:val="3"/>
          <w:numId w:val="2"/>
        </w:numPr>
        <w:rPr/>
      </w:pPr>
      <w:bookmarkStart w:id="168" w:name="__RefHeading___Toc297271_1346298689"/>
      <w:bookmarkEnd w:id="168"/>
      <w:r>
        <w:rPr/>
        <w:t xml:space="preserve">Podos 4.1 Obnoviteľné energie, odteraz </w:t>
      </w:r>
    </w:p>
    <w:p>
      <w:pPr>
        <w:pStyle w:val="P68B1DB1Normal15"/>
        <w:rPr/>
      </w:pPr>
      <w:r>
        <w:rPr/>
        <w:t xml:space="preserve">29. Odporúčame, aby EÚ počas prechodného obdobia prijala opatrenia na zavedenie povinných filtrov CO2, najmä v prípade uhoľných elektrární, pokiaľ sa budeme naďalej spoliehať na konvenčnú energiu. Okrem toho odporúčame, aby EÚ poskytla finančnú pomoc členským štátom, ktoré nemajú finančné zdroje na implementáciu filtrov CO2. Pomoc je podmienená dodržiavaním politík EÚ v oblasti klímy súvisiacich s Parížskou dohodou, zelenou dohodou a všetkými novými právnymi predpismi v oblasti klímy. </w:t>
      </w:r>
    </w:p>
    <w:p>
      <w:pPr>
        <w:pStyle w:val="Normal"/>
        <w:rPr/>
      </w:pPr>
      <w:r>
        <w:rPr>
          <w:b/>
        </w:rPr>
        <w:t>Ide o konkrétny krok, ktorý sa má prijať súbežne s pokračujúcimi investíciami do výskumu bezpečnosti výroby energie a ktorého cieľom je pomôcť členským štátom EÚ postupne dosiahnuť spoločné ciele znižovania emisií CO2.</w:t>
      </w:r>
      <w:r>
        <w:rPr/>
        <w:t xml:space="preserve"> </w:t>
      </w:r>
    </w:p>
    <w:p>
      <w:pPr>
        <w:pStyle w:val="Normal"/>
        <w:rPr/>
      </w:pPr>
      <w:r>
        <w:rPr/>
        <w:t xml:space="preserve"> </w:t>
      </w:r>
    </w:p>
    <w:p>
      <w:pPr>
        <w:pStyle w:val="Normal"/>
        <w:rPr/>
      </w:pPr>
      <w:r>
        <w:rPr/>
        <w:t xml:space="preserve">Vieme, že používanie konvenčných palív vedie k emisiám skleníkových plynov a členské štáty EÚ musia znížiť používanie konvenčných palív, aby boli v súlade s Parížskou dohodou. Keďže nie je možné okamžite ukončiť emisie CO2 a stále sme závislí od uhlia, musíme prijať opatrenia v krátkodobom a strednodobom horizonte. </w:t>
      </w:r>
    </w:p>
    <w:p>
      <w:pPr>
        <w:pStyle w:val="Normal"/>
        <w:rPr/>
      </w:pPr>
      <w:r>
        <w:rPr/>
        <w:t xml:space="preserve">Zníženie emisií CO2 je v spoločnom záujme všetkých občanov v rámci EÚ aj mimo nej; EÚ ako inštitúcia má svoje vlastné povinnosti a inštitúcia vydáva odporúčania a poskytuje riešenia, pretože členské štáty nemôžu dosiahnuť ciele sami. </w:t>
      </w:r>
    </w:p>
    <w:p>
      <w:pPr>
        <w:pStyle w:val="Normal"/>
        <w:rPr/>
      </w:pPr>
      <w:r>
        <w:rPr/>
      </w:r>
    </w:p>
    <w:p>
      <w:pPr>
        <w:pStyle w:val="P68B1DB1Normal15"/>
        <w:rPr/>
      </w:pPr>
      <w:r>
        <w:rPr/>
        <w:t xml:space="preserve">30. Odporúčame znížiť intenzívny priemyselný chov s cieľom znížiť produkciu metánu a znečistenie vody. Na tento účel EÚ reviduje svoju spoločnú poľnohospodársku politiku s cieľom nasmerovať svoje dotácie na udržateľné a miestne poľnohospodárstvo, a to aj prostredníctvom systému označovania, ktorý umožňuje spotrebiteľom rozpoznať udržateľné mäsové výrobky. Nabádame EÚ, aby investovala do metód opätovného použitia odpadu zo živočíšnej výroby a iných priemyselných odvetví. </w:t>
      </w:r>
    </w:p>
    <w:p>
      <w:pPr>
        <w:pStyle w:val="Normal"/>
        <w:rPr/>
      </w:pPr>
      <w:r>
        <w:rPr/>
        <w:t xml:space="preserve"> </w:t>
      </w:r>
    </w:p>
    <w:p>
      <w:pPr>
        <w:pStyle w:val="Normal"/>
        <w:rPr/>
      </w:pPr>
      <w:r>
        <w:rPr/>
        <w:t xml:space="preserve">Počet obyvateľov rastie, čo v budúcnosti povedie k zvýšenému dopytu po mäse. Preto je potrebné znížiť spotrebu mäsa. </w:t>
      </w:r>
    </w:p>
    <w:p>
      <w:pPr>
        <w:pStyle w:val="Normal"/>
        <w:rPr/>
      </w:pPr>
      <w:r>
        <w:rPr/>
        <w:t xml:space="preserve">Keďže metán produkuje skleníkové plyny, domnievame sa, že je prirodzené začať znižovaním emisií hospodárskych zvierat. </w:t>
      </w:r>
    </w:p>
    <w:p>
      <w:pPr>
        <w:pStyle w:val="Normal"/>
        <w:rPr/>
      </w:pPr>
      <w:r>
        <w:rPr/>
        <w:t xml:space="preserve">Všetci vieme, že by sa malo konzumovať menej mäsa, a preto by sa mal počet hovädzieho dobytka zodpovedajúcim spôsobom znížiť. </w:t>
      </w:r>
    </w:p>
    <w:p>
      <w:pPr>
        <w:pStyle w:val="Normal"/>
        <w:rPr/>
      </w:pPr>
      <w:r>
        <w:rPr/>
        <w:t xml:space="preserve"> </w:t>
      </w:r>
    </w:p>
    <w:p>
      <w:pPr>
        <w:pStyle w:val="P68B1DB1Normal15"/>
        <w:rPr/>
      </w:pPr>
      <w:r>
        <w:rPr/>
        <w:t xml:space="preserve">31. Hoci výroba zeleného vodíka je nákladný proces, pretože na získanie 25 % vodíka potrebuje 75 % energie, tento typ energie má mnoho pozitívnych aspektov. Najlepším riešením môže byť výroba energie bez CO2 spolu s vývojom ekologického vodíka. Veterná energia by sa mala využívať na výrobu ekologického vodíka a EÚ by mala viac investovať a zvýšiť výrobu veternej energie a uskladňovať ju pre budúce potreby. </w:t>
      </w:r>
    </w:p>
    <w:p>
      <w:pPr>
        <w:pStyle w:val="Normal"/>
        <w:rPr/>
      </w:pPr>
      <w:r>
        <w:rPr/>
        <w:t xml:space="preserve"> </w:t>
      </w:r>
    </w:p>
    <w:p>
      <w:pPr>
        <w:pStyle w:val="Normal"/>
        <w:rPr/>
      </w:pPr>
      <w:r>
        <w:rPr/>
        <w:t xml:space="preserve">Zelený vodík je flexibilný a môže sa skladovať na použitie v prípade potreby. Nespôsobuje znečistenie CO2. </w:t>
      </w:r>
    </w:p>
    <w:p>
      <w:pPr>
        <w:pStyle w:val="Normal"/>
        <w:rPr/>
      </w:pPr>
      <w:r>
        <w:rPr/>
        <w:t xml:space="preserve"> </w:t>
      </w:r>
    </w:p>
    <w:p>
      <w:pPr>
        <w:pStyle w:val="Titre4"/>
        <w:numPr>
          <w:ilvl w:val="3"/>
          <w:numId w:val="2"/>
        </w:numPr>
        <w:rPr/>
      </w:pPr>
      <w:bookmarkStart w:id="169" w:name="__RefHeading___Toc297273_1346298689"/>
      <w:bookmarkEnd w:id="169"/>
      <w:r>
        <w:rPr/>
        <w:t xml:space="preserve">Podos 4.2 Podpora zmeny </w:t>
      </w:r>
    </w:p>
    <w:p>
      <w:pPr>
        <w:pStyle w:val="P68B1DB1Normal15"/>
        <w:rPr/>
      </w:pPr>
      <w:r>
        <w:rPr/>
        <w:t xml:space="preserve">32. Odporúčame, aby EÚ zaviedla systém nátlaku a odmeňovania na boj proti znečisteniu vrátane vody, pôdy, ovzdušia a žiarenia. Znečisťovateľom sa musia uložiť pokuty spolu s povinnou podporou špecializovanej organizácie, ktorá je osobitne navrhnutá tak, aby pomohla subjektom eliminovať znečistenie a obnoviť ekosystém. Táto špecializovaná organizácia by mala zohrávať vedúcu úlohu pri prevencii a kontrole úrovní znečistenia. </w:t>
      </w:r>
    </w:p>
    <w:p>
      <w:pPr>
        <w:pStyle w:val="Normal"/>
        <w:rPr/>
      </w:pPr>
      <w:r>
        <w:rPr/>
        <w:t xml:space="preserve"> </w:t>
      </w:r>
    </w:p>
    <w:p>
      <w:pPr>
        <w:pStyle w:val="Normal"/>
        <w:rPr/>
      </w:pPr>
      <w:r>
        <w:rPr/>
        <w:t xml:space="preserve">Pretože je dôležité zamerať sa na zodpovednosť znečisťovateľov a nabádať subjekty, aby znížili znečistenie zameraním sa na nulové znečistenie. Je nevyhnutné mať zdravú planétu, pretože je priamo spojená s naším blahobytom a našou budúcou existenciou. </w:t>
      </w:r>
    </w:p>
    <w:p>
      <w:pPr>
        <w:pStyle w:val="Normal"/>
        <w:rPr/>
      </w:pPr>
      <w:r>
        <w:rPr/>
        <w:t xml:space="preserve"> </w:t>
      </w:r>
    </w:p>
    <w:p>
      <w:pPr>
        <w:pStyle w:val="P68B1DB1Normal15"/>
        <w:rPr/>
      </w:pPr>
      <w:r>
        <w:rPr/>
        <w:t xml:space="preserve">33. Odporúčame, aby EÚ zriadila osobitnú webovú stránku/platformu overenú viacerými odborníkmi s rozmanitými a pravidelne aktualizovanými environmentálnymi vedeckými informáciami, ktorá bude ľahko dostupná a transparentná pre všetkých občanov. Táto webová stránka/platforma bude spojená s fórom, na ktorom môžu občania a odborníci komunikovať. Dôrazne odporúčame spustiť mediálnu kampaň na propagáciu tejto webovej stránky/platformy (napr. prostredníctvom sociálnych médií, ako sú YouTube, TikTok a LinkedIn). </w:t>
      </w:r>
    </w:p>
    <w:p>
      <w:pPr>
        <w:pStyle w:val="Normal"/>
        <w:rPr/>
      </w:pPr>
      <w:r>
        <w:rPr/>
        <w:t xml:space="preserve"> </w:t>
      </w:r>
    </w:p>
    <w:p>
      <w:pPr>
        <w:pStyle w:val="Normal"/>
        <w:rPr/>
      </w:pPr>
      <w:r>
        <w:rPr/>
        <w:t xml:space="preserve">Všetci občania musia mať nezávislé zdroje informácií založené na vedeckých dôkazoch, aby pochopili výzvy súvisiace so zmenou klímy (jej dôsledky a opatrenia, ktoré sa majú prijať na jej zvrátenie), ako aj na riešenie falošných správ. Mediálna kampaň zvýši informovanosť o existencii tejto platformy/webovej stránky. Je tiež dôležité, aby informácie poskytované internetovou stránkou/platformou boli zrozumiteľné pre všetkých občanov s prístupom k zdrojovým materiálom pre tých, ktorí chcú túto tému prehĺbiť. </w:t>
      </w:r>
    </w:p>
    <w:p>
      <w:pPr>
        <w:pStyle w:val="Normal"/>
        <w:rPr/>
      </w:pPr>
      <w:r>
        <w:rPr/>
        <w:t xml:space="preserve"> </w:t>
      </w:r>
    </w:p>
    <w:p>
      <w:pPr>
        <w:pStyle w:val="P68B1DB1Normal15"/>
        <w:rPr/>
      </w:pPr>
      <w:r>
        <w:rPr/>
        <w:t xml:space="preserve">34. Odporúčame, aby EÚ znížila množstvo dovážaného tovaru, ktorý nespĺňa normy EÚ týkajúce sa environmentálnej stopy. </w:t>
      </w:r>
    </w:p>
    <w:p>
      <w:pPr>
        <w:pStyle w:val="Normal"/>
        <w:rPr/>
      </w:pPr>
      <w:r>
        <w:rPr/>
        <w:t xml:space="preserve"> </w:t>
      </w:r>
    </w:p>
    <w:p>
      <w:pPr>
        <w:pStyle w:val="Normal"/>
        <w:rPr/>
      </w:pPr>
      <w:r>
        <w:rPr/>
        <w:t xml:space="preserve">Tým zabezpečujeme, aby tovar dovážaný do EÚ mal ekologickejšiu stopu. Cieľom je znížiť znečistenie na celom svete. Je tiež dôležité predložiť normy krajinám, ak chcú vyvážať tovar do EÚ. </w:t>
      </w:r>
    </w:p>
    <w:p>
      <w:pPr>
        <w:pStyle w:val="Normal"/>
        <w:rPr/>
      </w:pPr>
      <w:r>
        <w:rPr/>
        <w:t xml:space="preserve"> </w:t>
      </w:r>
    </w:p>
    <w:p>
      <w:pPr>
        <w:pStyle w:val="P68B1DB1Normal15"/>
        <w:rPr/>
      </w:pPr>
      <w:r>
        <w:rPr/>
        <w:t xml:space="preserve">35. Odporúčame, aby EÚ podporovala, podporovala a uľahčovala dialóg o zmene klímy medzi všetkými úrovňami rozhodovania, od veľmi miestnych (občanov) až po globálne (národné, medzinárodné a medzikontinentálne) s cieľom riešiť obavy všetkých zainteresovaných strán. </w:t>
      </w:r>
    </w:p>
    <w:p>
      <w:pPr>
        <w:pStyle w:val="Normal"/>
        <w:rPr/>
      </w:pPr>
      <w:r>
        <w:rPr/>
        <w:t xml:space="preserve"> </w:t>
      </w:r>
    </w:p>
    <w:p>
      <w:pPr>
        <w:pStyle w:val="Normal"/>
        <w:rPr/>
      </w:pPr>
      <w:r>
        <w:rPr/>
        <w:t xml:space="preserve">Pretože dialóg a konsenzus sú najlepším spôsobom riešenia problémov súvisiacich so zmenou klímy: ak sa strany navzájom chápu, existuje väčšia ochota nájsť spoločný základ. </w:t>
      </w:r>
    </w:p>
    <w:p>
      <w:pPr>
        <w:pStyle w:val="Normal"/>
        <w:rPr/>
      </w:pPr>
      <w:r>
        <w:rPr/>
        <w:t xml:space="preserve"> </w:t>
      </w:r>
    </w:p>
    <w:p>
      <w:pPr>
        <w:pStyle w:val="Titre4"/>
        <w:numPr>
          <w:ilvl w:val="3"/>
          <w:numId w:val="2"/>
        </w:numPr>
        <w:rPr/>
      </w:pPr>
      <w:bookmarkStart w:id="170" w:name="__RefHeading___Toc297275_1346298689"/>
      <w:bookmarkEnd w:id="170"/>
      <w:r>
        <w:rPr/>
        <w:t xml:space="preserve">Podosa 4.3 Doprava šetrná k životnému prostrediu </w:t>
      </w:r>
    </w:p>
    <w:p>
      <w:pPr>
        <w:pStyle w:val="Normal"/>
        <w:rPr/>
      </w:pPr>
      <w:r>
        <w:rPr>
          <w:b/>
        </w:rPr>
        <w:t>36. Odporúčame, aby EÚ finančne podporovala európske členské štáty s cieľom zlepšiť prepojenosť vo vidieckych oblastiach. To si vyžaduje vytvorenie európskej siete verejnej dopravy založenej na dostupných cenách (prioritizácia železníc) a stimuly na využívanie verejnej dopravy. Na tento účel by sa internetové pripojenie malo rozvíjať aj v krátkom a realistickom časovom rámci vo vidieckych oblastiach.</w:t>
      </w:r>
      <w:r>
        <w:rPr/>
        <w:t xml:space="preserve"> </w:t>
      </w:r>
    </w:p>
    <w:p>
      <w:pPr>
        <w:pStyle w:val="Normal"/>
        <w:rPr/>
      </w:pPr>
      <w:r>
        <w:rPr/>
        <w:t xml:space="preserve"> </w:t>
      </w:r>
    </w:p>
    <w:p>
      <w:pPr>
        <w:pStyle w:val="Normal"/>
        <w:rPr/>
      </w:pPr>
      <w:r>
        <w:rPr/>
        <w:t xml:space="preserve">Toto odporúčanie predkladáme, pretože neexistuje rovnaký prístup k verejnej doprave a internetovému pripojeniu medzi vidieckymi a mestskými oblasťami. Spoločný európsky projekt by sa posilnil, pretože všetci občania by mali pocit, že majú rovnaké práva. Posilnenie siete verejnej dopravy a internetového pripojenia by podnietilo ľudí, aby sa usadili vo vidieckych oblastiach. Tento proces by znížil znečistenie, pretože menej ľudí by žilo v preplnených mestách. </w:t>
      </w:r>
    </w:p>
    <w:p>
      <w:pPr>
        <w:pStyle w:val="Normal"/>
        <w:rPr/>
      </w:pPr>
      <w:r>
        <w:rPr/>
        <w:t xml:space="preserve"> </w:t>
      </w:r>
    </w:p>
    <w:p>
      <w:pPr>
        <w:pStyle w:val="P68B1DB1Normal15"/>
        <w:rPr/>
      </w:pPr>
      <w:r>
        <w:rPr/>
        <w:t xml:space="preserve">37. Odporúčame zlepšiť existujúcu dopravnú infraštruktúru, ktorá sa prestala používať alebo ju možno ďalej zlepšiť z ekologického hľadiska (vytvorenie elektrických vlakov). Tento proces sa musí vykonávať bez toho, aby boli dotknuté environmentálne chránené oblasti. </w:t>
      </w:r>
    </w:p>
    <w:p>
      <w:pPr>
        <w:pStyle w:val="Normal"/>
        <w:rPr/>
      </w:pPr>
      <w:r>
        <w:rPr/>
        <w:t xml:space="preserve"> </w:t>
      </w:r>
    </w:p>
    <w:p>
      <w:pPr>
        <w:pStyle w:val="Normal"/>
        <w:rPr/>
      </w:pPr>
      <w:r>
        <w:rPr/>
        <w:t>Zlepšením existujúcej infraštruktúry by sa zabránilo vynakladaniu príliš veľkého množstva zdrojov a poškodeniu dôležitých chránených oblastí na ochranu biodiverzity. Zvýšením železničnej infraštruktúry by sa znížili emisie CO2 a</w:t>
      </w:r>
      <w:r>
        <w:rPr>
          <w:vertAlign w:val="subscript"/>
        </w:rPr>
        <w:t>podporila</w:t>
      </w:r>
      <w:r>
        <w:rPr/>
        <w:t xml:space="preserve"> by sa mobilita ľudí z mestských a vidieckych oblastí. </w:t>
      </w:r>
    </w:p>
    <w:p>
      <w:pPr>
        <w:pStyle w:val="Normal"/>
        <w:rPr/>
      </w:pPr>
      <w:r>
        <w:rPr/>
        <w:t xml:space="preserve"> </w:t>
      </w:r>
    </w:p>
    <w:p>
      <w:pPr>
        <w:pStyle w:val="P68B1DB1Normal15"/>
        <w:rPr/>
      </w:pPr>
      <w:r>
        <w:rPr/>
        <w:t xml:space="preserve">38. Odporúčame, aby EÚ podporovala nákup elektrických vozidiel, ktoré spĺňajú dobré normy životnosti batérie. Na tento účel by EÚ mohla prijať stimuly pre všetky členské štáty a zlepšiť elektrickú infraštruktúru. EÚ by zároveň mala investovať do vývoja iných čistých technológií, ako sú biopalivá a vodík pre vozidlá, ktorých elektrifikáciu je ťažké dosiahnuť, ako sú lode a nákladné vozidlá. </w:t>
      </w:r>
    </w:p>
    <w:p>
      <w:pPr>
        <w:pStyle w:val="Normal"/>
        <w:rPr/>
      </w:pPr>
      <w:r>
        <w:rPr/>
        <w:t xml:space="preserve"> </w:t>
      </w:r>
    </w:p>
    <w:p>
      <w:pPr>
        <w:pStyle w:val="Normal"/>
        <w:rPr/>
      </w:pPr>
      <w:r>
        <w:rPr/>
        <w:t xml:space="preserve">Toto odporúčanie predkladáme, pretože elektrina je najrýchlejší spôsob, ako znížiť emisie vozidiel, s inými zdrojmi energie, ako je vodík a biopalivá. Najrýchlejším, ekonomickým a uskutočniteľným riešením je elektrická energia, po ktorej nasledujú biopalivá. Z dlhodobého hľadiska by ekologický vodík mal zohrávať doplnkovú úlohu pri pokrytí druhov dopravy, ktoré nemožno elektrifikovať. </w:t>
      </w:r>
    </w:p>
    <w:p>
      <w:pPr>
        <w:pStyle w:val="Normal"/>
        <w:rPr/>
      </w:pPr>
      <w:r>
        <w:rPr/>
        <w:t xml:space="preserve"> </w:t>
      </w:r>
    </w:p>
    <w:p>
      <w:pPr>
        <w:pStyle w:val="Titre3"/>
        <w:numPr>
          <w:ilvl w:val="2"/>
          <w:numId w:val="2"/>
        </w:numPr>
        <w:rPr/>
      </w:pPr>
      <w:bookmarkStart w:id="171" w:name="__RefHeading___Toc297277_1346298689"/>
      <w:bookmarkEnd w:id="171"/>
      <w:r>
        <w:rPr/>
        <w:t xml:space="preserve">Os 5 Starostlivosť o všetkých </w:t>
      </w:r>
    </w:p>
    <w:p>
      <w:pPr>
        <w:pStyle w:val="Titre4"/>
        <w:numPr>
          <w:ilvl w:val="3"/>
          <w:numId w:val="2"/>
        </w:numPr>
        <w:rPr/>
      </w:pPr>
      <w:bookmarkStart w:id="172" w:name="__RefHeading___Toc297279_1346298689"/>
      <w:bookmarkEnd w:id="172"/>
      <w:r>
        <w:rPr/>
        <w:t xml:space="preserve">Podos 5.1 Posilniť systém zdravotnej starostlivosti </w:t>
      </w:r>
    </w:p>
    <w:p>
      <w:pPr>
        <w:pStyle w:val="P68B1DB1Normal15"/>
        <w:rPr/>
      </w:pPr>
      <w:r>
        <w:rPr/>
        <w:t xml:space="preserve">39. Odporúčame, aby Európska únia zaručila spoločné zdravotné normy, ale tiež presadzovala dôstojné minimálne mzdy, maximálny pracovný čas a rovnaké normy odbornej prípravy pre rovnakú kvalifikáciu pre zdravotníckych pracovníkov v celej Európskej únii. </w:t>
      </w:r>
    </w:p>
    <w:p>
      <w:pPr>
        <w:pStyle w:val="Normal"/>
        <w:rPr/>
      </w:pPr>
      <w:r>
        <w:rPr/>
        <w:t xml:space="preserve"> </w:t>
      </w:r>
    </w:p>
    <w:p>
      <w:pPr>
        <w:pStyle w:val="Normal"/>
        <w:rPr/>
      </w:pPr>
      <w:r>
        <w:rPr/>
        <w:t xml:space="preserve">Ak nebudeme mať spoločné normy v oblasti zdravotnej starostlivosti, miezd a spoločnej odbornej prípravy zdravotníckych pracovníkov, rozdiely medzi členskými štátmi by mohli viesť k nevyváženým situáciám v celej Európskej únii. Normalizácia zdravotnej starostlivosti by mohla prispieť k silnejšiemu, efektívnejšiemu a odolnejšiemu systému (napr. kríza spôsobená ochorením COVID-19 týkajúca sa stability našich systémov). Zároveň by sa tým uľahčila výmena poznatkov a informácií v sektore zdravotníckych pracovníkov. </w:t>
      </w:r>
    </w:p>
    <w:p>
      <w:pPr>
        <w:pStyle w:val="Normal"/>
        <w:rPr/>
      </w:pPr>
      <w:r>
        <w:rPr/>
        <w:t xml:space="preserve"> </w:t>
      </w:r>
    </w:p>
    <w:p>
      <w:pPr>
        <w:pStyle w:val="P68B1DB1Normal15"/>
        <w:rPr/>
      </w:pPr>
      <w:r>
        <w:rPr/>
        <w:t xml:space="preserve">40. Odporúčame, aby Európska únia zabezpečila rovnakú kvalitu a spravodlivé miestne náklady liečby v celej EÚ. To by sa mohlo zabezpečiť napríklad rozšírením právomocí Európskej agentúry pre lieky (EMA) alebo vytvorením novej európskej agentúry pre verejné obstarávanie, ktorá by mala právomoc rokovať a získavať primeranejšie ceny liekov pre všetky členské štáty. Je potrebné minimalizovať riziko monopolov vo farmaceutickom priemysle. </w:t>
      </w:r>
    </w:p>
    <w:p>
      <w:pPr>
        <w:pStyle w:val="Normal"/>
        <w:rPr/>
      </w:pPr>
      <w:r>
        <w:rPr/>
        <w:t xml:space="preserve"> </w:t>
      </w:r>
    </w:p>
    <w:p>
      <w:pPr>
        <w:pStyle w:val="Normal"/>
        <w:rPr/>
      </w:pPr>
      <w:r>
        <w:rPr/>
        <w:t xml:space="preserve">Rovnosť lekárskych ustanovení a liečby v EÚ zaručuje všetkým európskym občanom rovnaké práva v oblasti zdravia. Zvýšená nákupná kapacita zabezpečuje lepšie nákupné podmienky. To by však nemalo viesť k monopolným štruktúram a farmaceutickému lobizmu. Riadenie krízy spôsobenej ochorením COVID-19 je dobrým príkladom spoločného riadenia zdravia zo strany Európskej únie ako celku. </w:t>
      </w:r>
    </w:p>
    <w:p>
      <w:pPr>
        <w:pStyle w:val="Normal"/>
        <w:rPr/>
      </w:pPr>
      <w:r>
        <w:rPr/>
        <w:t xml:space="preserve"> </w:t>
      </w:r>
    </w:p>
    <w:p>
      <w:pPr>
        <w:pStyle w:val="P68B1DB1Normal15"/>
        <w:rPr/>
      </w:pPr>
      <w:r>
        <w:rPr/>
        <w:t xml:space="preserve">41. Odporúčame vytvoriť európsku databázu zdravotnej starostlivosti, v ktorej by boli dostupné zdravotné záznamy v prípade núdze alebo choroby. Účasť by mala byť dobrovoľná a mala by sa zabezpečiť ochrana osobných údajov. </w:t>
      </w:r>
    </w:p>
    <w:p>
      <w:pPr>
        <w:pStyle w:val="Normal"/>
        <w:rPr/>
      </w:pPr>
      <w:r>
        <w:rPr/>
        <w:t xml:space="preserve"> </w:t>
      </w:r>
    </w:p>
    <w:p>
      <w:pPr>
        <w:pStyle w:val="Normal"/>
        <w:rPr/>
      </w:pPr>
      <w:r>
        <w:rPr/>
        <w:t xml:space="preserve">Prístup k údajom a využívanie údajov umožňujú rýchlo reagovať v prípadoch, keď je život ohrozený. Pirátstvo alebo zneužitie predstavujú pre takýto európsky databázový systém zdravotnej starostlivosti veľké hrozby, a preto je potrebné zabezpečiť údaje, pričom účasť je naďalej dobrovoľná, a samozrejme predchádzať hrozbám súvisiacim s bezpečnosťou. </w:t>
      </w:r>
    </w:p>
    <w:p>
      <w:pPr>
        <w:pStyle w:val="Normal"/>
        <w:rPr/>
      </w:pPr>
      <w:r>
        <w:rPr/>
        <w:t xml:space="preserve"> </w:t>
      </w:r>
    </w:p>
    <w:p>
      <w:pPr>
        <w:pStyle w:val="P68B1DB1Normal15"/>
        <w:rPr/>
      </w:pPr>
      <w:r>
        <w:rPr/>
        <w:t xml:space="preserve">42. Odporúčame, aby Európska únia pokračovala vo vývoji a synchronizácii existujúcich programov výskumu a inovácií v oblasti zdravia, ako je to v prípade existujúceho programu Horizont Európa. Výsledky štúdií by mali byť voľne dostupné vo všetkých členských štátoch. </w:t>
      </w:r>
    </w:p>
    <w:p>
      <w:pPr>
        <w:pStyle w:val="Normal"/>
        <w:rPr/>
      </w:pPr>
      <w:r>
        <w:rPr/>
        <w:t xml:space="preserve"> </w:t>
      </w:r>
    </w:p>
    <w:p>
      <w:pPr>
        <w:pStyle w:val="Normal"/>
        <w:rPr/>
      </w:pPr>
      <w:r>
        <w:rPr/>
        <w:t xml:space="preserve">Vedecká spolupráca na úrovni EÚ by mohla obohatiť vedecké kapacity a poznatky jednotlivých výskumných pracovníkov. Výmena poznatkov by napríklad mohla viesť k včasnej diagnostike a lepšej liečbe s cieľom znížiť závažné a smrteľné choroby v celej Európe. Zároveň by podporila európsku sebestačnosť v oblasti liekov a zariadení. </w:t>
      </w:r>
    </w:p>
    <w:p>
      <w:pPr>
        <w:pStyle w:val="Normal"/>
        <w:rPr/>
      </w:pPr>
      <w:r>
        <w:rPr/>
        <w:t xml:space="preserve"> </w:t>
      </w:r>
    </w:p>
    <w:p>
      <w:pPr>
        <w:pStyle w:val="P68B1DB1Normal15"/>
        <w:rPr/>
      </w:pPr>
      <w:r>
        <w:rPr/>
        <w:t xml:space="preserve">43. Odporúčame, aby EÚ zvýšila svoj rozpočet na spoločné výskumné a inovačné projekty v oblasti zdravia (bez rozpočtových škrtov v iných programoch EÚ týkajúcich sa zdravia). Tým by sa posilnili aj európske vedecké a výskumné inštitúcie ako celok. </w:t>
      </w:r>
    </w:p>
    <w:p>
      <w:pPr>
        <w:pStyle w:val="Normal"/>
        <w:rPr/>
      </w:pPr>
      <w:r>
        <w:rPr/>
        <w:t xml:space="preserve"> </w:t>
      </w:r>
    </w:p>
    <w:p>
      <w:pPr>
        <w:pStyle w:val="Normal"/>
        <w:rPr/>
      </w:pPr>
      <w:r>
        <w:rPr/>
        <w:t xml:space="preserve">Výskumom a investíciami v oblasti zdravia sa z dlhodobého hľadiska posilní preventívna medicína a znížia sa náklady súvisiace so zdravím. Zvýšené financovanie by mohlo zabrániť úniku mozgov v Európe do iných rozvinutých krajín s vyššími rozpočtami na výskum a vývoj v oblasti zdravia. Toto financovanie by nemalo pochádzať z existujúcich finančných zdrojov na zdravotnú starostlivosť. </w:t>
      </w:r>
    </w:p>
    <w:p>
      <w:pPr>
        <w:pStyle w:val="Normal"/>
        <w:rPr/>
      </w:pPr>
      <w:r>
        <w:rPr/>
        <w:t xml:space="preserve"> </w:t>
      </w:r>
    </w:p>
    <w:p>
      <w:pPr>
        <w:pStyle w:val="Titre4"/>
        <w:numPr>
          <w:ilvl w:val="3"/>
          <w:numId w:val="2"/>
        </w:numPr>
        <w:rPr/>
      </w:pPr>
      <w:bookmarkStart w:id="173" w:name="__RefHeading___Toc297281_1346298689"/>
      <w:bookmarkEnd w:id="173"/>
      <w:r>
        <w:rPr/>
        <w:t xml:space="preserve">Podos 5.2 Širší pohľad na zdravie </w:t>
      </w:r>
    </w:p>
    <w:p>
      <w:pPr>
        <w:pStyle w:val="P68B1DB1Normal15"/>
        <w:rPr/>
      </w:pPr>
      <w:r>
        <w:rPr/>
        <w:t xml:space="preserve">44. Odporúčame zriadiť Týždeň zdravia ako iniciatívu EÚ vo všetkých členských štátoch v rovnakom týždni venovanú všetkým zdravotným problémom so zameraním na duševné zdravie. Počas tohto týždňa budú všetky hlavné témy duševného zdravia pokryté a propagované spoločne, ako aj ďalšie už existujúce iniciatívy, ako napríklad iniciatívy v oblasti duševného zdravia v Európe. </w:t>
      </w:r>
    </w:p>
    <w:p>
      <w:pPr>
        <w:pStyle w:val="Normal"/>
        <w:rPr/>
      </w:pPr>
      <w:r>
        <w:rPr/>
        <w:t xml:space="preserve"> </w:t>
      </w:r>
    </w:p>
    <w:p>
      <w:pPr>
        <w:pStyle w:val="Normal"/>
        <w:rPr/>
      </w:pPr>
      <w:r>
        <w:rPr/>
        <w:t xml:space="preserve">Toto odporúčanie predkladáme, pretože všetci európski občania sa musia cítiť akceptovaní a zahrnutí, najmä ak trpia problémami duševného zdravia. Okrem toho je potrebné štandardizovať a zlepšiť informovanosť o problémoch duševného zdravia, ako aj predchádzať súvisiacim sociálnym problémom, ako je diskriminácia. Okrem toho, keďže problémy duševného zdravia sa v dôsledku pandémie zvýšili a pravdepodobne budú pokračovať, táto iniciatíva je o to dôležitejšia. </w:t>
      </w:r>
    </w:p>
    <w:p>
      <w:pPr>
        <w:pStyle w:val="Normal"/>
        <w:rPr/>
      </w:pPr>
      <w:r>
        <w:rPr/>
        <w:t xml:space="preserve"> </w:t>
      </w:r>
    </w:p>
    <w:p>
      <w:pPr>
        <w:pStyle w:val="P68B1DB1Normal15"/>
        <w:rPr/>
      </w:pPr>
      <w:r>
        <w:rPr/>
        <w:t xml:space="preserve">45. Odporúčame, aby sa hygienické výrobky žien prestali považovať za luxusný tovar, pokiaľ ide o zdaňovanie, pretože ide o základné výrobky. Odporúčame tiež, aby sa hormonálne antikoncepčné prípravky používané zo zdravotných dôvodov, ako je fibromyalgia a endometrióza, zdaňovali ako pravidelné lekárske ošetrenie. Takisto odporúčame, aby Európska únia vo všetkých členských štátoch podporila harmonizáciu medicínsky asistovanej reprodukčnej liečby pre všetky ženy (jediné alebo zosobášené) vo všetkých členských štátoch. </w:t>
      </w:r>
    </w:p>
    <w:p>
      <w:pPr>
        <w:pStyle w:val="Normal"/>
        <w:rPr/>
      </w:pPr>
      <w:r>
        <w:rPr/>
        <w:t xml:space="preserve"> </w:t>
      </w:r>
    </w:p>
    <w:p>
      <w:pPr>
        <w:pStyle w:val="Normal"/>
        <w:rPr/>
      </w:pPr>
      <w:r>
        <w:rPr/>
        <w:t xml:space="preserve">V niektorých európskych krajinách sú hygienické výrobky pre ženy zdaňované ako luxusný tovar, čo je nespravodlivé. Niektoré hormonálne antikoncepcie sa používajú na lekárske účely, a preto by sa mali zodpovedajúcim spôsobom zdaniť. Keďže reprodukčná liečba žien, ako sú metódy oplodnenia in vitro a zmrazovania vajec, má rôzne podmienky oprávnenosti v jednotlivých členských štátoch, a Európska únia sa musí usilovať o ich harmonizáciu. </w:t>
      </w:r>
    </w:p>
    <w:p>
      <w:pPr>
        <w:pStyle w:val="Normal"/>
        <w:rPr/>
      </w:pPr>
      <w:r>
        <w:rPr/>
        <w:t xml:space="preserve"> </w:t>
      </w:r>
    </w:p>
    <w:p>
      <w:pPr>
        <w:pStyle w:val="P68B1DB1Normal15"/>
        <w:rPr/>
      </w:pPr>
      <w:r>
        <w:rPr/>
        <w:t xml:space="preserve">46. Odporúčame, aby Európska únia zaujala pevnú pozíciu s cieľom povzbudiť všetky členské štáty, aby v prípade potreby zahrnuli do svojich školských osnov otázky týkajúce sa duševného zdravia a sexuálnej výchovy. S cieľom pomôcť členským štátom prijať tieto otázky v školských osnovách by Európska únia mala vypracovať a sprístupniť štandardný program v oblasti duševného zdravia a sexuálnych otázok. </w:t>
      </w:r>
    </w:p>
    <w:p>
      <w:pPr>
        <w:pStyle w:val="Normal"/>
        <w:rPr/>
      </w:pPr>
      <w:r>
        <w:rPr/>
        <w:t xml:space="preserve"> </w:t>
      </w:r>
    </w:p>
    <w:p>
      <w:pPr>
        <w:pStyle w:val="Normal"/>
        <w:rPr/>
      </w:pPr>
      <w:r>
        <w:rPr/>
        <w:t xml:space="preserve">Je potrebné obmedziť diskrimináciu a tabu, pokiaľ ide o problémy duševného zdravia. Treba sa vyhnúť aj dezinformáciám a nevedeckým prístupom. Okrem toho je sexuálna výchova základom zdravého života a komunity a zabraňuje problémom, ako je tehotenstvo dospievajúcich. </w:t>
      </w:r>
    </w:p>
    <w:p>
      <w:pPr>
        <w:pStyle w:val="Normal"/>
        <w:rPr/>
      </w:pPr>
      <w:r>
        <w:rPr/>
        <w:t xml:space="preserve"> </w:t>
      </w:r>
    </w:p>
    <w:p>
      <w:pPr>
        <w:pStyle w:val="P68B1DB1Normal15"/>
        <w:rPr/>
      </w:pPr>
      <w:r>
        <w:rPr/>
        <w:t xml:space="preserve">47. Odporúčame, aby Európska únia vytvorila lepší komunikačný systém pre všetky svoje iniciatívy v oblasti duševného zdravia, konkrétne portál pre verejné zdravie o najlepších postupoch v rámci členských štátov a pre všetkých občanov. Poslanci EP by si mohli navzájom predstaviť tieto osvedčené postupy, aby boli lepšie známe vo všetkých členských štátoch. </w:t>
      </w:r>
    </w:p>
    <w:p>
      <w:pPr>
        <w:pStyle w:val="Normal"/>
        <w:rPr/>
      </w:pPr>
      <w:r>
        <w:rPr/>
        <w:t xml:space="preserve"> </w:t>
      </w:r>
    </w:p>
    <w:p>
      <w:pPr>
        <w:pStyle w:val="Normal"/>
        <w:rPr/>
      </w:pPr>
      <w:r>
        <w:rPr/>
        <w:t xml:space="preserve">Občania nie sú dobre informovaní o iniciatívach EÚ a výmena najlepších postupov nám umožňuje navzájom sa učiť. </w:t>
      </w:r>
    </w:p>
    <w:p>
      <w:pPr>
        <w:pStyle w:val="Normal"/>
        <w:rPr/>
      </w:pPr>
      <w:r>
        <w:rPr/>
        <w:t xml:space="preserve"> </w:t>
      </w:r>
    </w:p>
    <w:p>
      <w:pPr>
        <w:pStyle w:val="Titre4"/>
        <w:numPr>
          <w:ilvl w:val="3"/>
          <w:numId w:val="2"/>
        </w:numPr>
        <w:rPr/>
      </w:pPr>
      <w:bookmarkStart w:id="174" w:name="__RefHeading___Toc297283_1346298689"/>
      <w:bookmarkEnd w:id="174"/>
      <w:r>
        <w:rPr/>
        <w:t xml:space="preserve">Podos 5.3 Rovnaký prístup k zdraviu pre všetkých </w:t>
      </w:r>
    </w:p>
    <w:p>
      <w:pPr>
        <w:pStyle w:val="P68B1DB1Normal15"/>
        <w:rPr/>
      </w:pPr>
      <w:r>
        <w:rPr/>
        <w:t xml:space="preserve">48. Odporúčame, aby EÚ stanovila a presadzovala minimálne normy pre kvalitnú zubnú starostlivosť vrátane profylaxie pre všetky členské štáty EÚ. Deťom, skupinám s nízkym príjmom a iným zraniteľným skupinám by sa mala poskytnúť bezplatná zubná starostlivosť. Do 15 – 20 rokov by EÚ mala zabezpečiť, aby bola cenovo dostupná stomatologická starostlivosť dostupná pre všetkých. </w:t>
      </w:r>
    </w:p>
    <w:p>
      <w:pPr>
        <w:pStyle w:val="Normal"/>
        <w:rPr/>
      </w:pPr>
      <w:r>
        <w:rPr/>
        <w:t xml:space="preserve"> </w:t>
      </w:r>
    </w:p>
    <w:p>
      <w:pPr>
        <w:pStyle w:val="Normal"/>
        <w:rPr/>
      </w:pPr>
      <w:r>
        <w:rPr/>
        <w:t xml:space="preserve">Toto odporúčanie predkladáme, pretože zubná starostlivosť nie je v súčasnosti pre mnohých ľudí žijúcich v EÚ cenovo dostupná. Neprítomnosť zubnej starostlivosti a profylaxia zubov je škodlivá pre ich zdravie a životné vyhliadky. EÚ by mala začať stanovením minimálnej normy pre zubnú starostlivosť a vyžadovať bezplatnú zubnú starostlivosť pre deti a skupiny s nízkymi príjmami. Nakoniec by mal mať každý nárok na kvalitnú zubnú starostlivosť. </w:t>
      </w:r>
    </w:p>
    <w:p>
      <w:pPr>
        <w:pStyle w:val="Normal"/>
        <w:rPr/>
      </w:pPr>
      <w:r>
        <w:rPr/>
        <w:t xml:space="preserve"> </w:t>
      </w:r>
    </w:p>
    <w:p>
      <w:pPr>
        <w:pStyle w:val="P68B1DB1Normal15"/>
        <w:rPr/>
      </w:pPr>
      <w:r>
        <w:rPr/>
        <w:t xml:space="preserve">49. Odporúčame zahrnúť zdravie a zdravotnú starostlivosť do spoločných právomocí EÚ a jej členských štátov. S cieľom zahrnúť túto novú spoločnú právomoc je potrebné zmeniť a doplniť článok 4 Zmluvy o fungovaní Európskej únie (ZFEÚ). </w:t>
      </w:r>
    </w:p>
    <w:p>
      <w:pPr>
        <w:pStyle w:val="Normal"/>
        <w:rPr/>
      </w:pPr>
      <w:r>
        <w:rPr/>
        <w:t xml:space="preserve"> </w:t>
      </w:r>
    </w:p>
    <w:p>
      <w:pPr>
        <w:pStyle w:val="Normal"/>
        <w:rPr/>
      </w:pPr>
      <w:r>
        <w:rPr/>
        <w:t xml:space="preserve">Toto odporúčanie predkladáme, pretože Európska únia v súčasnosti nemá dostatočné právomoci prijímať právne predpisy v oblasti zdravotnej starostlivosti. Pandémia COVID-19 poukázala na potrebu zvýšenej účasti EÚ v politikách v oblasti zdravia. Táto zmena zmluvy umožní EÚ urobiť viac s cieľom zabezpečiť zdravotnú starostlivosť pre všetkých občanov EÚ a vydávať záväzné nariadenia a rozhodnutia. </w:t>
      </w:r>
    </w:p>
    <w:p>
      <w:pPr>
        <w:pStyle w:val="Normal"/>
        <w:rPr/>
      </w:pPr>
      <w:r>
        <w:rPr/>
        <w:t xml:space="preserve"> </w:t>
      </w:r>
    </w:p>
    <w:p>
      <w:pPr>
        <w:pStyle w:val="P68B1DB1Normal15"/>
        <w:rPr/>
      </w:pPr>
      <w:r>
        <w:rPr/>
        <w:t xml:space="preserve">50. Odporúčame, aby EÚ ponúkla bezplatné kurzy prvej pomoci všetkým občanom EÚ. EÚ by mohla zvážiť, či sú tieto kurzy povinné pre študentov a na pracovisku (vo verejnom aj súkromnom sektore). Tieto kurzy musia byť tiež praktické, opakujúce sa a prispôsobené veku študentov. Minimálny počet defibrilátorov by mal byť dostupný aj na verejných miestach vo všetkých členských štátoch EÚ. </w:t>
      </w:r>
    </w:p>
    <w:p>
      <w:pPr>
        <w:pStyle w:val="Normal"/>
        <w:rPr/>
      </w:pPr>
      <w:r>
        <w:rPr/>
        <w:t xml:space="preserve"> </w:t>
      </w:r>
    </w:p>
    <w:p>
      <w:pPr>
        <w:pStyle w:val="Normal"/>
        <w:rPr/>
      </w:pPr>
      <w:r>
        <w:rPr/>
        <w:t xml:space="preserve">Odporúčame ho, pretože mnohí ľudia v Európskej únii nie sú pripravení konať, keď človek potrebuje pomoc a pretože nepozná techniky prvej pomoci. To je dôvod, prečo je veľa životov stratených. Na niektorých verejných miestach nie je k dispozícii žiadny defibrilátor. </w:t>
      </w:r>
    </w:p>
    <w:p>
      <w:pPr>
        <w:pStyle w:val="Normal"/>
        <w:rPr/>
      </w:pPr>
      <w:r>
        <w:rPr/>
        <w:t xml:space="preserve"> </w:t>
      </w:r>
    </w:p>
    <w:p>
      <w:pPr>
        <w:pStyle w:val="P68B1DB1Normal15"/>
        <w:rPr/>
      </w:pPr>
      <w:r>
        <w:rPr/>
        <w:t xml:space="preserve">51. Odporúčame, aby Európska únia zabezpečila, aby súkromní poskytovatelia zdravotnej starostlivosti nespravodlivo nevyužívali verejné finančné prostriedky a nečerpali zdroje systémov verejného zdravotníctva. Európska únia by mala členským štátom rázne odporučiť, aby zvýšili financovanie verejnej zdravotnej starostlivosti. </w:t>
      </w:r>
    </w:p>
    <w:p>
      <w:pPr>
        <w:pStyle w:val="Normal"/>
        <w:rPr/>
      </w:pPr>
      <w:r>
        <w:rPr/>
        <w:t xml:space="preserve"> </w:t>
      </w:r>
    </w:p>
    <w:p>
      <w:pPr>
        <w:pStyle w:val="Normal"/>
        <w:rPr/>
      </w:pPr>
      <w:r>
        <w:rPr/>
        <w:t xml:space="preserve">Toto odporúčanie predkladáme, pretože Európska únia a jej členské štáty majú povinnosť zabezpečiť prístup k zdravotnej starostlivosti pre všetkých svojich občanov. Silnejší systém verejného zdravotníctva si okrem toho vyžaduje lepšiu pripravenosť na budúce pandémie. </w:t>
      </w:r>
    </w:p>
    <w:p>
      <w:pPr>
        <w:pStyle w:val="Normal"/>
        <w:rPr/>
      </w:pPr>
      <w:r>
        <w:rPr/>
        <w:t xml:space="preserve"> </w:t>
      </w:r>
    </w:p>
    <w:p>
      <w:pPr>
        <w:pStyle w:val="Titre3"/>
        <w:numPr>
          <w:ilvl w:val="2"/>
          <w:numId w:val="2"/>
        </w:numPr>
        <w:rPr/>
      </w:pPr>
      <w:bookmarkStart w:id="175" w:name="__RefHeading___Toc297285_1346298689"/>
      <w:bookmarkEnd w:id="175"/>
      <w:r>
        <w:rPr/>
        <w:t xml:space="preserve">Príloha: ĎALŠIE ODPORÚČANIA, KTORÉ VÝBOR ZVÁŽIL A KTORÉ NEBOLI PRIJATÉ </w:t>
      </w:r>
    </w:p>
    <w:p>
      <w:pPr>
        <w:pStyle w:val="Titre4"/>
        <w:numPr>
          <w:ilvl w:val="3"/>
          <w:numId w:val="2"/>
        </w:numPr>
        <w:rPr/>
      </w:pPr>
      <w:bookmarkStart w:id="176" w:name="__RefHeading___Toc297287_1346298689"/>
      <w:bookmarkEnd w:id="176"/>
      <w:r>
        <w:rPr/>
        <w:t xml:space="preserve">Os 1: Lepšie spôsoby života </w:t>
      </w:r>
    </w:p>
    <w:p>
      <w:pPr>
        <w:pStyle w:val="Normal"/>
        <w:rPr/>
      </w:pPr>
      <w:r>
        <w:rPr/>
        <w:t xml:space="preserve">Podos 1.1 Zdravý životný štýl </w:t>
      </w:r>
    </w:p>
    <w:p>
      <w:pPr>
        <w:pStyle w:val="P68B1DB1Normal15"/>
        <w:rPr/>
      </w:pPr>
      <w:r>
        <w:rPr/>
        <w:t xml:space="preserve">Odporúčame, aby EÚ zaslala všetkým členským štátom odporúčanie o najlepších postupoch pri zákaze alebo obmedzovaní reklamy na alkohol a tabak vo všetkých formách médií a pre všetky vekové skupiny, ale s osobitným dôrazom na mladé publikum. EÚ by mala zabezpečiť presadzovanie právnych predpisov obmedzujúcich predaj týchto výrobkov neplnoletým osobám. Všetky členské štáty by mali so sankciami zabezpečiť vykonávanie právnych ustanovení o fajčení na verejných priestranstvách, najmä v školách, a vytvoriť priestory vyhradené pre fajčiarov. </w:t>
      </w:r>
    </w:p>
    <w:p>
      <w:pPr>
        <w:pStyle w:val="Normal"/>
        <w:rPr/>
      </w:pPr>
      <w:r>
        <w:rPr/>
        <w:t xml:space="preserve"> </w:t>
      </w:r>
    </w:p>
    <w:p>
      <w:pPr>
        <w:pStyle w:val="Normal"/>
        <w:rPr/>
      </w:pPr>
      <w:r>
        <w:rPr/>
        <w:t xml:space="preserve">Životný štýl poškodzujúci zdravie sa nemôže objaviť v reklame a mal by byť menej viditeľný vo verejnom živote. Okrem toho, keďže alkohol a tabak patria medzi najpoužívanejšie škodlivé látky, toto odporúčanie zabráni ich zneužívaniu. </w:t>
      </w:r>
    </w:p>
    <w:p>
      <w:pPr>
        <w:pStyle w:val="Normal"/>
        <w:rPr/>
      </w:pPr>
      <w:r>
        <w:rPr/>
        <w:t xml:space="preserve"> </w:t>
      </w:r>
    </w:p>
    <w:p>
      <w:pPr>
        <w:pStyle w:val="P68B1DB1Normal15"/>
        <w:rPr/>
      </w:pPr>
      <w:r>
        <w:rPr/>
        <w:t xml:space="preserve">Odporúčame, aby EÚ nabádala členské štáty, aby zahrnuli kurzy do vnútroštátnych školských osnov s cieľom naučiť sa variť udržateľným, zdravým a chutným spôsobom. Na tento účel môže EÚ sprístupniť príručky zdravého varenia online aj v tlačenej podobe. Mladí ľudia by mali byť oslovení aktívnou reklamou v tradičných a sociálnych médiách. Mali by sme tiež vzdelávať rodičov, aby sa naučili, ako čo najlepšie využiť jedlo na osvojenie si zdravého životného štýlu. Výskum v tejto oblasti by sa mal podporovať a obohacovať. </w:t>
      </w:r>
    </w:p>
    <w:p>
      <w:pPr>
        <w:pStyle w:val="Normal"/>
        <w:rPr/>
      </w:pPr>
      <w:r>
        <w:rPr/>
        <w:t xml:space="preserve"> </w:t>
      </w:r>
    </w:p>
    <w:p>
      <w:pPr>
        <w:pStyle w:val="Normal"/>
        <w:rPr/>
      </w:pPr>
      <w:r>
        <w:rPr/>
        <w:t xml:space="preserve">Organizovanie tried varenia a výživy v škole by zlepšilo zdravie mladých ľudí a odrádzalo by od konzumácie rýchleho občerstvenia. Vzdelávanie mladých ľudí by im umožnilo vysvetliť rodičom, čo sa naučili. Okrem toho vzdelávanie rodičov o zdravom životnom štýle by im umožnilo ísť príkladom pre ich deti. </w:t>
      </w:r>
    </w:p>
    <w:p>
      <w:pPr>
        <w:pStyle w:val="Normal"/>
        <w:rPr/>
      </w:pPr>
      <w:r>
        <w:rPr/>
      </w:r>
    </w:p>
    <w:p>
      <w:pPr>
        <w:pStyle w:val="P68B1DB1Normal15"/>
        <w:rPr/>
      </w:pPr>
      <w:r>
        <w:rPr/>
        <w:t xml:space="preserve">Odporúčame zintenzívniť verejnú kampaň Európskej komisie za zdravý životný štýl, HealthyLifestyle4All a pozitívny vplyv sociálnej činnosti prostredníctvom konkrétnych príkladov a komplexnej stratégie. Mali by sa vymedziť informačné kampane pre dobre štruktúrované cieľové skupiny a mali by sa vybrať vhodné komunikačné prostriedky pre každú z týchto skupín. Okrem toho je dôležité zaviesť systémy odmeňovania a stimulov na podporu pozitívneho správania. Kampane by mali zahŕňať influencerov, celebrity alebo úrady. Musia zdôrazniť dvojaký prínos pre zdravie, životné prostredie a klímu. Okrem toho by mali byť vo všetkých členských štátoch k dispozícii granty na podporu bezplatnej verejnej športovej infraštruktúry. </w:t>
      </w:r>
    </w:p>
    <w:p>
      <w:pPr>
        <w:pStyle w:val="Normal"/>
        <w:rPr/>
      </w:pPr>
      <w:r>
        <w:rPr/>
        <w:t xml:space="preserve"> </w:t>
      </w:r>
    </w:p>
    <w:p>
      <w:pPr>
        <w:pStyle w:val="Normal"/>
        <w:rPr/>
      </w:pPr>
      <w:r>
        <w:rPr/>
        <w:t xml:space="preserve">Zdravší životný štýl má pozitívny vplyv na systém zdravotnej starostlivosti, pretože znižuje zdravotné problémy. Fyzické zdravie ovplyvňuje duševné zdravie a šťastie. Súčasné kampane nie sú dostatočne známe. Sú efektívnejšie a motivujúce, keď sú s nimi spojené osobnosti a influenceri. </w:t>
      </w:r>
    </w:p>
    <w:p>
      <w:pPr>
        <w:pStyle w:val="Normal"/>
        <w:rPr/>
      </w:pPr>
      <w:r>
        <w:rPr/>
        <w:t xml:space="preserve"> </w:t>
      </w:r>
    </w:p>
    <w:p>
      <w:pPr>
        <w:pStyle w:val="P68B1DB1Normal15"/>
        <w:rPr/>
      </w:pPr>
      <w:r>
        <w:rPr/>
        <w:t xml:space="preserve">Odporúčame informačnú kampaň o zdravom stravovaní a výžive. EÚ by mala podporovať vyššie zdaňovanie mäsa a cukru v členských štátoch. Mala by preskúmať možnosti rozlišovania medzi zdravými potravinami a škodlivými potravinami a mala by na ne uplatňovať diferencovanú DPH. Odporúčame umiestniť veľmi jasné varovné signály na výrobky, ktoré sú veľmi škodlivé pre zdravie (napríklad tabakové výrobky). Okrem toho odporúčame celoeurópsky systém hodnotenia nutričných hodnôt, ktorý poskytuje relevantné informácie a QR kód, ktorý umožňuje spotrebiteľom prijímať lepšie informované rozhodnutia. Preskúmať príležitosti na to, aby boli zdravé potraviny lacnejšie ako nezdravé potraviny, a ďalej nabádať poľnohospodárov, aby vyrábali zdravé výrobky. </w:t>
      </w:r>
    </w:p>
    <w:p>
      <w:pPr>
        <w:pStyle w:val="Normal"/>
        <w:rPr/>
      </w:pPr>
      <w:r>
        <w:rPr/>
        <w:t xml:space="preserve"> </w:t>
      </w:r>
    </w:p>
    <w:p>
      <w:pPr>
        <w:pStyle w:val="Normal"/>
        <w:rPr/>
      </w:pPr>
      <w:r>
        <w:rPr/>
        <w:t xml:space="preserve">Zdravá strava je základom zdravého života. Je potrebné zasiahnuť tak na strane výrobcu, ako aj na strane spotrebiteľa. Výroba zdravých výrobkov má tiež pozitívny vplyv na životné prostredie a môže pomôcť miestnym poľnohospodárom. Ak sa zvýši produkcia zdravých potravín, ceny klesnú a dopyt sa zvýši. </w:t>
      </w:r>
    </w:p>
    <w:p>
      <w:pPr>
        <w:pStyle w:val="Normal"/>
        <w:rPr/>
      </w:pPr>
      <w:r>
        <w:rPr/>
        <w:t xml:space="preserve"> </w:t>
      </w:r>
    </w:p>
    <w:p>
      <w:pPr>
        <w:pStyle w:val="Normal"/>
        <w:rPr/>
      </w:pPr>
      <w:r>
        <w:rPr/>
        <w:t xml:space="preserve">Podos 1.2 Environmentálne vzdelávanie </w:t>
      </w:r>
    </w:p>
    <w:p>
      <w:pPr>
        <w:pStyle w:val="P68B1DB1Normal15"/>
        <w:rPr/>
      </w:pPr>
      <w:r>
        <w:rPr/>
        <w:t xml:space="preserve">Odporúčame, aby EÚ vytvorila mechanizmus financovania na podporu začlenenia dlhodobého programu environmentálneho vzdelávania do vnútroštátnych vzdelávacích systémov pre deti na základných a stredných školách. Tento mechanizmus financovania by mal zahŕňať financovanie rodičov, ktorí potrebujú finančnú pomoc. </w:t>
      </w:r>
    </w:p>
    <w:p>
      <w:pPr>
        <w:pStyle w:val="Normal"/>
        <w:rPr/>
      </w:pPr>
      <w:r>
        <w:rPr/>
        <w:t xml:space="preserve"> </w:t>
      </w:r>
    </w:p>
    <w:p>
      <w:pPr>
        <w:pStyle w:val="Normal"/>
        <w:rPr/>
      </w:pPr>
      <w:r>
        <w:rPr/>
        <w:t xml:space="preserve">Súčasné vzdelávacie systémy neobsahujú dostatok praktických prvkov, ktoré uľahčujú priamu a hlbokú interakciu medzi deťmi a životným prostredím. Existujúce programy navrhnuté z krátkodobého hľadiska sú rôznorodé a nepodporujú potrebnú zmenu postoja. Rodičia by mali byť podporovaní s cieľom zabezpečiť, aby všetky deti mohli využívať program rovnako a aby žiadne z finančných dôvodov neboli vylúčené. </w:t>
      </w:r>
    </w:p>
    <w:p>
      <w:pPr>
        <w:pStyle w:val="Normal"/>
        <w:rPr/>
      </w:pPr>
      <w:r>
        <w:rPr/>
        <w:t xml:space="preserve"> </w:t>
      </w:r>
    </w:p>
    <w:p>
      <w:pPr>
        <w:pStyle w:val="Titre4"/>
        <w:numPr>
          <w:ilvl w:val="3"/>
          <w:numId w:val="2"/>
        </w:numPr>
        <w:rPr/>
      </w:pPr>
      <w:bookmarkStart w:id="177" w:name="__RefHeading___Toc297289_1346298689"/>
      <w:bookmarkEnd w:id="177"/>
      <w:r>
        <w:rPr/>
        <w:t xml:space="preserve">Os 2: Ochrana životného prostredia a zdravia </w:t>
      </w:r>
    </w:p>
    <w:p>
      <w:pPr>
        <w:pStyle w:val="Normal"/>
        <w:rPr/>
      </w:pPr>
      <w:r>
        <w:rPr/>
        <w:t xml:space="preserve">Podos 2.1 zdravé prírodné prostredie </w:t>
      </w:r>
    </w:p>
    <w:p>
      <w:pPr>
        <w:pStyle w:val="P68B1DB1Normal15"/>
        <w:rPr/>
      </w:pPr>
      <w:r>
        <w:rPr/>
        <w:t xml:space="preserve">Odporúčame okamžite zaviesť najvyššiu možnú normu kvality vody v celej EÚ. Na úsporu vody ponúkame systém odmeňovania založený na cenách vody, ktorý podporuje a podporuje nižšiu spotrebu, napríklad: 1) vytvorením dynamického systému, ktorý odrádza spotrebiteľov od prekročenia priemernej spotreby vody (napríklad 10 % nárast spotreby vody vedie k 11 % zvýšeniu ceny), 2) vytvorením trhového systému pre kvóty pre vodu znečistené výrobnými spoločnosťami, ktorý by bol podobný trhu s povoleniami na uhlík, ktorý je už zavedený. </w:t>
      </w:r>
    </w:p>
    <w:p>
      <w:pPr>
        <w:pStyle w:val="Normal"/>
        <w:rPr/>
      </w:pPr>
      <w:r>
        <w:rPr/>
        <w:t xml:space="preserve"> </w:t>
      </w:r>
    </w:p>
    <w:p>
      <w:pPr>
        <w:pStyle w:val="Normal"/>
        <w:rPr/>
      </w:pPr>
      <w:r>
        <w:rPr/>
        <w:t xml:space="preserve">Toto odporúčanie je odôvodnené skutočnosťou, že zvýšenie cien podnecuje všetkých používateľov k tomu, aby prijímali lepšie informované rozhodnutia. Vzhľadom na rôznu realitu krajín EÚ a s cieľom dosiahnuť sociálne spravodlivý systém môžeme podporiť chudobnejších ľudí pri hospodárení s vodou prostredníctvom spoločných investícií do infraštruktúry a výskumu vodovodu. </w:t>
      </w:r>
    </w:p>
    <w:p>
      <w:pPr>
        <w:pStyle w:val="Normal"/>
        <w:rPr/>
      </w:pPr>
      <w:r>
        <w:rPr/>
        <w:t xml:space="preserve"> </w:t>
      </w:r>
    </w:p>
    <w:p>
      <w:pPr>
        <w:pStyle w:val="Titre4"/>
        <w:numPr>
          <w:ilvl w:val="3"/>
          <w:numId w:val="2"/>
        </w:numPr>
        <w:rPr/>
      </w:pPr>
      <w:bookmarkStart w:id="178" w:name="__RefHeading___Toc297291_1346298689"/>
      <w:bookmarkEnd w:id="178"/>
      <w:r>
        <w:rPr/>
        <w:t xml:space="preserve">Os 3: preorientovanie nášho hospodárstva a spotreby </w:t>
      </w:r>
    </w:p>
    <w:p>
      <w:pPr>
        <w:pStyle w:val="Normal"/>
        <w:rPr/>
      </w:pPr>
      <w:r>
        <w:rPr/>
        <w:t xml:space="preserve">Podos 3.1 Regulácia nadvýroby a nadmernej spotreby </w:t>
      </w:r>
    </w:p>
    <w:p>
      <w:pPr>
        <w:pStyle w:val="P68B1DB1Normal15"/>
        <w:rPr/>
      </w:pPr>
      <w:r>
        <w:rPr/>
        <w:t xml:space="preserve">Odporúčame, aby EÚ uložila pokuty spoločnostiam, ktoré eliminujú nepredané výrobky vyrobené nadprodukciou. </w:t>
      </w:r>
    </w:p>
    <w:p>
      <w:pPr>
        <w:pStyle w:val="Normal"/>
        <w:rPr/>
      </w:pPr>
      <w:r>
        <w:rPr/>
        <w:t xml:space="preserve"> </w:t>
      </w:r>
    </w:p>
    <w:p>
      <w:pPr>
        <w:pStyle w:val="Normal"/>
        <w:rPr/>
      </w:pPr>
      <w:r>
        <w:rPr/>
        <w:t xml:space="preserve">V niektorých prípadoch sa spoločnosti domnievajú, že je nákladovo efektívnejšie likvidovať nepredaný tovar, a nie ho recyklovať alebo opätovne použiť. Preto je dôležité odrádzať od nadvýroby ukladaním pokút, aby táto prax už nebola pre výrobcov zisková. </w:t>
      </w:r>
    </w:p>
    <w:p>
      <w:pPr>
        <w:pStyle w:val="Normal"/>
        <w:rPr/>
      </w:pPr>
      <w:r>
        <w:rPr/>
        <w:t xml:space="preserve"> </w:t>
      </w:r>
    </w:p>
    <w:p>
      <w:pPr>
        <w:pStyle w:val="Normal"/>
        <w:rPr/>
      </w:pPr>
      <w:r>
        <w:rPr/>
        <w:t xml:space="preserve">Podos 3.2 Zníženie odpadu </w:t>
      </w:r>
    </w:p>
    <w:p>
      <w:pPr>
        <w:pStyle w:val="P68B1DB1Normal15"/>
        <w:rPr/>
      </w:pPr>
      <w:r>
        <w:rPr/>
        <w:t xml:space="preserve">Odporúčame, aby EÚ vypracovala a uplatňovala politiku odpadového hospodárstva pre domácnosti a občanov, pričom by mala upriamiť pozornosť na skutočné množstvo odpadu, ktoré produkujú, a doplniť ho o potrebné opatrenia na zvýšenie informovanosti občanov o výhodách znižovania tvorby odpadu a selektívneho zberu odpadu. Mali by sa tiež zaviesť opatrenia zamerané na sociálne znevýhodnené rodiny (napr. mladé rodiny s deťmi, staršie osoby atď.), pričom by sa mala rešpektovať zásada „na nikoho nezabudnúť“. </w:t>
      </w:r>
    </w:p>
    <w:p>
      <w:pPr>
        <w:pStyle w:val="Normal"/>
        <w:rPr/>
      </w:pPr>
      <w:r>
        <w:rPr/>
        <w:t xml:space="preserve"> </w:t>
      </w:r>
    </w:p>
    <w:p>
      <w:pPr>
        <w:pStyle w:val="Normal"/>
        <w:rPr/>
      </w:pPr>
      <w:r>
        <w:rPr/>
        <w:t xml:space="preserve">Cieľom takejto politiky je vypracovať jednotný prístup k nakladaniu s odpadom v domácnostiach; uľahčuje aj ochranu životného prostredia prostredníctvom znižovania odpadu, ďalej stimuluje obehové hospodárstvo a zvyšuje efektívnosť zberu odpadu. A napokon, čo nie je zanedbateľné, zvyšuje povedomie občanov a posilňuje zmysel pre environmentálnu zodpovednosť. </w:t>
      </w:r>
    </w:p>
    <w:p>
      <w:pPr>
        <w:pStyle w:val="Normal"/>
        <w:rPr/>
      </w:pPr>
      <w:r>
        <w:rPr/>
        <w:t xml:space="preserve"> </w:t>
      </w:r>
    </w:p>
    <w:p>
      <w:pPr>
        <w:pStyle w:val="P68B1DB1Normal15"/>
        <w:rPr/>
      </w:pPr>
      <w:r>
        <w:rPr/>
        <w:t xml:space="preserve">Odporúčame, aby EÚ podporovala voľnú hospodársku súťaž a nabádala súkromný sektor, aby aktívnejšie prispieval k čisteniu odpadu vrátane odpadových vôd a k činnostiam v oblasti recyklácie a zhodnocovania odpadu. </w:t>
      </w:r>
    </w:p>
    <w:p>
      <w:pPr>
        <w:pStyle w:val="Normal"/>
        <w:rPr/>
      </w:pPr>
      <w:r>
        <w:rPr/>
        <w:t xml:space="preserve"> </w:t>
      </w:r>
    </w:p>
    <w:p>
      <w:pPr>
        <w:pStyle w:val="Normal"/>
        <w:rPr/>
      </w:pPr>
      <w:r>
        <w:rPr/>
        <w:t xml:space="preserve">EÚ je vhodnou úrovňou na vykonávanie tohto odporúčania, keďže dopĺňa rámcovú smernicu o odpade a akčný plán pre obehové hospodárstvo. Okrem toho sa vykonávaním odporúčania posilnia inovatívne riešenia odpadového hospodárstva, zlepší sa kvalita nakladania s odpadom a zvýši sa objem spracovaného odpadu, keďže na týchto činnostiach sa zúčastní viac spoločností. </w:t>
      </w:r>
    </w:p>
    <w:p>
      <w:pPr>
        <w:pStyle w:val="Normal"/>
        <w:rPr/>
      </w:pPr>
      <w:r>
        <w:rPr/>
        <w:t xml:space="preserve"> </w:t>
      </w:r>
    </w:p>
    <w:p>
      <w:pPr>
        <w:pStyle w:val="Normal"/>
        <w:rPr/>
      </w:pPr>
      <w:r>
        <w:rPr/>
        <w:t xml:space="preserve">Podos 3.3 Spravodlivé výrobky, rovnaký prístup a spravodlivá spotreba </w:t>
      </w:r>
    </w:p>
    <w:p>
      <w:pPr>
        <w:pStyle w:val="P68B1DB1Normal15"/>
        <w:rPr/>
      </w:pPr>
      <w:r>
        <w:rPr/>
        <w:t xml:space="preserve">Odporúčame premiestnenie priemyselných odvetví do Európskej únie s cieľom poskytovať kvalitné spravodlivé výrobky a ovplyvňovať otázky klímy. </w:t>
      </w:r>
    </w:p>
    <w:p>
      <w:pPr>
        <w:pStyle w:val="Normal"/>
        <w:rPr/>
      </w:pPr>
      <w:r>
        <w:rPr/>
        <w:t xml:space="preserve"> </w:t>
      </w:r>
    </w:p>
    <w:p>
      <w:pPr>
        <w:pStyle w:val="Normal"/>
        <w:rPr/>
      </w:pPr>
      <w:r>
        <w:rPr/>
        <w:t xml:space="preserve">Európska únia má know-how, ktoré treba podporovať na jej vlastnom trhu. </w:t>
      </w:r>
    </w:p>
    <w:p>
      <w:pPr>
        <w:pStyle w:val="Normal"/>
        <w:rPr/>
      </w:pPr>
      <w:r>
        <w:rPr/>
        <w:t xml:space="preserve">Vzhľadom na premiestnenie priemyselných odvetví mimo EÚ, najmä v Ázii, sa premiestňujú aj niektoré odborné zručnosti. Toto odporúčanie zahŕňa odbornú prípravu európskych pracovníkov. Zdôrazňujeme, že je potrebné vyhnúť sa premiestňovaniu medzi rôznymi členskými štátmi, aby sa zabránilo nekalej hospodárskej súťaži. </w:t>
      </w:r>
    </w:p>
    <w:p>
      <w:pPr>
        <w:pStyle w:val="Normal"/>
        <w:rPr/>
      </w:pPr>
      <w:r>
        <w:rPr/>
        <w:t xml:space="preserve">Zistili sme, že masívne premiestňovanie priemyselných odvetví po celom svete má vplyv na európske priemyselné odvetvia. Miestna výroba preto zlepší zdravie občanov a životné prostredie. </w:t>
      </w:r>
    </w:p>
    <w:p>
      <w:pPr>
        <w:pStyle w:val="Normal"/>
        <w:rPr/>
      </w:pPr>
      <w:r>
        <w:rPr/>
      </w:r>
    </w:p>
    <w:p>
      <w:pPr>
        <w:pStyle w:val="Titre4"/>
        <w:numPr>
          <w:ilvl w:val="3"/>
          <w:numId w:val="2"/>
        </w:numPr>
        <w:rPr/>
      </w:pPr>
      <w:bookmarkStart w:id="179" w:name="__RefHeading___Toc297293_1346298689"/>
      <w:bookmarkEnd w:id="179"/>
      <w:r>
        <w:rPr/>
        <w:t xml:space="preserve">Os 4: smerom k udržateľnej spoločnosti </w:t>
      </w:r>
    </w:p>
    <w:p>
      <w:pPr>
        <w:pStyle w:val="Normal"/>
        <w:rPr/>
      </w:pPr>
      <w:r>
        <w:rPr/>
        <w:t xml:space="preserve">Podosa 4.3 Doprava šetrná k životnému prostrediu </w:t>
      </w:r>
    </w:p>
    <w:p>
      <w:pPr>
        <w:pStyle w:val="P68B1DB1Normal15"/>
        <w:rPr/>
      </w:pPr>
      <w:r>
        <w:rPr/>
        <w:t xml:space="preserve">Odporúčame, aby boli veľké mestá pokutované alebo dotované podľa environmentálnych vlastností a znečistenia ich verejnej dopravy (elektrické vozidlá, zelená verejná doprava, vytváranie peších plôch, podpora používania bicyklov atď.). Najmä pokuty alebo dotácie uplatniteľné na miestne orgány v meste by sa mali určovať na základe zmien v ekologickej doprave v porovnaní so začiatočnou situáciou v tomto meste. Práve Európska únia by mala prostredníctvom svojich právnych predpisov definovať ukazovatele výkonnosti pre opatrenia súvisiace so znečistením a určiť proporcionálne zníženie. V tejto súvislosti by sa mal zohľadniť východiskový bod každého mesta. </w:t>
      </w:r>
    </w:p>
    <w:p>
      <w:pPr>
        <w:pStyle w:val="Normal"/>
        <w:rPr/>
      </w:pPr>
      <w:r>
        <w:rPr/>
        <w:t xml:space="preserve"> </w:t>
      </w:r>
    </w:p>
    <w:p>
      <w:pPr>
        <w:pStyle w:val="Normal"/>
        <w:rPr/>
      </w:pPr>
      <w:r>
        <w:rPr/>
        <w:t xml:space="preserve">Toto odporúčanie predkladáme, pretože mestá boli zasiahnuté znečistením ovzdušia, ktoré spôsobilo zdravotné problémy. Rozvoj ekologickej dopravy by zlepšil životy a zdravie ľudí a znížil skleníkový efekt. Dotácie a sankcie sú účinnými opatreniami na podporu zmien a uľahčenie prispôsobenia sa rôznym situáciám v rôznych mestách. </w:t>
      </w:r>
    </w:p>
    <w:p>
      <w:pPr>
        <w:pStyle w:val="Normal"/>
        <w:rPr/>
      </w:pPr>
      <w:r>
        <w:rPr/>
        <w:t xml:space="preserve"> </w:t>
      </w:r>
    </w:p>
    <w:p>
      <w:pPr>
        <w:pStyle w:val="P68B1DB1Normal15"/>
        <w:rPr/>
      </w:pPr>
      <w:r>
        <w:rPr/>
        <w:t xml:space="preserve">Odporúčame, aby právne predpisy EÚ obmedzovali a regulovali využívanie letov na krátke vzdialenosti a výletných lodí. Ľuďom by sa mali ponúknuť alternatívy dopravy šetrné k životnému prostrediu. Jednou z takýchto alternatív by mala byť štandardizácia železníc s cieľom prepojiť európske hlavné mestá. Takisto odporúčame, aby EÚ poskytla dotácie na to, aby bola preprava tovaru šetrnejšia k životnému prostrediu vrátane železničnej a lodnej dopravy (na krátke cesty). </w:t>
      </w:r>
    </w:p>
    <w:p>
      <w:pPr>
        <w:pStyle w:val="Normal"/>
        <w:rPr/>
      </w:pPr>
      <w:r>
        <w:rPr/>
        <w:t xml:space="preserve"> </w:t>
      </w:r>
    </w:p>
    <w:p>
      <w:pPr>
        <w:pStyle w:val="Normal"/>
        <w:rPr/>
      </w:pPr>
      <w:r>
        <w:rPr/>
        <w:t xml:space="preserve">Toto odporúčanie dávame, pretože cesty na krátke vzdialenosti sú príliš časté, znečisťujúce a ľahko sa nahrádzajú. Obmedzením výletných lodí by sa znížilo znečistenie morí (hlavný environmentálny problém), ako aj negatívny vplyv na pobrežné mestá. Preto musíme zaviesť cenovo dostupnejšie alternatívy k viac znečisťujúcim riešeniam. Jednotný železničný rozchod by zlepšil železničné spojenia medzi európskymi hlavnými mestami. </w:t>
      </w:r>
    </w:p>
    <w:p>
      <w:pPr>
        <w:pStyle w:val="Normal"/>
        <w:rPr/>
      </w:pPr>
      <w:r>
        <w:rPr/>
        <w:t xml:space="preserve"> </w:t>
      </w:r>
    </w:p>
    <w:p>
      <w:pPr>
        <w:pStyle w:val="Titre4"/>
        <w:numPr>
          <w:ilvl w:val="3"/>
          <w:numId w:val="2"/>
        </w:numPr>
        <w:rPr/>
      </w:pPr>
      <w:bookmarkStart w:id="180" w:name="__RefHeading___Toc297295_1346298689"/>
      <w:bookmarkEnd w:id="180"/>
      <w:r>
        <w:rPr/>
        <w:t xml:space="preserve">Os 5: Starostlivosť o všetkých </w:t>
      </w:r>
    </w:p>
    <w:p>
      <w:pPr>
        <w:pStyle w:val="Normal"/>
        <w:rPr/>
      </w:pPr>
      <w:r>
        <w:rPr/>
        <w:t xml:space="preserve">Podos 5.2 Širší pohľad na zdravie </w:t>
      </w:r>
    </w:p>
    <w:p>
      <w:pPr>
        <w:pStyle w:val="Normal"/>
        <w:rPr/>
      </w:pPr>
      <w:r>
        <w:rPr>
          <w:b/>
        </w:rPr>
        <w:t>Odporúčame, aby Európska únia v súlade so svojou</w:t>
      </w:r>
      <w:r>
        <w:rPr>
          <w:b/>
        </w:rPr>
        <w:commentReference w:id="5"/>
      </w:r>
      <w:r>
        <w:rPr>
          <w:b/>
        </w:rPr>
        <w:t xml:space="preserve"> kampaňou HealthyLife4All podporovala aj iniciatívy, ako sú spoločenské športové podujatia, školské športové aktivity, olympijské hry každé dva roky otvorené pre všetky vekové kategórie a všetky športy [nie pre profesionálov]. Odporúčame tiež vytvorenie bezplatnej európskej športovej aplikácie na podporu kolektívnych športových aktivít. Táto aplikácia by mala pomôcť ľuďom stretnúť sa prostredníctvom športu. Okrem toho by tieto iniciatívy mali byť všeobecne známe a rozširované. </w:t>
      </w:r>
    </w:p>
    <w:p>
      <w:pPr>
        <w:pStyle w:val="Normal"/>
        <w:rPr/>
      </w:pPr>
      <w:r>
        <w:rPr/>
        <w:t xml:space="preserve"> </w:t>
      </w:r>
    </w:p>
    <w:p>
      <w:pPr>
        <w:pStyle w:val="Normal"/>
        <w:rPr/>
      </w:pPr>
      <w:r>
        <w:rPr/>
        <w:t xml:space="preserve">V záujme zlepšenia zdravia európskeho obyvateľstva musí Európska únia podporovať šport a zdravý životný štýl. Okrem toho obyvateľstvo veľmi často nevie o vzťahu medzi športom a zdravým životným štýlom. Aplikácia je dôležitá, pretože ľudia sú viac ochotní športovať, ak to robia spoločne. </w:t>
      </w:r>
      <w:r>
        <w:br w:type="page"/>
      </w:r>
    </w:p>
    <w:p>
      <w:pPr>
        <w:pStyle w:val="P68B1DB1Normal19"/>
        <w:rPr/>
      </w:pPr>
      <w:r>
        <w:rPr/>
        <w:t xml:space="preserve"> </w:t>
      </w:r>
    </w:p>
    <w:p>
      <w:pPr>
        <w:pStyle w:val="Titre2"/>
        <w:numPr>
          <w:ilvl w:val="1"/>
          <w:numId w:val="2"/>
        </w:numPr>
        <w:rPr/>
      </w:pPr>
      <w:bookmarkStart w:id="181" w:name="__RefHeading___Toc297297_1346298689"/>
      <w:bookmarkEnd w:id="181"/>
      <w:r>
        <w:rPr/>
        <w:t xml:space="preserve">Európsky panel občanov č. 4: „EÚ vo svete/migrácia“ </w:t>
      </w:r>
    </w:p>
    <w:p>
      <w:pPr>
        <w:pStyle w:val="Normal"/>
        <w:rPr/>
      </w:pPr>
      <w:r>
        <w:rPr/>
        <w:t xml:space="preserve">ODPORÚČANIA PRIJATÉ SKUPINOU ODBORNÍKOV (KTORÉ SA MAJÚ PREDLOŽIŤ PLÉNU) </w:t>
      </w:r>
    </w:p>
    <w:p>
      <w:pPr>
        <w:pStyle w:val="Normal"/>
        <w:rPr/>
      </w:pPr>
      <w:r>
        <w:rPr/>
      </w:r>
    </w:p>
    <w:p>
      <w:pPr>
        <w:pStyle w:val="Titre3"/>
        <w:numPr>
          <w:ilvl w:val="2"/>
          <w:numId w:val="2"/>
        </w:numPr>
        <w:rPr/>
      </w:pPr>
      <w:bookmarkStart w:id="182" w:name="__RefHeading___Toc297299_1346298689"/>
      <w:bookmarkEnd w:id="182"/>
      <w:r>
        <w:rPr/>
        <w:t xml:space="preserve">Os 1: Sebestačnosť a stabilita </w:t>
      </w:r>
    </w:p>
    <w:p>
      <w:pPr>
        <w:pStyle w:val="Titre4"/>
        <w:numPr>
          <w:ilvl w:val="3"/>
          <w:numId w:val="2"/>
        </w:numPr>
        <w:rPr/>
      </w:pPr>
      <w:bookmarkStart w:id="183" w:name="__RefHeading___Toc297301_1346298689"/>
      <w:bookmarkEnd w:id="183"/>
      <w:r>
        <w:rPr/>
        <w:t xml:space="preserve">Podos 1.1 – autonómia EÚ </w:t>
      </w:r>
    </w:p>
    <w:p>
      <w:pPr>
        <w:pStyle w:val="Normal"/>
        <w:rPr/>
      </w:pPr>
      <w:r>
        <w:rPr>
          <w:b/>
        </w:rPr>
        <w:t>1. Odporúčame, aby sa strategické európske výrobné výrobky (ako sú poľnohospodárske výrobky, polovodiče, zdravotnícke výrobky alebo inovačné digitálne a environmentálne technológie) ďalej podporovali a finančne podporovali, aby boli dostupné a prístupné európskym spotrebiteľom a aby sa čo najviac obmedzila závislosť od neeurópskych dodávateľov. Takáto podpora by mohla zahŕňať štrukturálne a regionálne opatrenia, podporu údržby priemyselných odvetví a dodávateľských reťazcov v rámci Únie,</w:t>
      </w:r>
      <w:r>
        <w:rPr>
          <w:b/>
        </w:rPr>
        <w:commentReference w:id="6"/>
      </w:r>
      <w:r>
        <w:rPr>
          <w:b/>
        </w:rPr>
        <w:t xml:space="preserve"> daňovéúľavy, dotácie, aktívnu politiku MSP alebo vzdelávacie programy na ochranu príslušných zručností a pracovných miest v Európe. Aktívna priemyselná politika by však mala byť selektívna a zameraná na inovačné výrobky alebo výrobky nevyhnutné na zaručenie základných tovarov a služieb. </w:t>
      </w:r>
    </w:p>
    <w:p>
      <w:pPr>
        <w:pStyle w:val="Normal"/>
        <w:rPr/>
      </w:pPr>
      <w:r>
        <w:rPr/>
        <w:t xml:space="preserve"> </w:t>
      </w:r>
    </w:p>
    <w:p>
      <w:pPr>
        <w:pStyle w:val="Normal"/>
        <w:rPr/>
      </w:pPr>
      <w:r>
        <w:rPr/>
        <w:t xml:space="preserve">Odporúčame tieto opatrenia, pretože Európa je príliš závislá od </w:t>
      </w:r>
      <w:commentRangeStart w:id="7"/>
      <w:r>
        <w:rPr/>
        <w:t>neeurópskych dodávateľov</w:t>
      </w:r>
      <w:r>
        <w:rPr/>
      </w:r>
      <w:commentRangeEnd w:id="7"/>
      <w:r>
        <w:commentReference w:id="7"/>
      </w:r>
      <w:r>
        <w:rPr/>
        <w:t xml:space="preserve"> v kľúčových oblastiach, ktoré môžu spôsobiť diplomatické konflikty a viesť k nedostatku základných výrobkov alebo služieb alebo k strategickému významu. Keďže výrobné náklady sú vo všeobecnosti vyššie v EÚ ako inde vo svete, politika aktívneho povzbudzovania a podpory týchto výrobkov umožní Európanom nakupovať konkurencieschopné európske výrobky a povzbudí ich k tomu. Táto politika tiež posilní európsku konkurencieschopnosť a zachová budúce priemyselné odvetvia a pracovné miesta v Európe. Okrem toho väčšia regionalizácia výroby zníži náklady na dopravu a zabráni zhoršovaniu životného prostredia. </w:t>
      </w:r>
    </w:p>
    <w:p>
      <w:pPr>
        <w:pStyle w:val="Normal"/>
        <w:rPr/>
      </w:pPr>
      <w:r>
        <w:rPr/>
        <w:t xml:space="preserve"> </w:t>
      </w:r>
    </w:p>
    <w:p>
      <w:pPr>
        <w:pStyle w:val="P68B1DB1Normal15"/>
        <w:rPr/>
      </w:pPr>
      <w:r>
        <w:rPr/>
        <w:t>2. Odporúčame, aby EÚ znížila svoju závislosť od dovozu ropy a zemného plynu. To by si vyžadovalo aktívnu podporu projektov verejnej dopravy a energetickej efektívnosti, európskej vysokorýchlostnej železničnej siete nákladnej dopravy, rozšírenia dodávok čistej a obnoviteľnej energie (vrátane solárnej a veternej energie) a alternatívnych technológií (ako je vodík alebo energetické zhodnocovanie odpadu). Európska únia by tiež mala podporovať zmenu myslenia a podporovať opustenie súkromných automobilov v prospech verejnej dopravy, spoločného využívania automobilov prostredníctvom elektrických vozidiel a bicyklov.</w:t>
      </w:r>
    </w:p>
    <w:p>
      <w:pPr>
        <w:pStyle w:val="Normal"/>
        <w:rPr/>
      </w:pPr>
      <w:r>
        <w:rPr/>
      </w:r>
    </w:p>
    <w:p>
      <w:pPr>
        <w:pStyle w:val="Normal"/>
        <w:rPr/>
      </w:pPr>
      <w:r>
        <w:rPr/>
        <w:t>Odporúčame tieto opatrenia, pretože vytvárajú situáciu, ktorá podporuje autonómiu Európy znižovaním jej vonkajších závislostí, ako aj dosahovaním ambicióznych cieľov v oblasti klímy a znižovania emisií</w:t>
      </w:r>
      <w:r>
        <w:rPr>
          <w:vertAlign w:val="subscript"/>
        </w:rPr>
        <w:t>CO2</w:t>
      </w:r>
      <w:r>
        <w:rPr/>
        <w:t xml:space="preserve">. Takisto umožnia Európe stať sa významným aktérom v oblasti budúcich technológií, posilniť svoje hospodárstvo a vytvárať pracovné miesta. </w:t>
      </w:r>
    </w:p>
    <w:p>
      <w:pPr>
        <w:pStyle w:val="Normal"/>
        <w:rPr/>
      </w:pPr>
      <w:r>
        <w:rPr/>
        <w:t xml:space="preserve"> </w:t>
      </w:r>
    </w:p>
    <w:p>
      <w:pPr>
        <w:pStyle w:val="P68B1DB1Normal15"/>
        <w:rPr/>
      </w:pPr>
      <w:r>
        <w:rPr/>
        <w:t xml:space="preserve">3. Odporúčame, aby sa na úrovni EÚ prijal zákon s cieľom zabezpečiť, aby všetky výrobné a dodávateľské procesy EÚ a dovážaný tovar spĺňali európske normy kvality, etiky a udržateľnosti, ako aj všetky platné európske normy v oblasti ľudských práv, a aby výrobky, ktoré spĺňajú tieto kritériá, boli certifikované. </w:t>
      </w:r>
    </w:p>
    <w:p>
      <w:pPr>
        <w:pStyle w:val="Normal"/>
        <w:rPr/>
      </w:pPr>
      <w:r>
        <w:rPr/>
        <w:t xml:space="preserve"> </w:t>
      </w:r>
    </w:p>
    <w:p>
      <w:pPr>
        <w:pStyle w:val="Normal"/>
        <w:rPr/>
      </w:pPr>
      <w:r>
        <w:rPr/>
        <w:t xml:space="preserve">Odporúčame tieto opatrenia, pretože umožňujú spotrebiteľom a obchodníkom jednoduchý prístup k informáciám o produktoch, ktoré kupujú alebo predávajú. Ak to chcete urobiť, stačí sa obrátiť na certifikačný systém. Certifikácia tiež znižuje priepasť medzi lacnými a drahými výrobkami dostupnými na trhu. Lacné výrobky nebudú spĺňať požadované kritériá, a preto sa nebudú môcť prezentovať ako kvalitné. Splnením certifikačných kritérií sa bude chrániť životné prostredie, šetriť zdroje a podporovať zodpovednú spotrebu. </w:t>
      </w:r>
    </w:p>
    <w:p>
      <w:pPr>
        <w:pStyle w:val="Normal"/>
        <w:rPr/>
      </w:pPr>
      <w:r>
        <w:rPr/>
        <w:t xml:space="preserve"> </w:t>
      </w:r>
    </w:p>
    <w:p>
      <w:pPr>
        <w:pStyle w:val="P68B1DB1Normal15"/>
        <w:rPr/>
      </w:pPr>
      <w:r>
        <w:rPr/>
        <w:t xml:space="preserve">4. Odporúčame zaviesť európsky program na podporu malých miestnych výrobcov v strategických odvetviach vo všetkých členských štátoch. Títo výrobcovia by mali prospech z odborného vzdelávania, finančnej podpory prostredníctvom subvencií a (ak sú v Únii k dispozícii suroviny) stimulom na výrobu viac oprávnených tovarov na úkor dovozu. </w:t>
      </w:r>
    </w:p>
    <w:p>
      <w:pPr>
        <w:pStyle w:val="Normal"/>
        <w:rPr/>
      </w:pPr>
      <w:r>
        <w:rPr/>
        <w:t xml:space="preserve"> </w:t>
      </w:r>
    </w:p>
    <w:p>
      <w:pPr>
        <w:pStyle w:val="Normal"/>
        <w:rPr/>
      </w:pPr>
      <w:r>
        <w:rPr/>
        <w:t xml:space="preserve">Odporúčame tieto opatrenia, pretože podporou výrobcov v strategických odvetviach, ktoré sa nachádzajú v Únii, je Únia schopná získať svoju hospodársku nezávislosť v týchto odvetviach. To môže len podporiť posilnenie celého výrobného procesu, a tým podporiť inovácie. Výsledkom bude udržateľnejšia výroba surovín v EÚ, ktorá zníži náklady na dopravu a ochráni životné prostredie. </w:t>
      </w:r>
    </w:p>
    <w:p>
      <w:pPr>
        <w:pStyle w:val="Normal"/>
        <w:rPr/>
      </w:pPr>
      <w:r>
        <w:rPr/>
        <w:t xml:space="preserve"> </w:t>
      </w:r>
    </w:p>
    <w:p>
      <w:pPr>
        <w:pStyle w:val="P68B1DB1Normal15"/>
        <w:rPr/>
      </w:pPr>
      <w:r>
        <w:rPr/>
        <w:t xml:space="preserve">5. Odporúčame zlepšiť uplatňovanie ľudských práv na európskej úrovni takto: zvyšovanie informovanosti medzi krajinami, ktoré v primeranom rozsahu nedodržiavajú Európsky dohovor o ľudských právach (EDĽP) alebo Dohovor o ochrane ľudských práv a základných slobôd; zabezpečiť prísne monitorovanie rozsahu dodržiavania ľudských práv v rôznych členských štátoch, koordinované Európskou úniou a porovnávacím prehľadom v oblasti justície, a zabezpečiť ich prísne dodržiavanie prostredníctvom rôznych foriem sankcií. </w:t>
      </w:r>
    </w:p>
    <w:p>
      <w:pPr>
        <w:pStyle w:val="Normal"/>
        <w:rPr/>
      </w:pPr>
      <w:r>
        <w:rPr/>
        <w:t xml:space="preserve"> </w:t>
      </w:r>
    </w:p>
    <w:p>
      <w:pPr>
        <w:pStyle w:val="Normal"/>
        <w:rPr/>
      </w:pPr>
      <w:r>
        <w:rPr/>
        <w:t xml:space="preserve">Odporúčame tieto opatrenia, pretože členské štáty už akceptovali ľudské práva pri ratifikácii Európskeho dohovoru o ľudských právach, ale teraz je potrebné zlepšiť ich prijatie v každom z členských štátov, aby boli ľudské práva známe a aktívne uplatňované v týchto členských štátoch. </w:t>
      </w:r>
    </w:p>
    <w:p>
      <w:pPr>
        <w:pStyle w:val="Normal"/>
        <w:rPr/>
      </w:pPr>
      <w:r>
        <w:rPr/>
        <w:t xml:space="preserve"> </w:t>
      </w:r>
    </w:p>
    <w:p>
      <w:pPr>
        <w:pStyle w:val="P68B1DB1Normal15"/>
        <w:rPr/>
      </w:pPr>
      <w:r>
        <w:rPr/>
        <w:t xml:space="preserve">6. Odporúčame spustiť preskúmanie a zorganizovať intenzívnu komunikačnú kampaň na európskej úrovni s cieľom zabezpečiť, aby európski občania lepšie poznali EURES (Európska sieť služieb zamestnanosti), portál EÚ pre prisťahovalectvo a nástroj európskeho profilu zručností pre štátnych príslušníkov tretích krajín a aby ich spoločnosti EÚ častejšie využívali na uverejňovanie a propagáciu svojich pracovných ponúk. </w:t>
      </w:r>
    </w:p>
    <w:p>
      <w:pPr>
        <w:pStyle w:val="Normal"/>
        <w:rPr/>
      </w:pPr>
      <w:r>
        <w:rPr/>
        <w:t xml:space="preserve"> </w:t>
      </w:r>
    </w:p>
    <w:p>
      <w:pPr>
        <w:pStyle w:val="Normal"/>
        <w:rPr/>
      </w:pPr>
      <w:r>
        <w:rPr/>
        <w:t xml:space="preserve">Odporúčame nevytvoriť novú online platformu pre uverejňovanie pracovných ponúk pre mladých Európanov. Na európskej úrovni už existuje viac než dosť iniciatív tohto druhu. Domnievame sa, že v záujme zvýšenia informovanosti o existujúcej pracovnej sile a pracovných príležitostiach na európskej úrovni je vhodnejšie zlepšiť to, čo už existuje. </w:t>
      </w:r>
    </w:p>
    <w:p>
      <w:pPr>
        <w:pStyle w:val="Normal"/>
        <w:rPr/>
      </w:pPr>
      <w:r>
        <w:rPr/>
        <w:t xml:space="preserve"> </w:t>
      </w:r>
    </w:p>
    <w:p>
      <w:pPr>
        <w:pStyle w:val="Titre4"/>
        <w:numPr>
          <w:ilvl w:val="3"/>
          <w:numId w:val="2"/>
        </w:numPr>
        <w:rPr/>
      </w:pPr>
      <w:bookmarkStart w:id="184" w:name="__RefHeading___Toc297303_1346298689"/>
      <w:bookmarkEnd w:id="184"/>
      <w:r>
        <w:rPr/>
        <w:t xml:space="preserve">Podos 1.2 – Hranice </w:t>
      </w:r>
    </w:p>
    <w:p>
      <w:pPr>
        <w:pStyle w:val="P68B1DB1Normal15"/>
        <w:rPr/>
      </w:pPr>
      <w:r>
        <w:rPr/>
        <w:t xml:space="preserve">7. Odporúčame vytvoriť v EÚ mechanizmus pracovnej migrácie založený na skutočných potrebách európskych trhov práce. Mal by existovať jednotný systém uznávania odborných a akademických diplomov, ktoré existujú v Európskej únii a v tretích krajinách. Mali by existovať ponuky odbornej kvalifikácie, ako aj ponuky kultúrnej a jazykovej integrácie kvalifikovaných migrantov. Žiadatelia o azyl so správnou kvalifikáciou by mali mať prístup na trh práce. Mala by existovať integrovaná agentúra, pre ktorú by Európska sieť služieb zamestnanosti mohla tvoriť základ. </w:t>
      </w:r>
    </w:p>
    <w:p>
      <w:pPr>
        <w:pStyle w:val="Normal"/>
        <w:rPr/>
      </w:pPr>
      <w:r>
        <w:rPr/>
        <w:t xml:space="preserve"> </w:t>
      </w:r>
    </w:p>
    <w:p>
      <w:pPr>
        <w:pStyle w:val="Normal"/>
        <w:rPr/>
      </w:pPr>
      <w:r>
        <w:rPr/>
        <w:t xml:space="preserve">Odporúčame tieto opatrenia, pretože Európa potrebuje kvalifikovanú pracovnú silu v určitých odvetviach, v ktorých nie je možné plne pokryť dopyt pracovníkov EÚ. V súčasnosti neexistuje dostatok uskutočniteľných spôsobov, ako legálne požiadať o pracovné povolenie v EÚ. Európsky systém uznávania odborných a akademických diplomov uľahčí splnenie týchto potrieb a zjednoduší migráciu pracovnej sily v rámci Únie a migráciu pracovnej sily z krajín mimo Únie. Dopyt po pracovnej sile by sa tak mohol lepšie uspokojiť a nelegálne prisťahovalectvo by bolo lepšie riadené. Otvorenie mechanizmu pracovnej migrácie žiadateľom o azyl by urýchlilo ich integráciu do európskych hospodárstiev a spoločností. </w:t>
      </w:r>
    </w:p>
    <w:p>
      <w:pPr>
        <w:pStyle w:val="Normal"/>
        <w:rPr/>
      </w:pPr>
      <w:r>
        <w:rPr/>
        <w:t xml:space="preserve"> </w:t>
      </w:r>
    </w:p>
    <w:p>
      <w:pPr>
        <w:pStyle w:val="P68B1DB1Normal15"/>
        <w:rPr/>
      </w:pPr>
      <w:r>
        <w:rPr/>
        <w:t xml:space="preserve">8. Odporúčame, aby Európska únia posilnila svoje právne predpisy s cieľom poskytnúť agentúre Frontex väčšiu právomoc a nezávislosť. Bude tak môcť zasiahnuť vo všetkých členských štátoch s cieľom zabezpečiť ochranu všetkých vonkajších hraníc Únie. Únia by však mala vykonávať audity organizačných procesov agentúry Frontex, keďže musí fungovať transparentným spôsobom, aby sa zabránilo akémukoľvek zneužitiu. </w:t>
      </w:r>
    </w:p>
    <w:p>
      <w:pPr>
        <w:pStyle w:val="Normal"/>
        <w:rPr/>
      </w:pPr>
      <w:r>
        <w:rPr/>
        <w:t xml:space="preserve"> </w:t>
      </w:r>
    </w:p>
    <w:p>
      <w:pPr>
        <w:pStyle w:val="Normal"/>
        <w:rPr/>
      </w:pPr>
      <w:r>
        <w:rPr/>
        <w:t xml:space="preserve">Odporúčame tieto opatrenia, pretože podľa nášho názoru je neprijateľné, aby sa agentúre Frontex odoprel prístup k hraniciam, najmä ak dôjde k porušeniu ľudských práv. Chceme si byť istí, že agentúra Frontex uplatňuje európske právne predpisy. Samotná agentúra Frontex musí podliehať kontrolám a overovaniu, aby sa zabránilo akémukoľvek nevhodnému správaniu v rámci nej. </w:t>
      </w:r>
    </w:p>
    <w:p>
      <w:pPr>
        <w:pStyle w:val="Normal"/>
        <w:rPr/>
      </w:pPr>
      <w:r>
        <w:rPr/>
        <w:t xml:space="preserve"> </w:t>
      </w:r>
    </w:p>
    <w:p>
      <w:pPr>
        <w:pStyle w:val="P68B1DB1Normal15"/>
        <w:rPr/>
      </w:pPr>
      <w:r>
        <w:rPr/>
        <w:t xml:space="preserve">9. Odporúčame, aby Európska únia zorganizovala, najmä pre ekonomických migrantov, možnosť výberu občanov v krajine pôvodu (na základe ich preukázaných zručností, zázemia atď.) s cieľom určiť, kto by mohol prísť do EÚ pracovať podľa potrieb hospodárstva a voľných pracovných miest v hostiteľskej krajine. Tieto výberové kritériá musia byť verejné a prístupné všetkým. Na tento účel by sa mala zriadiť Európska imigračná agentúra (online). </w:t>
      </w:r>
    </w:p>
    <w:p>
      <w:pPr>
        <w:pStyle w:val="Normal"/>
        <w:rPr/>
      </w:pPr>
      <w:r>
        <w:rPr/>
        <w:t xml:space="preserve"> </w:t>
      </w:r>
    </w:p>
    <w:p>
      <w:pPr>
        <w:pStyle w:val="Normal"/>
        <w:rPr/>
      </w:pPr>
      <w:r>
        <w:rPr/>
        <w:t xml:space="preserve">Odporúčame tieto opatrenia, pretože týmto spôsobom by už nebolo potrebné nelegálne prekročiť hranice. Tok ľudí vstupujúcich do EÚ by sa kontroloval, čo by znížilo tlak na hraniciach a zároveň uľahčilo uspokojovanie pracovných potrieb hostiteľských krajín. </w:t>
      </w:r>
    </w:p>
    <w:p>
      <w:pPr>
        <w:pStyle w:val="Normal"/>
        <w:rPr/>
      </w:pPr>
      <w:r>
        <w:rPr/>
        <w:t xml:space="preserve"> </w:t>
      </w:r>
    </w:p>
    <w:p>
      <w:pPr>
        <w:pStyle w:val="P68B1DB1Normal15"/>
        <w:rPr/>
      </w:pPr>
      <w:r>
        <w:rPr/>
        <w:t xml:space="preserve">10. Odporúčame, aby Európska únia zabezpečila, aby prijímacia politika a zariadenia boli rovnaké na všetkých hraniciach, rešpektovali ľudské práva a zaručili bezpečnosť a zdravie všetkých migrantov (napríklad tehotných žien a detí). </w:t>
      </w:r>
    </w:p>
    <w:p>
      <w:pPr>
        <w:pStyle w:val="Normal"/>
        <w:rPr/>
      </w:pPr>
      <w:r>
        <w:rPr/>
        <w:t xml:space="preserve"> </w:t>
      </w:r>
    </w:p>
    <w:p>
      <w:pPr>
        <w:pStyle w:val="Normal"/>
        <w:rPr/>
      </w:pPr>
      <w:r>
        <w:rPr/>
        <w:t xml:space="preserve">Odporúčame tieto opatrenia, pretože prikladáme veľký význam rovnakému zaobchádzaniu s migrantmi na všetkých hraniciach. Chceme zabezpečiť, aby migranti nezostávali príliš dlho na hraniciach a aby členské štáty boli ohromené prílevom migrantov. Členské štáty musia byť dobre vybavené na ich umiestnenie. </w:t>
      </w:r>
    </w:p>
    <w:p>
      <w:pPr>
        <w:pStyle w:val="Normal"/>
        <w:rPr/>
      </w:pPr>
      <w:r>
        <w:rPr/>
        <w:t xml:space="preserve"> </w:t>
      </w:r>
    </w:p>
    <w:p>
      <w:pPr>
        <w:pStyle w:val="Titre3"/>
        <w:numPr>
          <w:ilvl w:val="2"/>
          <w:numId w:val="2"/>
        </w:numPr>
        <w:rPr/>
      </w:pPr>
      <w:bookmarkStart w:id="185" w:name="__RefHeading___Toc297305_1346298689"/>
      <w:bookmarkEnd w:id="185"/>
      <w:r>
        <w:rPr/>
        <w:t xml:space="preserve">Os 2: EÚ ako medzinárodný partner </w:t>
      </w:r>
    </w:p>
    <w:p>
      <w:pPr>
        <w:pStyle w:val="Titre4"/>
        <w:numPr>
          <w:ilvl w:val="3"/>
          <w:numId w:val="2"/>
        </w:numPr>
        <w:rPr/>
      </w:pPr>
      <w:bookmarkStart w:id="186" w:name="__RefHeading___Toc297307_1346298689"/>
      <w:bookmarkEnd w:id="186"/>
      <w:r>
        <w:rPr/>
        <w:t xml:space="preserve">Podos 2.1 – Obchod a vzťahy z etického hľadiska </w:t>
      </w:r>
    </w:p>
    <w:p>
      <w:pPr>
        <w:pStyle w:val="P68B1DB1Normal15"/>
        <w:rPr/>
      </w:pPr>
      <w:r>
        <w:rPr/>
        <w:t xml:space="preserve">11. Odporúčame, aby EÚ zaviedla obmedzenia na dovoz výrobkov z krajín, ktoré umožňujú detskú prácu. Na tento účel by sa mal vypracovať čierny zoznam spoločností, ktorý by sa pravidelne aktualizoval v súlade s vývojom. Odporúčame tiež zabezpečiť progresívny prístup k vzdelávaniu pre deti, ktoré prestali pracovať, ako aj zvyšovanie informovanosti spotrebiteľov o detskej práci prostredníctvom informácií oficiálne šírených Európskou úniou, napríklad prostredníctvom kampaní alebo rozprávania príbehov. </w:t>
      </w:r>
    </w:p>
    <w:p>
      <w:pPr>
        <w:pStyle w:val="Normal"/>
        <w:rPr/>
      </w:pPr>
      <w:r>
        <w:rPr/>
        <w:t xml:space="preserve"> </w:t>
      </w:r>
    </w:p>
    <w:p>
      <w:pPr>
        <w:pStyle w:val="Normal"/>
        <w:rPr/>
      </w:pPr>
      <w:r>
        <w:rPr/>
        <w:t xml:space="preserve">Odporúčame tieto opatrenia, pretože veríme, že existuje súvislosť medzi nedostatkom školskej dochádzky a detskou prácou. Týmto odporúčaním chceme zvýšiť povedomie spotrebiteľov a znížiť dopyt po výrobkoch vyrábaných deťmi, aby táto prax skončila. </w:t>
      </w:r>
    </w:p>
    <w:p>
      <w:pPr>
        <w:pStyle w:val="Normal"/>
        <w:rPr/>
      </w:pPr>
      <w:r>
        <w:rPr/>
        <w:t xml:space="preserve"> </w:t>
      </w:r>
    </w:p>
    <w:p>
      <w:pPr>
        <w:pStyle w:val="P68B1DB1Normal15"/>
        <w:rPr/>
      </w:pPr>
      <w:r>
        <w:rPr/>
        <w:t xml:space="preserve">12. Odporúčame, aby Európska únia rozvíjala partnerstvá s rozvojovými krajinami s cieľom podporiť ich infraštruktúru a vymieňať si odborné znalosti výmenou za vzájomne prospešné obchodné dohody, ktoré by ich sprevádzali pri prechode na ekologické zdroje energie. </w:t>
      </w:r>
    </w:p>
    <w:p>
      <w:pPr>
        <w:pStyle w:val="Normal"/>
        <w:rPr/>
      </w:pPr>
      <w:r>
        <w:rPr/>
        <w:t xml:space="preserve"> </w:t>
      </w:r>
    </w:p>
    <w:p>
      <w:pPr>
        <w:pStyle w:val="Normal"/>
        <w:rPr/>
      </w:pPr>
      <w:r>
        <w:rPr/>
        <w:t xml:space="preserve">Odporúčame tieto opatrenia na uľahčenie prechodu rozvojových krajín na energiu z obnoviteľných zdrojov prostredníctvom obchodných partnerstiev a diplomatických dohôd. Európska únia a rozvojové krajiny by tak rozvíjali dobré dlhodobé vzťahy, ktoré by prispeli k boju proti zmene klímy. </w:t>
      </w:r>
    </w:p>
    <w:p>
      <w:pPr>
        <w:pStyle w:val="Normal"/>
        <w:rPr/>
      </w:pPr>
      <w:r>
        <w:rPr/>
        <w:t xml:space="preserve"> </w:t>
      </w:r>
    </w:p>
    <w:p>
      <w:pPr>
        <w:pStyle w:val="P68B1DB1Normal15"/>
        <w:rPr/>
      </w:pPr>
      <w:r>
        <w:rPr/>
        <w:t xml:space="preserve">13. Odporúčame, aby Európska únia zaviedla európsky ukazovateľ vplyvu na životné prostredie (ecoscore) na všetky spotrebné výrobky. Ecoscore by sa vypočítalo na základe emisií z výroby a dopravy, ako aj škodlivosti obsahu na základe zoznamu nebezpečných výrobkov. Ecoscore by mal riadiť a kontrolovať európsky orgán. </w:t>
      </w:r>
    </w:p>
    <w:p>
      <w:pPr>
        <w:pStyle w:val="Normal"/>
        <w:rPr/>
      </w:pPr>
      <w:r>
        <w:rPr/>
        <w:t xml:space="preserve"> </w:t>
      </w:r>
    </w:p>
    <w:p>
      <w:pPr>
        <w:pStyle w:val="Normal"/>
        <w:rPr/>
      </w:pPr>
      <w:r>
        <w:rPr/>
        <w:t xml:space="preserve">Odporúčame tieto opatrenia, aby si európski spotrebitelia lepšie uvedomovali environmentálnu stopu výrobkov, ktoré kupujú. Ecoscore by uľahčilo uvedenie rozsahu, v akom výrobok rešpektuje životné prostredie prostredníctvom spoločného rozsahu v celej Európe. Ecoscore by mal mať kód QR na zadnej strane výrobku, aby mohol nahliadnuť do ďalších informácií o svojej environmentálnej stope. </w:t>
      </w:r>
    </w:p>
    <w:p>
      <w:pPr>
        <w:pStyle w:val="Normal"/>
        <w:rPr/>
      </w:pPr>
      <w:r>
        <w:rPr/>
        <w:t xml:space="preserve"> </w:t>
      </w:r>
    </w:p>
    <w:p>
      <w:pPr>
        <w:pStyle w:val="Titre4"/>
        <w:numPr>
          <w:ilvl w:val="3"/>
          <w:numId w:val="2"/>
        </w:numPr>
        <w:rPr/>
      </w:pPr>
      <w:bookmarkStart w:id="187" w:name="__RefHeading___Toc297309_1346298689"/>
      <w:bookmarkEnd w:id="187"/>
      <w:r>
        <w:rPr/>
        <w:t xml:space="preserve">Podos 2.2 – Medzinárodné opatrenia v oblasti klímy </w:t>
      </w:r>
    </w:p>
    <w:p>
      <w:pPr>
        <w:pStyle w:val="P68B1DB1Normal15"/>
        <w:rPr/>
      </w:pPr>
      <w:r>
        <w:rPr/>
        <w:t xml:space="preserve">14. Odporúčame, aby Európska únia prijala stratégiu na zvýšenie jej autonómnosti pri výrobe energie. Európsky orgán združujúci súčasné európske energetické inštitúcie by mal koordinovať rozvoj energie z obnoviteľných zdrojov podľa potrieb, kapacít a zdrojov členských štátov a zároveň rešpektovať ich zvrchovanosť. Inštitúcie by podporovali vzájomnú výmenu poznatkov s cieľom realizovať túto stratégiu. </w:t>
      </w:r>
    </w:p>
    <w:p>
      <w:pPr>
        <w:pStyle w:val="Normal"/>
        <w:rPr/>
      </w:pPr>
      <w:r>
        <w:rPr/>
        <w:t xml:space="preserve"> </w:t>
      </w:r>
    </w:p>
    <w:p>
      <w:pPr>
        <w:pStyle w:val="Normal"/>
        <w:rPr/>
      </w:pPr>
      <w:r>
        <w:rPr/>
        <w:t xml:space="preserve">Odporúčame tieto opatrenia, pretože naša súčasná závislosť nás robí zraniteľnými v prípade politického napätia s krajinami, ktoré dovážame našu energiu. Teraz to vidíme v súvislosti s krízou elektrickej energie. Takáto koordinácia by však mala rešpektovať zvrchovanosť každej krajiny. </w:t>
      </w:r>
    </w:p>
    <w:p>
      <w:pPr>
        <w:pStyle w:val="Normal"/>
        <w:rPr/>
      </w:pPr>
      <w:r>
        <w:rPr/>
        <w:t xml:space="preserve"> </w:t>
      </w:r>
    </w:p>
    <w:p>
      <w:pPr>
        <w:pStyle w:val="P68B1DB1Normal15"/>
        <w:rPr/>
      </w:pPr>
      <w:r>
        <w:rPr/>
        <w:t xml:space="preserve">15. Odporúčame posilniť environmentálne normy pre vývoz odpadu v rámci EÚ a mimo nej, ako aj prísnejšie kontroly a sankcie na zastavenie nezákonného vývozu. EÚ by mala nabádať členské štáty, aby ďalej recyklovali svoj vlastný odpad a využívali ho na výrobu energie. </w:t>
      </w:r>
    </w:p>
    <w:p>
      <w:pPr>
        <w:pStyle w:val="Normal"/>
        <w:rPr/>
      </w:pPr>
      <w:r>
        <w:rPr/>
        <w:t xml:space="preserve"> </w:t>
      </w:r>
    </w:p>
    <w:p>
      <w:pPr>
        <w:pStyle w:val="Normal"/>
        <w:rPr/>
      </w:pPr>
      <w:r>
        <w:rPr/>
        <w:t xml:space="preserve">Odporúčame tieto opatrenia na odstránenie environmentálnych škôd zo strany krajín, ktoré zneškodňujú svoj odpad na úkor iných krajín, najmä v prípade úplného nedodržiavania environmentálnych noriem. </w:t>
      </w:r>
    </w:p>
    <w:p>
      <w:pPr>
        <w:pStyle w:val="Normal"/>
        <w:rPr/>
      </w:pPr>
      <w:r>
        <w:rPr/>
        <w:t xml:space="preserve"> </w:t>
      </w:r>
    </w:p>
    <w:p>
      <w:pPr>
        <w:pStyle w:val="P68B1DB1Normal15"/>
        <w:rPr/>
      </w:pPr>
      <w:r>
        <w:rPr/>
        <w:t xml:space="preserve">16. Odporúčame, aby EÚ rozhodnejšie podporovala prebiehajúcu ekologickú transformáciu tým, že sa zameria na odstránenie znečisťujúcich obalov. Malo by sa to dosiahnuť podporou znižovania objemu obalov alebo podporou ekologickejších obalov. Aby sa malé podniky mohli prispôsobiť, mali by dostať podporu a úpravy. </w:t>
      </w:r>
    </w:p>
    <w:p>
      <w:pPr>
        <w:pStyle w:val="Normal"/>
        <w:rPr/>
      </w:pPr>
      <w:r>
        <w:rPr/>
        <w:t xml:space="preserve"> </w:t>
      </w:r>
    </w:p>
    <w:p>
      <w:pPr>
        <w:pStyle w:val="Normal"/>
        <w:rPr/>
      </w:pPr>
      <w:r>
        <w:rPr/>
        <w:t xml:space="preserve">Odporúčame tieto opatrenia, pretože musíme obmedziť využívanie prírodných zdrojov vrátane surovín z krajín mimo EÚ. Musíme tiež znížiť škody, ktoré Európania spôsobili našej planéte a jej klíme. Je nevyhnutné lepšie podporovať malé podniky, aby sa mohli prispôsobiť bez toho, aby museli zvyšovať svoje ceny. </w:t>
      </w:r>
    </w:p>
    <w:p>
      <w:pPr>
        <w:pStyle w:val="Normal"/>
        <w:rPr/>
      </w:pPr>
      <w:r>
        <w:rPr/>
        <w:t xml:space="preserve"> </w:t>
      </w:r>
    </w:p>
    <w:p>
      <w:pPr>
        <w:pStyle w:val="P68B1DB1Normal15"/>
        <w:rPr/>
      </w:pPr>
      <w:r>
        <w:rPr/>
        <w:t xml:space="preserve">17. Odporúčame, aby sa krajiny Európskej únie spoločne zaoberali otázkou jadrovej energie. Spolupráca by sa mala zintenzívniť s cieľom posúdiť využívanie jadrovej energie a jej úlohu pri prechode Európy na zelenú energiu. </w:t>
      </w:r>
    </w:p>
    <w:p>
      <w:pPr>
        <w:pStyle w:val="Normal"/>
        <w:rPr/>
      </w:pPr>
      <w:r>
        <w:rPr/>
        <w:t xml:space="preserve"> </w:t>
      </w:r>
    </w:p>
    <w:p>
      <w:pPr>
        <w:pStyle w:val="Normal"/>
        <w:rPr/>
      </w:pPr>
      <w:r>
        <w:rPr/>
        <w:t xml:space="preserve">Odporúčame tieto opatrenia, pretože jadrovú otázku nemôže vyriešiť krajina izolovane. V súčasnosti je v polovici členských štátov viac ako 100 reaktorov a nové reaktory sú vo výstavbe. Keďže máme spoločnú elektrickú sieť, nízkouhlíková elektrina, ktorú vyrábajú, je prínosom pre všetkých Európanov a zvyšuje energetickú autonómiu nášho kontinentu. Okrem toho by upustenie od jadrového odpadu alebo havárie malo vplyv na viaceré krajiny. Bez ohľadu na to, či sa rozhodne o využívaní jadrovej energie alebo nie, Európania ju musia spoločne prediskutovať a definovať konvergentnejšie stratégie pri rešpektovaní národnej suverenity. </w:t>
      </w:r>
    </w:p>
    <w:p>
      <w:pPr>
        <w:pStyle w:val="Normal"/>
        <w:rPr/>
      </w:pPr>
      <w:r>
        <w:rPr/>
        <w:t xml:space="preserve"> </w:t>
      </w:r>
    </w:p>
    <w:p>
      <w:pPr>
        <w:pStyle w:val="Titre4"/>
        <w:numPr>
          <w:ilvl w:val="3"/>
          <w:numId w:val="2"/>
        </w:numPr>
        <w:rPr/>
      </w:pPr>
      <w:bookmarkStart w:id="188" w:name="__RefHeading___Toc297311_1346298689"/>
      <w:bookmarkEnd w:id="188"/>
      <w:r>
        <w:rPr/>
        <w:t xml:space="preserve">Podos 2.3 – Podpora európskych hodnôt </w:t>
      </w:r>
    </w:p>
    <w:p>
      <w:pPr>
        <w:pStyle w:val="P68B1DB1Normal15"/>
        <w:rPr/>
      </w:pPr>
      <w:r>
        <w:rPr/>
        <w:t xml:space="preserve">18. EÚ by mala byť bližšie k občanom. Odporúčame, aby EÚ vytvorila a posilnila väzby s občanmi a miestnymi inštitúciami, ako sú miestne orgány, školy a obce. Cieľom je zlepšiť transparentnosť, osloviť občanov, lepšie ich informovať o konkrétnych iniciatívach EÚ a lepšie oznamovať všeobecné informácie EÚ. </w:t>
      </w:r>
    </w:p>
    <w:p>
      <w:pPr>
        <w:pStyle w:val="Normal"/>
        <w:rPr/>
      </w:pPr>
      <w:r>
        <w:rPr/>
        <w:t xml:space="preserve"> </w:t>
      </w:r>
    </w:p>
    <w:p>
      <w:pPr>
        <w:pStyle w:val="Normal"/>
        <w:rPr/>
      </w:pPr>
      <w:r>
        <w:rPr/>
        <w:t xml:space="preserve">Odporúčame tieto opatrenia, pretože súčasné informácie o EÚ nie sú dostatočne prístupné všetkým sociálnym skupinám a nemajú vplyv na bežných občanov. Často sú nudné, ťažko pochopiteľné a nepriateľské. Táto situácia sa musí zmeniť, aby občania mali jasnú predstavu o činnosti a úlohe EÚ. Na prilákanie verejného záujmu musia byť informácie týkajúce sa EÚ ľahko dostupné, motivujúce, zaujímavé a napísané v spoločnom jazyku. Tu sú naše návrhy: organizovanie návštev európskych politikov v školách, rozhlasové kampane vo forme podcastov, listy, tlačové články, reklamné autobusy a sociálne médiá, miestne zhromaždenia občanov a vytvorenie pracovnej skupiny osobitne na zlepšenie komunikácie EÚ. Tieto opatrenia umožnia občanom získať informácie o EÚ, ktoré nie sú filtrované vnútroštátnymi médiami. </w:t>
      </w:r>
    </w:p>
    <w:p>
      <w:pPr>
        <w:pStyle w:val="Normal"/>
        <w:rPr/>
      </w:pPr>
      <w:r>
        <w:rPr/>
        <w:t xml:space="preserve"> </w:t>
      </w:r>
    </w:p>
    <w:p>
      <w:pPr>
        <w:pStyle w:val="P68B1DB1Normal15"/>
        <w:rPr/>
      </w:pPr>
      <w:r>
        <w:rPr/>
        <w:t xml:space="preserve">19. Odporúčame väčšiu účasť občanov na politikách EÚ. Navrhujeme organizovanie podujatí zahŕňajúcich priamu účasť občanov na modeli Konferencie o budúcnosti Európy. Mali by sa organizovať na vnútroštátnej, miestnej a európskej úrovni. EÚ by mala vymedziť koherentnú stratégiu a centralizované usmernenia pre tieto podujatia. </w:t>
      </w:r>
    </w:p>
    <w:p>
      <w:pPr>
        <w:pStyle w:val="Normal"/>
        <w:rPr/>
      </w:pPr>
      <w:r>
        <w:rPr/>
        <w:t xml:space="preserve"> </w:t>
      </w:r>
    </w:p>
    <w:p>
      <w:pPr>
        <w:pStyle w:val="Normal"/>
        <w:rPr/>
      </w:pPr>
      <w:r>
        <w:rPr/>
        <w:t xml:space="preserve">Odporúčame tieto opatrenia, pretože tieto participatívne demokratické cvičenia poskytnú správne informácie o EÚ a zlepšia kvalitu politík EÚ. Podujatia by sa mali organizovať tak, aby podporovali základné hodnoty Únie – demokraciu a účasť občanov. Tieto podujatia by umožnili politikom ukázať občanom, že je pre nich dôležité, aby boli občania informovaní o aktuálnych udalostiach a sú spojené s ich vymedzením. Centralizovaným usmernením sa zabezpečí konzistentnosť a konzistentnosť vnútroštátnych a miestnych konferencií. </w:t>
      </w:r>
    </w:p>
    <w:p>
      <w:pPr>
        <w:pStyle w:val="Normal"/>
        <w:rPr/>
      </w:pPr>
      <w:r>
        <w:rPr/>
        <w:t xml:space="preserve"> </w:t>
      </w:r>
    </w:p>
    <w:p>
      <w:pPr>
        <w:pStyle w:val="Titre3"/>
        <w:numPr>
          <w:ilvl w:val="2"/>
          <w:numId w:val="2"/>
        </w:numPr>
        <w:rPr/>
      </w:pPr>
      <w:bookmarkStart w:id="189" w:name="__RefHeading___Toc297313_1346298689"/>
      <w:bookmarkEnd w:id="189"/>
      <w:r>
        <w:rPr/>
        <w:t xml:space="preserve">Os 3: Silná EÚ v mierovom svete </w:t>
      </w:r>
    </w:p>
    <w:p>
      <w:pPr>
        <w:pStyle w:val="Titre4"/>
        <w:numPr>
          <w:ilvl w:val="3"/>
          <w:numId w:val="2"/>
        </w:numPr>
        <w:rPr/>
      </w:pPr>
      <w:bookmarkStart w:id="190" w:name="__RefHeading___Toc297315_1346298689"/>
      <w:bookmarkEnd w:id="190"/>
      <w:r>
        <w:rPr/>
        <w:t xml:space="preserve">Podos 3.1 – Bezpečnosť a obrana </w:t>
      </w:r>
    </w:p>
    <w:p>
      <w:pPr>
        <w:pStyle w:val="P68B1DB1Normal15"/>
        <w:rPr/>
      </w:pPr>
      <w:r>
        <w:rPr/>
        <w:t xml:space="preserve">20. Odporúčame, aby sa budúce „spoločné ozbrojené sily Európskej únie“ používali predovšetkým na obranné účely. Akákoľvek agresívna vojenská akcia, bez ohľadu na jej povahu, je vylúčená. V Európe by to poskytlo prostriedky na poskytnutie pomoci v prípade krízy, najmä v prípade prírodnej katastrofy. Mimo európskych hraníc by to umožnilo nasadenie zdrojov na územia s výnimočnými okolnosťami, a to výlučne v rámci právneho mandátu Bezpečnostnej rady OSN, a teda v súlade s medzinárodným právom. </w:t>
      </w:r>
    </w:p>
    <w:p>
      <w:pPr>
        <w:pStyle w:val="Normal"/>
        <w:rPr/>
      </w:pPr>
      <w:r>
        <w:rPr/>
        <w:t xml:space="preserve"> </w:t>
      </w:r>
    </w:p>
    <w:p>
      <w:pPr>
        <w:pStyle w:val="Normal"/>
        <w:rPr/>
      </w:pPr>
      <w:r>
        <w:rPr/>
        <w:t xml:space="preserve">Ak by sa to uplatňovalo, umožnilo by to Európskej únii, aby sa na medzinárodnej scéne považovala za dôveryhodného, zodpovedného, silného a mierového partnera. Posilnená schopnosť reagovať na krízové situácie doma a v zahraničí by preto mala chrániť svoje základné hodnoty. </w:t>
      </w:r>
    </w:p>
    <w:p>
      <w:pPr>
        <w:pStyle w:val="Normal"/>
        <w:rPr/>
      </w:pPr>
      <w:r>
        <w:rPr/>
        <w:t xml:space="preserve"> </w:t>
      </w:r>
    </w:p>
    <w:p>
      <w:pPr>
        <w:pStyle w:val="Titre4"/>
        <w:numPr>
          <w:ilvl w:val="3"/>
          <w:numId w:val="2"/>
        </w:numPr>
        <w:rPr/>
      </w:pPr>
      <w:bookmarkStart w:id="191" w:name="__RefHeading___Toc297317_1346298689"/>
      <w:bookmarkEnd w:id="191"/>
      <w:r>
        <w:rPr/>
        <w:t xml:space="preserve">Podos 3.2 – rozhodovací proces a zahraničná politika EÚ </w:t>
      </w:r>
    </w:p>
    <w:p>
      <w:pPr>
        <w:pStyle w:val="P68B1DB1Normal15"/>
        <w:rPr/>
      </w:pPr>
      <w:r>
        <w:rPr/>
        <w:t xml:space="preserve">21. Odporúčame, aby sa všetky oblasti, v ktorých sa rozhodnutia prijímajú jednomyseľne, teraz prijímali kvalifikovanou väčšinou. Jedinou výnimkou by malo byť prijatie nových členských štátov do Únie a zmena základných zásad Únie zakotvených v článku 2 Lisabonskej zmluvy a v Charte základných práv Európskej únie. </w:t>
      </w:r>
    </w:p>
    <w:p>
      <w:pPr>
        <w:pStyle w:val="Normal"/>
        <w:rPr/>
      </w:pPr>
      <w:r>
        <w:rPr/>
        <w:t xml:space="preserve"> </w:t>
      </w:r>
    </w:p>
    <w:p>
      <w:pPr>
        <w:pStyle w:val="Normal"/>
        <w:rPr/>
      </w:pPr>
      <w:r>
        <w:rPr/>
        <w:t xml:space="preserve">Tým by sa posilnilo postavenie EÚ vo svete tým, že by sa vytvoril jednotný front vo vzťahu k tretím krajinám a uľahčila by sa jej celková schopnosť reakcie vrátane reakcie na krízu. </w:t>
      </w:r>
    </w:p>
    <w:p>
      <w:pPr>
        <w:pStyle w:val="Normal"/>
        <w:rPr/>
      </w:pPr>
      <w:r>
        <w:rPr/>
        <w:t xml:space="preserve"> </w:t>
      </w:r>
    </w:p>
    <w:p>
      <w:pPr>
        <w:pStyle w:val="P68B1DB1Normal15"/>
        <w:rPr/>
      </w:pPr>
      <w:r>
        <w:rPr/>
        <w:t xml:space="preserve">22. Odporúčame, aby Európska únia posilnila svoju schopnosť ukladať sankcie členským štátom, vládam, subjektom, skupinám alebo organizáciám a jednotlivcom, ktorí nedodržiavajú jej základné zásady, dohody a zákony. Je nevyhnutné, aby sa sankcie, ktoré už existujú, urýchlene uplatňovali a účinne dodržiavali. Sankcie uložené tretím krajinám by mali byť primerané opatreniam, ktoré ich podnietili, mali by byť účinné a mali by sa uplatňovať včas. </w:t>
      </w:r>
    </w:p>
    <w:p>
      <w:pPr>
        <w:pStyle w:val="Normal"/>
        <w:rPr/>
      </w:pPr>
      <w:r>
        <w:rPr/>
        <w:t xml:space="preserve"> </w:t>
      </w:r>
    </w:p>
    <w:p>
      <w:pPr>
        <w:pStyle w:val="Normal"/>
        <w:rPr/>
      </w:pPr>
      <w:r>
        <w:rPr/>
        <w:t xml:space="preserve">Aby bola EÚ dôveryhodná a spoľahlivá, musí ukladať sankcie tým, ktorí porušujú jej zásady. Takéto sankcie by sa mali uplatňovať účinne a rýchlo a mali by podliehať kontrolám. </w:t>
      </w:r>
    </w:p>
    <w:p>
      <w:pPr>
        <w:pStyle w:val="Normal"/>
        <w:rPr/>
      </w:pPr>
      <w:r>
        <w:rPr/>
        <w:t xml:space="preserve"> </w:t>
      </w:r>
    </w:p>
    <w:p>
      <w:pPr>
        <w:pStyle w:val="Titre4"/>
        <w:numPr>
          <w:ilvl w:val="3"/>
          <w:numId w:val="2"/>
        </w:numPr>
        <w:rPr/>
      </w:pPr>
      <w:bookmarkStart w:id="192" w:name="__RefHeading___Toc297319_1346298689"/>
      <w:bookmarkEnd w:id="192"/>
      <w:r>
        <w:rPr/>
        <w:t xml:space="preserve">Podos 3.3 – susedné krajiny a rozšírenie </w:t>
      </w:r>
    </w:p>
    <w:p>
      <w:pPr>
        <w:pStyle w:val="P68B1DB1Normal15"/>
        <w:rPr/>
      </w:pPr>
      <w:r>
        <w:rPr/>
        <w:t xml:space="preserve">23. Odporúčame, aby Európska únia vyčlenila osobitný rozpočet na rozvoj vzdelávacích programov zameraných na fungovanie EÚ a jej hodnoty. Tieto programy sa potom ponúknu členským štátom, ak si to želajú začleniť ich do svojich školských osnov (základné a stredoškolské vzdelávanie a univerzity). Okrem toho by sa študentom, ktorí chcú študovať v inej európskej krajine prostredníctvom programu Erasmus, mohol ponúknuť osobitný kurz o EÚ a jej fungovaní. Študenti, ktorí si zvolili tento kurz, by mali mať prednosť, aby mohli využívať tieto programy Erasmus. </w:t>
      </w:r>
    </w:p>
    <w:p>
      <w:pPr>
        <w:pStyle w:val="Normal"/>
        <w:rPr/>
      </w:pPr>
      <w:r>
        <w:rPr/>
        <w:t xml:space="preserve"> </w:t>
      </w:r>
    </w:p>
    <w:p>
      <w:pPr>
        <w:pStyle w:val="Normal"/>
        <w:rPr/>
      </w:pPr>
      <w:r>
        <w:rPr/>
        <w:t xml:space="preserve">Odporúčame tieto opatrenia s cieľom zvýšiť pocit príslušnosti k EÚ. Týmto spôsobom sa občania lepšie stotožnia s Úniou a sprostredkovajú jej hodnoty. Okrem toho tieto opatrenia zvýšia transparentnosť fungovania EÚ a výhod jej účasti, ako aj boja proti protieurópskym hnutiam. Tieto opatrenia by mali členské štáty odrádzať od odchodu z EÚ. </w:t>
      </w:r>
    </w:p>
    <w:p>
      <w:pPr>
        <w:pStyle w:val="Normal"/>
        <w:rPr/>
      </w:pPr>
      <w:r>
        <w:rPr/>
        <w:t xml:space="preserve"> </w:t>
      </w:r>
    </w:p>
    <w:p>
      <w:pPr>
        <w:pStyle w:val="P68B1DB1Normal15"/>
        <w:rPr/>
      </w:pPr>
      <w:r>
        <w:rPr/>
        <w:t xml:space="preserve">24. Odporúčame, aby EÚ vo svojich vzťahoch s inými krajinami vo väčšej miere využívala svoju politickú a hospodársku váhu s cieľom zabrániť tomu, aby niektoré členské štáty boli vystavené dvojstrannému hospodárskemu, politickému a sociálnemu tlaku. </w:t>
      </w:r>
    </w:p>
    <w:p>
      <w:pPr>
        <w:pStyle w:val="Normal"/>
        <w:rPr/>
      </w:pPr>
      <w:r>
        <w:rPr/>
        <w:t xml:space="preserve"> </w:t>
      </w:r>
    </w:p>
    <w:p>
      <w:pPr>
        <w:pStyle w:val="Normal"/>
        <w:rPr/>
      </w:pPr>
      <w:r>
        <w:rPr/>
        <w:t xml:space="preserve">Tieto opatrenia odporúčame z troch dôvodov. V prvom rade posilnia pocit jednoty v rámci EÚ. Po druhé, jednostranná reakcia bude jasnou, silnou a rýchlou reakciou, aby sa zabránilo akémukoľvek pokusu tretích krajín o šikanovanie alebo zásah proti členským štátom EÚ. Napokon posilnia bezpečnosť Únie a zabezpečia, aby sa žiadny členský štát necítil opustený alebo ignorovaný. Dvojstranné reakcie rozdeľujú EÚ a sú slabinou, ktorú tretie krajiny používajú proti nám. </w:t>
      </w:r>
    </w:p>
    <w:p>
      <w:pPr>
        <w:pStyle w:val="Normal"/>
        <w:rPr/>
      </w:pPr>
      <w:r>
        <w:rPr/>
        <w:t xml:space="preserve"> </w:t>
      </w:r>
    </w:p>
    <w:p>
      <w:pPr>
        <w:pStyle w:val="P68B1DB1Normal15"/>
        <w:rPr/>
      </w:pPr>
      <w:r>
        <w:rPr/>
        <w:t xml:space="preserve">25. „Odporúčame, aby Únia zlepšila svoju komunikačnú stratégiu“. Na jednej strane by EÚ mala zvýšiť svoju viditeľnosť na sociálnych sieťach a aktívne propagovať jej obsah. Na druhej strane by mala každý rok pokračovať v organizovaní konferencií, ako je Konferencia o budúcnosti Európy. Odporúčame tiež, aby naďalej podporovala inovácie prostredníctvom podpory prístupnej európskej sociálnej siete. </w:t>
      </w:r>
    </w:p>
    <w:p>
      <w:pPr>
        <w:pStyle w:val="Normal"/>
        <w:rPr/>
      </w:pPr>
      <w:r>
        <w:rPr/>
        <w:t xml:space="preserve"> </w:t>
      </w:r>
    </w:p>
    <w:p>
      <w:pPr>
        <w:pStyle w:val="Normal"/>
        <w:rPr/>
      </w:pPr>
      <w:r>
        <w:rPr/>
        <w:t xml:space="preserve">Tieto návrhy by sa nielen dostali k mladým ľuďom, ale tiež by zvýšili záujem a účasť európskych občanov prostredníctvom atraktívnejšieho a účinnejšieho komunikačného nástroja. Organizácia podujatí, ako je Konferencia o budúcnosti Európy, by mala občanom umožniť väčšie zapojenie do rozhodovacieho procesu a zabezpečiť, aby ich názory boli vypočuté. </w:t>
      </w:r>
    </w:p>
    <w:p>
      <w:pPr>
        <w:pStyle w:val="Normal"/>
        <w:rPr/>
      </w:pPr>
      <w:r>
        <w:rPr/>
        <w:t xml:space="preserve"> </w:t>
      </w:r>
    </w:p>
    <w:p>
      <w:pPr>
        <w:pStyle w:val="P68B1DB1Normal15"/>
        <w:rPr/>
      </w:pPr>
      <w:r>
        <w:rPr/>
        <w:t xml:space="preserve">26. Odporúčame členským štátom, aby pred ďalším rozšírením Únie prijali silnú víziu a spoločnú stratégiu na harmonizáciu a konsolidáciu európskej identity a jednoty. </w:t>
      </w:r>
    </w:p>
    <w:p>
      <w:pPr>
        <w:pStyle w:val="Normal"/>
        <w:rPr/>
      </w:pPr>
      <w:r>
        <w:rPr/>
        <w:t xml:space="preserve"> </w:t>
      </w:r>
    </w:p>
    <w:p>
      <w:pPr>
        <w:pStyle w:val="Normal"/>
        <w:rPr/>
      </w:pPr>
      <w:r>
        <w:rPr/>
        <w:t xml:space="preserve">Domnievame sa, že pred zvážením integrácie iných krajín je nevyhnutné posilniť EÚ a posilniť vzťahy medzi členskými štátmi. Čím viac členských štátov v EÚ, tým zložitejší je rozhodovací proces; preto je dôležité prehodnotiť jednomyseľné hlasovanie v rozhodovacích procesoch. </w:t>
      </w:r>
    </w:p>
    <w:p>
      <w:pPr>
        <w:pStyle w:val="Normal"/>
        <w:rPr/>
      </w:pPr>
      <w:r>
        <w:rPr/>
        <w:t xml:space="preserve"> </w:t>
      </w:r>
    </w:p>
    <w:p>
      <w:pPr>
        <w:pStyle w:val="Titre3"/>
        <w:numPr>
          <w:ilvl w:val="2"/>
          <w:numId w:val="2"/>
        </w:numPr>
        <w:rPr/>
      </w:pPr>
      <w:bookmarkStart w:id="193" w:name="__RefHeading___Toc297321_1346298689"/>
      <w:bookmarkEnd w:id="193"/>
      <w:r>
        <w:rPr/>
        <w:t xml:space="preserve">Os 4: Migrácia z ľudského hľadiska </w:t>
      </w:r>
    </w:p>
    <w:p>
      <w:pPr>
        <w:pStyle w:val="Titre4"/>
        <w:numPr>
          <w:ilvl w:val="3"/>
          <w:numId w:val="2"/>
        </w:numPr>
        <w:rPr/>
      </w:pPr>
      <w:bookmarkStart w:id="194" w:name="__RefHeading___Toc297323_1346298689"/>
      <w:bookmarkEnd w:id="194"/>
      <w:r>
        <w:rPr/>
        <w:t xml:space="preserve">Podos 4.1 – Riešenie príčin emigrácie </w:t>
      </w:r>
    </w:p>
    <w:p>
      <w:pPr>
        <w:pStyle w:val="P68B1DB1Normal15"/>
        <w:rPr/>
      </w:pPr>
      <w:r>
        <w:rPr/>
        <w:t xml:space="preserve">27. Odporúčame, aby sa Európska únia aktívne podieľala na hospodárskom rozvoji tretích krajín a krajín, z ktorých pochádzajú najväčšie toky migrantov. S pomocou príslušných orgánov (miestnych mimovládnych organizácií a miestnych politikov, odborných pracovníkov v teréne atď.) by EÚ mala hľadať spôsoby, ako pokojne a účinne zasiahnuť v krajinách, kde pochádzajú najväčšie toky migrantov a ktoré súhlasili s podmienkami spolupráce. Tieto zásahy by mali mať hmatateľné a merateľné účinky, ktoré by sa mali jasne zdôrazniť, aby európski občania mohli pochopiť politiku rozvojovej pomoci Únie. Opatrenia rozvojovej pomoci EÚ by sa preto mali zviditeľniť. </w:t>
      </w:r>
    </w:p>
    <w:p>
      <w:pPr>
        <w:pStyle w:val="Normal"/>
        <w:rPr/>
      </w:pPr>
      <w:r>
        <w:rPr/>
        <w:t xml:space="preserve"> </w:t>
      </w:r>
    </w:p>
    <w:p>
      <w:pPr>
        <w:pStyle w:val="Normal"/>
        <w:rPr/>
      </w:pPr>
      <w:r>
        <w:rPr/>
        <w:t xml:space="preserve">Aj keď EÚ pracuje na medzinárodnom rozvoji, musí pokračovať vo svojej činnosti a investovať do transparentnosti a viditeľnosti svojej politiky v tejto oblasti. </w:t>
      </w:r>
    </w:p>
    <w:p>
      <w:pPr>
        <w:pStyle w:val="Normal"/>
        <w:rPr/>
      </w:pPr>
      <w:r>
        <w:rPr/>
        <w:t xml:space="preserve"> </w:t>
      </w:r>
    </w:p>
    <w:p>
      <w:pPr>
        <w:pStyle w:val="P68B1DB1Normal15"/>
        <w:rPr/>
      </w:pPr>
      <w:r>
        <w:rPr/>
        <w:t xml:space="preserve">28. Odporúčame vytvoriť spoločný európsky rámec pre harmonizáciu pracovných podmienok v celej Únii (minimálna mzda, pracovný čas atď.). EÚ by sa mala usilovať o vytvorenie spoločných základných pracovných noriem s cieľom zabrániť občanom opustiť svoju krajinu s cieľom hľadať lepšie pracovné podmienky inde. V rámci týchto noriem by EÚ mala posilniť úlohu odborových zväzov na nadnárodnej úrovni. EÚ by tým uznala, že vnútorná hospodárska migrácia (migrácia občanov EÚ) je vážnym problémom. </w:t>
      </w:r>
    </w:p>
    <w:p>
      <w:pPr>
        <w:pStyle w:val="Normal"/>
        <w:rPr/>
      </w:pPr>
      <w:r>
        <w:rPr/>
        <w:t xml:space="preserve"> </w:t>
      </w:r>
    </w:p>
    <w:p>
      <w:pPr>
        <w:pStyle w:val="Normal"/>
        <w:rPr/>
      </w:pPr>
      <w:r>
        <w:rPr/>
        <w:t xml:space="preserve">Toto odporúčanie vychádza zo zistenia, že veľký počet ľudí v EÚ migruje z ekonomických dôvodov z dôvodu rozdielov v pracovných podmienkach medzi členskými štátmi. Je potrebné zabrániť tomuto úniku mozgov, aby si členské štáty udržali svoj talent a pracovnú silu. Podporujeme voľný pohyb občanov, ale domnievame sa, že migrácia občanov EÚ medzi rôznymi členskými štátmi, ak to nie je žiaduce, je z hospodárskych dôvodov. Preto je dôležité vytvoriť spoločný rámec pre prácu. </w:t>
      </w:r>
    </w:p>
    <w:p>
      <w:pPr>
        <w:pStyle w:val="Normal"/>
        <w:rPr/>
      </w:pPr>
      <w:r>
        <w:rPr/>
        <w:t xml:space="preserve"> </w:t>
      </w:r>
    </w:p>
    <w:p>
      <w:pPr>
        <w:pStyle w:val="Titre4"/>
        <w:numPr>
          <w:ilvl w:val="3"/>
          <w:numId w:val="2"/>
        </w:numPr>
        <w:rPr/>
      </w:pPr>
      <w:bookmarkStart w:id="195" w:name="__RefHeading___Toc297325_1346298689"/>
      <w:bookmarkEnd w:id="195"/>
      <w:r>
        <w:rPr/>
        <w:t xml:space="preserve">Podosa 4.2 – Ľudské úvahy </w:t>
      </w:r>
    </w:p>
    <w:p>
      <w:pPr>
        <w:pStyle w:val="P68B1DB1Normal15"/>
        <w:rPr/>
      </w:pPr>
      <w:r>
        <w:rPr/>
        <w:t xml:space="preserve">29. Odporúčame zaviesť spoločnú migračnú politiku založenú na zásade solidarity. Chceme sa zamerať na problém utečencov. Spoločný postup pre všetky členské štáty EÚ by mal byť založený na najúčinnejších postupoch vo všetkých krajinách EÚ. Tento postup by mali aktívne vykonávať vnútroštátne orgány a administratíva EÚ. </w:t>
      </w:r>
    </w:p>
    <w:p>
      <w:pPr>
        <w:pStyle w:val="Normal"/>
        <w:rPr/>
      </w:pPr>
      <w:r>
        <w:rPr/>
        <w:t xml:space="preserve"> </w:t>
      </w:r>
    </w:p>
    <w:p>
      <w:pPr>
        <w:pStyle w:val="Normal"/>
        <w:rPr/>
      </w:pPr>
      <w:r>
        <w:rPr/>
        <w:t xml:space="preserve">Problém utečencov sa týka všetkých členských štátov. V súčasnosti majú tieto štáty príliš odlišné postupy, čo má negatívny vplyv na utečencov a občanov EÚ. Preto je potrebné zaujať súdržný a konzistentný prístup. </w:t>
      </w:r>
    </w:p>
    <w:p>
      <w:pPr>
        <w:pStyle w:val="Normal"/>
        <w:rPr/>
      </w:pPr>
      <w:r>
        <w:rPr/>
        <w:t xml:space="preserve"> </w:t>
      </w:r>
    </w:p>
    <w:p>
      <w:pPr>
        <w:pStyle w:val="P68B1DB1Normal15"/>
        <w:rPr/>
      </w:pPr>
      <w:r>
        <w:rPr/>
        <w:t xml:space="preserve">30. Odporúčame, aby EÚ zintenzívnila svoje úsilie o informovanie a vzdelávanie občanov členských štátov o otázkach súvisiacich s migráciou. To by sa malo dosiahnuť vzdelávaním detí čo najskôr od začiatku základnej školy o témach, ako je migrácia a integrácia. Ak toto vzdelávanie v ranom veku skombinujeme s aktivitami mimovládnych organizácií a mládežníckych organizácií, ako aj s rozsiahlymi mediálnymi kampaňami, mohli by sme v plnej miere dosiahnuť náš cieľ. Okrem toho by sa mohli použiť mnohé komunikačné médiá: letáky, televízia a sociálne siete. </w:t>
      </w:r>
    </w:p>
    <w:p>
      <w:pPr>
        <w:pStyle w:val="Normal"/>
        <w:rPr/>
      </w:pPr>
      <w:r>
        <w:rPr/>
        <w:t xml:space="preserve"> </w:t>
      </w:r>
    </w:p>
    <w:p>
      <w:pPr>
        <w:pStyle w:val="Normal"/>
        <w:rPr/>
      </w:pPr>
      <w:r>
        <w:rPr/>
        <w:t xml:space="preserve">Je dôležité preukázať, že migrácia má aj mnoho pozitívnych aspektov, ako je napríklad dodatočná pracovná sila. Chceli by sme zdôrazniť význam zvyšovania povedomia o oboch procesoch, aby občania pochopili dôvody a dôsledky migrácie s cieľom odstrániť stigmu, ktorá vyplýva z toho, že sú vnímaní ako migrant. </w:t>
      </w:r>
    </w:p>
    <w:p>
      <w:pPr>
        <w:pStyle w:val="Normal"/>
        <w:rPr/>
      </w:pPr>
      <w:r>
        <w:rPr/>
        <w:t xml:space="preserve"> </w:t>
      </w:r>
    </w:p>
    <w:p>
      <w:pPr>
        <w:pStyle w:val="Titre4"/>
        <w:numPr>
          <w:ilvl w:val="3"/>
          <w:numId w:val="2"/>
        </w:numPr>
        <w:rPr/>
      </w:pPr>
      <w:bookmarkStart w:id="196" w:name="__RefHeading___Toc297327_1346298689"/>
      <w:bookmarkEnd w:id="196"/>
      <w:r>
        <w:rPr/>
        <w:t xml:space="preserve">Podosa 4.3 – Hranice </w:t>
      </w:r>
    </w:p>
    <w:p>
      <w:pPr>
        <w:pStyle w:val="P68B1DB1Normal15"/>
        <w:rPr/>
      </w:pPr>
      <w:r>
        <w:rPr/>
        <w:t xml:space="preserve">31. Odporúčame, aby smernica 2013/33/EÚ o minimálnych normách pre prijímanie žiadateľov o azyl v členských štátoch bola nahradená povinným nariadením EÚ, ktoré sa bude jednotne uplatňovať vo všetkých členských štátoch. Prioritou by malo byť zlepšenie prijímacích a ubytovacích zariadení. Odporúčame vytvoriť osobitný monitorovací orgán EÚ na vykonávanie nariadenia. </w:t>
      </w:r>
    </w:p>
    <w:p>
      <w:pPr>
        <w:pStyle w:val="Normal"/>
        <w:rPr/>
      </w:pPr>
      <w:r>
        <w:rPr/>
        <w:t xml:space="preserve"> </w:t>
      </w:r>
    </w:p>
    <w:p>
      <w:pPr>
        <w:pStyle w:val="Normal"/>
        <w:rPr/>
      </w:pPr>
      <w:r>
        <w:rPr/>
        <w:t xml:space="preserve">Smernica sa skutočne nevykonáva jednotne vo všetkých členských štátoch. Musíme sa vyhnúť opakovaniu podmienok, ktoré boli pozorované v utečeneckom tábore Moria. Odporúčané nariadenie by sa preto malo vykonávať a malo by zahŕňať povinné sankcie. Monitorujúci orgán by mal byť robustný a spoľahlivý. </w:t>
      </w:r>
    </w:p>
    <w:p>
      <w:pPr>
        <w:pStyle w:val="Normal"/>
        <w:rPr/>
      </w:pPr>
      <w:r>
        <w:rPr/>
        <w:t xml:space="preserve"> </w:t>
      </w:r>
    </w:p>
    <w:p>
      <w:pPr>
        <w:pStyle w:val="P68B1DB1Normal15"/>
        <w:rPr/>
      </w:pPr>
      <w:r>
        <w:rPr/>
        <w:t xml:space="preserve">32. Odporúčame, aby EÚ zabezpečila, aby všetci žiadatelia o azyl a utečenci absolvovali jazykové a integračné kurzy počas preskúmania ich žiadosti o pobyt. Kurzy by mali byť povinné, bezplatné a mali by zahŕňať osobnú asistenciu pri počiatočnej integrácii. Mali by začať do dvoch týždňov od podania žiadosti o pobyt. Mali by sa zaviesť aj mechanizmy stimulov a sankcií. </w:t>
      </w:r>
    </w:p>
    <w:p>
      <w:pPr>
        <w:pStyle w:val="Normal"/>
        <w:rPr/>
      </w:pPr>
      <w:r>
        <w:rPr/>
        <w:t xml:space="preserve"> </w:t>
      </w:r>
    </w:p>
    <w:p>
      <w:pPr>
        <w:pStyle w:val="Normal"/>
        <w:rPr/>
      </w:pPr>
      <w:r>
        <w:rPr/>
        <w:t xml:space="preserve">Učenie sa jazyka a pochopenie kultúry, histórie a etiky krajiny príchodu je nevyhnutným krokom v integrácii. Dĺžka oneskorenia pred začiatkom počiatočného integračného procesu má negatívny vplyv na sociálnu asimiláciu migrantov. Mechanizmy sankcií môžu pomôcť identifikovať ochotu migrantov integrovať sa. </w:t>
      </w:r>
    </w:p>
    <w:p>
      <w:pPr>
        <w:pStyle w:val="Normal"/>
        <w:rPr/>
      </w:pPr>
      <w:r>
        <w:rPr/>
        <w:t xml:space="preserve"> </w:t>
      </w:r>
    </w:p>
    <w:p>
      <w:pPr>
        <w:pStyle w:val="Titre3"/>
        <w:numPr>
          <w:ilvl w:val="2"/>
          <w:numId w:val="2"/>
        </w:numPr>
        <w:rPr/>
      </w:pPr>
      <w:bookmarkStart w:id="197" w:name="__RefHeading___Toc297329_1346298689"/>
      <w:bookmarkEnd w:id="197"/>
      <w:r>
        <w:rPr/>
        <w:t xml:space="preserve">Os 5: Zodpovednosť a solidarita v EÚ </w:t>
      </w:r>
    </w:p>
    <w:p>
      <w:pPr>
        <w:pStyle w:val="Titre4"/>
        <w:numPr>
          <w:ilvl w:val="3"/>
          <w:numId w:val="2"/>
        </w:numPr>
        <w:rPr/>
      </w:pPr>
      <w:bookmarkStart w:id="198" w:name="__RefHeading___Toc297331_1346298689"/>
      <w:bookmarkEnd w:id="198"/>
      <w:r>
        <w:rPr/>
        <w:t xml:space="preserve">Podos 5.1 – Distribúcia migrantov </w:t>
      </w:r>
    </w:p>
    <w:p>
      <w:pPr>
        <w:pStyle w:val="P68B1DB1Normal15"/>
        <w:rPr/>
      </w:pPr>
      <w:r>
        <w:rPr/>
        <w:t xml:space="preserve">33. Odporúčame nahradiť dublinský systém právne záväznou zmluvou s cieľom zabezpečiť spravodlivé, vyvážené a primerané rozdelenie žiadateľov o azyl v EÚ na základe solidarity a spravodlivosti. V súčasnosti sa od utečencov vyžaduje, aby požiadali o azyl v prvom členskom štáte príchodu. Táto zmena systému musí byť čo najrýchlejšie. Návrh Európskej komisie na nový pakt EÚ o migrácii a azyle od roku 2020 je dobrým začiatkom a mal by mať právnu formu, pretože stanovuje kvóty na rozdelenie utečencov medzi členské štáty EÚ. </w:t>
      </w:r>
    </w:p>
    <w:p>
      <w:pPr>
        <w:pStyle w:val="Normal"/>
        <w:rPr/>
      </w:pPr>
      <w:r>
        <w:rPr/>
        <w:t xml:space="preserve"> </w:t>
      </w:r>
    </w:p>
    <w:p>
      <w:pPr>
        <w:pStyle w:val="Normal"/>
        <w:rPr/>
      </w:pPr>
      <w:r>
        <w:rPr/>
        <w:t xml:space="preserve">Odporúčame to, pretože súčasný dublinský systém nerešpektuje zásady solidarity a spravodlivosti. Pre členské štáty, ktoré sú blízko vonkajších hraníc EÚ, predstavujú veľkú záťaž, ktorou prechádzajú žiadatelia o azyl, aby vstúpili na jej územie. Všetky členské štáty musia prevziať zodpovednosť za riadenie tokov utečencov do EÚ. EÚ je spoločenstvom spoločných hodnôt a musí podľa toho konať. </w:t>
      </w:r>
    </w:p>
    <w:p>
      <w:pPr>
        <w:pStyle w:val="Normal"/>
        <w:rPr/>
      </w:pPr>
      <w:r>
        <w:rPr/>
        <w:t xml:space="preserve"> </w:t>
      </w:r>
    </w:p>
    <w:p>
      <w:pPr>
        <w:pStyle w:val="P68B1DB1Normal15"/>
        <w:rPr/>
      </w:pPr>
      <w:r>
        <w:rPr/>
        <w:t xml:space="preserve">34. Odporúčame, aby EÚ pomáhala svojim členským štátom pri vybavovaní žiadostí o azyl rýchlejším tempom a v súlade so spoločnými normami. Okrem toho by sa utečencom malo poskytovať humanitárne bývanie. S cieľom uvoľniť krajiny príchodu a spracovať ich žiadosti o azyl inde odporúčame, aby boli utečenci rýchlo a efektívne premiestnení do rôznych členských štátov po ich prvom príchode do EÚ. Na tento účel je potrebná finančná podpora EÚ a organizačná podpora Agentúry EÚ pre azyl. Osoby, ktorých žiadosť o azyl bola zamietnutá, sa musia účinne vrátiť do svojej krajiny pôvodu za predpokladu, že ich krajina pôvodu sa považuje za bezpečnú. </w:t>
      </w:r>
    </w:p>
    <w:p>
      <w:pPr>
        <w:pStyle w:val="Normal"/>
        <w:rPr/>
      </w:pPr>
      <w:r>
        <w:rPr/>
        <w:t xml:space="preserve"> </w:t>
      </w:r>
    </w:p>
    <w:p>
      <w:pPr>
        <w:pStyle w:val="Normal"/>
        <w:rPr/>
      </w:pPr>
      <w:r>
        <w:rPr/>
        <w:t xml:space="preserve">Odporúčame to, pretože azylové konania v súčasnosti trvajú príliš dlho a môžu sa v jednotlivých členských štátoch líšiť. Urýchlením azylových konaní utečenci trávia menej času čakaním na konečné rozhodnutie v dočasných ubytovacích zariadeniach. Žiadatelia o azyl sa môžu rýchlejšie integrovať. </w:t>
      </w:r>
    </w:p>
    <w:p>
      <w:pPr>
        <w:pStyle w:val="Normal"/>
        <w:rPr/>
      </w:pPr>
      <w:r>
        <w:rPr/>
        <w:t xml:space="preserve"> </w:t>
      </w:r>
    </w:p>
    <w:p>
      <w:pPr>
        <w:pStyle w:val="P68B1DB1Normal15"/>
        <w:rPr/>
      </w:pPr>
      <w:r>
        <w:rPr/>
        <w:t xml:space="preserve">35. Odporúčame silnú finančnú, logistickú a operačnú podporu EÚ na riadenie prvého prijatia, čo môže viesť k integrácii alebo repatriácii neregulárnych migrantov. Príjemcami tejto podpory sú pohraničné štáty EÚ, ktoré nesú bremeno prílevu migrantov. </w:t>
      </w:r>
    </w:p>
    <w:p>
      <w:pPr>
        <w:pStyle w:val="Normal"/>
        <w:rPr/>
      </w:pPr>
      <w:r>
        <w:rPr/>
        <w:t xml:space="preserve"> </w:t>
      </w:r>
    </w:p>
    <w:p>
      <w:pPr>
        <w:pStyle w:val="Normal"/>
        <w:rPr/>
      </w:pPr>
      <w:r>
        <w:rPr/>
        <w:t xml:space="preserve">Vzhľadom na svoju geografickú polohu sú niektoré </w:t>
      </w:r>
      <w:r>
        <w:rPr/>
        <w:commentReference w:id="8"/>
      </w:r>
      <w:r>
        <w:rPr/>
        <w:t xml:space="preserve"> členské štáty najviac postihnuté prílevom migrantov. </w:t>
      </w:r>
    </w:p>
    <w:p>
      <w:pPr>
        <w:pStyle w:val="Normal"/>
        <w:rPr/>
      </w:pPr>
      <w:r>
        <w:rPr/>
        <w:t xml:space="preserve"> </w:t>
      </w:r>
    </w:p>
    <w:p>
      <w:pPr>
        <w:pStyle w:val="P68B1DB1Normal15"/>
        <w:rPr/>
      </w:pPr>
      <w:r>
        <w:rPr/>
        <w:t xml:space="preserve">36. Odporúčame posilniť mandát Agentúry EÚ pre azyl s cieľom dosiahnuť spravodlivé rozdelenie žiadateľov o azyl medzi členskými štátmi. Na dosiahnutie tohto cieľa by sa mali zohľadniť potreby takýchto žiadateľov o azyl, ako aj logistické a hospodárske kapacity členských štátov a ich potreby na trhu práce. </w:t>
      </w:r>
    </w:p>
    <w:p>
      <w:pPr>
        <w:pStyle w:val="Normal"/>
        <w:rPr/>
      </w:pPr>
      <w:r>
        <w:rPr/>
        <w:t xml:space="preserve"> </w:t>
      </w:r>
    </w:p>
    <w:p>
      <w:pPr>
        <w:pStyle w:val="Normal"/>
        <w:rPr/>
      </w:pPr>
      <w:r>
        <w:rPr/>
        <w:t xml:space="preserve">Koordinované a centralizované rozdelenie žiadateľov o azyl, ktoré členské štáty a ich občania považujú za spravodlivé, zabraňuje chaotickým situáciám a sociálnemu napätiu a posilňuje solidaritu medzi členskými štátmi. </w:t>
      </w:r>
    </w:p>
    <w:p>
      <w:pPr>
        <w:pStyle w:val="Normal"/>
        <w:rPr/>
      </w:pPr>
      <w:r>
        <w:rPr/>
        <w:t xml:space="preserve"> </w:t>
      </w:r>
    </w:p>
    <w:p>
      <w:pPr>
        <w:pStyle w:val="Titre4"/>
        <w:numPr>
          <w:ilvl w:val="3"/>
          <w:numId w:val="2"/>
        </w:numPr>
        <w:rPr/>
      </w:pPr>
      <w:bookmarkStart w:id="199" w:name="__RefHeading___Toc297333_1346298689"/>
      <w:bookmarkEnd w:id="199"/>
      <w:r>
        <w:rPr/>
        <w:t xml:space="preserve">Podos 5.2 – Spoločný prístup k azylu </w:t>
      </w:r>
    </w:p>
    <w:p>
      <w:pPr>
        <w:pStyle w:val="P68B1DB1Normal15"/>
        <w:rPr/>
      </w:pPr>
      <w:r>
        <w:rPr/>
        <w:t xml:space="preserve">37. Odporúčame buď vytvoriť komplexnú európsku inštitúciu, alebo posilniť Agentúru EÚ pre azyl, aby mohla vybavovať žiadosti o azyl pre celú Európsku úniu a konať na základe jednotných noriem. Agentúra by mala byť zodpovedná aj za spravodlivé rozdeľovanie utečencov. Mala by tiež vymedziť bezpečné a nebezpečné krajiny pôvodu a mala by byť zodpovedná za vracanie žiadateľov o azyl, ktorých žiadosti boli zamietnuté. </w:t>
      </w:r>
    </w:p>
    <w:p>
      <w:pPr>
        <w:pStyle w:val="Normal"/>
        <w:rPr/>
      </w:pPr>
      <w:r>
        <w:rPr/>
        <w:t xml:space="preserve"> </w:t>
      </w:r>
    </w:p>
    <w:p>
      <w:pPr>
        <w:pStyle w:val="Normal"/>
        <w:rPr/>
      </w:pPr>
      <w:r>
        <w:rPr/>
        <w:t xml:space="preserve">Súčasná azylová politika sa vyznačuje nejasnými zodpovednosťami a rozdielnymi normami medzi členskými štátmi EÚ. Zaobchádzanie s konaniami o azyle preto nie je v rôznych členských štátoch rovnaké. Okrem toho má Agentúra Európskej únie pre azyl v súčasnosti len vplyv. Členským štátom môže poskytovať poradenstvo len v otázkach azylu. </w:t>
      </w:r>
    </w:p>
    <w:p>
      <w:pPr>
        <w:pStyle w:val="Normal"/>
        <w:rPr/>
      </w:pPr>
      <w:r>
        <w:rPr/>
        <w:t xml:space="preserve"> </w:t>
      </w:r>
    </w:p>
    <w:p>
      <w:pPr>
        <w:pStyle w:val="P68B1DB1Normal15"/>
        <w:rPr/>
      </w:pPr>
      <w:r>
        <w:rPr/>
        <w:t xml:space="preserve">38. Odporúčame bezodkladne zriadiť špecializované azylové centrá pre maloleté osoby bez sprievodu vo všetkých členských štátoch EÚ. Cieľom je privítať a starať sa o neplnoleté osoby podľa ich osobitných potrieb a čo najskôr. </w:t>
      </w:r>
    </w:p>
    <w:p>
      <w:pPr>
        <w:pStyle w:val="Normal"/>
        <w:rPr/>
      </w:pPr>
      <w:r>
        <w:rPr/>
        <w:t xml:space="preserve"> </w:t>
      </w:r>
    </w:p>
    <w:p>
      <w:pPr>
        <w:pStyle w:val="Normal"/>
        <w:rPr/>
      </w:pPr>
      <w:r>
        <w:rPr/>
        <w:t xml:space="preserve">Toto odporúčanie predkladáme, pretože: </w:t>
      </w:r>
    </w:p>
    <w:p>
      <w:pPr>
        <w:pStyle w:val="Normal"/>
        <w:rPr/>
      </w:pPr>
      <w:r>
        <w:rPr/>
        <w:t xml:space="preserve">1) Mnohé neplnoleté osoby budú pravdepodobne traumatizované (pretože pochádzajú z konfliktných zón); </w:t>
      </w:r>
    </w:p>
    <w:p>
      <w:pPr>
        <w:pStyle w:val="Normal"/>
        <w:rPr/>
      </w:pPr>
      <w:r>
        <w:rPr/>
        <w:t xml:space="preserve">2) rôzne deti majú rôzne potreby (v závislosti od veku, zdravia atď.); </w:t>
      </w:r>
    </w:p>
    <w:p>
      <w:pPr>
        <w:pStyle w:val="Normal"/>
        <w:rPr/>
      </w:pPr>
      <w:r>
        <w:rPr/>
        <w:t xml:space="preserve">(3) ak sa zavedie, zabezpečí, aby sa zraniteľným a traumatizovaným maloletým osobám čo najskôr poskytla všetka potrebná starostlivosť; </w:t>
      </w:r>
    </w:p>
    <w:p>
      <w:pPr>
        <w:pStyle w:val="Normal"/>
        <w:rPr/>
      </w:pPr>
      <w:r>
        <w:rPr/>
        <w:t xml:space="preserve">4) tieto maloleté osoby sú budúcimi európskymi občanmi, a preto by mali, ak sa s nimi bude zaobchádzať správne, pozitívne prispievať k budúcnosti Európy. </w:t>
      </w:r>
    </w:p>
    <w:p>
      <w:pPr>
        <w:pStyle w:val="Normal"/>
        <w:rPr/>
      </w:pPr>
      <w:r>
        <w:rPr/>
        <w:t xml:space="preserve"> </w:t>
      </w:r>
    </w:p>
    <w:p>
      <w:pPr>
        <w:pStyle w:val="P68B1DB1Normal15"/>
        <w:rPr/>
      </w:pPr>
      <w:r>
        <w:rPr/>
        <w:t xml:space="preserve">39. Odporúčame vytvoriť spoločný, rýchly a transparentný systém vybavovania žiadostí o azyl. Tento proces by mal stanoviť minimálne normy a mal by sa uplatňovať rovnakým spôsobom vo všetkých členských štátoch. </w:t>
      </w:r>
    </w:p>
    <w:p>
      <w:pPr>
        <w:pStyle w:val="Normal"/>
        <w:rPr/>
      </w:pPr>
      <w:r>
        <w:rPr/>
        <w:t xml:space="preserve"> </w:t>
      </w:r>
    </w:p>
    <w:p>
      <w:pPr>
        <w:pStyle w:val="Normal"/>
        <w:rPr/>
      </w:pPr>
      <w:r>
        <w:rPr/>
        <w:t xml:space="preserve">Toto odporúčanie predkladáme, pretože: </w:t>
      </w:r>
    </w:p>
    <w:p>
      <w:pPr>
        <w:pStyle w:val="Normal"/>
        <w:rPr/>
      </w:pPr>
      <w:r>
        <w:rPr/>
        <w:t xml:space="preserve">(1) Ak by sa toto odporúčanie vykonalo, spracovanie žiadostí o azyl by bolo rýchlejšie a transparentnejšie; </w:t>
      </w:r>
    </w:p>
    <w:p>
      <w:pPr>
        <w:pStyle w:val="Normal"/>
        <w:rPr/>
      </w:pPr>
      <w:r>
        <w:rPr/>
        <w:t xml:space="preserve">2) spomalenie súčasných postupov vedie k nezákonnosti a trestnej činnosti; </w:t>
      </w:r>
    </w:p>
    <w:p>
      <w:pPr>
        <w:pStyle w:val="Normal"/>
        <w:rPr/>
      </w:pPr>
      <w:r>
        <w:rPr/>
        <w:t xml:space="preserve">3) Minimálne normy uvedené v našom odporúčaní by mali zahŕňať dodržiavanie ľudských práv, zdravia a vzdelávacích potrieb žiadateľov o azyl; </w:t>
      </w:r>
    </w:p>
    <w:p>
      <w:pPr>
        <w:pStyle w:val="Normal"/>
        <w:rPr/>
      </w:pPr>
      <w:r>
        <w:rPr/>
        <w:t xml:space="preserve">Vykonávanie tohto odporúčania by viedlo k lepšiemu prístupu k zamestnaniu a sebestačnosti, čo by umožnilo pozitívny prínos pre európsku spoločnosť; u žiadateľov o azyl, ktorých profesijné postavenie je legalizované, je menej pravdepodobné, že budú zneužívaní v ich pracovnom prostredí; to by mohlo podporiť len integráciu všetkých zainteresovaných; </w:t>
      </w:r>
    </w:p>
    <w:p>
      <w:pPr>
        <w:pStyle w:val="Normal"/>
        <w:rPr/>
      </w:pPr>
      <w:r>
        <w:rPr/>
        <w:t xml:space="preserve">Predĺžené pobyty v azylových centrách majú nepriaznivý vplyv na duševné zdravie a pohodu obyvateľov. </w:t>
      </w:r>
    </w:p>
    <w:p>
      <w:pPr>
        <w:pStyle w:val="Normal"/>
        <w:rPr/>
      </w:pPr>
      <w:r>
        <w:rPr/>
        <w:t xml:space="preserve"> </w:t>
      </w:r>
    </w:p>
    <w:p>
      <w:pPr>
        <w:pStyle w:val="P68B1DB1Normal15"/>
        <w:rPr/>
      </w:pPr>
      <w:r>
        <w:rPr/>
        <w:t xml:space="preserve">40. Dôrazne odporúčame komplexné preskúmanie všetkých dohôd a právnych predpisov upravujúcich azyl a prisťahovalectvo v Európe. Odporúčame prijať prístup pre celú Európu. </w:t>
      </w:r>
    </w:p>
    <w:p>
      <w:pPr>
        <w:pStyle w:val="Normal"/>
        <w:rPr/>
      </w:pPr>
      <w:r>
        <w:rPr/>
        <w:t xml:space="preserve"> </w:t>
      </w:r>
    </w:p>
    <w:p>
      <w:pPr>
        <w:pStyle w:val="Normal"/>
        <w:rPr/>
      </w:pPr>
      <w:r>
        <w:rPr/>
        <w:t xml:space="preserve">Toto odporúčanie predkladáme, pretože: </w:t>
      </w:r>
    </w:p>
    <w:p>
      <w:pPr>
        <w:pStyle w:val="Normal"/>
        <w:rPr/>
      </w:pPr>
      <w:r>
        <w:rPr/>
        <w:t xml:space="preserve">1) od roku 2015 sú všetky súčasné dohody neuplatniteľné, nepraktické a nevhodné; </w:t>
      </w:r>
    </w:p>
    <w:p>
      <w:pPr>
        <w:pStyle w:val="Normal"/>
        <w:rPr/>
      </w:pPr>
      <w:r>
        <w:rPr/>
        <w:t xml:space="preserve">2) EÚ by sa mala považovať za hlavnú „agentúru“, ktorá dohliada na všetky ostatné agentúry a mimovládne organizácie, ktorých úlohou je priamo sa zaoberať otázkami azylu; </w:t>
      </w:r>
    </w:p>
    <w:p>
      <w:pPr>
        <w:pStyle w:val="Normal"/>
        <w:rPr/>
      </w:pPr>
      <w:r>
        <w:rPr/>
        <w:t xml:space="preserve">(3) členské štáty, ktoré sú najviac postihnuté situáciou, sú tie, ktoré sú do veľkej miery ponechané na to, aby s problémom bojovali sami; výber niektorých členských štátov „à la carte“ neposkytuje obraz jednoty; </w:t>
      </w:r>
    </w:p>
    <w:p>
      <w:pPr>
        <w:pStyle w:val="Normal"/>
        <w:rPr/>
      </w:pPr>
      <w:r>
        <w:rPr/>
        <w:t xml:space="preserve">Nové cielené právne predpisy by zlepšili budúcnosť všetkých žiadateľov o azyl a posilnili jednotu Európy; </w:t>
      </w:r>
    </w:p>
    <w:p>
      <w:pPr>
        <w:pStyle w:val="Normal"/>
        <w:rPr/>
      </w:pPr>
      <w:r>
        <w:rPr/>
        <w:t xml:space="preserve">5) nedostatky súčasných právnych predpisov vedú ku konfliktom a nedostatočnej harmonizácii v celej Európe a vedú k zvýšenej neznášanlivosti európskych občanov voči migrantom. </w:t>
      </w:r>
    </w:p>
    <w:p>
      <w:pPr>
        <w:pStyle w:val="Normal"/>
        <w:rPr/>
      </w:pPr>
      <w:r>
        <w:rPr/>
        <w:t>Prísnejšie a relevantné právne predpisy by znížili kriminalitu a zneužívanie súčasného azylového systému.</w:t>
      </w:r>
    </w:p>
    <w:p>
      <w:pPr>
        <w:pStyle w:val="Normal"/>
        <w:rPr/>
      </w:pPr>
      <w:r>
        <w:rPr/>
        <w:t xml:space="preserve"> </w:t>
      </w:r>
    </w:p>
    <w:p>
      <w:pPr>
        <w:pStyle w:val="Titre3"/>
        <w:numPr>
          <w:ilvl w:val="2"/>
          <w:numId w:val="2"/>
        </w:numPr>
        <w:rPr/>
      </w:pPr>
      <w:bookmarkStart w:id="200" w:name="__RefHeading___Toc297335_1346298689"/>
      <w:bookmarkEnd w:id="200"/>
      <w:r>
        <w:rPr/>
        <w:t xml:space="preserve">Príloha: ĎALŠIE ODPORÚČANIA, KTORÉ VÝBOR ZVÁŽIL, ALE NEBOLI PRIJATÉ </w:t>
      </w:r>
    </w:p>
    <w:p>
      <w:pPr>
        <w:pStyle w:val="Titre4"/>
        <w:numPr>
          <w:ilvl w:val="3"/>
          <w:numId w:val="2"/>
        </w:numPr>
        <w:rPr/>
      </w:pPr>
      <w:bookmarkStart w:id="201" w:name="__RefHeading___Toc297337_1346298689"/>
      <w:bookmarkEnd w:id="201"/>
      <w:r>
        <w:rPr/>
        <w:t xml:space="preserve">Os 1: Sebestačnosť a stabilita </w:t>
      </w:r>
    </w:p>
    <w:p>
      <w:pPr>
        <w:pStyle w:val="Normal"/>
        <w:rPr/>
      </w:pPr>
      <w:r>
        <w:rPr/>
        <w:t xml:space="preserve">Podos 1.1 – autonómia EÚ </w:t>
      </w:r>
    </w:p>
    <w:p>
      <w:pPr>
        <w:pStyle w:val="P68B1DB1Normal15"/>
        <w:rPr/>
      </w:pPr>
      <w:r>
        <w:rPr/>
        <w:t xml:space="preserve">Na žiadosť rozvojových krajín odporúčame, aby sa intervenčné programy pre hospodársky rozvoj vypracovali na základe partnerstiev prispôsobených potrebám každej krajiny a/alebo na základe obchodných dohôd. To si vyžaduje najprv posúdiť hospodársky potenciál príslušných krajín a potom im poskytnúť potrebnú hospodársku podporu a odbornú prípravu. </w:t>
      </w:r>
    </w:p>
    <w:p>
      <w:pPr>
        <w:pStyle w:val="Normal"/>
        <w:rPr/>
      </w:pPr>
      <w:r>
        <w:rPr/>
        <w:t xml:space="preserve">To by viedlo k väčšej priemyselnej nezávislosti a zlepšilo by celkovú situáciu v oblasti migrácie vytváraním pracovných miest; to by tiež viedlo k lepším obchodným dohodám v rozvojových krajinách. </w:t>
      </w:r>
    </w:p>
    <w:p>
      <w:pPr>
        <w:pStyle w:val="Normal"/>
        <w:rPr/>
      </w:pPr>
      <w:r>
        <w:rPr/>
        <w:t xml:space="preserve"> </w:t>
      </w:r>
    </w:p>
    <w:p>
      <w:pPr>
        <w:pStyle w:val="Titre4"/>
        <w:numPr>
          <w:ilvl w:val="3"/>
          <w:numId w:val="2"/>
        </w:numPr>
        <w:rPr/>
      </w:pPr>
      <w:bookmarkStart w:id="202" w:name="__RefHeading___Toc297339_1346298689"/>
      <w:bookmarkEnd w:id="202"/>
      <w:r>
        <w:rPr/>
        <w:t xml:space="preserve">Os 2: EÚ ako medzinárodný partner </w:t>
      </w:r>
    </w:p>
    <w:p>
      <w:pPr>
        <w:pStyle w:val="Normal"/>
        <w:rPr/>
      </w:pPr>
      <w:r>
        <w:rPr/>
        <w:t xml:space="preserve">Podos 2.1 – Etická perspektíva obchodných vzťahov </w:t>
      </w:r>
    </w:p>
    <w:p>
      <w:pPr>
        <w:pStyle w:val="P68B1DB1Normal15"/>
        <w:rPr/>
      </w:pPr>
      <w:r>
        <w:rPr/>
        <w:t xml:space="preserve">Odporúčame, aby EÚ zaviedla pravidlá vyžadujúce od spoločností, aby auditovali svoj dodávateľský reťazec a pravidelne predkladali komplexnú audítorskú správu, ako aj ustanovenia na odmeňovanie alebo obmedzenie dovozu na základe etických kritérií. Spoločnosti by mali predložiť správu o internom a/alebo externom audite na základe ich veľkosti. </w:t>
      </w:r>
    </w:p>
    <w:p>
      <w:pPr>
        <w:pStyle w:val="Normal"/>
        <w:rPr/>
      </w:pPr>
      <w:r>
        <w:rPr/>
        <w:t xml:space="preserve"> </w:t>
      </w:r>
    </w:p>
    <w:p>
      <w:pPr>
        <w:pStyle w:val="Normal"/>
        <w:rPr/>
      </w:pPr>
      <w:r>
        <w:rPr/>
        <w:t xml:space="preserve">Je potrebné rozvíjať etický aspekt obchodu s EÚ. To sa dá dosiahnuť monitorovaním obchodných činností v medzinárodných dodávateľských reťazcoch a podporou spoločností, aby sa správali podľa etických kritérií, ako sú nebezpečné výrobky, pracovné práva a podmienky, detská práca a ochrana životného prostredia. Toto odporúčanie by sa nevzťahovalo na online produkty zakúpené priamo spotrebiteľom. </w:t>
      </w:r>
    </w:p>
    <w:p>
      <w:pPr>
        <w:pStyle w:val="Normal"/>
        <w:rPr/>
      </w:pPr>
      <w:r>
        <w:rPr/>
        <w:t xml:space="preserve"> </w:t>
      </w:r>
    </w:p>
    <w:p>
      <w:pPr>
        <w:pStyle w:val="Titre4"/>
        <w:numPr>
          <w:ilvl w:val="3"/>
          <w:numId w:val="2"/>
        </w:numPr>
        <w:rPr/>
      </w:pPr>
      <w:bookmarkStart w:id="203" w:name="__RefHeading___Toc297341_1346298689"/>
      <w:bookmarkEnd w:id="203"/>
      <w:r>
        <w:rPr/>
        <w:t xml:space="preserve">Os 3: Silná EÚ v mierovom svete </w:t>
      </w:r>
    </w:p>
    <w:p>
      <w:pPr>
        <w:pStyle w:val="Normal"/>
        <w:rPr/>
      </w:pPr>
      <w:r>
        <w:rPr/>
        <w:t xml:space="preserve">Podos 3.1 – Bezpečnosť a obrana </w:t>
      </w:r>
    </w:p>
    <w:p>
      <w:pPr>
        <w:pStyle w:val="P68B1DB1Normal15"/>
        <w:rPr/>
      </w:pPr>
      <w:r>
        <w:rPr/>
        <w:t xml:space="preserve">Odporúčame prehodnotiť súčasnú európsku bezpečnostnú architektúru, aby sa z nej stala efektívnejšia a efektívnejšia nadnárodná štruktúra so zvýšenými kapacitami s cieľom vytvoriť spoločnú armádu Európskej únie. Na tento účel by sa mali národné ozbrojené sily postupne zlúčiť a transformovať. Cieľom je, aby toto zlúčenie vojenských spôsobilostí v celej Európskej únii z dlhodobého hľadiska podporilo európsku integráciu. Vytvorenie spoločnej armády EÚ by si vyžadovalo aj novú dohodu o spolupráci s členskými štátmi EÚ a mimoeurópskymi členmi NATO. </w:t>
      </w:r>
    </w:p>
    <w:p>
      <w:pPr>
        <w:pStyle w:val="Normal"/>
        <w:rPr/>
      </w:pPr>
      <w:r>
        <w:rPr/>
        <w:t xml:space="preserve"> </w:t>
      </w:r>
    </w:p>
    <w:p>
      <w:pPr>
        <w:pStyle w:val="Normal"/>
        <w:rPr/>
      </w:pPr>
      <w:r>
        <w:rPr/>
        <w:t xml:space="preserve">Ak sa toto odporúčanie vykoná, domnievame sa, že vojenské štruktúry v rámci Európskej únie budú nákladovo efektívnejšie a v prípade potreby budú schopné reagovať a konať. Tento integrovaný prístup by posilnil schopnosť EÚ konať rozhodne a koordinovane v kritických situáciách. </w:t>
      </w:r>
    </w:p>
    <w:p>
      <w:pPr>
        <w:pStyle w:val="Normal"/>
        <w:rPr/>
      </w:pPr>
      <w:r>
        <w:rPr/>
        <w:t xml:space="preserve"> </w:t>
      </w:r>
    </w:p>
    <w:p>
      <w:pPr>
        <w:pStyle w:val="Titre4"/>
        <w:numPr>
          <w:ilvl w:val="3"/>
          <w:numId w:val="2"/>
        </w:numPr>
        <w:rPr/>
      </w:pPr>
      <w:bookmarkStart w:id="204" w:name="__RefHeading___Toc297343_1346298689"/>
      <w:bookmarkEnd w:id="204"/>
      <w:r>
        <w:rPr/>
        <w:t xml:space="preserve">Os 4: Emigrácia z ľudského hľadiska </w:t>
      </w:r>
    </w:p>
    <w:p>
      <w:pPr>
        <w:pStyle w:val="Normal"/>
        <w:rPr/>
      </w:pPr>
      <w:r>
        <w:rPr/>
        <w:t xml:space="preserve">Podos 4.1 – Riešenie príčin emigrácie </w:t>
      </w:r>
    </w:p>
    <w:p>
      <w:pPr>
        <w:pStyle w:val="P68B1DB1Normal15"/>
        <w:rPr/>
      </w:pPr>
      <w:r>
        <w:rPr/>
        <w:t xml:space="preserve">Odporúčame, aby EÚ zaviedla akčný protokol v rámci prípravy na ďalšiu migračnú krízu, a to klimatickí utečenci. Podľa tohto protokolu musí EÚ rozšíriť vymedzenie pojmu utečenci a žiadatelia o azyl tak, aby zahŕňalo aj tých, ktorí sú postihnutí zmenou klímy. Keďže krajina pôvodu mnohých migrantov sa stane neobývateľnou, protokol musí tiež zabezpečiť, aby sa v oblastiach postihnutých zmenou klímy našli nové spôsoby využitia s cieľom podporiť tých, ktorí opustili tieto oblasti. Napríklad zaplavené oblasti by sa mohli využiť na vytvorenie veterných parkov. </w:t>
      </w:r>
    </w:p>
    <w:p>
      <w:pPr>
        <w:pStyle w:val="Normal"/>
        <w:rPr/>
      </w:pPr>
      <w:r>
        <w:rPr/>
        <w:t xml:space="preserve"> </w:t>
      </w:r>
    </w:p>
    <w:p>
      <w:pPr>
        <w:pStyle w:val="Normal"/>
        <w:rPr/>
      </w:pPr>
      <w:r>
        <w:rPr/>
        <w:t xml:space="preserve">Toto odporúčanie predkladáme, pretože všetci sme zodpovední za klimatickú krízu. Takže máme zodpovednosť voči tým, ktorí sú najviac postihnutí. Aj keď nemáme prognózy ani konkrétne údaje o budúcich utečencoch, zmena klímy nepochybne ovplyvní milióny ľudí. </w:t>
      </w:r>
    </w:p>
    <w:p>
      <w:pPr>
        <w:pStyle w:val="Normal"/>
        <w:rPr/>
      </w:pPr>
      <w:r>
        <w:rPr/>
        <w:t xml:space="preserve"> </w:t>
      </w:r>
    </w:p>
    <w:p>
      <w:pPr>
        <w:pStyle w:val="Normal"/>
        <w:rPr/>
      </w:pPr>
      <w:r>
        <w:rPr/>
        <w:t xml:space="preserve">Podosa 4.2 – Ľudské úvahy </w:t>
      </w:r>
    </w:p>
    <w:p>
      <w:pPr>
        <w:pStyle w:val="P68B1DB1Normal15"/>
        <w:rPr/>
      </w:pPr>
      <w:r>
        <w:rPr/>
        <w:t xml:space="preserve">Odporúčame, aby sa právne a humanitárne cesty a dopravné prostriedky bezodkladne posilnili a financovali, aby sa utečenci mohli presúvať z krízových oblastí organizovaným spôsobom. Orgán osobitne zriadený na tento účel by mal vytvoriť a regulovať osobitný bezpečnostný systém pre európske jazdné pruhy. Táto agentúra musí byť zriadená v súlade s legislatívnym postupom a musí mať osobitné právomoci stanovené v jej rokovacom poriadku. </w:t>
      </w:r>
    </w:p>
    <w:p>
      <w:pPr>
        <w:pStyle w:val="Normal"/>
        <w:rPr/>
      </w:pPr>
      <w:r>
        <w:rPr/>
        <w:t xml:space="preserve"> </w:t>
      </w:r>
    </w:p>
    <w:p>
      <w:pPr>
        <w:pStyle w:val="Normal"/>
        <w:rPr/>
      </w:pPr>
      <w:r>
        <w:rPr/>
        <w:t xml:space="preserve">Obchodovanie s ľuďmi a prevádzačstvo migrantov sú vážnymi problémami, ktoré je potrebné riešiť. Naše odporúčanie by určite znížilo tieto obavy. </w:t>
      </w:r>
    </w:p>
    <w:p>
      <w:pPr>
        <w:pStyle w:val="Normal"/>
        <w:rPr/>
      </w:pPr>
      <w:r>
        <w:rPr/>
        <w:t xml:space="preserve"> </w:t>
      </w:r>
    </w:p>
    <w:p>
      <w:pPr>
        <w:pStyle w:val="Normal"/>
        <w:rPr/>
      </w:pPr>
      <w:r>
        <w:rPr/>
        <w:t xml:space="preserve">Podosa 4.3 – Hranice </w:t>
      </w:r>
    </w:p>
    <w:p>
      <w:pPr>
        <w:pStyle w:val="P68B1DB1Normal15"/>
        <w:rPr/>
      </w:pPr>
      <w:r>
        <w:rPr/>
        <w:t xml:space="preserve">Odporúčame, aby európska smernica zabezpečila, aby každý obytný priestor v každom členskom štáte nemal viac ako 30 % obyvateľov tretích krajín. Očakáva sa, že tento cieľ sa dosiahne do roku 2030 a členské štáty EÚ musia získať podporu na vykonávanie tohto cieľa. </w:t>
      </w:r>
    </w:p>
    <w:p>
      <w:pPr>
        <w:pStyle w:val="Normal"/>
        <w:rPr/>
      </w:pPr>
      <w:r>
        <w:rPr/>
        <w:t xml:space="preserve"> </w:t>
      </w:r>
    </w:p>
    <w:p>
      <w:pPr>
        <w:pStyle w:val="Normal"/>
        <w:rPr/>
      </w:pPr>
      <w:r>
        <w:rPr/>
        <w:t xml:space="preserve">Toto odporúčanie predkladáme, pretože spravodlivejšie geografické rozdelenie povedie k lepšiemu prijímaniu migrantov miestnym obyvateľstvom, čím sa im umožní lepšie sa integrovať. Toto percento je založené na nedávnej politickej dohode v Dánsku. </w:t>
      </w:r>
      <w:r>
        <w:br w:type="page"/>
      </w:r>
    </w:p>
    <w:p>
      <w:pPr>
        <w:pStyle w:val="Titre1"/>
        <w:numPr>
          <w:ilvl w:val="0"/>
          <w:numId w:val="2"/>
        </w:numPr>
        <w:rPr/>
      </w:pPr>
      <w:bookmarkStart w:id="205" w:name="__RefHeading___Toc297345_1346298689"/>
      <w:bookmarkEnd w:id="205"/>
      <w:r>
        <w:rPr/>
        <w:t xml:space="preserve">II A – Vnútroštátne panely: Belgicko </w:t>
      </w:r>
    </w:p>
    <w:p>
      <w:pPr>
        <w:pStyle w:val="Normal"/>
        <w:spacing w:before="1285" w:after="57"/>
        <w:rPr/>
      </w:pPr>
      <w:r>
        <w:rPr/>
        <w:drawing>
          <wp:anchor behindDoc="0" distT="0" distB="0" distL="0" distR="0" simplePos="0" locked="0" layoutInCell="1" allowOverlap="1" relativeHeight="13">
            <wp:simplePos x="0" y="0"/>
            <wp:positionH relativeFrom="column">
              <wp:align>center</wp:align>
            </wp:positionH>
            <wp:positionV relativeFrom="paragraph">
              <wp:posOffset>635</wp:posOffset>
            </wp:positionV>
            <wp:extent cx="6120130" cy="815975"/>
            <wp:effectExtent l="0" t="0" r="0" b="0"/>
            <wp:wrapSquare wrapText="largest"/>
            <wp:docPr id="74" name="Obrázok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ok32" descr=""/>
                    <pic:cNvPicPr>
                      <a:picLocks noChangeAspect="1" noChangeArrowheads="1"/>
                    </pic:cNvPicPr>
                  </pic:nvPicPr>
                  <pic:blipFill>
                    <a:blip r:embed="rId84"/>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Tu nájdete všetky odporúčania 50 občanov panelu občanov organizovaného pod záštitou podpredsedníčky vlády a ministerky pre vonkajšie a európske záležitosti Sophie Wilmèsovej ako príspevok belgickej spolkovej vlády ku Konferencii o budúcnosti Európy. Témou tohto panelu bolo „Ako viac zapojiť občanov do európskej demokracie“. Hoci si je dobre vedomý toho, že konferencia má širší rozsah pôsobnosti ako samotné záležitosti EÚ, predmet tohto panelu objasňuje, prečo sa na EÚ a jej inštitúcie odkazuje toľko explicitných odkazov. Ak je to vhodné, uvedie sa odkaz na Európu vo všeobecnosti. </w:t>
      </w:r>
    </w:p>
    <w:p>
      <w:pPr>
        <w:pStyle w:val="P68B1DB1Normal19"/>
        <w:widowControl w:val="false"/>
        <w:spacing w:lineRule="exact" w:line="388" w:before="146" w:after="0"/>
        <w:ind w:left="0" w:right="0" w:hanging="0"/>
        <w:jc w:val="left"/>
        <w:rPr/>
      </w:pPr>
      <w:r>
        <w:rPr/>
        <w:t xml:space="preserve"> </w:t>
      </w:r>
    </w:p>
    <w:p>
      <w:pPr>
        <w:pStyle w:val="P68B1DB1Normal21"/>
        <w:widowControl w:val="false"/>
        <w:spacing w:lineRule="exact" w:line="316" w:before="102" w:after="0"/>
        <w:ind w:left="0" w:right="176" w:hanging="0"/>
        <w:jc w:val="left"/>
        <w:rPr/>
      </w:pPr>
      <w:r>
        <w:rPr>
          <w:color w:val="000000"/>
        </w:rPr>
        <w:t xml:space="preserve">S cieľom zohľadniť všetky príspevky občanov sa v tejto správe uvádzajú všetky odporúčania vrátane tých, ktoré nezískali jednoduchú väčšinu na záverečnom hlasovaní o všetkých odporúčaniach. Sú jasne rozpoznateľné z dôvodu percentuálneho podielu </w:t>
      </w:r>
      <w:r>
        <w:rPr>
          <w:b/>
          <w:color w:val="FF0000"/>
        </w:rPr>
        <w:t>červenou a tučným písmom.</w:t>
      </w:r>
      <w:r>
        <w:rPr>
          <w:color w:val="000000"/>
        </w:rPr>
        <w:t xml:space="preserve"> Okrem toho si niektoré odporúčania navzájom odporujú a dokonca aj v záverečných diskusiách o nich občania nepresvedčili. Tieto odporúčania sú rozpoznateľné, pretože sú v </w:t>
      </w:r>
      <w:r>
        <w:rPr>
          <w:i/>
          <w:color w:val="000000"/>
        </w:rPr>
        <w:t>kurzíve.</w:t>
      </w:r>
      <w:r>
        <w:rPr>
          <w:color w:val="000000"/>
        </w:rPr>
        <w:t xml:space="preserve"> Pokiaľ ide o jediné odporúčanie, rozdelenie bolo také jasné, že hlasovanie sa skončilo </w:t>
      </w:r>
      <w:r>
        <w:rPr>
          <w:i/>
          <w:color w:val="000000"/>
        </w:rPr>
        <w:t xml:space="preserve">ex-aequo, </w:t>
      </w:r>
      <w:r>
        <w:rPr>
          <w:color w:val="000000"/>
        </w:rPr>
        <w:t xml:space="preserve">ktoré sa uvádza </w:t>
      </w:r>
      <w:r>
        <w:rPr>
          <w:b/>
          <w:color w:val="FF9900"/>
        </w:rPr>
        <w:t>oranžovo a tučným písmom</w:t>
      </w:r>
      <w:r>
        <w:rPr>
          <w:color w:val="000000"/>
        </w:rPr>
        <w:t xml:space="preserve">. Občania zdieľajú skutočnosť, že názory na tieto odporúčania sa líšili. Preto navrhujú, aby orgány Rady Európy a inštitúcie EÚ boli pri vykonávaní týchto odporúčaní obozretné, keďže existuje forma rozdelenia založeného na hlasovaní. </w:t>
      </w:r>
    </w:p>
    <w:p>
      <w:pPr>
        <w:pStyle w:val="Normal"/>
        <w:rPr/>
      </w:pPr>
      <w:r>
        <w:rPr/>
      </w:r>
      <w:r>
        <w:br w:type="page"/>
      </w:r>
    </w:p>
    <w:p>
      <w:pPr>
        <w:pStyle w:val="Normal"/>
        <w:rPr/>
      </w:pPr>
      <w:r>
        <w:rPr/>
        <w:t>1. Komunikácia</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Problémy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Odporúčania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Podporované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Oznámenie o EÚ je neuspokojivé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Navrhujeme zahrnúť kurzy o Európskej únii od tretieho stupňa základnej školy. Cieľom je osloviť všetkých občanov a zlepšiť znalosti o Európskej únii.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Európska únia, a najmä Komisia, by mala ministerstvám školstva rôznych členských štátov sprístupniť vzdelávací materiál o fungovaní Európy. Okrem vysvetlenia fungovania, zloženia a právomocí inštitúcií by tieto útvary mali poskytnúť aj stručný prehľad o histórii európskej integrácie. Osobitná pozornosť by sa mala venovať používaniu jasného a zrozumiteľného, dostupného jazyka, ako aj vzdelávacích nástrojov, ako sú dokumentárne filmy, klipy alebo školské televízne programy, vo všetkých 24 jazykoch.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Európsky projekt zostáva pre občanov cudzí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Navrhujeme, aby európske inštitúcie vo svojom oznámení lepšie vysvetlili, čo patrí do oblasti pôsobnosti EÚ, ale aj to, čo nepatrí do jej právomoci.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Európska únia by mala vo svojom oznámení uviesť známe príklady z každodenného života Európanov. Tieto vysvetlenia by sa mali poskytnúť v rámci členských štátov prostredníctvom dohôd medzi európskymi inštitúciami a národnými verejnoprávnymi televíznymi kanálmi s cieľom osloviť široké publikum.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Okrem toho by štátni príslušníci členských štátov mali byť pravidelne informovaní – napríklad prostredníctvom videoklipov – o úlohe Európskej únie v iných členských štátoch. Výhody a nevýhody Európy by sa tak lepšie zhodnotili v diskusiách o budúcnosti Európy.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S cieľom posilniť európsku identitu navrhujeme pravidelne pripomínať a sprístupňovať informácie o tom, aké by boli životy Európanov bez EÚ a jej konkrétnych úspechov.</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Navrhujeme tiež, aby sa Deň Európy (9. mája) stal európskym štátnym sviatkom pre všetkých občanov EÚ.</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Odporúčame, aby európske inštitúcie venovali ešte väčšiu pozornosť zjednodušeniu, pochopeniu a dostupnosti informácií o prioritných témach riešených na európskej úrovni</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Odporúčame, aby Európska únia poskytla pre každú krajinu </w:t>
            </w:r>
            <w:commentRangeStart w:id="10"/>
            <w:r>
              <w:rPr/>
              <w:t>hodnotiacu tabuľku, v ktorej sa</w:t>
            </w:r>
            <w:r>
              <w:rPr/>
            </w:r>
            <w:commentRangeEnd w:id="10"/>
            <w:r>
              <w:commentReference w:id="10"/>
            </w:r>
            <w:r>
              <w:rPr/>
              <w:t xml:space="preserve"> uvádzajú zdroje, ktoré EÚ vyčlenila na každú prioritnú tému. Všetky takéto informácie by mali byť prístupné na webovom sídle Európskej únie.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Odporúčame, aby Európska únia jasne predstavila prebiehajúcu legislatívnu prácu. Všetky takéto informácie by mali byť prístupné na webovom sídle Európskej únie.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Chceme, aby európske inštitúcie boli pre </w:t>
            </w:r>
            <w:commentRangeStart w:id="11"/>
            <w:r>
              <w:rPr/>
              <w:t>Európanov dostupnejšie</w:t>
            </w:r>
            <w:r>
              <w:rPr/>
            </w:r>
            <w:commentRangeEnd w:id="11"/>
            <w:r>
              <w:commentReference w:id="11"/>
            </w:r>
            <w:r>
              <w:rPr/>
              <w:t>. Mala by sa uľahčiť ich účasť na diskusiách na zasadnutiach Európskeho parlamentu.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Odporúčame rozšíriť účasť na programe Erasmus na všetkých študentov bez ohľadu na ich vzdelávaciu dráhu (odborná technológia, striedanie). Všetci by mali mať možnosť zúčastňovať sa na európskych výmenách.</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Odporúčame umožniť pracujúcemu obyvateľstvu využívať európske výmenné programy bez ohľadu na odvetvie činnosti aj pre miestne podniky. Všetci by mali mať možnosť zúčastňovať sa na európskych výmenách.</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Odporúčame vytvoriť kurzy európskeho občianstva pre všetkých európskych občanov.</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Právne predpisy EÚ sa v členských štátoch neuplatňujú rovnakým spôsobom.</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Odporúčame, aby Európska únia viac využívala priamo uplatniteľné právne predpisy v členských štátoch. Tým by sa znížili vnútroštátne rozdiely vo vykonávaní právnych predpisov EÚ, čo oslabuje európsky projekt. Tým by sa posilnili aj najdôležitejšie európske úspechy, ako je vnútorný trh, euro a schengenský priestor.</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Európska demokracia je ohrozená.</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Odporúčame, aby oznámenie EÚ o európskej demokracii neúnavne a jednoznačne pripomenulo, čo v Európe znamená pre Európanov.</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Hodnoty a zásady zmlúv Európskej únie, ku ktorým sa členské štáty zaviazali pri pristúpení, sú nezvratné. Ich ochrana musí byť aj naďalej zabezpečená.</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Ochrana hodnôt a zásad zmlúv je zabezpečená Európskym</w:t>
            </w:r>
            <w:r>
              <w:rPr/>
              <w:commentReference w:id="12"/>
            </w:r>
            <w:r>
              <w:rPr/>
              <w:t xml:space="preserve"> súdom a členské štáty ju nemôžu spochybniť.</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Informácie o EÚ nie sú ľahko dostupné a ťažko zrozumiteľné</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Odporúčame posilniť overovanie informácií o európskych otázkach. Tieto informácie, ktoré šíria a overujú inštitúcie, musia byť ľahko prístupné európskej verejnosti a národným médiám každého členského štátu.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Národné médiá často vyjadrujú negatívny obraz EÚ</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EÚ musí byť aktívnejšia aj v každodennom živote Európanov. (Napr. sponzorovaním napríklad kultúrnych podujatí, ktoré spájajú občanov a robia z nich hrdých na to, že sú občanmi EÚ. Podávanie správ a teasers by tiež umožnili Európanom prístup k</w:t>
            </w:r>
            <w:r>
              <w:rPr/>
              <w:commentReference w:id="13"/>
            </w:r>
            <w:r>
              <w:rPr/>
              <w:t xml:space="preserve"> kontextualizovaným informáciám o EÚ).</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Občania nepoznajú tých, ktorí ich zastupujú v Európskom parlamente.</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Odporúčame, aby boli poslanci lepšie známi vo svojich domovských krajinách, najmä mimo volebných období. Musia byť prístupnejšie. Dôvody ich hlasovania v Európskom parlamente musia byť európskym občanom ľahšie prístupné prostredníctvom webovej stránky Európskej únie.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Odporúčame, aby národné politické strany zabezpečili omladenie kandidátov na zoznamoch predložených vo voľbách do Európskeho parlamentu. Takýto mandát by sa nemal považovať za odmenu za dobré a lojálne služby poskytované vo vnútroštátnej politike.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Oznámenie EÚ je príliš jednotné; nezohľadňuje rozmanitosť obyvateľstva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S cieľom osloviť dostatočne široké a rôznorodé publikum odporúčame, aby EÚ prostredníctvom inkluzívnej komunikácie od fázy počatia zohľadnila stupeň vzdelania dotknutých osôb, ich možné zdravotné postihnutie. Okrem toho odporúčame zapojiť do prenosu tohto oznámenia aj jednotlivcov a organizácie (vychovávatelia ulíc, susedskí agenti, CPAS, občianska spoločnosť).</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Aby sme sa dostali k pracovnej sile, odporúčame viac investovať do využívania existujúcich komunikačných kanálov na pravidelné poskytovanie primeraných informácií o EÚ, napríklad prostredníctvom vysvetľujúcich programov. Okrem toho odporúčame spoliehať sa na veľvyslancov (osoby aj organizácie), ktoré propagujú projekt EÚ.</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S cieľom osloviť mladých ľudí a študentov odporúčame, aby sa popri existujúcich kanáloch, ako je vzdelávanie a príslušné mládežnícke hnutia, povolali ambasádorov, najmä v prípade influencerov, ktorí môžu osloviť mladých ľudí prostredníctvom sociálnych médií. Ďalším odporúčaním by bolo zorganizovať celoeurópsku súťaž s cieľom vytvoriť kreslený charakter, ktorý osloví mladých ľudí a posiela im európske posolstvá.</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Pre seniorov odporúčame používať rovnaké kanály ako tie, ktoré sú ponúkané pre pracovnú silu. Okrem toho odporúčame hľadať správnu rovnováhu medzi digitálnou a nedigitálnou komunikáciou (písomná tlač, rádio, osobné podujatia) na uspokojenie potrieb všetkých, vrátane tých, ktorí sú menej komfortní v digitálnom prostredí, ako aj tých, ktorí sú menej mobilní v spoločnosti.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Odporúčame, aby sa prostredníctvom integračných kurzov, ktoré už existujú v mnohých členských štátoch, EÚ zaviazala, že bude zahŕňať „nových Európanov“ (ľudia, ktorí sa prostredníctvom jedného alebo iného legálneho prisťahovalectva zdržiavajú v EÚ) a môže ich informovať o iných tradičných kanáloch, ktorými EÚ komunikuje. Na záver tiež odporúčame dať miesto miestnemu asociatívnemu svetu.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Tiež odporúčame vyjsť z EÚ do ulíc s inkluzívnou komunikáciou. Mohli by sa napríklad použiť (digitálne) billboardy, ako aj nové komunikačné prostriedky, ako sú QR kódy a tradičné prostriedky.</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Inými odporúčaniami by bolo zvýšiť vizuálnosť EÚ (prostredníctvom malých filmov alebo infografík), vytvoriť európske športové hnutie s cieľom vytvoriť spojenie/pocit spolupatričnosti a lepšie spoznať európsku hymnu.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Dezinformácie</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Problémy</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Odporúčania</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Podporované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Riziko dezinformácií je čoraz častejšie prítomné v médiách</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Odporúčame prepracovať model financovania médií, ako aj povinné zverejňovanie zdrojov príjmov jasným a dostupným spôsobom. Model financovania médií ich privádza k senzačnému zmýšľaniu, a tým k uverejňovaniu informácií mimo kontextu a premieňa ich na dezinformácie.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Odporúčame povinnú citáciu zdrojov médiami poskytnutím odkazov na ich overenie. V opačnom prípade by sa informácie mali označiť ako neoverené.</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Odporúčame, aby Európsky regulačný orgán pre boj proti dezinformáciám (pozri bod 2) bol zodpovedný aj za akreditáciu organizácií na overovanie informácií („kontroly faktov“).</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Odporúčame v každom členskom štáte zriadiť nezávislý orgán zodpovedný za overovanie neutrality médií. Tento orgán by mala financovať a monitorovať Európska únia.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Odporúčame šíriť informácie o adresách URL oficiálnych webových stránok EÚ s cieľom ubezpečiť občanov o pôvode informácií.</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Mnohí občania pochybujú o mediálnej neutralite</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Odporúčame vytvoriť európsky regulačný orgán na boj proti dezinformáciám. Úlohou tohto regulačného orgánu by bolo najmä stanoviť kritériá pre značku neutrality a v prípade potreby zaviesť systém sankcií alebo stimulov spojených s dodržiavaním noriem neutrality. Prípadne by sa mohlo zvážiť dodržiavanie etickej charty. Označenie by udelil nezávislý vnútroštátny orgán a zohľadňovalo by sa v ňom opatrenia prijaté médiami na boj proti dezinformáciám.</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Odporúčame zaviesť európsku horúcu linku, ktorá občanom umožní odsúdiť dezinformácie o európskych (politických a hospodárskych) kompetenciách.</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Občania si neuvedomujú riziká dezinformácií, ktorým sú vystavení.</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Odporúčame, aby platformy boli povinné zverejňovať jasné a zrozumiteľné informácie o rizikách dezinformácií, ktorým sú vystavení ich používatelia. Tieto informácie by sa mali automaticky oznámiť hneď po otvorení účtu.</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Odporúčame povinnú odbornú prípravu v oblasti používania médií od útleho veku a prispôsobenú rôznym úrovniam vzdelávacieho systému.</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Odporúčame, aby Európska únia začala opakované kampane proti dezinformáciám. Tieto kampane by mohli byť označené logom alebo maskotom. Európska únia by mohla prinútiť sociálne siete, aby ich sprostredkovali šírením spotov.</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Prostriedky na boj proti dezinformáciám sú nedostatočné.</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Odporúčame uverejňovať v jednoduchom a zrozumiteľnom jazyku informácie o algoritmoch, ktoré organizujú správy prijaté používateľmi platformy.</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Odporúčame používateľom jednoducho zakázať algoritmy podporujúce správanie. Takisto by sa mohla preskúmať povinnosť poskytnúť používateľom prístup k iným zdrojom obhajujúcim rôzne stanoviská k tej istej téme.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Odporúčame, aby Európska únia podporila vytvorenie platformy sociálnych médií, ktorá by spĺňala vlastné normy v oblasti neutrality a boja proti dezinformáciám. Prípadne by sa mohla doplniť viacjazyčná platforma vytvorená na podporu Konferencie o budúcnosti Európy o nové prvky.</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Občianske panely</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Problémy</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Odporúčania</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Podporované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Ťažkosti pri zabezpečovaní reprezentatívnosti občianskeho panelu. V konečnom dôsledku je zapojená len malá časť obyvateľstva.</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Odporúčame sledovať najnovšie vedecké práce v oblasti deliberatívnej demokracie, pokiaľ ide o odber vzoriek, vývoj a vedeckú validáciu metódy výberu s cieľom zabezpečiť čo najlepšiu reprezentatívnosť.</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Odporúčame, aby bol pri stole dostatočný počet ľudí na zabezpečenie rôznorodosti názorov a profilov vrátane – ale nielen – ľudí, ktorí sa priamo zaoberajú touto témou.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V kritériách, ktorými sa riadi odber vzoriek, odporúčame doplniť kritérium rodičovstva (t. j. či osoba má alebo nemá deti?) okrem tradičnejších kritérií, ako je pohlavie, vek, miesto bydliska alebo úroveň vzdelania.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Odporúčame stanoviť kvóty podľa geografických oblastí, t. j. určiť, že európska skupina občanov musí byť zložená z X osôb z každej európskej zemepisnej oblasti (ktorá sa má určiť), aby sa táto skupina mohla skutočne kvalifikovať ako európska a zmysluplne premyslená.</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Odporúčame, aby sa registre obyvateľstva (alebo ich ekvivalenty v závislosti od krajiny) používali ako primárne databázy žrebovania, aby sa každému poskytla rovnaká šanca na výber a aby sa prejavil záujem o predmet v rámci obyvateľstva.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Odporúčame, aby účastníci boli odškodnení za to, aby ocenili svoje investície a prilákali ľudí, ktorí by sa nezúčastnili, ak by neboli kompenzovaní.</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Odporúčame informovať – celkom minimálne: ani príliš veľa informácií, ani príliš komplikované informácie – prví účastníci prostredníctvom prezentácií odborníkov, aby zabezpečili, že aj ľudia bez predchádzajúceho vedomia sa budú cítiť pohodlne zúčastňovať sa na diskusiách.</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Odporúčame, aby bola téma panelovej diskusie občanov vopred oznámená, aby ľudia vedeli, o akej téme sa zaväzujú diskutovať.</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Odporúčame nepožadovať účasť občanov.</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Ťažkosti pri organizovaní panelu na európskej úrovni.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Odporúčame, aby sa schôdze európskej skupiny občanov konali v hybridnom formáte (súčasný/distanciálny). Zúčastniť sa môžu aj ľudia, ktorí sa nemôžu fyzicky pohybovať.</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Odporúčame, aby Európska únia v záujme ľahšieho prístupu a organizácie delegovala organizáciu panelov občanov (o európskych témach) na rôzne úrovne právomocí na vnútroštátnej úrovni.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Odporúčame vybrať jednu tému na panel organizovaný na európskej úrovni. To umožní všetkým účastníkom diskutovať o rovnakej téme bez ohľadu na to, odkiaľ pochádzajú z Európy.</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Vyhnite sa panelu </w:t>
              <w:br/>
              <w:t>občania nie sú odklonení na iné účely ako tie, ktoré sú deklarované.</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Odporúčame každému občanovi predložiť tému na diskusiu, aby toto právo nebolo vyhradené politickému svetu alebo svetu lobistov.</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Odporúčame, aby mal Európsky parlament právo iniciatívy, aby Európsky parlament definoval tému, o ktorej sa má diskutovať, a následne prijal texty potrebné na nadviazanie na odporúčania vyplývajúce z rokovaní.</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Ťažkosti pri rozhodovaní o tom, ako čo najlepšie zorganizovať proces čo najlepšieho zastúpenia občanov.</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Odporúčame spolu s parlamentom zriadiť stálu porotu pre občanov, ktorá bude plniť osobitné úlohy. Bude sa pravidelne obnovovať. To by umožnilo spojiť občanov z dlhodobého hľadiska a trvalo by potrebný čas na diskusie. Čas umožňuje nuansu diskusií a konsenzu. Okrem tohto stáleho panelu diskutujú ad hoc občianske panely o témach zvolených stálym panelom. Navrhujeme, aby sme sa riadili modelom nemecky hovoriacej komunity.</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Odporúčame vytvoriť len jednu alebo viac nestálych panelov európskych občanov, ktoré by sa stretávali a diskutovali len o konkrétnej téme len na určitý čas.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Odporúčame neorganizovať európske panelové diskusie občanov o naliehavých otázkach, pretože na zabezpečenie kvality diskusií je potrebný dostatočný čas.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Občania, ktorí sa zúčastňujú na participatívnych demokratických iniciatívach, ako sú občianske panely, príliš často nedostávajú spätnú väzbu o opatreniach nadväzujúcich na ich prácu, či už v krátkodobom alebo dlhodobom horizonte.</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Odporúčame, aby sa občanom poskytla spätná väzba k nadväzujúcim opatreniam (alebo nie) k odporúčaniam vydaným po diskusiách európskych občanov. Ak sa odporúčania nedodržia, zúčastnené európske inštitúcie musia uviesť dôvody svojho rozhodnutia (napr. nedostatok právomoci). Na tento účel odporúčame písanie pravidelných zhrnutí počas celého procesu po paneli.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Odporúčame organizovať občianske panely, a to aj s deťmi od útleho veku (napr. 10 – 16 rokov), s cieľom zvýšiť informovanosť o účasti a diskusii. To sa dá organizovať v školách.</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Referendá</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Problémy</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Odporúčania</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Podporované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Odporúčame, aby sa na európskej úrovni konali referendá o európskych záležitostiach.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Kultúra referenda sa v jednotlivých členských štátoch značne líši.</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Odporúčame zadávať prieskum o tom, ako vytvoriť spoločnú kultúru referenda v Európe.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Odporúčame výskum (na základe nezávislých odborníkov) o potrebe a možnosti usporiadania referenda na konkrétnu tému na európskej úrovni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Formulácia otázky položenej v referende môže mať nepriaznivý vplyv, rovnako ako schopnosť odpovedať len „áno“ alebo „nie“, čo často polarizuje diskusie a spoločnosti.</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Odporúčame zriadiť vedecký výbor, ktorý by sa zamyslel nad tým, ako klásť otázky, ktoré by boli predmetom európskeho referenda čo najobjektívnejším spôsobom.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Odporúčame klásť otázky s možnosťou výberu z viacerých odpovedí nad rámec jednoduchej alternatívy medzi „áno“ a „nie“ s cieľom dosiahnuť nuansu alebo dokonca pripojiť podmienky k „áno“ a „nie“ (t. j. „áno ak“, „nie ak“).</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Odporúčame, aby sa biele hlasy nebrali do úvahy pri výpočte žiadnej väčšiny (jednoduchej väčšiny alebo absolútnej väčšiny). Stále musí byť dostatok hlasov (kvórum sa musí rešpektovať).</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Výber predmetu je tiež chúlostivý.</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Odporúčame, aby otázka nastolená v európskom referende patrila do rozsahu pôsobnosti akejkoľvek európskej témy, ktorá patrí do právomoci Európskej únie.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Odporúčame vylúčiť témy, ktoré by mohli byť zdrojom konfliktov medzi členskými štátmi.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Odporúčame, aby sa mohli klásť aj technické a zložité otázky s jasnou formuláciou, pretože ľudia majú schopnosť byť dostatočne informovaní.</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Referendum nie je demokratickým nástrojom, ak sa len politický svet môže rozhodnúť, že ho zorganizuje.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Odporúčame, aby Európsky parlament mal právo iniciatívy usporiadať</w:t>
            </w:r>
            <w:r>
              <w:rPr/>
              <w:commentReference w:id="14"/>
            </w:r>
            <w:r>
              <w:rPr/>
              <w:t xml:space="preserve"> európske referendá a aby potom mohol realizovať svoj výsledok (Európska komisia a Rada by mali nasledovať bez možnosti blokovania).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Odporúčame, aby iniciatíva pochádzala aj od samotných občanov (napr. dodržiavaním pravidiel podobných tým, ktoré sa uplatňujú v súvislosti s európskou iniciatívou občanov).</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Odporúčame, aby praktická organizácia európskeho referenda bola neutrálnym orgánom.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Konzultačný alebo záväzný aspekt referenda musí byť </w:t>
              <w:br/>
              <w:t>jasne definované.</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Odporúčame, aby bol výsledok európskeho referenda záväzný len vtedy, ak sú splnené určité podmienky účasti.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Odporúčame, aby výsledky referenda boli záväzné len vtedy, ak sa dosiahne určitá väčšina (51/49, 70/30). Tieto podmienky sú stanovené pred každým referendom.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Odporúčame, aby výsledok európskeho referenda bol záväzný, ak by iniciatívu jeho organizácie prijali občania (ktorí by sa na tento účel podarilo zozbierať niekoľko podpisov), ale indikatívne, ak by iniciatívu prevzala politická inštitúcia.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Odporúčame, aby bol výsledok európskeho referenda záväzný len pre určité témy, ale nie pre tie, pre ktoré by mohli byť dôsledky hlasovania veľmi závažné.</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Obyvateľstvo je často nedostatočne informované pred tým, ako bude vyzvané, aby hlasovalo v referende. Zároveň je nevyhnutné kontrolovať oznámené informácie, aby sa zabránilo škodlivým vplyvom (vnútorným alebo zahraničným) na hlasovanie.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Odporúčame, aby bola verejnosť pred akýmkoľvek európskym referendom jasne informovaná o vplyve hlasovania na ich každodenný život prostredníctvom brožúr, ako je to vo Švajčiarsku, a/alebo informačných stretnutí.</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Odporúčame zriadiť pre každé európske referendum vedecký výbor, ktorý zaručí neutralitu oznámených informácií.</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Hoci referendum vyzýva všetkých obyvateľov, aby hlasovali priamo (na rozdiel od občianskeho panelu), vždy existuje určitý absenciu, ktorý je viac-menej dôležitý.</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Odporúčame, aby účasť na hlasovaní v európskom referende bola povinná.</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Odporúčame, aby bolo hlasovanie v európskom referende dobrovoľné.</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S cieľom znížiť absenciu odporúčame povoliť elektronické hlasovanie popri hlasovaní v papierovej podobe (alebo popri iných spôsoboch hlasovania, ako je napríklad poštové hlasovanie). Elektronické hlasovanie je obzvlášť zaujímavé pre ľudí, ktorí chodia na dovolenku, a tiež povzbudzuje ľudí, ktorí majú menší záujem o hlasovanie, pretože nutkanie cestovať tam už nie je.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Občania, ktorí sa zúčastňujú na iniciatívach participatívnej demokracie, ako sú referendá, príliš často</w:t>
            </w:r>
            <w:r>
              <w:rPr/>
              <w:commentReference w:id="15"/>
            </w:r>
            <w:r>
              <w:rPr/>
              <w:t xml:space="preserve"> nedostávajú návrat k nadviazaniu na ich hlasovanie, či už v krátkodobom alebo dlhodobom horizonte.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Odporúčame občanom poskytnúť spätnú väzbu na prijaté (alebo nekonanie) rozhodnutia občanov prostredníctvom európskeho referenda.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Existujúce nástroje</w:t>
      </w:r>
    </w:p>
    <w:p>
      <w:pPr>
        <w:pStyle w:val="Normal"/>
        <w:rPr/>
      </w:pPr>
      <w:r>
        <w:rPr/>
        <w:t>5.1. Európske voľby.</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Problémy</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Odporúčania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Podporované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V jednotlivých členských štátoch existujú rozdiely v právnych predpisoch.</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Navrhujeme, aby Európsky parlament mal povinnú účasť na hlasovaní, ale s dostatočnými informáciami pre občanov, aby pochopili dôvody.</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Naším odporúčaním je čo najviac zaviesť volebné pravidlá pre Európsky parlament vo všetkých krajinách vrátane minimálneho veku.</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Vek, pôvod a rodové kritériá poslancov EP nie sú dostatočne rôznorodé.</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Navrhujeme, aby boli poslanci Európskeho parlamentu všetkých vekových kategórií a prostredí.</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Navrhujeme, aby sa poslanci EP zámerne rozhodli pre európsku kariéru a nielen preto, že sú na konci svojej kariéry.</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Navrhujeme zvoliť vyvážené rozdelenie pohlaví, napríklad striedaním pohlaví v zoznamoch voličov</w:t>
            </w:r>
            <w:r>
              <w:rPr/>
              <w:commentReference w:id="16"/>
            </w:r>
            <w:r>
              <w:rPr/>
              <w:t>. EÚ musí stanoviť tieto kritériá a overiť, či sú splnené v zložení kvót. Ak kandidát odmietne svoje funkčné obdobie, nahradí ho nasledujúci kandidát podľa preferencií a rovnakého pohlavia.</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Odporúčame, aby kandidáti na európskych zoznamoch vykonávali svoj mandát, ak sú zvolení.</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Hlasujeme za Európsky parlament a nemáme žiadne slovo v zložení výboru.</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Navrhujeme, aby existovala zmena zmluvy, na základe ktorej by najväčšia strana v Európskom parlamente mohla vymenovať predsedu Európskej komisie.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Odporúčame, aby sa zloženie Európskej komisie stalo transparentnejším podľa niektorých základných pravidiel tak, aby zloženie odrážalo hlas občanov a aby občania vedeli, ako sa výber uskutočnil.</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O kandidátoch nie je veľa informácií, nevieme veľa o nich a ich programe, ako aj o politickej frakcii, ktorú budú zastupovať v Európskom parlamente.</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Navrhujeme, aby sa európski kandidáti prezentovali na miestnej úrovni konkrétnejšie so svojimi cieľmi a programami prostredníctvom rôznych kanálov (oznámenie).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Európsky ombudsman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Problémy</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Odporúčania</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Podporované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Stránka v iných jazykoch, ako je angličtina, obsahuje iba informácie v angličtine na prvých dvoch stranách. To vytvára bariéru pre občanov, ktorí nevládajú angličtinu</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Navrhujeme umiestniť informácie na domovskej stránke v jazyku každého občana a zverejniť, ak to nie je možné preložiť, správy v angličtine inde na stránke.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Ombudsman sa nezúčastňuje na sankcii a náhrade škody pre sťažovateľa.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Navrhujeme, aby bol ombudsman súčasťou procesu hľadania a realizácie riešenia/sankcie/kompenzácie a mal v tejto veci hlas.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Termín je niekedy veľmi dlhý na potvrdenie registrácie na stránke (validačný e-mail) Niekedy trvá 24 hodín a demoluje občana, ktorý sa presťahuje na niečo iné.</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Navrhujeme zaviesť systém okamžitej validácie.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Pri podaní sťažnosti sa kladie otázka: využili ste všetky možné postupy? Občan nie vždy pozná všetky postupy a nemôže odpovedať na otázku.</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Navrhujeme zahrnúť odkaz na jednoduchú prezentáciu/vysvetlenie iných postupov</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Webová stránka ombudsmana je dobrá, ale nemá jasný európsky obraz, takže to vedie k otázkam pre občanov (som na správnej stránke, je to dôveryhodné?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Navrhujeme preskúmať grafickú chartu lokality a viac ju zosúladiť s Chartou Európskej únie (prvé odporúčanie: zdvihnite európsku vlajku do hornej časti stránky). Pri prvom kliknutí musí byť jasné, že občan je na internetovej stránke ombudsmana inštitúcií.</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Verejná konzultácia</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Problémy</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Odporúčania</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Podporované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Internetová stránka konzultácií sa zmenila a občan sa v prvom stupni posiela na zastarané stránky. Musíte vyhľadávať, aby ste našli adresu novej stránky.</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Navrhujeme odstrániť starú stránku a najprv odkazovať na novú stránku.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Plán (angličtina) a názory (jazyk občianskeho redaktora) konzultácie sa neprekladajú do jazyka občianskeho čitateľa.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Dôrazne odporúčame preložiť plán do jazyka občanov. Cestná mapa v angličtine blokuje každého občana, ktorý nezvládne</w:t>
            </w:r>
            <w:commentRangeStart w:id="19"/>
            <w:r>
              <w:rPr/>
              <w:t>angličtinu</w:t>
            </w:r>
            <w:r>
              <w:rPr/>
            </w:r>
            <w:commentRangeEnd w:id="19"/>
            <w:r>
              <w:commentReference w:id="19"/>
            </w:r>
            <w:r>
              <w:rPr/>
              <w:t xml:space="preserve"> v jeho účasti.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Navrhujeme vložiť kartu/icon „automatizovaný preklad“ pri každej recenzii, ktorá sa pripája k open source prekladu, ako je </w:t>
            </w:r>
            <w:commentRangeStart w:id="20"/>
            <w:r>
              <w:rPr/>
              <w:t>Google Translate alebo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Musíte sa prihlásiť na nadviazanie na konzultáciu.</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Navrhujeme automaticky odoslať sledovanie procesu komukoľvek, kto zareagoval, s možnosťou odhlásenia sa.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Nevieme, či počet stanovísk v určitom zmysle ovplyvňuje komisiu, alebo či sa podobné stanoviská považujú za jeden názor (váženie alebo nie). Ak sa počíta počet názorov v istom zmysle, znepokojuje nás váha lobistov/aktivistov/veľkých spoločností v rámci konzultácií a de facto kroky, ktoré EÚ prijala voči občanom a asociatívnemu svetu.</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Odporúčame uviesť na stránke jasné informácie o tom.</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Ak má vplyv počet názorov v jednom smere, odporúčame vytvoriť systém, ktorý bude schopný filtrovať lobistov/aktivistov/veľké spoločnosti atď., aby sa im nevenovala neprimeraná váha.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Odporúčame vytvoriť softvér pre umelú inteligenciu, ktorý hodnotí rôzne recenzie a počíta opačné alebo priaznivé recenzie.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Navrhujeme organizovať stretnutia medzi občanmi a združeniami (militantmi): mať miesta, kde by občania mohli prísť a vyjadriť svoje názory vo forme „domov Európy“, ktoré by mohli pomôcť šíriť názory občanov na európskej úrovni. Tieto miesta by sa mali zriadiť na rôznych miestach na miestnej úrovni a mali by sa premiestniť.</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5.formulár oznámenia nie je jasný: je tu otvorená otázka a dotazník. Aká je úloha každého dokumentu, čo by sa malo dokončiť?</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Objasnite tieto informácie na stránke.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Existuje príliš veľa zručností, pokiaľ ide o nástroje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Navrhujeme vytvoriť expedičné stredisko, ktoré umožní, aby žiadosti boli adresované príslušnému orgánu.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Európska iniciatíva občanov</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Problémy</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Odporúčania</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Podporované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Občanov, ktorí nemajú internet, je ťažšie osloviť.</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Navrhujeme, aby sa miestne orgány alebo knižnice, ktoré sú nezávislé od vlády, mohli podieľať na šírení tejto iniciatívy a zhromažďovaní podpisov. Elektronicky aj na papieri. EÚ by mala zhodnotiť túto sieť podľa jednotlivých krajín a sprístupniť ju iniciátorom.</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Počet krajín, ktoré sa musia zapojiť, je príliš malý na to, aby mal dostatočnú podporu.</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Navrhujeme zvýšiť počet krajín, z ktorých sa zbierajú podpisy, na 13 krajín s cieľom získať väčšiu podporu návrhu. Počet podpisov sa musí rešpektovať úmerne k počtu obyvateľov.</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Náklady a úsilie zbierať podpisy sú vysoké</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Navrhujeme, aby EÚ financovala tieto iniciatívy.</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Navrhujeme vytvoriť orgán, ktorý uľahčí koordináciu medzi jednotlivými krajinami.</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Tento postup je pre občanov zložitý.</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Navrhujeme zriadiť asistenčnú službu, ktorá by pomohla občanom dokončiť tento proces.</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Výsledok iniciatívy občanov nie je jasný.</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Navrhujeme zaviazať Európsku komisiu, aby prediskutovala a pracovala na nadväzujúcich opatreniach k návrhu, a nielen aby odpovedala a potvrdila prijatie návrhu. Ak sa Komisia rozhodne nereagovať na návrh, musí ho odôvodniť.</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Navrhujeme zorganizovať konzultácie s občanmi pri prijímaní európskej iniciatívy občanov s cieľom požiadať ich o ich stanovisko pred tým, ako ju výbor bude monitorovať. Tým by sa zabránilo len extrémnym názorom/hlasom k iniciatíve a názorom ľudí, ktorí nepodpísali. Okrem toho, ak všetci občania vyjadria svoj názor, návrh bude mať väčšiu váhu na úrovni EÚ a nadväzujúce opatrenia.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Právo na podanie petície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Problémy</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Odporúčania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Podporované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Európska komisia má konečné rozhodnutie, nie je isté, čo sa týka výsledku.</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Navrhujeme, aby sa výbor riadil odporúčaním Európskeho parlamentu.</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Je málo transparentnosti, pokiaľ ide o proces a motiváciu rozhodnutia.</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Navrhujeme pravidelne informovať osobu predkladajúcu petíciu o pokroku a rozhodnutiach. Aj konečný záver musí byť odôvodnený.</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Pre občanov je ťažké preukázať potrebu nových právnych predpisov.</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Naše odporúčanie je, aby sa petícia použila aj ako nástroj na preukázanie potreby nových právnych predpisov.</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Národné panely: Francúzsko</w:t>
      </w:r>
    </w:p>
    <w:p>
      <w:pPr>
        <w:pStyle w:val="Normal"/>
        <w:spacing w:before="15880" w:after="57"/>
        <w:rPr/>
      </w:pPr>
      <w:r>
        <w:rPr/>
        <mc:AlternateContent>
          <mc:Choice Requires="wps">
            <w:drawing>
              <wp:anchor behindDoc="0" distT="72390" distB="72390" distL="72390" distR="72390" simplePos="0" locked="0" layoutInCell="1" allowOverlap="1" relativeHeight="19">
                <wp:simplePos x="0" y="0"/>
                <wp:positionH relativeFrom="column">
                  <wp:posOffset>914400</wp:posOffset>
                </wp:positionH>
                <wp:positionV relativeFrom="paragraph">
                  <wp:posOffset>5288280</wp:posOffset>
                </wp:positionV>
                <wp:extent cx="4782820" cy="1020445"/>
                <wp:effectExtent l="0" t="0" r="0" b="0"/>
                <wp:wrapTopAndBottom/>
                <wp:docPr id="75" name="Rámec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pPr>
                            <w:r>
                              <w:rPr/>
                              <w:t xml:space="preserve">Tento dokument je súhrnom správy o príspevku občanov ku Konferencii o budúcnosti Európy, ktorú zorganizovalo Francúzsko. Úplné znenie správy vo francúzštine je k dispozícii na tomto odkaze: </w:t>
                            </w:r>
                          </w:p>
                          <w:p>
                            <w:pPr>
                              <w:pStyle w:val="Contenudecadre"/>
                              <w:spacing w:before="57" w:after="57"/>
                              <w:rPr/>
                            </w:pPr>
                            <w:hyperlink r:id="rId85">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Rámec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pPr>
                      <w:r>
                        <w:rPr/>
                        <w:t xml:space="preserve">Tento dokument je súhrnom správy o príspevku občanov ku Konferencii o budúcnosti Európy, ktorú zorganizovalo Francúzsko. Úplné znenie správy vo francúzštine je k dispozícii na tomto odkaze: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Obrázok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ok33" descr=""/>
                    <pic:cNvPicPr>
                      <a:picLocks noChangeAspect="1" noChangeArrowheads="1"/>
                    </pic:cNvPicPr>
                  </pic:nvPicPr>
                  <pic:blipFill>
                    <a:blip r:embed="rId87"/>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6">
            <wp:simplePos x="0" y="0"/>
            <wp:positionH relativeFrom="column">
              <wp:posOffset>1290955</wp:posOffset>
            </wp:positionH>
            <wp:positionV relativeFrom="paragraph">
              <wp:posOffset>6459220</wp:posOffset>
            </wp:positionV>
            <wp:extent cx="1554480" cy="240030"/>
            <wp:effectExtent l="0" t="0" r="0" b="0"/>
            <wp:wrapSquare wrapText="largest"/>
            <wp:docPr id="78" name="Obrázok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ok34" descr=""/>
                    <pic:cNvPicPr>
                      <a:picLocks noChangeAspect="1" noChangeArrowheads="1"/>
                    </pic:cNvPicPr>
                  </pic:nvPicPr>
                  <pic:blipFill>
                    <a:blip r:embed="rId88"/>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79" name="Obrázok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ázok36" descr=""/>
                    <pic:cNvPicPr>
                      <a:picLocks noChangeAspect="1" noChangeArrowheads="1"/>
                    </pic:cNvPicPr>
                  </pic:nvPicPr>
                  <pic:blipFill>
                    <a:blip r:embed="rId89"/>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3897630</wp:posOffset>
            </wp:positionH>
            <wp:positionV relativeFrom="paragraph">
              <wp:posOffset>6478270</wp:posOffset>
            </wp:positionV>
            <wp:extent cx="1212850" cy="419100"/>
            <wp:effectExtent l="0" t="0" r="0" b="0"/>
            <wp:wrapSquare wrapText="largest"/>
            <wp:docPr id="80" name="Obrázok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ázok37" descr=""/>
                    <pic:cNvPicPr>
                      <a:picLocks noChangeAspect="1" noChangeArrowheads="1"/>
                    </pic:cNvPicPr>
                  </pic:nvPicPr>
                  <pic:blipFill>
                    <a:blip r:embed="rId90"/>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9">
            <wp:simplePos x="0" y="0"/>
            <wp:positionH relativeFrom="column">
              <wp:posOffset>-47625</wp:posOffset>
            </wp:positionH>
            <wp:positionV relativeFrom="paragraph">
              <wp:posOffset>6496050</wp:posOffset>
            </wp:positionV>
            <wp:extent cx="1281430" cy="614680"/>
            <wp:effectExtent l="0" t="0" r="0" b="0"/>
            <wp:wrapSquare wrapText="largest"/>
            <wp:docPr id="81" name="Obrázok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ázok35" descr=""/>
                    <pic:cNvPicPr>
                      <a:picLocks noChangeAspect="1" noChangeArrowheads="1"/>
                    </pic:cNvPicPr>
                  </pic:nvPicPr>
                  <pic:blipFill>
                    <a:blip r:embed="rId91"/>
                    <a:stretch>
                      <a:fillRect/>
                    </a:stretch>
                  </pic:blipFill>
                  <pic:spPr bwMode="auto">
                    <a:xfrm>
                      <a:off x="0" y="0"/>
                      <a:ext cx="1281430" cy="614680"/>
                    </a:xfrm>
                    <a:prstGeom prst="rect">
                      <a:avLst/>
                    </a:prstGeom>
                  </pic:spPr>
                </pic:pic>
              </a:graphicData>
            </a:graphic>
          </wp:anchor>
        </w:drawing>
        <w:drawing>
          <wp:anchor behindDoc="0" distT="0" distB="0" distL="0" distR="0" simplePos="0" locked="0" layoutInCell="1" allowOverlap="1" relativeHeight="89">
            <wp:simplePos x="0" y="0"/>
            <wp:positionH relativeFrom="column">
              <wp:posOffset>5186680</wp:posOffset>
            </wp:positionH>
            <wp:positionV relativeFrom="paragraph">
              <wp:posOffset>6484620</wp:posOffset>
            </wp:positionV>
            <wp:extent cx="838200" cy="485775"/>
            <wp:effectExtent l="0" t="0" r="0" b="0"/>
            <wp:wrapSquare wrapText="largest"/>
            <wp:docPr id="82" name="Obrázok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ok38" descr=""/>
                    <pic:cNvPicPr>
                      <a:picLocks noChangeAspect="1" noChangeArrowheads="1"/>
                    </pic:cNvPicPr>
                  </pic:nvPicPr>
                  <pic:blipFill>
                    <a:blip r:embed="rId92"/>
                    <a:stretch>
                      <a:fillRect/>
                    </a:stretch>
                  </pic:blipFill>
                  <pic:spPr bwMode="auto">
                    <a:xfrm>
                      <a:off x="0" y="0"/>
                      <a:ext cx="838200" cy="485775"/>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TOAHeading"/>
        <w:suppressLineNumbers/>
        <w:ind w:left="0" w:right="0" w:hanging="0"/>
        <w:rPr/>
      </w:pPr>
      <w:r>
        <w:rPr/>
        <w:t>Zhrnutie</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Úvod </w:t>
      </w:r>
    </w:p>
    <w:p>
      <w:pPr>
        <w:pStyle w:val="P68B1DB1Normal19"/>
        <w:widowControl w:val="false"/>
        <w:spacing w:lineRule="auto" w:line="240" w:before="156" w:after="0"/>
        <w:ind w:left="0" w:right="0" w:hanging="0"/>
        <w:jc w:val="both"/>
        <w:rPr/>
      </w:pPr>
      <w:r>
        <w:rPr/>
        <w:t xml:space="preserve">Konferencia o budúcnosti Európy je bezprecedentná účasť občanov na konzultáciách s občanmi 27 členských štátov Európskej únie, aby sa stali stredobodom rozhodnutí, ktoré sa prijmú v nadchádzajúcich rokoch a desaťročiach. Občania EÚ sa preto vyzývajú, aby vyjadrili svoje názory a navrhli zmeny a konkrétne spôsoby činnosti, ktoré Európe umožnia stanoviť si nové ambície a riešiť globálne výzvy, ktorým dnes čelí. </w:t>
      </w:r>
    </w:p>
    <w:p>
      <w:pPr>
        <w:pStyle w:val="P68B1DB1Normal19"/>
        <w:widowControl w:val="false"/>
        <w:spacing w:lineRule="auto" w:line="240" w:before="156" w:after="0"/>
        <w:ind w:left="0" w:right="0" w:hanging="0"/>
        <w:jc w:val="both"/>
        <w:rPr/>
      </w:pPr>
      <w:r>
        <w:rPr/>
        <w:t xml:space="preserve">Francúzska vláda podporuje iniciatívy trojice predsedníctiev Konferencie o budúcnosti Európy, najmä tým, že nabáda svojich občanov, aby významne prispeli k online platforme a organizovali podujatia v celej krajine. </w:t>
      </w:r>
    </w:p>
    <w:p>
      <w:pPr>
        <w:pStyle w:val="P68B1DB1Normal19"/>
        <w:widowControl w:val="false"/>
        <w:spacing w:lineRule="auto" w:line="240" w:before="156" w:after="0"/>
        <w:ind w:left="0" w:right="0" w:hanging="0"/>
        <w:jc w:val="left"/>
        <w:rPr/>
      </w:pPr>
      <w:r>
        <w:rPr/>
        <w:t xml:space="preserve">Súbežne s týmito európskymi iniciatívami si vláda želala uskutočniť participatívnu činnosť na vnútroštátnej úrovni. </w:t>
      </w:r>
    </w:p>
    <w:p>
      <w:pPr>
        <w:pStyle w:val="P68B1DB1Normal19"/>
        <w:widowControl w:val="false"/>
        <w:spacing w:lineRule="auto" w:line="240" w:before="156" w:after="0"/>
        <w:ind w:left="0" w:right="0" w:hanging="0"/>
        <w:jc w:val="both"/>
        <w:rPr/>
      </w:pPr>
      <w:r>
        <w:rPr/>
        <w:t xml:space="preserve">S podporou ministerstva pre vzťahy s parlamentom a účasťou občanov (MRPCC) a odbornými znalosťami Medziministerského centra pre účasť občanov (ICPC) ministerstvo Európy a zahraničných vecí (MEAE) zorganizovalo občianske cvičenie založené na silných metodických zaujatostiach (pozri ďalej „Metodologické záväzky a predsudky“). MEAE sa opierala o konzorcium dodávateľov zložené z Roland Berger, Wavestone, Missions Publiques a Harris Interactive. Regionálne prefektúry konečne zohrali kľúčovú úlohu pri organizovaní 18 konferencií v celej krajine. </w:t>
      </w:r>
    </w:p>
    <w:p>
      <w:pPr>
        <w:pStyle w:val="P68B1DB1Normal19"/>
        <w:widowControl w:val="false"/>
        <w:spacing w:lineRule="auto" w:line="240" w:before="156" w:after="0"/>
        <w:ind w:left="0" w:right="0" w:hanging="0"/>
        <w:jc w:val="both"/>
        <w:rPr/>
      </w:pPr>
      <w:r>
        <w:rPr/>
        <w:t xml:space="preserve">V rámci tejto konzultácie sa účastníkom položila jedna otázka: </w:t>
      </w:r>
      <w:r>
        <w:rPr>
          <w:b/>
          <w:i/>
        </w:rPr>
        <w:t>Ako francúzski občania, aké zmeny chcete pre Európu?</w:t>
      </w:r>
      <w:r>
        <w:rPr/>
        <w:t xml:space="preserve"> (Pozri prílohu IV „Poverenie účasti“). </w:t>
      </w:r>
    </w:p>
    <w:p>
      <w:pPr>
        <w:pStyle w:val="P68B1DB1Normal19"/>
        <w:widowControl w:val="false"/>
        <w:spacing w:lineRule="auto" w:line="240" w:before="156" w:after="0"/>
        <w:ind w:left="0" w:right="0" w:hanging="0"/>
        <w:jc w:val="both"/>
        <w:rPr/>
      </w:pPr>
      <w:r>
        <w:rPr/>
        <w:t xml:space="preserve">Toto národné cvičenie sa uskutočnilo vo forme 18 regionálnych konferencií v 13 metropolitných regiónoch a 5 francúzskych ultramarínových regiónoch, ktoré sa konali počas troch víkendov v septembri a októbri 2021 a každá z nich združovala 30 až 50 občanov žrebovaním (celkom 746). Syntéza týchto 18 regionálnych panelov sa uskutočnila na národnej konferencii, ktorá sa konala 15. až 17. októbra 2021 v Hospodárskej, sociálnej a environmentálnej rade (EHSV v Paríži) a na ktorej sa medzi účastníkmi regionálnych konferencií zišlo 98 dobrovoľných občanov. </w:t>
      </w:r>
    </w:p>
    <w:p>
      <w:pPr>
        <w:pStyle w:val="P68B1DB1Normal19"/>
        <w:widowControl w:val="false"/>
        <w:spacing w:lineRule="auto" w:line="240" w:before="156" w:after="0"/>
        <w:ind w:left="0" w:right="0" w:hanging="0"/>
        <w:jc w:val="both"/>
        <w:rPr/>
      </w:pPr>
      <w:r>
        <w:rPr/>
        <w:t xml:space="preserve">Okrem toho a s cieľom zdôrazniť slová mladých francúzskych ľudí pred Európskym rokom mládeže v roku 2022 zorganizovalo ministerstvo Európy a zahraničných vecí v spolupráci s organizáciou Make.org online konzultáciu s názvom Hovor s </w:t>
      </w:r>
      <w:r>
        <w:rPr>
          <w:i/>
        </w:rPr>
        <w:t>mládežou</w:t>
      </w:r>
      <w:r>
        <w:rPr/>
        <w:t xml:space="preserve">. Viac ako 50 000 mladých ľudí vo veku 15 až 35 rokov vyjadrilo svoje myšlienky a priority pre Európu v roku 2035. </w:t>
      </w:r>
    </w:p>
    <w:p>
      <w:pPr>
        <w:pStyle w:val="P68B1DB1Normal19"/>
        <w:widowControl w:val="false"/>
        <w:spacing w:lineRule="auto" w:line="240" w:before="156" w:after="0"/>
        <w:ind w:left="0" w:right="0" w:hanging="0"/>
        <w:jc w:val="left"/>
        <w:rPr/>
      </w:pPr>
      <w:r>
        <w:rPr/>
        <w:t xml:space="preserve">V tejto správe sa uvádzajú hlavné výsledky dvoch konzultácií, ktoré uskutočnila vláda.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pPr>
      <w:r>
        <w:rPr/>
        <w:t xml:space="preserve">Konzultačná metodika </w:t>
      </w:r>
    </w:p>
    <w:p>
      <w:pPr>
        <w:pStyle w:val="P68B1DB1Normal19"/>
        <w:widowControl w:val="false"/>
        <w:spacing w:lineRule="auto" w:line="240" w:before="156" w:after="0"/>
        <w:ind w:left="0" w:right="0" w:hanging="0"/>
        <w:jc w:val="both"/>
        <w:rPr/>
      </w:pPr>
      <w:r>
        <w:rPr/>
        <w:t xml:space="preserve">Nábor občanov, ktorí sa zúčastňujú na regionálnych konferenciách, spájal náhodný výber účastníkov náhodným výberom ich telefónnych čísel a cielený výber profilov, aby sa dostali do panelu ako reprezentatívneho pre rozmanitosť každého územia. </w:t>
      </w:r>
    </w:p>
    <w:p>
      <w:pPr>
        <w:pStyle w:val="P68B1DB1Normal19"/>
        <w:widowControl w:val="false"/>
        <w:spacing w:lineRule="auto" w:line="240" w:before="156" w:after="0"/>
        <w:ind w:left="0" w:right="0" w:hanging="0"/>
        <w:jc w:val="both"/>
        <w:rPr/>
      </w:pPr>
      <w:r>
        <w:rPr/>
        <w:t xml:space="preserve">Počas regionálnych panelov účastníci vystúpili striedaním pracovného času v skupinách podľa tabuľky 6 až 8 občanov spolu so sprostredkovateľom a prezentačnými časmi v pléne. Počas reflexie boli prítomní experti, aby odpovedali na otázky občanov a objasnili ich, pričom si zachovali pozíciu neutrality. </w:t>
      </w:r>
    </w:p>
    <w:p>
      <w:pPr>
        <w:pStyle w:val="P68B1DB1Normal19"/>
        <w:widowControl w:val="false"/>
        <w:spacing w:lineRule="auto" w:line="240" w:before="156" w:after="0"/>
        <w:ind w:left="0" w:right="0" w:hanging="0"/>
        <w:jc w:val="both"/>
        <w:rPr/>
      </w:pPr>
      <w:r>
        <w:rPr/>
        <w:t xml:space="preserve">Občania boli najprv vyzvaní, aby diskutovali o svojom súčasnom vnímaní Európy. Potom vyjadrili </w:t>
      </w:r>
      <w:r>
        <w:rPr>
          <w:b/>
        </w:rPr>
        <w:t>želanie pre Európu z roku 2035</w:t>
      </w:r>
      <w:r>
        <w:rPr/>
        <w:t xml:space="preserve"> ako skupinu a potom v pléne. Tieto diskusie umožnili určiť 3 až 8 prianí za každý región. Pre každé z týchto želaní občania potom sformulovali </w:t>
      </w:r>
      <w:r>
        <w:rPr>
          <w:b/>
        </w:rPr>
        <w:t>zmeny</w:t>
      </w:r>
      <w:r>
        <w:rPr/>
        <w:t xml:space="preserve">, ktoré považovali za potrebné na dosiahnutie želanej Európy, a potom ich ilustrovali konkrétnymi návrhmi, ktoré sa majú vykonať. Výsledkom tohto procesu bolo celkovo 515 zmien a 1 301 konkrétnych návrhov na vnútroštátnej úrovni. </w:t>
      </w:r>
    </w:p>
    <w:p>
      <w:pPr>
        <w:pStyle w:val="P68B1DB1Normal19"/>
        <w:widowControl w:val="false"/>
        <w:spacing w:lineRule="auto" w:line="240" w:before="156" w:after="0"/>
        <w:ind w:left="0" w:right="0" w:hanging="0"/>
        <w:jc w:val="left"/>
        <w:rPr/>
      </w:pPr>
      <w:r>
        <w:rPr/>
        <w:t xml:space="preserve">Výsledkom každej regionálnej konferencie bolo vypracovanie regionálnej súhrnnej správy, ktorá bola predložená všetkým účastníkom pred celoštátnou konferenciou. </w:t>
      </w:r>
    </w:p>
    <w:p>
      <w:pPr>
        <w:pStyle w:val="P68B1DB1Normal19"/>
        <w:widowControl w:val="false"/>
        <w:spacing w:lineRule="auto" w:line="240" w:before="156" w:after="0"/>
        <w:ind w:left="0" w:right="0" w:hanging="0"/>
        <w:jc w:val="both"/>
        <w:rPr/>
      </w:pPr>
      <w:r>
        <w:rPr/>
        <w:t xml:space="preserve">Na konferencii o národnej syntéze sa zišlo 98 náhodne vybraných občanov spomedzi účastníkov 18 regionálnych konferencií. S cieľom zabezpečiť rozmanitosť národných panelov bolo medzi dobrovoľníkmi z regionálnych konferencií v metropolitnom Francúzsku a na Réunione veľa vybraných 6 občanov a 4 občania na ultramarínové konferencie, rešpektujúc paritu a rozmanitosť veku v každom regionálnom žrebovaní (pozri prílohu II). </w:t>
      </w:r>
    </w:p>
    <w:p>
      <w:pPr>
        <w:pStyle w:val="Normal"/>
        <w:widowControl w:val="false"/>
        <w:spacing w:lineRule="auto" w:line="240" w:before="156" w:after="0"/>
        <w:ind w:left="0" w:right="0" w:hanging="0"/>
        <w:jc w:val="both"/>
        <w:rPr/>
      </w:pPr>
      <w:r>
        <w:rPr>
          <w:rFonts w:ascii="Times New Roman" w:hAnsi="Times New Roman"/>
          <w:color w:val="000000"/>
          <w:sz w:val="24"/>
        </w:rPr>
        <w:t>V rámci prípravy na národnú konferenciu bolo analyzovaných a zosúladených 515 zmien identifikovaných na regionálnych konferenciách, keď sa ich základný zámer javil podobným alebo blízkym, aby sa vytvorilo 14 skupín</w:t>
      </w:r>
      <w:r>
        <w:rPr>
          <w:rFonts w:ascii="Times New Roman" w:hAnsi="Times New Roman"/>
          <w:b/>
          <w:color w:val="000000"/>
          <w:sz w:val="24"/>
        </w:rPr>
        <w:t xml:space="preserve"> </w:t>
      </w:r>
      <w:r>
        <w:rPr>
          <w:rFonts w:ascii="Times New Roman" w:hAnsi="Times New Roman"/>
          <w:color w:val="000000"/>
          <w:sz w:val="24"/>
        </w:rPr>
        <w:t>zmien, ktoré odrážajú spoločné želanie pre Európu (pozri časť 6). Týchto 14 európskych prianí slúžilo ako základ pre prácu 98 účastníkov národnej konferencie, ktorej poslaním bolo obohatiť prácu vykonávanú v regiónoch a čeliť želaniam Európy, zmenám a návrhom s pomocou dvadsiatich expertov, aby sa dospelo k zoznamu prioritných zmien. Každá skupina nakoniec vybrala 3 kľúčové zmeny, z</w:t>
      </w:r>
      <w:r>
        <w:rPr>
          <w:rFonts w:ascii="Times New Roman" w:hAnsi="Times New Roman"/>
          <w:b/>
          <w:color w:val="000000"/>
          <w:sz w:val="24"/>
        </w:rPr>
        <w:t xml:space="preserve"> </w:t>
      </w:r>
      <w:r>
        <w:rPr>
          <w:rFonts w:ascii="Times New Roman" w:hAnsi="Times New Roman"/>
          <w:color w:val="000000"/>
          <w:sz w:val="24"/>
        </w:rPr>
        <w:t xml:space="preserve">ktorých prvá bola odhlasovaná všetkými 98 občanmi a stanovila konečné poradie 14 prioritných zmien. Súhrnná správa konsoliduje všetku prácu tejto konferencie. </w:t>
      </w:r>
      <w:r>
        <w:br w:type="page"/>
      </w:r>
    </w:p>
    <w:p>
      <w:pPr>
        <w:pStyle w:val="P68B1DB1Normal19"/>
        <w:spacing w:lineRule="auto" w:line="240" w:before="156" w:after="0"/>
        <w:ind w:left="0" w:right="0" w:hanging="0"/>
        <w:rPr/>
      </w:pPr>
      <w:r>
        <w:rPr/>
        <w:t xml:space="preserve">Online konzultácia „Parole aux Jeunes“, ktorá sa uskutočnila v partnerstve so spoločnosťou Make.org, sa uskutočnila od mája do júla 2021. Viac ako 50 000 účastníkov sa zúčastnilo a predložilo takmer 3000 návrhov pre Európu. Na základe všetkých reakcií mladých občanov bolo identifikovaných 35 hlavných myšlienok, z ktorých 22 bolo všeobecne uznávaných a 13 bolo predmetom sporu medzi účastníkmi (pozri časť 11). </w:t>
      </w:r>
    </w:p>
    <w:p>
      <w:pPr>
        <w:pStyle w:val="P68B1DB1Normal19"/>
        <w:widowControl w:val="false"/>
        <w:spacing w:lineRule="auto" w:line="240" w:before="156" w:after="0"/>
        <w:ind w:left="0" w:right="0" w:hanging="0"/>
        <w:jc w:val="left"/>
        <w:rPr/>
      </w:pPr>
      <w:r>
        <w:rPr>
          <w:u w:val="single"/>
        </w:rPr>
        <w:t>Výstupný bod a povinnosť okamžite</w:t>
      </w:r>
      <w:r>
        <w:rPr/>
        <w:t xml:space="preserve"> </w:t>
      </w:r>
    </w:p>
    <w:p>
      <w:pPr>
        <w:pStyle w:val="P68B1DB1Normal19"/>
        <w:widowControl w:val="false"/>
        <w:spacing w:lineRule="auto" w:line="240" w:before="156" w:after="0"/>
        <w:ind w:left="0" w:right="0" w:hanging="0"/>
        <w:jc w:val="both"/>
        <w:rPr/>
      </w:pPr>
      <w:r>
        <w:rPr/>
        <w:t xml:space="preserve">Túto správu predložia občania vláde 29. novembra 2021 za prítomnosti francúzskych zvolených členov plenárneho zhromaždenia Konferencie o budúcnosti Európy. Predloží sa trojici predsedníctiev konferencie počas francúzskeho predsedníctva Rady Európskej únie (PFUE). </w:t>
      </w:r>
    </w:p>
    <w:p>
      <w:pPr>
        <w:pStyle w:val="P68B1DB1Normal19"/>
        <w:widowControl w:val="false"/>
        <w:spacing w:lineRule="auto" w:line="240" w:before="156" w:after="0"/>
        <w:ind w:left="0" w:right="0" w:hanging="0"/>
        <w:jc w:val="both"/>
        <w:rPr/>
      </w:pPr>
      <w:r>
        <w:rPr/>
        <w:t xml:space="preserve">Na konci konferencie o národnej syntéze v EHSV a s cieľom splniť veľké očakávania občanov, ktoré sa načrtli, bol zriadený monitorovací výbor občanov, ktorý znázorňuje nadväzujúce právo účastníkov. Úlohou tohto výboru, ktorý sa skladá z 15 členov – 14 zástupcov regionálnych konferencií a zástupcu konzultácie „Parole aux Jeunes“, bude informovať občanov o budúcnosti ich návrhov. Na každom zasadnutí plenárneho zhromaždenia konferencie sa jeden alebo jeden z členov monitorovacieho výboru zúčastní ako zástupca francúzskeho cvičenia s cieľom zdôrazniť návrhy uvedené v tejto správe a zároveň vytvoriť spoločnú pozíciu so všetkými zastúpenými európskymi občanmi. </w:t>
      </w:r>
    </w:p>
    <w:p>
      <w:pPr>
        <w:pStyle w:val="P68B1DB1Normal19"/>
        <w:widowControl w:val="false"/>
        <w:spacing w:lineRule="auto" w:line="240" w:before="156" w:after="0"/>
        <w:ind w:left="0" w:right="0" w:hanging="0"/>
        <w:jc w:val="both"/>
        <w:rPr/>
      </w:pPr>
      <w:r>
        <w:rPr/>
        <w:t xml:space="preserve">Všetky dokumenty francúzskej konzultácie budú verejné a prístupné všetkým na platforme účasti občanov francúzskeho štátu: mandát na účasť, regionálne súhrny, národná syntéza, správa ručiteľa a záverečná správa.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91">
                <wp:simplePos x="0" y="0"/>
                <wp:positionH relativeFrom="column">
                  <wp:posOffset>3595370</wp:posOffset>
                </wp:positionH>
                <wp:positionV relativeFrom="paragraph">
                  <wp:posOffset>108585</wp:posOffset>
                </wp:positionV>
                <wp:extent cx="2486660" cy="6927215"/>
                <wp:effectExtent l="0" t="0" r="0" b="0"/>
                <wp:wrapSquare wrapText="bothSides"/>
                <wp:docPr id="83" name="Rámec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Prehľad príspevku Francúzska ku Konferencii o budúcnosti Európy</w:t>
                            </w:r>
                          </w:p>
                          <w:p>
                            <w:pPr>
                              <w:pStyle w:val="Contenudecadre"/>
                              <w:rPr>
                                <w:color w:val="auto"/>
                              </w:rPr>
                            </w:pPr>
                            <w:r>
                              <w:rPr>
                                <w:color w:val="auto"/>
                              </w:rPr>
                            </w:r>
                          </w:p>
                          <w:p>
                            <w:pPr>
                              <w:pStyle w:val="Contenudecadre"/>
                              <w:rPr>
                                <w:color w:val="auto"/>
                              </w:rPr>
                            </w:pPr>
                            <w:r>
                              <w:rPr>
                                <w:color w:val="auto"/>
                              </w:rPr>
                              <w:t>Občania čerpaní žrebom museli odpovedať na otázku: „Ako francúzski občania, aké zmeny chcete pre Európu?“</w:t>
                            </w:r>
                          </w:p>
                          <w:p>
                            <w:pPr>
                              <w:pStyle w:val="Contenudecadre"/>
                              <w:rPr>
                                <w:color w:val="auto"/>
                              </w:rPr>
                            </w:pPr>
                            <w:r>
                              <w:rPr>
                                <w:color w:val="auto"/>
                              </w:rPr>
                            </w:r>
                          </w:p>
                          <w:p>
                            <w:pPr>
                              <w:pStyle w:val="Contenudecadre"/>
                              <w:rPr>
                                <w:color w:val="auto"/>
                              </w:rPr>
                            </w:pPr>
                            <w:r>
                              <w:rPr>
                                <w:color w:val="auto"/>
                              </w:rPr>
                              <w:t xml:space="preserve">Top 10 prioritných zmien pre Európu z roku 2035 </w:t>
                            </w:r>
                          </w:p>
                          <w:p>
                            <w:pPr>
                              <w:pStyle w:val="Contenudecadre"/>
                              <w:rPr>
                                <w:color w:val="auto"/>
                              </w:rPr>
                            </w:pPr>
                            <w:r>
                              <w:rPr>
                                <w:color w:val="auto"/>
                              </w:rPr>
                            </w:r>
                          </w:p>
                          <w:p>
                            <w:pPr>
                              <w:pStyle w:val="Contenudecadre"/>
                              <w:rPr>
                                <w:color w:val="auto"/>
                              </w:rPr>
                            </w:pPr>
                            <w:r>
                              <w:rPr>
                                <w:color w:val="auto"/>
                              </w:rPr>
                              <w:t xml:space="preserve">1. Rozvíjajte </w:t>
                            </w:r>
                            <w:r>
                              <w:rPr>
                                <w:b/>
                                <w:color w:val="auto"/>
                              </w:rPr>
                              <w:t>energetickú triezvosť</w:t>
                            </w:r>
                            <w:r>
                              <w:rPr>
                                <w:color w:val="auto"/>
                              </w:rPr>
                              <w:t>, aby ste menej spotrebovali tým, že zastavte nadbytočné množstvo</w:t>
                            </w:r>
                          </w:p>
                          <w:p>
                            <w:pPr>
                              <w:pStyle w:val="Contenudecadre"/>
                              <w:rPr>
                                <w:b w:val="false"/>
                                <w:b w:val="false"/>
                                <w:color w:val="auto"/>
                              </w:rPr>
                            </w:pPr>
                            <w:r>
                              <w:rPr>
                                <w:b w:val="false"/>
                                <w:color w:val="auto"/>
                              </w:rPr>
                            </w:r>
                          </w:p>
                          <w:p>
                            <w:pPr>
                              <w:pStyle w:val="Contenudecadre"/>
                              <w:rPr>
                                <w:color w:val="auto"/>
                              </w:rPr>
                            </w:pPr>
                            <w:r>
                              <w:rPr>
                                <w:color w:val="auto"/>
                              </w:rPr>
                              <w:t>2. Posilnenie</w:t>
                            </w:r>
                            <w:r>
                              <w:rPr>
                                <w:b/>
                                <w:color w:val="auto"/>
                              </w:rPr>
                              <w:t>spoločnej obrany a bezpečnosti</w:t>
                            </w:r>
                            <w:r>
                              <w:rPr>
                                <w:color w:val="auto"/>
                              </w:rPr>
                              <w:t>Európskej únie</w:t>
                            </w:r>
                          </w:p>
                          <w:p>
                            <w:pPr>
                              <w:pStyle w:val="Contenudecadre"/>
                              <w:rPr>
                                <w:b w:val="false"/>
                                <w:b w:val="false"/>
                                <w:color w:val="auto"/>
                              </w:rPr>
                            </w:pPr>
                            <w:r>
                              <w:rPr>
                                <w:b w:val="false"/>
                                <w:color w:val="auto"/>
                              </w:rPr>
                            </w:r>
                          </w:p>
                          <w:p>
                            <w:pPr>
                              <w:pStyle w:val="Contenudecadre"/>
                              <w:rPr>
                                <w:color w:val="auto"/>
                              </w:rPr>
                            </w:pPr>
                            <w:r>
                              <w:rPr>
                                <w:color w:val="auto"/>
                              </w:rPr>
                              <w:t xml:space="preserve">3. Podpora </w:t>
                            </w:r>
                            <w:r>
                              <w:rPr>
                                <w:b/>
                                <w:color w:val="auto"/>
                              </w:rPr>
                              <w:t>kolektívnej hospodárskej výkonnosti</w:t>
                            </w:r>
                            <w:r>
                              <w:rPr>
                                <w:color w:val="auto"/>
                              </w:rPr>
                              <w:t xml:space="preserve"> prostredníctvom autonómneho, konkurencieschopného a oceňovaného priemyslu zo strany EÚ</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Posilnenie postavenia občanov</w:t>
                            </w:r>
                            <w:r>
                              <w:rPr>
                                <w:color w:val="auto"/>
                              </w:rPr>
                              <w:t xml:space="preserve"> na viacerých úrovniach: účasť, rozhodovanie, kontrola</w:t>
                            </w:r>
                          </w:p>
                          <w:p>
                            <w:pPr>
                              <w:pStyle w:val="Contenudecadre"/>
                              <w:rPr>
                                <w:b w:val="false"/>
                                <w:b w:val="false"/>
                                <w:color w:val="auto"/>
                              </w:rPr>
                            </w:pPr>
                            <w:r>
                              <w:rPr>
                                <w:b w:val="false"/>
                                <w:color w:val="auto"/>
                              </w:rPr>
                            </w:r>
                          </w:p>
                          <w:p>
                            <w:pPr>
                              <w:pStyle w:val="Contenudecadre"/>
                              <w:rPr>
                                <w:color w:val="auto"/>
                              </w:rPr>
                            </w:pPr>
                            <w:r>
                              <w:rPr>
                                <w:color w:val="auto"/>
                              </w:rPr>
                              <w:t xml:space="preserve">5. Smerom k </w:t>
                            </w:r>
                            <w:r>
                              <w:rPr>
                                <w:b/>
                                <w:color w:val="auto"/>
                              </w:rPr>
                              <w:t>federácii európskych štátov so</w:t>
                            </w:r>
                            <w:r>
                              <w:rPr>
                                <w:color w:val="auto"/>
                              </w:rPr>
                              <w:t xml:space="preserve"> silnými právomocami v oblastiach spoločného záujmu</w:t>
                            </w:r>
                          </w:p>
                          <w:p>
                            <w:pPr>
                              <w:pStyle w:val="Contenudecadre"/>
                              <w:rPr>
                                <w:b w:val="false"/>
                                <w:b w:val="false"/>
                                <w:color w:val="auto"/>
                              </w:rPr>
                            </w:pPr>
                            <w:r>
                              <w:rPr>
                                <w:b w:val="false"/>
                                <w:color w:val="auto"/>
                              </w:rPr>
                            </w:r>
                          </w:p>
                          <w:p>
                            <w:pPr>
                              <w:pStyle w:val="Contenudecadre"/>
                              <w:spacing w:before="57" w:after="57"/>
                              <w:rPr/>
                            </w:pPr>
                            <w:r>
                              <w:rPr>
                                <w:color w:val="auto"/>
                              </w:rPr>
                              <w:t xml:space="preserve">6. Ponúkame celoživotné </w:t>
                            </w:r>
                            <w:r>
                              <w:rPr>
                                <w:b/>
                                <w:color w:val="auto"/>
                              </w:rPr>
                              <w:t>výmenné programy</w:t>
                            </w:r>
                          </w:p>
                        </w:txbxContent>
                      </wps:txbx>
                      <wps:bodyPr lIns="54000" rIns="54000" tIns="54000" bIns="54000">
                        <a:noAutofit/>
                      </wps:bodyPr>
                    </wps:wsp>
                  </a:graphicData>
                </a:graphic>
              </wp:anchor>
            </w:drawing>
          </mc:Choice>
          <mc:Fallback>
            <w:pict>
              <v:rect id="shape_0" ID="Rámec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Prehľad príspevku Francúzska ku Konferencii o budúcnosti Európy</w:t>
                      </w:r>
                    </w:p>
                    <w:p>
                      <w:pPr>
                        <w:pStyle w:val="Contenudecadre"/>
                        <w:rPr>
                          <w:color w:val="auto"/>
                        </w:rPr>
                      </w:pPr>
                      <w:r>
                        <w:rPr>
                          <w:color w:val="auto"/>
                        </w:rPr>
                      </w:r>
                    </w:p>
                    <w:p>
                      <w:pPr>
                        <w:pStyle w:val="Contenudecadre"/>
                        <w:rPr>
                          <w:color w:val="auto"/>
                        </w:rPr>
                      </w:pPr>
                      <w:r>
                        <w:rPr>
                          <w:color w:val="auto"/>
                        </w:rPr>
                        <w:t>Občania čerpaní žrebom museli odpovedať na otázku: „Ako francúzski občania, aké zmeny chcete pre Európu?“</w:t>
                      </w:r>
                    </w:p>
                    <w:p>
                      <w:pPr>
                        <w:pStyle w:val="Contenudecadre"/>
                        <w:rPr>
                          <w:color w:val="auto"/>
                        </w:rPr>
                      </w:pPr>
                      <w:r>
                        <w:rPr>
                          <w:color w:val="auto"/>
                        </w:rPr>
                      </w:r>
                    </w:p>
                    <w:p>
                      <w:pPr>
                        <w:pStyle w:val="Contenudecadre"/>
                        <w:rPr>
                          <w:color w:val="auto"/>
                        </w:rPr>
                      </w:pPr>
                      <w:r>
                        <w:rPr>
                          <w:color w:val="auto"/>
                        </w:rPr>
                        <w:t xml:space="preserve">Top 10 prioritných zmien pre Európu z roku 2035 </w:t>
                      </w:r>
                    </w:p>
                    <w:p>
                      <w:pPr>
                        <w:pStyle w:val="Contenudecadre"/>
                        <w:rPr>
                          <w:color w:val="auto"/>
                        </w:rPr>
                      </w:pPr>
                      <w:r>
                        <w:rPr>
                          <w:color w:val="auto"/>
                        </w:rPr>
                      </w:r>
                    </w:p>
                    <w:p>
                      <w:pPr>
                        <w:pStyle w:val="Contenudecadre"/>
                        <w:rPr>
                          <w:color w:val="auto"/>
                        </w:rPr>
                      </w:pPr>
                      <w:r>
                        <w:rPr>
                          <w:color w:val="auto"/>
                        </w:rPr>
                        <w:t xml:space="preserve">1. Rozvíjajte </w:t>
                      </w:r>
                      <w:r>
                        <w:rPr>
                          <w:b/>
                          <w:color w:val="auto"/>
                        </w:rPr>
                        <w:t>energetickú triezvosť</w:t>
                      </w:r>
                      <w:r>
                        <w:rPr>
                          <w:color w:val="auto"/>
                        </w:rPr>
                        <w:t>, aby ste menej spotrebovali tým, že zastavte nadbytočné množstvo</w:t>
                      </w:r>
                    </w:p>
                    <w:p>
                      <w:pPr>
                        <w:pStyle w:val="Contenudecadre"/>
                        <w:rPr>
                          <w:b w:val="false"/>
                          <w:b w:val="false"/>
                          <w:color w:val="auto"/>
                        </w:rPr>
                      </w:pPr>
                      <w:r>
                        <w:rPr>
                          <w:b w:val="false"/>
                          <w:color w:val="auto"/>
                        </w:rPr>
                      </w:r>
                    </w:p>
                    <w:p>
                      <w:pPr>
                        <w:pStyle w:val="Contenudecadre"/>
                        <w:rPr>
                          <w:color w:val="auto"/>
                        </w:rPr>
                      </w:pPr>
                      <w:r>
                        <w:rPr>
                          <w:color w:val="auto"/>
                        </w:rPr>
                        <w:t>2. Posilnenie</w:t>
                      </w:r>
                      <w:r>
                        <w:rPr>
                          <w:b/>
                          <w:color w:val="auto"/>
                        </w:rPr>
                        <w:t>spoločnej obrany a bezpečnosti</w:t>
                      </w:r>
                      <w:r>
                        <w:rPr>
                          <w:color w:val="auto"/>
                        </w:rPr>
                        <w:t>Európskej únie</w:t>
                      </w:r>
                    </w:p>
                    <w:p>
                      <w:pPr>
                        <w:pStyle w:val="Contenudecadre"/>
                        <w:rPr>
                          <w:b w:val="false"/>
                          <w:b w:val="false"/>
                          <w:color w:val="auto"/>
                        </w:rPr>
                      </w:pPr>
                      <w:r>
                        <w:rPr>
                          <w:b w:val="false"/>
                          <w:color w:val="auto"/>
                        </w:rPr>
                      </w:r>
                    </w:p>
                    <w:p>
                      <w:pPr>
                        <w:pStyle w:val="Contenudecadre"/>
                        <w:rPr>
                          <w:color w:val="auto"/>
                        </w:rPr>
                      </w:pPr>
                      <w:r>
                        <w:rPr>
                          <w:color w:val="auto"/>
                        </w:rPr>
                        <w:t xml:space="preserve">3. Podpora </w:t>
                      </w:r>
                      <w:r>
                        <w:rPr>
                          <w:b/>
                          <w:color w:val="auto"/>
                        </w:rPr>
                        <w:t>kolektívnej hospodárskej výkonnosti</w:t>
                      </w:r>
                      <w:r>
                        <w:rPr>
                          <w:color w:val="auto"/>
                        </w:rPr>
                        <w:t xml:space="preserve"> prostredníctvom autonómneho, konkurencieschopného a oceňovaného priemyslu zo strany EÚ</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Posilnenie postavenia občanov</w:t>
                      </w:r>
                      <w:r>
                        <w:rPr>
                          <w:color w:val="auto"/>
                        </w:rPr>
                        <w:t xml:space="preserve"> na viacerých úrovniach: účasť, rozhodovanie, kontrola</w:t>
                      </w:r>
                    </w:p>
                    <w:p>
                      <w:pPr>
                        <w:pStyle w:val="Contenudecadre"/>
                        <w:rPr>
                          <w:b w:val="false"/>
                          <w:b w:val="false"/>
                          <w:color w:val="auto"/>
                        </w:rPr>
                      </w:pPr>
                      <w:r>
                        <w:rPr>
                          <w:b w:val="false"/>
                          <w:color w:val="auto"/>
                        </w:rPr>
                      </w:r>
                    </w:p>
                    <w:p>
                      <w:pPr>
                        <w:pStyle w:val="Contenudecadre"/>
                        <w:rPr>
                          <w:color w:val="auto"/>
                        </w:rPr>
                      </w:pPr>
                      <w:r>
                        <w:rPr>
                          <w:color w:val="auto"/>
                        </w:rPr>
                        <w:t xml:space="preserve">5. Smerom k </w:t>
                      </w:r>
                      <w:r>
                        <w:rPr>
                          <w:b/>
                          <w:color w:val="auto"/>
                        </w:rPr>
                        <w:t>federácii európskych štátov so</w:t>
                      </w:r>
                      <w:r>
                        <w:rPr>
                          <w:color w:val="auto"/>
                        </w:rPr>
                        <w:t xml:space="preserve"> silnými právomocami v oblastiach spoločného záujmu</w:t>
                      </w:r>
                    </w:p>
                    <w:p>
                      <w:pPr>
                        <w:pStyle w:val="Contenudecadre"/>
                        <w:rPr>
                          <w:b w:val="false"/>
                          <w:b w:val="false"/>
                          <w:color w:val="auto"/>
                        </w:rPr>
                      </w:pPr>
                      <w:r>
                        <w:rPr>
                          <w:b w:val="false"/>
                          <w:color w:val="auto"/>
                        </w:rPr>
                      </w:r>
                    </w:p>
                    <w:p>
                      <w:pPr>
                        <w:pStyle w:val="Contenudecadre"/>
                        <w:spacing w:before="57" w:after="57"/>
                        <w:rPr/>
                      </w:pPr>
                      <w:r>
                        <w:rPr>
                          <w:color w:val="auto"/>
                        </w:rPr>
                        <w:t xml:space="preserve">6. Ponúkame celoživotné </w:t>
                      </w:r>
                      <w:r>
                        <w:rPr>
                          <w:b/>
                          <w:color w:val="auto"/>
                        </w:rPr>
                        <w:t>výmenné programy</w:t>
                      </w:r>
                    </w:p>
                  </w:txbxContent>
                </v:textbox>
              </v:rect>
            </w:pict>
          </mc:Fallback>
        </mc:AlternateContent>
      </w:r>
      <w:r>
        <w:rPr/>
        <w:t>Prezentácia hlavných výsledkov</w:t>
      </w:r>
    </w:p>
    <w:p>
      <w:pPr>
        <w:pStyle w:val="P68B1DB1Normal24"/>
        <w:rPr/>
      </w:pPr>
      <w:r>
        <w:rPr/>
        <w:t xml:space="preserve"> </w:t>
      </w:r>
      <w:r>
        <w:rPr/>
        <w:t>(pôvod bol vo forme ilustrácie)</w:t>
      </w:r>
    </w:p>
    <w:p>
      <w:pPr>
        <w:pStyle w:val="Normal"/>
        <w:rPr/>
      </w:pPr>
      <w:r>
        <w:rPr/>
        <w:drawing>
          <wp:anchor behindDoc="0" distT="0" distB="0" distL="0" distR="0" simplePos="0" locked="0" layoutInCell="1" allowOverlap="1" relativeHeight="41">
            <wp:simplePos x="0" y="0"/>
            <wp:positionH relativeFrom="column">
              <wp:posOffset>39370</wp:posOffset>
            </wp:positionH>
            <wp:positionV relativeFrom="paragraph">
              <wp:posOffset>95250</wp:posOffset>
            </wp:positionV>
            <wp:extent cx="3488690" cy="5027930"/>
            <wp:effectExtent l="0" t="0" r="0" b="0"/>
            <wp:wrapSquare wrapText="largest"/>
            <wp:docPr id="85" name="Obrázok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ok39" descr=""/>
                    <pic:cNvPicPr>
                      <a:picLocks noChangeAspect="1" noChangeArrowheads="1"/>
                    </pic:cNvPicPr>
                  </pic:nvPicPr>
                  <pic:blipFill>
                    <a:blip r:embed="rId93"/>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Zdroj: Zmeny, ktoré získali najviac hlasov na Národnej konferencii o budúcnosti Európy (15. – 17. októbra 2021)</w:t>
      </w:r>
      <w:r>
        <w:br w:type="page"/>
      </w:r>
    </w:p>
    <w:p>
      <w:pPr>
        <w:pStyle w:val="Normal"/>
        <w:rPr/>
      </w:pPr>
      <w:r>
        <w:rPr/>
        <w:drawing>
          <wp:anchor behindDoc="0" distT="0" distB="0" distL="0" distR="0" simplePos="0" locked="0" layoutInCell="1" allowOverlap="1" relativeHeight="40">
            <wp:simplePos x="0" y="0"/>
            <wp:positionH relativeFrom="column">
              <wp:posOffset>-7620</wp:posOffset>
            </wp:positionH>
            <wp:positionV relativeFrom="paragraph">
              <wp:posOffset>635</wp:posOffset>
            </wp:positionV>
            <wp:extent cx="3395345" cy="4848225"/>
            <wp:effectExtent l="0" t="0" r="0" b="0"/>
            <wp:wrapSquare wrapText="largest"/>
            <wp:docPr id="86" name="Obrázok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ok40" descr=""/>
                    <pic:cNvPicPr>
                      <a:picLocks noChangeAspect="1" noChangeArrowheads="1"/>
                    </pic:cNvPicPr>
                  </pic:nvPicPr>
                  <pic:blipFill>
                    <a:blip r:embed="rId94"/>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8">
                <wp:simplePos x="0" y="0"/>
                <wp:positionH relativeFrom="column">
                  <wp:posOffset>3481070</wp:posOffset>
                </wp:positionH>
                <wp:positionV relativeFrom="paragraph">
                  <wp:posOffset>94615</wp:posOffset>
                </wp:positionV>
                <wp:extent cx="2610485" cy="3150870"/>
                <wp:effectExtent l="0" t="0" r="0" b="0"/>
                <wp:wrapSquare wrapText="bothSides"/>
                <wp:docPr id="87" name="Rámec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Zdieľanie európskych kultúr prostredníctvom </w:t>
                            </w:r>
                            <w:r>
                              <w:rPr>
                                <w:b/>
                                <w:color w:val="auto"/>
                              </w:rPr>
                              <w:t>zjednocovania podujatí a podujatí</w:t>
                            </w:r>
                          </w:p>
                          <w:p>
                            <w:pPr>
                              <w:pStyle w:val="Contenudecadre"/>
                              <w:rPr>
                                <w:b w:val="false"/>
                                <w:b w:val="false"/>
                                <w:color w:val="auto"/>
                              </w:rPr>
                            </w:pPr>
                            <w:r>
                              <w:rPr>
                                <w:b w:val="false"/>
                                <w:color w:val="auto"/>
                              </w:rPr>
                            </w:r>
                          </w:p>
                          <w:p>
                            <w:pPr>
                              <w:pStyle w:val="Contenudecadre"/>
                              <w:rPr>
                                <w:color w:val="auto"/>
                              </w:rPr>
                            </w:pPr>
                            <w:r>
                              <w:rPr>
                                <w:color w:val="auto"/>
                              </w:rPr>
                              <w:t xml:space="preserve">8.Harmonizácia </w:t>
                            </w:r>
                            <w:r>
                              <w:rPr>
                                <w:b/>
                                <w:color w:val="auto"/>
                              </w:rPr>
                              <w:t>zdravia</w:t>
                            </w:r>
                            <w:r>
                              <w:rPr>
                                <w:color w:val="auto"/>
                              </w:rPr>
                              <w:t xml:space="preserve"> a jeho sprístupnenie všetkým Európanom prostredníctvom spoločnej politiky v oblasti zdravia</w:t>
                            </w:r>
                          </w:p>
                          <w:p>
                            <w:pPr>
                              <w:pStyle w:val="Contenudecadre"/>
                              <w:rPr>
                                <w:b w:val="false"/>
                                <w:b w:val="false"/>
                                <w:color w:val="auto"/>
                              </w:rPr>
                            </w:pPr>
                            <w:r>
                              <w:rPr>
                                <w:b w:val="false"/>
                                <w:color w:val="auto"/>
                              </w:rPr>
                            </w:r>
                          </w:p>
                          <w:p>
                            <w:pPr>
                              <w:pStyle w:val="Contenudecadre"/>
                              <w:rPr>
                                <w:color w:val="auto"/>
                              </w:rPr>
                            </w:pPr>
                            <w:r>
                              <w:rPr>
                                <w:color w:val="auto"/>
                              </w:rPr>
                              <w:t xml:space="preserve">9. Rozvíjať a riadiť </w:t>
                            </w:r>
                            <w:r>
                              <w:rPr>
                                <w:b/>
                                <w:color w:val="auto"/>
                              </w:rPr>
                              <w:t>strategické kanály</w:t>
                            </w:r>
                            <w:r>
                              <w:rPr>
                                <w:color w:val="auto"/>
                              </w:rPr>
                              <w:t xml:space="preserve"> na európskej úrovni s cieľom zabezpečiť našu suverenitu</w:t>
                            </w:r>
                          </w:p>
                          <w:p>
                            <w:pPr>
                              <w:pStyle w:val="Contenudecadre"/>
                              <w:rPr>
                                <w:b w:val="false"/>
                                <w:b w:val="false"/>
                                <w:color w:val="auto"/>
                              </w:rPr>
                            </w:pPr>
                            <w:r>
                              <w:rPr>
                                <w:b w:val="false"/>
                                <w:color w:val="auto"/>
                              </w:rPr>
                            </w:r>
                          </w:p>
                          <w:p>
                            <w:pPr>
                              <w:pStyle w:val="Contenudecadre"/>
                              <w:spacing w:before="57" w:after="57"/>
                              <w:rPr/>
                            </w:pPr>
                            <w:r>
                              <w:rPr>
                                <w:color w:val="auto"/>
                              </w:rPr>
                              <w:t xml:space="preserve">10. Zlepšiť </w:t>
                            </w:r>
                            <w:r>
                              <w:rPr>
                                <w:b/>
                                <w:color w:val="auto"/>
                              </w:rPr>
                              <w:t>ochranu životného prostredia a ekosystémov</w:t>
                            </w:r>
                            <w:r>
                              <w:rPr>
                                <w:color w:val="auto"/>
                              </w:rPr>
                              <w:t xml:space="preserve"> a vytvoriť </w:t>
                            </w:r>
                            <w:r>
                              <w:rPr>
                                <w:b/>
                                <w:color w:val="auto"/>
                              </w:rPr>
                              <w:t>chránené oblasti</w:t>
                            </w:r>
                            <w:r>
                              <w:rPr>
                                <w:color w:val="auto"/>
                              </w:rPr>
                              <w:t xml:space="preserve"> v centre mestských, prímestských a vidieckych oblastí</w:t>
                            </w:r>
                          </w:p>
                        </w:txbxContent>
                      </wps:txbx>
                      <wps:bodyPr lIns="54000" rIns="54000" tIns="54000" bIns="54000">
                        <a:noAutofit/>
                      </wps:bodyPr>
                    </wps:wsp>
                  </a:graphicData>
                </a:graphic>
              </wp:anchor>
            </w:drawing>
          </mc:Choice>
          <mc:Fallback>
            <w:pict>
              <v:rect id="shape_0" ID="Rámec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Zdieľanie európskych kultúr prostredníctvom </w:t>
                      </w:r>
                      <w:r>
                        <w:rPr>
                          <w:b/>
                          <w:color w:val="auto"/>
                        </w:rPr>
                        <w:t>zjednocovania podujatí a podujatí</w:t>
                      </w:r>
                    </w:p>
                    <w:p>
                      <w:pPr>
                        <w:pStyle w:val="Contenudecadre"/>
                        <w:rPr>
                          <w:b w:val="false"/>
                          <w:b w:val="false"/>
                          <w:color w:val="auto"/>
                        </w:rPr>
                      </w:pPr>
                      <w:r>
                        <w:rPr>
                          <w:b w:val="false"/>
                          <w:color w:val="auto"/>
                        </w:rPr>
                      </w:r>
                    </w:p>
                    <w:p>
                      <w:pPr>
                        <w:pStyle w:val="Contenudecadre"/>
                        <w:rPr>
                          <w:color w:val="auto"/>
                        </w:rPr>
                      </w:pPr>
                      <w:r>
                        <w:rPr>
                          <w:color w:val="auto"/>
                        </w:rPr>
                        <w:t xml:space="preserve">8.Harmonizácia </w:t>
                      </w:r>
                      <w:r>
                        <w:rPr>
                          <w:b/>
                          <w:color w:val="auto"/>
                        </w:rPr>
                        <w:t>zdravia</w:t>
                      </w:r>
                      <w:r>
                        <w:rPr>
                          <w:color w:val="auto"/>
                        </w:rPr>
                        <w:t xml:space="preserve"> a jeho sprístupnenie všetkým Európanom prostredníctvom spoločnej politiky v oblasti zdravia</w:t>
                      </w:r>
                    </w:p>
                    <w:p>
                      <w:pPr>
                        <w:pStyle w:val="Contenudecadre"/>
                        <w:rPr>
                          <w:b w:val="false"/>
                          <w:b w:val="false"/>
                          <w:color w:val="auto"/>
                        </w:rPr>
                      </w:pPr>
                      <w:r>
                        <w:rPr>
                          <w:b w:val="false"/>
                          <w:color w:val="auto"/>
                        </w:rPr>
                      </w:r>
                    </w:p>
                    <w:p>
                      <w:pPr>
                        <w:pStyle w:val="Contenudecadre"/>
                        <w:rPr>
                          <w:color w:val="auto"/>
                        </w:rPr>
                      </w:pPr>
                      <w:r>
                        <w:rPr>
                          <w:color w:val="auto"/>
                        </w:rPr>
                        <w:t xml:space="preserve">9. Rozvíjať a riadiť </w:t>
                      </w:r>
                      <w:r>
                        <w:rPr>
                          <w:b/>
                          <w:color w:val="auto"/>
                        </w:rPr>
                        <w:t>strategické kanály</w:t>
                      </w:r>
                      <w:r>
                        <w:rPr>
                          <w:color w:val="auto"/>
                        </w:rPr>
                        <w:t xml:space="preserve"> na európskej úrovni s cieľom zabezpečiť našu suverenitu</w:t>
                      </w:r>
                    </w:p>
                    <w:p>
                      <w:pPr>
                        <w:pStyle w:val="Contenudecadre"/>
                        <w:rPr>
                          <w:b w:val="false"/>
                          <w:b w:val="false"/>
                          <w:color w:val="auto"/>
                        </w:rPr>
                      </w:pPr>
                      <w:r>
                        <w:rPr>
                          <w:b w:val="false"/>
                          <w:color w:val="auto"/>
                        </w:rPr>
                      </w:r>
                    </w:p>
                    <w:p>
                      <w:pPr>
                        <w:pStyle w:val="Contenudecadre"/>
                        <w:spacing w:before="57" w:after="57"/>
                        <w:rPr/>
                      </w:pPr>
                      <w:r>
                        <w:rPr>
                          <w:color w:val="auto"/>
                        </w:rPr>
                        <w:t xml:space="preserve">10. Zlepšiť </w:t>
                      </w:r>
                      <w:r>
                        <w:rPr>
                          <w:b/>
                          <w:color w:val="auto"/>
                        </w:rPr>
                        <w:t>ochranu životného prostredia a ekosystémov</w:t>
                      </w:r>
                      <w:r>
                        <w:rPr>
                          <w:color w:val="auto"/>
                        </w:rPr>
                        <w:t xml:space="preserve"> a vytvoriť </w:t>
                      </w:r>
                      <w:r>
                        <w:rPr>
                          <w:b/>
                          <w:color w:val="auto"/>
                        </w:rPr>
                        <w:t>chránené oblasti</w:t>
                      </w:r>
                      <w:r>
                        <w:rPr>
                          <w:color w:val="auto"/>
                        </w:rPr>
                        <w:t xml:space="preserve"> v centre mestských, prímestských a vidieckych oblastí</w:t>
                      </w:r>
                    </w:p>
                  </w:txbxContent>
                </v:textbox>
              </v:rect>
            </w:pict>
          </mc:Fallback>
        </mc:AlternateContent>
        <mc:AlternateContent>
          <mc:Choice Requires="wps">
            <w:drawing>
              <wp:anchor behindDoc="0" distT="72390" distB="72390" distL="72390" distR="72390" simplePos="0" locked="0" layoutInCell="1" allowOverlap="1" relativeHeight="73">
                <wp:simplePos x="0" y="0"/>
                <wp:positionH relativeFrom="column">
                  <wp:posOffset>118745</wp:posOffset>
                </wp:positionH>
                <wp:positionV relativeFrom="paragraph">
                  <wp:posOffset>5038090</wp:posOffset>
                </wp:positionV>
                <wp:extent cx="5934710" cy="1648460"/>
                <wp:effectExtent l="0" t="0" r="0" b="0"/>
                <wp:wrapSquare wrapText="bothSides"/>
                <wp:docPr id="89" name="Rámec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Online konzultácia „Slova mladým ľuďom“</w:t>
                            </w:r>
                          </w:p>
                          <w:p>
                            <w:pPr>
                              <w:pStyle w:val="Contenudecadre"/>
                              <w:rPr>
                                <w:color w:val="auto"/>
                              </w:rPr>
                            </w:pPr>
                            <w:r>
                              <w:rPr>
                                <w:color w:val="auto"/>
                              </w:rPr>
                              <w:t>Štátny tajomník pre európske záležitosti začal 9. mája 2021 konzultáciu „slova mladým ľuďom“, ktorú v období od mája do júla 2021 uskutočnil Make.org.</w:t>
                            </w:r>
                          </w:p>
                          <w:p>
                            <w:pPr>
                              <w:pStyle w:val="Contenudecadre"/>
                              <w:rPr>
                                <w:color w:val="auto"/>
                              </w:rPr>
                            </w:pPr>
                            <w:r>
                              <w:rPr>
                                <w:color w:val="auto"/>
                              </w:rPr>
                              <w:t>Na otázku odpovedalo 50 000 mladých ľudí vo veku 15 až 30 rokov: „Aké sú vaše priority pre Európu zajtrajška?“, bolo predložených 2918 návrhov.</w:t>
                            </w:r>
                          </w:p>
                          <w:p>
                            <w:pPr>
                              <w:pStyle w:val="Contenudecadre"/>
                              <w:spacing w:before="57" w:after="57"/>
                              <w:rPr/>
                            </w:pPr>
                            <w:r>
                              <w:rPr>
                                <w:color w:val="auto"/>
                              </w:rPr>
                              <w:t>Myšlienky, ktoré uprednostňujú francúzski mladí ľudia v rámci tejto online konzultácie, sú súčasťou príspevku občanov ku Konferencii o budúcnosti Európy (pozri podrobnosti v časti 2 tejto správy).</w:t>
                            </w:r>
                          </w:p>
                        </w:txbxContent>
                      </wps:txbx>
                      <wps:bodyPr lIns="54000" rIns="54000" tIns="54000" bIns="54000">
                        <a:noAutofit/>
                      </wps:bodyPr>
                    </wps:wsp>
                  </a:graphicData>
                </a:graphic>
              </wp:anchor>
            </w:drawing>
          </mc:Choice>
          <mc:Fallback>
            <w:pict>
              <v:rect id="shape_0" ID="Rámec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Online konzultácia „Slova mladým ľuďom“</w:t>
                      </w:r>
                    </w:p>
                    <w:p>
                      <w:pPr>
                        <w:pStyle w:val="Contenudecadre"/>
                        <w:rPr>
                          <w:color w:val="auto"/>
                        </w:rPr>
                      </w:pPr>
                      <w:r>
                        <w:rPr>
                          <w:color w:val="auto"/>
                        </w:rPr>
                        <w:t>Štátny tajomník pre európske záležitosti začal 9. mája 2021 konzultáciu „slova mladým ľuďom“, ktorú v období od mája do júla 2021 uskutočnil Make.org.</w:t>
                      </w:r>
                    </w:p>
                    <w:p>
                      <w:pPr>
                        <w:pStyle w:val="Contenudecadre"/>
                        <w:rPr>
                          <w:color w:val="auto"/>
                        </w:rPr>
                      </w:pPr>
                      <w:r>
                        <w:rPr>
                          <w:color w:val="auto"/>
                        </w:rPr>
                        <w:t>Na otázku odpovedalo 50 000 mladých ľudí vo veku 15 až 30 rokov: „Aké sú vaše priority pre Európu zajtrajška?“, bolo predložených 2918 návrhov.</w:t>
                      </w:r>
                    </w:p>
                    <w:p>
                      <w:pPr>
                        <w:pStyle w:val="Contenudecadre"/>
                        <w:spacing w:before="57" w:after="57"/>
                        <w:rPr/>
                      </w:pPr>
                      <w:r>
                        <w:rPr>
                          <w:color w:val="auto"/>
                        </w:rPr>
                        <w:t>Myšlienky, ktoré uprednostňujú francúzski mladí ľudia v rámci tejto online konzultácie, sú súčasťou príspevku občanov ku Konferencii o budúcnosti Európy (pozri podrobnosti v časti 2 tejto správy).</w:t>
                      </w:r>
                    </w:p>
                  </w:txbxContent>
                </v:textbox>
              </v:rect>
            </w:pict>
          </mc:Fallback>
        </mc:AlternateContent>
      </w:r>
    </w:p>
    <w:p>
      <w:pPr>
        <w:pStyle w:val="Titre2"/>
        <w:numPr>
          <w:ilvl w:val="1"/>
          <w:numId w:val="2"/>
        </w:numPr>
        <w:rPr/>
      </w:pPr>
      <w:bookmarkStart w:id="209" w:name="__RefHeading___Toc300452_1346298689"/>
      <w:bookmarkEnd w:id="209"/>
      <w:r>
        <w:rPr/>
        <w:t>Prezentácia panelov regionálnych konferencií</w:t>
      </w:r>
    </w:p>
    <w:p>
      <w:pPr>
        <w:pStyle w:val="Normal"/>
        <w:rPr/>
      </w:pPr>
      <w:r>
        <w:rPr/>
        <mc:AlternateContent>
          <mc:Choice Requires="wpg">
            <w:drawing>
              <wp:anchor behindDoc="0" distT="0" distB="0" distL="0" distR="0" simplePos="0" locked="0" layoutInCell="1" allowOverlap="1" relativeHeight="47">
                <wp:simplePos x="0" y="0"/>
                <wp:positionH relativeFrom="column">
                  <wp:posOffset>635</wp:posOffset>
                </wp:positionH>
                <wp:positionV relativeFrom="paragraph">
                  <wp:posOffset>25400</wp:posOffset>
                </wp:positionV>
                <wp:extent cx="5971540" cy="8288020"/>
                <wp:effectExtent l="0" t="0" r="0" b="0"/>
                <wp:wrapNone/>
                <wp:docPr id="91" name="Formulár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5"/>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Rozmanitá skupina 746 občanov</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Prehľad účastníkov 18 regionálnych konferencií</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Poľnohospodári</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Remeselníci – Obchodníci – Obchodníci</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Vedúci pracovníci – liberálne profesie</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Stredné povolania</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Zamestnanci</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Pracovníci</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Dôchodcovia</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Iné neaktívne</w:t>
                              </w:r>
                            </w:p>
                          </w:txbxContent>
                        </wps:txbx>
                        <wps:bodyPr lIns="90000" rIns="90000" tIns="45000" bIns="45000">
                          <a:noAutofit/>
                        </wps:bodyPr>
                      </wps:wsp>
                    </wpg:wgp>
                  </a:graphicData>
                </a:graphic>
              </wp:anchor>
            </w:drawing>
          </mc:Choice>
          <mc:Fallback>
            <w:pict>
              <v:group id="shape_0" alt="Formulár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5" o:detectmouseclick="t"/>
                  <w10:wrap type="none"/>
                  <v:stroke color="#3465a4" joinstyle="round" endcap="flat"/>
                </v:shape>
                <v:rect id="shape_0" stroked="f" style="position:absolute;left:229;top:40;width:8897;height:198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Rozmanitá skupina 746 občanov</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Prehľad účastníkov 18 regionálnych konferencií</w:t>
                        </w:r>
                      </w:p>
                    </w:txbxContent>
                  </v:textbox>
                  <w10:wrap type="square"/>
                  <v:fill o:detectmouseclick="t" on="false"/>
                  <v:stroke color="#3465a4" joinstyle="round" endcap="flat"/>
                </v:rect>
                <v:rect id="shape_0" stroked="f" style="position:absolute;left:1;top:9877;width:4112;height:3213">
                  <v:textbox>
                    <w:txbxContent>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Poľnohospodári</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Remeselníci – Obchodníci – Obchodníci</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Vedúci pracovníci – liberálne profesie</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Stredné povolania</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Zamestnanci</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Pracovníci</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Dôchodcovia</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Iné neaktívne</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Formulár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6"/>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Konferencie o budúcnosti Európy v celom Francúzsku</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regionálnych konferencií, 13 v metropole a 5 v zámorí</w:t>
                              </w:r>
                            </w:p>
                          </w:txbxContent>
                        </wps:txbx>
                        <wps:bodyPr lIns="90000" rIns="90000" tIns="45000" bIns="45000">
                          <a:noAutofit/>
                        </wps:bodyPr>
                      </wps:wsp>
                    </wpg:wgp>
                  </a:graphicData>
                </a:graphic>
              </wp:anchor>
            </w:drawing>
          </mc:Choice>
          <mc:Fallback>
            <w:pict>
              <v:group id="shape_0" alt="Formulár2" style="position:absolute;margin-left:0pt;margin-top:2.85pt;width:462.45pt;height:650.75pt" coordorigin="0,57" coordsize="9249,13015">
                <v:shape id="shape_0" stroked="f" style="position:absolute;left:1;top:1652;width:9247;height:11419" type="shapetype_75">
                  <v:imagedata r:id="rId96" o:detectmouseclick="t"/>
                  <w10:wrap type="none"/>
                  <v:stroke color="#3465a4" joinstyle="round" endcap="flat"/>
                </v:shape>
                <v:rect id="shape_0" stroked="f" style="position:absolute;left:0;top:57;width:9248;height:2489">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Konferencie o budúcnosti Európy v celom Francúzsku</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regionálnych konferencií, 13 v metropole a 5 v zámorí</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59">
                <wp:simplePos x="0" y="0"/>
                <wp:positionH relativeFrom="column">
                  <wp:posOffset>175895</wp:posOffset>
                </wp:positionH>
                <wp:positionV relativeFrom="paragraph">
                  <wp:posOffset>450215</wp:posOffset>
                </wp:positionV>
                <wp:extent cx="5782945" cy="8488045"/>
                <wp:effectExtent l="0" t="0" r="0" b="0"/>
                <wp:wrapTopAndBottom/>
                <wp:docPr id="93" name="Formulár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7"/>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Záväzky štátu</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Transparentnosť</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Povinnosť okamžite</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Neutralita</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Metodické skreslenia</w:t>
                              </w:r>
                            </w:p>
                          </w:txbxContent>
                        </wps:txbx>
                        <wps:bodyPr lIns="90000" rIns="90000" tIns="45000" bIns="45000">
                          <a:noAutofit/>
                        </wps:bodyPr>
                      </wps:wsp>
                      <pic:pic xmlns:pic="http://schemas.openxmlformats.org/drawingml/2006/picture">
                        <pic:nvPicPr>
                          <pic:cNvPr id="3" name="" descr=""/>
                          <pic:cNvPicPr/>
                        </pic:nvPicPr>
                        <pic:blipFill>
                          <a:blip r:embed="rId98"/>
                          <a:stretch/>
                        </pic:blipFill>
                        <pic:spPr>
                          <a:xfrm>
                            <a:off x="1105560" y="2401560"/>
                            <a:ext cx="4354200" cy="5891040"/>
                          </a:xfrm>
                          <a:prstGeom prst="rect">
                            <a:avLst/>
                          </a:prstGeom>
                          <a:ln>
                            <a:noFill/>
                          </a:ln>
                        </pic:spPr>
                      </pic:pic>
                    </wpg:wgp>
                  </a:graphicData>
                </a:graphic>
              </wp:anchor>
            </w:drawing>
          </mc:Choice>
          <mc:Fallback>
            <w:pict>
              <v:group id="shape_0" alt="Formulár3" style="position:absolute;margin-left:13.85pt;margin-top:35.45pt;width:455.3pt;height:668.3pt" coordorigin="277,709" coordsize="9106,13366">
                <v:shape id="shape_0" stroked="f" style="position:absolute;left:277;top:709;width:9105;height:13365" type="shapetype_75">
                  <v:imagedata r:id="rId97" o:detectmouseclick="t"/>
                  <w10:wrap type="none"/>
                  <v:stroke color="#3465a4" joinstyle="round" endcap="flat"/>
                </v:shape>
                <v:rect id="shape_0" stroked="f" style="position:absolute;left:2017;top:1240;width:5846;height:646">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Záväzky štátu</w:t>
                        </w:r>
                      </w:p>
                    </w:txbxContent>
                  </v:textbox>
                  <w10:wrap type="square"/>
                  <v:fill o:detectmouseclick="t" on="false"/>
                  <v:stroke color="#3465a4" joinstyle="round" endcap="flat"/>
                </v:rect>
                <v:rect id="shape_0" stroked="f" style="position:absolute;left:1488;top:2663;width:1724;height:7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Transparentnosť</w:t>
                        </w:r>
                      </w:p>
                    </w:txbxContent>
                  </v:textbox>
                  <w10:wrap type="square"/>
                  <v:fill o:detectmouseclick="t" on="false"/>
                  <v:stroke color="#3465a4" joinstyle="round" endcap="flat"/>
                </v:rect>
                <v:rect id="shape_0" stroked="f" style="position:absolute;left:6509;top:2683;width:1724;height:785">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Povinnosť okamžite</w:t>
                        </w:r>
                      </w:p>
                    </w:txbxContent>
                  </v:textbox>
                  <w10:wrap type="square"/>
                  <v:fill o:detectmouseclick="t" on="false"/>
                  <v:stroke color="#3465a4" joinstyle="round" endcap="flat"/>
                </v:rect>
                <v:rect id="shape_0" stroked="f" style="position:absolute;left:4008;top:2701;width:1723;height:463">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Neutralita</w:t>
                        </w:r>
                      </w:p>
                    </w:txbxContent>
                  </v:textbox>
                  <w10:wrap type="square"/>
                  <v:fill o:detectmouseclick="t" on="false"/>
                  <v:stroke color="#3465a4" joinstyle="round" endcap="flat"/>
                </v:rect>
                <v:rect id="shape_0" stroked="f" style="position:absolute;left:608;top:3917;width:7079;height:556">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Metodické skreslenia</w:t>
                        </w:r>
                      </w:p>
                    </w:txbxContent>
                  </v:textbox>
                  <w10:wrap type="square"/>
                  <v:fill o:detectmouseclick="t" on="false"/>
                  <v:stroke color="#3465a4" joinstyle="round" endcap="flat"/>
                </v:rect>
                <v:shape id="shape_0" stroked="f" style="position:absolute;left:2018;top:4491;width:6856;height:9276" type="shapetype_75">
                  <v:imagedata r:id="rId98" o:detectmouseclick="t"/>
                  <w10:wrap type="none"/>
                  <v:stroke color="#3465a4" joinstyle="round" endcap="flat"/>
                </v:shape>
              </v:group>
            </w:pict>
          </mc:Fallback>
        </mc:AlternateContent>
      </w:r>
      <w:r>
        <w:rPr/>
        <w:t xml:space="preserve">Metodické záväzky a zaujatosti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štátne záväzky týkajúce sa participatívnej demokracie </w:t>
      </w:r>
    </w:p>
    <w:p>
      <w:pPr>
        <w:pStyle w:val="P68B1DB1Normal19"/>
        <w:widowControl w:val="false"/>
        <w:spacing w:lineRule="auto" w:line="240" w:before="0" w:after="0"/>
        <w:ind w:left="0" w:right="0" w:hanging="0"/>
        <w:jc w:val="left"/>
        <w:rPr/>
      </w:pPr>
      <w:r>
        <w:rPr/>
        <w:t>Francúzska časť Konferencie o budúcnosti Európy je súčasťou záväzkov štátu týkajúcich sa participatívnej demokracie, ktoré sú založené na troch zásadách:</w:t>
      </w:r>
      <w:r>
        <w:rPr>
          <w:b/>
        </w:rPr>
        <w:t xml:space="preserve"> transparentnosť, neutralita a povinnosť okamžite</w:t>
      </w:r>
      <w:r>
        <w:rPr/>
        <w:t xml:space="preserve">. </w:t>
      </w:r>
    </w:p>
    <w:p>
      <w:pPr>
        <w:pStyle w:val="P68B1DB1Normal19"/>
        <w:widowControl w:val="false"/>
        <w:spacing w:lineRule="auto" w:line="240" w:before="0" w:after="0"/>
        <w:ind w:left="0" w:right="0" w:hanging="0"/>
        <w:jc w:val="both"/>
        <w:rPr/>
      </w:pPr>
      <w:r>
        <w:rPr/>
        <w:t xml:space="preserve">Participatívny prístup zaväzuje organizátora, aby dodržiaval prísnu metodiku. Metóda účasti občanov musí umožniť občanom zúčastňovať sa na čo najlepších podmienkach a slobodne a odôvodnene vyjadrovať svoje názory. </w:t>
      </w:r>
    </w:p>
    <w:p>
      <w:pPr>
        <w:pStyle w:val="P68B1DB1Normal33"/>
        <w:widowControl w:val="false"/>
        <w:spacing w:lineRule="auto" w:line="240" w:before="0" w:after="0"/>
        <w:ind w:left="0" w:right="0" w:hanging="0"/>
        <w:jc w:val="left"/>
        <w:rPr/>
      </w:pPr>
      <w:r>
        <w:rPr/>
        <w:t xml:space="preserve">Transparentnosť </w:t>
      </w:r>
    </w:p>
    <w:p>
      <w:pPr>
        <w:pStyle w:val="P68B1DB1Normal19"/>
        <w:widowControl w:val="false"/>
        <w:spacing w:lineRule="auto" w:line="240" w:before="0" w:after="0"/>
        <w:ind w:left="0" w:right="0" w:hanging="0"/>
        <w:jc w:val="left"/>
        <w:rPr/>
      </w:pPr>
      <w:r>
        <w:rPr/>
        <w:t xml:space="preserve">Organizačný tím konferencie je odhodlaný sprístupniť občanom všetky informácie o konzultácii: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Rámec, v ktorom sa konzultácie uskutočňujú; •</w:t>
      </w:r>
      <w:r>
        <w:rPr/>
        <w:t xml:space="preserve"> </w:t>
      </w:r>
      <w:r>
        <w:rPr>
          <w:rFonts w:ascii="Times New Roman" w:hAnsi="Times New Roman"/>
        </w:rPr>
        <w:t xml:space="preserve">Záväzky voči občanom;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Účely konzultácie;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Výsledky konzultácie. </w:t>
      </w:r>
    </w:p>
    <w:p>
      <w:pPr>
        <w:pStyle w:val="Normal"/>
        <w:widowControl w:val="false"/>
        <w:spacing w:lineRule="auto" w:line="240" w:before="0" w:after="0"/>
        <w:ind w:left="0" w:right="0" w:hanging="0"/>
        <w:jc w:val="both"/>
        <w:rPr/>
      </w:pPr>
      <w:r>
        <w:rPr>
          <w:rFonts w:ascii="Times New Roman" w:hAnsi="Times New Roman"/>
          <w:color w:val="000000"/>
          <w:sz w:val="24"/>
        </w:rPr>
        <w:t>Metodika Konferencie o budúcnosti Európy sa tak stanovila s neustálym cieľom zabezpečiť transparentnosť pre občanov. Jasne bola stanovená metodika náboru náhodne vybraných občanov, metodické zaujatosti a zaobchádzanie s prejavmi občanov. Účastníci dostali aj zhrnutie svojej regionálnej konferencie e-mailom na konci konferencie. Okrem toho sa všetky pracovné a výstupné dokumenty na konci schémy zverejnia na platforme účasti občanov štátu</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pPr>
      <w:r>
        <w:rPr/>
        <w:t xml:space="preserve">Neutralita </w:t>
      </w:r>
    </w:p>
    <w:p>
      <w:pPr>
        <w:pStyle w:val="P68B1DB1Normal19"/>
        <w:widowControl w:val="false"/>
        <w:spacing w:lineRule="auto" w:line="240" w:before="0" w:after="0"/>
        <w:ind w:left="0" w:right="0" w:hanging="0"/>
        <w:jc w:val="both"/>
        <w:rPr/>
      </w:pPr>
      <w:r>
        <w:rPr/>
        <w:t xml:space="preserve">Počas konzultácií musí organizačný tím zabezpečiť, aby bol aj naďalej neutrálny pri uľahčovaní výmen, ako aj pri vypracúvaní zhrnutí, v ktorých sa uvádzajú výsledky. Zainteresované strany v systéme – sprostredkovatelia, sprostredkovatelia, odborníci – by nemali vyjadrovať svoje vlastné názory ani sa nesnažiť viesť diskusiu subjektívne. </w:t>
      </w:r>
    </w:p>
    <w:p>
      <w:pPr>
        <w:pStyle w:val="P68B1DB1Normal19"/>
        <w:widowControl w:val="false"/>
        <w:spacing w:lineRule="auto" w:line="240" w:before="0" w:after="0"/>
        <w:ind w:left="0" w:right="0" w:hanging="0"/>
        <w:jc w:val="both"/>
        <w:rPr/>
      </w:pPr>
      <w:r>
        <w:rPr/>
        <w:t xml:space="preserve">Cieľ neutrality sa sledoval vo všetkých fázach konzultácií, pričom sa zabezpečil najmä nezaujatý výber účastníkov, úplná sloboda v diskusiách a nedostatočný vplyv sponzora alebo zainteresovaných strán na prejav občanov. Táto požiadavka neutrality sa prejavila objektívnym a transparentným procesom prijímania účastníkov, súdržnými metodickými skresleniami (reverzné odborné znalosti, nedostatok tematického rámca diskusií) a osobitným zameraním na postoj rôznych rečníkov (sprostredkovateľov, sprostredkovateľov, odborníkov). Nakoniec, organizačný tím sa ubezpečil, že si váži všetky slová a nie filtrovať návrhy občanov. </w:t>
      </w:r>
    </w:p>
    <w:p>
      <w:pPr>
        <w:pStyle w:val="P68B1DB1Normal19"/>
        <w:widowControl w:val="false"/>
        <w:spacing w:lineRule="auto" w:line="240" w:before="0" w:after="0"/>
        <w:ind w:left="0" w:right="0" w:hanging="0"/>
        <w:jc w:val="both"/>
        <w:rPr/>
      </w:pPr>
      <w:r>
        <w:rPr>
          <w:b/>
        </w:rPr>
        <w:t>Kolégium troch ručiteľov</w:t>
      </w:r>
      <w:r>
        <w:rPr/>
        <w:t xml:space="preserve">, ktorých vymenovali predsedovia Národného zhromaždenia a Európskeho parlamentu a vláda, takisto zabezpečilo, že všetky stanoviská budú vyjadrené a zohľadnené. </w:t>
      </w:r>
    </w:p>
    <w:p>
      <w:pPr>
        <w:pStyle w:val="P68B1DB1Normal33"/>
        <w:widowControl w:val="false"/>
        <w:spacing w:lineRule="auto" w:line="240" w:before="0" w:after="0"/>
        <w:ind w:left="0" w:right="0" w:hanging="0"/>
        <w:jc w:val="left"/>
        <w:rPr/>
      </w:pPr>
      <w:r>
        <w:rPr/>
        <w:t xml:space="preserve">Povinnosť okamžite </w:t>
      </w:r>
    </w:p>
    <w:p>
      <w:pPr>
        <w:pStyle w:val="P68B1DB1Normal19"/>
        <w:widowControl w:val="false"/>
        <w:spacing w:lineRule="auto" w:line="240" w:before="0" w:after="0"/>
        <w:ind w:left="0" w:right="0" w:hanging="0"/>
        <w:jc w:val="both"/>
        <w:rPr/>
      </w:pPr>
      <w:r>
        <w:rPr/>
        <w:t xml:space="preserve">Občania, bez ohľadu na to, či sa zúčastnili na konzultácii, majú právo byť informovaní o tom, čo bolo zvolené zo svojich návrhov a o stanoviskách, ktoré z nich vyvodili, a z akých dôvodov. Tomu sa hovorí </w:t>
      </w:r>
      <w:r>
        <w:rPr>
          <w:b/>
        </w:rPr>
        <w:t>povinnosť okamžite</w:t>
      </w:r>
      <w:r>
        <w:rPr/>
        <w:t xml:space="preserve">. </w:t>
      </w:r>
    </w:p>
    <w:p>
      <w:pPr>
        <w:pStyle w:val="P68B1DB1Normal19"/>
        <w:widowControl w:val="false"/>
        <w:spacing w:lineRule="auto" w:line="240" w:before="0" w:after="0"/>
        <w:ind w:left="0" w:right="0" w:hanging="0"/>
        <w:jc w:val="left"/>
        <w:rPr/>
      </w:pPr>
      <w:r>
        <w:rPr/>
        <w:t xml:space="preserve"> </w:t>
      </w:r>
    </w:p>
    <w:p>
      <w:pPr>
        <w:pStyle w:val="P68B1DB1Normal19"/>
        <w:spacing w:lineRule="auto" w:line="240" w:before="0" w:after="0"/>
        <w:ind w:left="0" w:right="0" w:hanging="0"/>
        <w:jc w:val="both"/>
        <w:rPr/>
      </w:pPr>
      <w:r>
        <w:rPr/>
        <w:t xml:space="preserve">Vymedzuje ho Medziútvarové centrum pre účasť občanov (ICPC) a medziútvarové riaditeľstvo pre verejnú transformáciu (DITP) ako záväzok verejného činiteľa s rozhodovacou právomocou poskytnúť občanom jasnú a čitateľnú odpoveď na výsledok konzultácie. Konkrétne je povinnosťou nadväzujúcich opatrení vrátiť sa občanom, aby im vysvetlili, ako sa zohľadňujú ich príspevky a majú vplyv na rozhodovanie a postupy administratívy.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Vláda prevzala túto povinnosť v nadväznosti na Konferenciu o budúcnosti Európy a oznámila ambiciózny nadväzujúci mechanizmus v nadväznosti na národnú konferenciu opísanú v ďalšej časti tejto správy (pozri „metodologické </w:t>
      </w:r>
      <w:r>
        <w:rPr>
          <w:i/>
        </w:rPr>
        <w:t>strany“</w:t>
      </w:r>
      <w:r>
        <w:rPr/>
        <w:t xml:space="preserve">). </w:t>
      </w:r>
    </w:p>
    <w:p>
      <w:pPr>
        <w:pStyle w:val="P68B1DB1Normal19"/>
        <w:widowControl w:val="false"/>
        <w:spacing w:lineRule="auto" w:line="240" w:before="0" w:after="0"/>
        <w:ind w:left="0" w:right="0" w:hanging="0"/>
        <w:jc w:val="both"/>
        <w:rPr/>
      </w:pPr>
      <w:r>
        <w:rPr/>
        <w:t xml:space="preserve"> </w:t>
      </w:r>
    </w:p>
    <w:p>
      <w:pPr>
        <w:pStyle w:val="P68B1DB1Normal33"/>
        <w:spacing w:lineRule="auto" w:line="240" w:before="0" w:after="0"/>
        <w:ind w:left="0" w:right="0" w:hanging="0"/>
        <w:jc w:val="both"/>
        <w:rPr/>
      </w:pPr>
      <w:r>
        <w:rPr/>
        <w:t xml:space="preserve">B. Metodologické strany </w:t>
      </w:r>
    </w:p>
    <w:p>
      <w:pPr>
        <w:pStyle w:val="P68B1DB1Normal19"/>
        <w:widowControl w:val="false"/>
        <w:spacing w:lineRule="auto" w:line="240" w:before="0" w:after="0"/>
        <w:ind w:left="0" w:right="0" w:hanging="0"/>
        <w:jc w:val="both"/>
        <w:rPr/>
      </w:pPr>
      <w:r>
        <w:rPr/>
        <w:t xml:space="preserve">Tieto tri záväzky štátu boli zohľadnené v konzultačnej metodike vo forme </w:t>
      </w:r>
      <w:r>
        <w:rPr>
          <w:b/>
        </w:rPr>
        <w:t>siedmich silných metodických predsudkov</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Teritorializácia a blízkosť</w:t>
      </w:r>
    </w:p>
    <w:p>
      <w:pPr>
        <w:pStyle w:val="P68B1DB1Normal24"/>
        <w:widowControl w:val="false"/>
        <w:spacing w:lineRule="auto" w:line="240" w:before="0" w:after="0"/>
        <w:ind w:left="0" w:right="0" w:hanging="0"/>
        <w:jc w:val="both"/>
        <w:rPr/>
      </w:pPr>
      <w:r>
        <w:rPr/>
        <w:t xml:space="preserve">Národná zložka Konferencie o budúcnosti Európy mala podobu 18 regionálnych konferencií v 13 metropolitných regiónoch a 5 francúzskych ultramarínových regiónoch, po ktorých nasledovala národná konferencia v Paríži. Týmto výberom organizovania panelov na miestnej úrovni bolo </w:t>
      </w:r>
      <w:r>
        <w:rPr>
          <w:b/>
        </w:rPr>
        <w:t>zámerom zozbierať hlas čo najbližšie k občanom</w:t>
      </w:r>
      <w:r>
        <w:rPr/>
        <w:t xml:space="preserve">. Táto zaujatosť tiež obohatila konzultácie tým, že poukázala na línie konsenzu a nezhody medzi územiami v rôznych oblastiach.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Rozmanitosť profilov občanov a využívanie žrebovania</w:t>
      </w:r>
    </w:p>
    <w:p>
      <w:pPr>
        <w:pStyle w:val="P68B1DB1Normal24"/>
        <w:widowControl w:val="false"/>
        <w:spacing w:lineRule="auto" w:line="240" w:before="0" w:after="0"/>
        <w:ind w:left="0" w:right="0" w:hanging="0"/>
        <w:jc w:val="both"/>
        <w:rPr/>
      </w:pPr>
      <w:r>
        <w:rPr/>
        <w:t xml:space="preserve">Cieľ náboru 50 občanov na regionálnu konferenciu bol stanovený pred týmto procesom, s výnimkou ultramarínových konferencií Martiniku, Mayotte, Guadeloupe a Guyany s 30 až 40 občanmi a konferencie Grand Est, na ktorej sa zúčastnilo aj 5 nemeckých občanov z troch hraníc Landers. </w:t>
      </w:r>
      <w:r>
        <w:rPr>
          <w:b/>
        </w:rPr>
        <w:t>Náhodná generácia</w:t>
      </w:r>
      <w:r>
        <w:rPr/>
        <w:t xml:space="preserve"> telefónnych čísel umožnila prilákať veľa občanov pozvaných na regionálne konferencie. </w:t>
      </w:r>
    </w:p>
    <w:p>
      <w:pPr>
        <w:pStyle w:val="P68B1DB1Normal24"/>
        <w:widowControl w:val="false"/>
        <w:spacing w:lineRule="auto" w:line="240" w:before="0" w:after="0"/>
        <w:ind w:left="0" w:right="0" w:hanging="0"/>
        <w:jc w:val="both"/>
        <w:rPr/>
      </w:pPr>
      <w:r>
        <w:rPr/>
        <w:t xml:space="preserve">Na to, aby boli občania čerpaní žrebovaním, museli mať viac ako 18 rokov a mali by mať francúzsku alebo stálu osobu s trvalým pobytom v bežnej situácii. Každá regionálna skupina občanov musela </w:t>
      </w:r>
      <w:r>
        <w:rPr>
          <w:b/>
        </w:rPr>
        <w:t>reprezentovať rozmanitosť regionálneho obyvateľstva</w:t>
      </w:r>
      <w:r>
        <w:rPr/>
        <w:t xml:space="preserve">a spájať rôzne </w:t>
      </w:r>
      <w:r>
        <w:rPr>
          <w:b/>
        </w:rPr>
        <w:t>názory na Európu</w:t>
      </w:r>
      <w:r>
        <w:rPr/>
        <w:t xml:space="preserve">. Presná metodika prijímania do zamestnania žrebovaním je stanovená v prílohe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Transparentnosť prístupu</w:t>
      </w:r>
    </w:p>
    <w:p>
      <w:pPr>
        <w:pStyle w:val="P68B1DB1Normal24"/>
        <w:widowControl w:val="false"/>
        <w:spacing w:lineRule="auto" w:line="240" w:before="0" w:after="0"/>
        <w:ind w:left="0" w:right="0" w:hanging="0"/>
        <w:jc w:val="both"/>
        <w:rPr/>
      </w:pPr>
      <w:r>
        <w:rPr>
          <w:b/>
        </w:rPr>
        <w:t>Kolégium troch ručiteľov</w:t>
      </w:r>
      <w:r>
        <w:rPr/>
        <w:t xml:space="preserve"> vymenovaných štátnym tajomníkom pre európske záležitosti, predsedom Národného zhromaždenia a predsedom Európskeho parlamentu sledovalo celý proces s cieľom zabezpečiť jeho neutralitu a riadnosť. Ručitelia majú najmä: monitorovala úprimnosť prijímania občanov žrebovaním, vydala odporúčania na výber odborníkov a zabezpečila, že diskusie budú dobre zorganizované. Na konci postupu ručitelia zverejnia svoje stanovisko k konzultácii. Tento dokument bude zverejnený na platforme účasti štátnych občanov. </w:t>
      </w:r>
    </w:p>
    <w:p>
      <w:pPr>
        <w:pStyle w:val="P68B1DB1Normal24"/>
        <w:widowControl w:val="false"/>
        <w:spacing w:lineRule="auto" w:line="240" w:before="0" w:after="0"/>
        <w:ind w:left="0" w:right="0" w:hanging="0"/>
        <w:jc w:val="both"/>
        <w:rPr/>
      </w:pPr>
      <w:r>
        <w:rPr/>
        <w:t xml:space="preserve">Uverejní sa aj na platforme pre účasť občanov štátu: súhrny osemnástich regionálnych konferencií, zhrnutie všetkých zmien vyjadrených na regionálnych konferenciách, syntéza národnej konferencie a nakoniec záverečná správa predložená vláde. </w:t>
      </w:r>
    </w:p>
    <w:p>
      <w:pPr>
        <w:pStyle w:val="P68B1DB1Normal19"/>
        <w:widowControl w:val="false"/>
        <w:spacing w:lineRule="auto" w:line="240" w:before="0" w:after="0"/>
        <w:ind w:left="0" w:right="0" w:hanging="0"/>
        <w:jc w:val="both"/>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Otvorená diskusia bez vynútenej témy</w:t>
      </w:r>
    </w:p>
    <w:p>
      <w:pPr>
        <w:pStyle w:val="P68B1DB1Normal24"/>
        <w:widowControl w:val="false"/>
        <w:spacing w:lineRule="auto" w:line="240" w:before="215" w:after="0"/>
        <w:ind w:left="1" w:right="0" w:hanging="0"/>
        <w:jc w:val="left"/>
        <w:rPr/>
      </w:pPr>
      <w:r>
        <w:rPr/>
        <w:t xml:space="preserve">V súvislosti s touto vnútroštátnou konzultáciou sa zúčastneným občanom sformulovala jediná otázka: </w:t>
      </w:r>
      <w:r>
        <w:rPr>
          <w:i/>
        </w:rPr>
        <w:t>Ako francúzski občania, aké zmeny chcete pre Európu?</w:t>
      </w:r>
      <w:r>
        <w:rPr/>
        <w:t xml:space="preserve"> </w:t>
      </w:r>
    </w:p>
    <w:p>
      <w:pPr>
        <w:pStyle w:val="P68B1DB1Normal24"/>
        <w:widowControl w:val="false"/>
        <w:spacing w:lineRule="auto" w:line="240" w:before="235" w:after="0"/>
        <w:ind w:left="1" w:right="0" w:hanging="0"/>
        <w:jc w:val="both"/>
        <w:rPr/>
      </w:pPr>
      <w:r>
        <w:rPr/>
        <w:t xml:space="preserve">Prostredníctvom vypracovania a zavedenej metodiky mohli občania sami určiť program požadovaných zmien bez toho, aby boli obmedzovaní konkrétnou témou alebo predchádzajúcim normatívnym rámcom. </w:t>
      </w:r>
    </w:p>
    <w:p>
      <w:pPr>
        <w:pStyle w:val="Normal"/>
        <w:widowControl w:val="false"/>
        <w:spacing w:lineRule="auto" w:line="240" w:before="233" w:after="0"/>
        <w:ind w:left="1" w:right="1" w:hanging="0"/>
        <w:jc w:val="both"/>
        <w:rPr/>
      </w:pPr>
      <w:r>
        <w:rPr>
          <w:rFonts w:ascii="Times New Roman" w:hAnsi="Times New Roman"/>
          <w:color w:val="000000"/>
        </w:rPr>
        <w:t>Cieľom bolo umožniť občanom regionálnych konferencií využívať úplnú slobodu v témach, ktorými sa chceli venovať. Ministerstvo Európy a zahraničných vecí pre národnú časť Konferencie o budúcnosti Európy sa preto rozhodlo vypracovať doplnkový prístup k európskemu postupu, ktorý je rozdelený na deväť tém: zmena klímy a životné prostredie; zdravie; silnejšie hospodárstvo, sociálna spravodlivosť a zamestnanosť; EÚ vo svete; hodnoty a práva, právny štát, bezpečnosť; digitálna transformácia; Európska demokracia; migrácia; vzdelávanie, kultúra, mládež a šport; ďalšie nápady</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Témy výmen regionálnych konferencií tak definovali samotní občania, a nie sponzor projektu.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Reverzná expertíza</w:t>
      </w:r>
    </w:p>
    <w:p>
      <w:pPr>
        <w:pStyle w:val="P68B1DB1Normal24"/>
        <w:widowControl w:val="false"/>
        <w:spacing w:lineRule="auto" w:line="240" w:before="218" w:after="0"/>
        <w:ind w:left="1" w:right="0" w:hanging="0"/>
        <w:jc w:val="left"/>
        <w:rPr/>
      </w:pPr>
      <w:r>
        <w:rPr/>
        <w:t xml:space="preserve">S cieľom čo najmenej ovplyvniť účastníkov procesu identifikácie ich želania pre Európu sa rozhodlo, že </w:t>
      </w:r>
      <w:r>
        <w:rPr>
          <w:b/>
        </w:rPr>
        <w:t>sa nebudú vopred poskytovať informácie alebo odborné znalosti</w:t>
      </w:r>
      <w:r>
        <w:rPr/>
        <w:t xml:space="preserve"> (napr. o súčasnom projekte Európskej únie, jej právomociach alebo fungovaní inštitúcií), ale začať od otázok samotných občanov. Táto metodologická zaujatosť je založená na princípe „ </w:t>
      </w:r>
      <w:r>
        <w:rPr>
          <w:i/>
        </w:rPr>
        <w:t>reverznej expertízy</w:t>
      </w:r>
      <w:r>
        <w:rPr/>
        <w:t xml:space="preserve">“, podľa ktorej je </w:t>
      </w:r>
      <w:r>
        <w:rPr>
          <w:b/>
        </w:rPr>
        <w:t>kolektívna reflexia</w:t>
      </w:r>
      <w:r>
        <w:rPr/>
        <w:t xml:space="preserve"> založená na skúsenostiach a názoroch občanov, ktorí potom pochybujú o odborníkoch, aby podporili svoje diskusie a upevnili svoje pracovné hypotézy. </w:t>
      </w:r>
    </w:p>
    <w:p>
      <w:pPr>
        <w:pStyle w:val="P68B1DB1Normal24"/>
        <w:widowControl w:val="false"/>
        <w:spacing w:lineRule="auto" w:line="240" w:before="232" w:after="0"/>
        <w:ind w:left="0" w:right="0" w:hanging="0"/>
        <w:jc w:val="both"/>
        <w:rPr/>
      </w:pPr>
      <w:r>
        <w:rPr/>
        <w:t xml:space="preserve">Na dosiahnutie tohto cieľa sa zmobilizovali </w:t>
      </w:r>
      <w:r>
        <w:rPr>
          <w:b/>
        </w:rPr>
        <w:t>odborníci</w:t>
      </w:r>
      <w:r>
        <w:rPr/>
        <w:t xml:space="preserve"> v rôznych regiónoch (v priemere traja), najmä z akademickej obce a informačných centier Europe Direct na príslušných územiach. Boli prítomní v sobotu a nedeľu, aby odpovedali na otázky občanov a hovorili len na ich žiadosť. K </w:t>
      </w:r>
      <w:r>
        <w:rPr>
          <w:b/>
        </w:rPr>
        <w:t>overovateľom faktov</w:t>
      </w:r>
      <w:r>
        <w:rPr/>
        <w:t xml:space="preserve"> sa dalo dostať aj</w:t>
      </w:r>
      <w:r>
        <w:rPr>
          <w:i/>
        </w:rPr>
        <w:t>s</w:t>
      </w:r>
      <w:r>
        <w:rPr/>
        <w:t xml:space="preserve">cieľom rýchlo overiť faktické otázky, ktoré občania adresovali. </w:t>
      </w:r>
    </w:p>
    <w:p>
      <w:pPr>
        <w:pStyle w:val="P68B1DB1Normal24"/>
        <w:widowControl w:val="false"/>
        <w:spacing w:lineRule="auto" w:line="240" w:before="235" w:after="0"/>
        <w:ind w:left="0" w:right="1" w:hanging="0"/>
        <w:jc w:val="both"/>
        <w:rPr/>
      </w:pPr>
      <w:r>
        <w:rPr/>
        <w:t xml:space="preserve">Na konferencii o národnej syntéze v EHSV sa do pracovných skupín zúčastnilo 19 odborníkov na vysokej úrovni z akademickej obce, think tankov a diplomatických zborov. Títo experti sprevádzali skupinu počas celého víkendu, čo im umožnilo prehĺbiť zmeny vyjadrené v regiónoch.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Kolegialita a agilné riadenie</w:t>
      </w:r>
    </w:p>
    <w:p>
      <w:pPr>
        <w:pStyle w:val="P68B1DB1Normal24"/>
        <w:widowControl w:val="false"/>
        <w:spacing w:lineRule="auto" w:line="240" w:before="212" w:after="0"/>
        <w:ind w:left="0" w:right="0" w:hanging="0"/>
        <w:jc w:val="left"/>
        <w:rPr/>
      </w:pPr>
      <w:r>
        <w:rPr/>
        <w:t xml:space="preserve">Celý proces </w:t>
      </w:r>
      <w:r>
        <w:rPr>
          <w:b/>
        </w:rPr>
        <w:t>spoločne vybudovalo</w:t>
      </w:r>
      <w:r>
        <w:rPr/>
        <w:t xml:space="preserve"> Ministerstvo Európy a zahraničných vecí (MEAE). </w:t>
      </w:r>
    </w:p>
    <w:p>
      <w:pPr>
        <w:pStyle w:val="P68B1DB1Normal24"/>
        <w:widowControl w:val="false"/>
        <w:spacing w:lineRule="auto" w:line="240"/>
        <w:ind w:left="0" w:right="4" w:hanging="0"/>
        <w:jc w:val="both"/>
        <w:rPr/>
      </w:pPr>
      <w:r>
        <w:rPr/>
        <w:t xml:space="preserve">s podporou participatívnej stratégie Medziministerského centra pre účasť občanov (ICPC) Medziministerského riaditeľstva pre transformáciu verejnosti (DITP) a ministerstva parlamentných vzťahov a účasti občanov (MRPC). Schéma bola realizovaná dodávateľským konzorciom zloženým z Roland Berger, Wavestone, Missions Publiques a Harris Interactive pre riadenie procesu, animáciu konferencií, prípravu občanov a vypracovanie správ a zhrnutí v spolupráci s regionálnymi prefektúrami pre miestnu organizáciu regionálnych konferencií. </w:t>
      </w:r>
    </w:p>
    <w:p>
      <w:pPr>
        <w:pStyle w:val="P68B1DB1Normal24"/>
        <w:widowControl w:val="false"/>
        <w:spacing w:lineRule="auto" w:line="240" w:before="232" w:after="0"/>
        <w:ind w:left="0" w:right="4" w:hanging="0"/>
        <w:jc w:val="left"/>
        <w:rPr/>
      </w:pPr>
      <w:r>
        <w:rPr>
          <w:b/>
        </w:rPr>
        <w:t>V rámci</w:t>
      </w:r>
      <w:r>
        <w:rPr/>
        <w:t xml:space="preserve"> projektového tímu, ktorému predsedá MEAE, sa zriadilo osobitné riadenie, ktoré spája CPIC, MRPC a dodávateľské konzorcium.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Povinnosť nadviazať a spojiť sa s európskym cvičením</w:t>
      </w:r>
    </w:p>
    <w:p>
      <w:pPr>
        <w:pStyle w:val="P68B1DB1Normal19"/>
        <w:widowControl w:val="false"/>
        <w:spacing w:lineRule="auto" w:line="240" w:before="211" w:after="0"/>
        <w:ind w:left="0" w:right="0" w:hanging="0"/>
        <w:jc w:val="left"/>
        <w:rPr/>
      </w:pPr>
      <w:r>
        <w:rPr/>
        <w:t xml:space="preserve">Pri príležitosti národnej konferencie bolo oznámených niekoľko </w:t>
      </w:r>
      <w:r>
        <w:rPr>
          <w:b/>
        </w:rPr>
        <w:t>prvkov nadväzujúcich</w:t>
      </w:r>
      <w:r>
        <w:rPr/>
        <w:t xml:space="preserve"> úloh francúzskych inštitúcií po vykonaní Konferencie o budúcnosti Európy: </w:t>
      </w:r>
    </w:p>
    <w:p>
      <w:pPr>
        <w:pStyle w:val="P68B1DB1Normal34"/>
        <w:widowControl w:val="false"/>
        <w:spacing w:lineRule="auto" w:line="240" w:before="333" w:after="0"/>
        <w:ind w:left="720" w:right="0" w:hanging="359"/>
        <w:jc w:val="both"/>
        <w:rPr/>
      </w:pPr>
      <w:r>
        <w:rPr>
          <w:rFonts w:ascii="Calibri" w:hAnsi="Calibri"/>
        </w:rPr>
        <w:t>Sprístupňovanie</w:t>
      </w:r>
      <w:r>
        <w:rPr/>
        <w:t xml:space="preserve"> </w:t>
      </w:r>
      <w:r>
        <w:rPr>
          <w:rFonts w:ascii="Times New Roman" w:hAnsi="Times New Roman"/>
          <w:b/>
        </w:rPr>
        <w:t>všetkých informácií o</w:t>
      </w:r>
      <w:r>
        <w:rPr>
          <w:rFonts w:ascii="Times New Roman" w:hAnsi="Times New Roman"/>
        </w:rPr>
        <w:t xml:space="preserve"> prístupe, tomto dokumente, ako aj súhrnných správach z regionálnych a národných konferencií transparentným a prístupným spôsobom pre všetkých na novej platforme pre účasť občanov, ktorá bola spustená pri príležitosti návratu k vláde; </w:t>
      </w:r>
    </w:p>
    <w:p>
      <w:pPr>
        <w:pStyle w:val="P68B1DB1Normal34"/>
        <w:widowControl w:val="false"/>
        <w:spacing w:lineRule="auto" w:line="240" w:before="90" w:after="0"/>
        <w:ind w:left="360" w:right="0" w:hanging="0"/>
        <w:jc w:val="left"/>
        <w:rPr/>
      </w:pPr>
      <w:r>
        <w:rPr>
          <w:rFonts w:ascii="Calibri" w:hAnsi="Calibri"/>
        </w:rPr>
        <w:t>-</w:t>
      </w:r>
      <w:r>
        <w:rPr/>
        <w:t xml:space="preserve"> </w:t>
      </w:r>
      <w:r>
        <w:rPr>
          <w:rFonts w:ascii="Times New Roman" w:hAnsi="Times New Roman"/>
        </w:rPr>
        <w:t xml:space="preserve">Zorganizovanie </w:t>
      </w:r>
      <w:r>
        <w:rPr>
          <w:rFonts w:ascii="Times New Roman" w:hAnsi="Times New Roman"/>
          <w:b/>
        </w:rPr>
        <w:t>podujatia s cieľom vrátiť vláde</w:t>
      </w:r>
      <w:r>
        <w:rPr>
          <w:rFonts w:ascii="Times New Roman" w:hAnsi="Times New Roman"/>
        </w:rPr>
        <w:t xml:space="preserve"> záverečnú správu o národnej zložke Konferencie o budúcnosti Európy v novembri 2021; </w:t>
      </w:r>
    </w:p>
    <w:p>
      <w:pPr>
        <w:pStyle w:val="P68B1DB1Normal34"/>
        <w:widowControl w:val="false"/>
        <w:spacing w:lineRule="auto" w:line="240" w:before="90" w:after="0"/>
        <w:ind w:left="720" w:right="0" w:hanging="359"/>
        <w:jc w:val="both"/>
        <w:rPr/>
      </w:pPr>
      <w:r>
        <w:rPr>
          <w:rFonts w:ascii="Calibri" w:hAnsi="Calibri"/>
        </w:rPr>
        <w:t>Zriadenie</w:t>
      </w:r>
      <w:r>
        <w:rPr/>
        <w:t xml:space="preserve"> </w:t>
      </w:r>
      <w:r>
        <w:rPr>
          <w:rFonts w:ascii="Times New Roman" w:hAnsi="Times New Roman"/>
        </w:rPr>
        <w:t xml:space="preserve">občianskeho </w:t>
      </w:r>
      <w:r>
        <w:rPr>
          <w:rFonts w:ascii="Times New Roman" w:hAnsi="Times New Roman"/>
          <w:b/>
        </w:rPr>
        <w:t>monitorovacieho výboru s cieľom</w:t>
      </w:r>
      <w:r>
        <w:rPr>
          <w:rFonts w:ascii="Times New Roman" w:hAnsi="Times New Roman"/>
        </w:rPr>
        <w:t xml:space="preserve"> zabezpečiť, aby bol výsledok procesu v súlade s predloženými návrhmi. Tento výbor bude pozostávať z 15 občanov vrátane 14 účastníkov z regionálnych konferencií a jedného účastníka z konzultácie „Slova </w:t>
      </w:r>
      <w:r>
        <w:rPr>
          <w:rFonts w:ascii="Times New Roman" w:hAnsi="Times New Roman"/>
          <w:i/>
        </w:rPr>
        <w:t>k mládeži“</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Poskytnutie príspevku Francúzska k Konferencii o budúcnosti Európy európskym inštitúciám</w:t>
      </w:r>
      <w:r>
        <w:rPr>
          <w:rFonts w:ascii="Times New Roman" w:hAnsi="Times New Roman"/>
        </w:rPr>
        <w:t xml:space="preserve"> v januári 2022; </w:t>
      </w:r>
    </w:p>
    <w:p>
      <w:pPr>
        <w:pStyle w:val="P68B1DB1Normal19"/>
        <w:widowControl w:val="false"/>
        <w:spacing w:lineRule="auto" w:line="240" w:before="87" w:after="0"/>
        <w:ind w:left="0" w:right="0" w:hanging="0"/>
        <w:jc w:val="left"/>
        <w:rPr/>
      </w:pPr>
      <w:r>
        <w:rPr/>
        <w:t xml:space="preserve">Návrhy francúzskych občanov budú predmetom kolektívneho uvažovania členských štátov a európskych inštitúcií. Ako krajina, ktorá predsedá Rade Európskej únie v prvej polovici roka 2022, bude na Francúzsku, aby hovorilo hlasom svojich občanov a pracovalo na vymedzení spoločnej pozície na celom kontinente.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Prvá časť: prezentácia výsledkov regionálnych konferencií o budúcnosti Európy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Na každej z 18 regionálnych konferencií občania vyjadrili želanie pre Európu z roku 2035 jednotlivo a potom ako skupina. V každom regióne sa objavilo 3 až 8 skupín želaní, čo viedlo k tomu, že v </w:t>
      </w:r>
      <w:r>
        <w:rPr>
          <w:b/>
        </w:rPr>
        <w:t>celom Francúzsku si želala celkom 101 Európy</w:t>
      </w:r>
      <w:r>
        <w:rPr/>
        <w:t xml:space="preserve">. Občania potom sformulovali zmeny, ktoré považovali za potrebné na dosiahnutie želanej Európy, a potom ich ilustrovali konkrétnymi opatreniami. Tento proces priniesol celkovo </w:t>
      </w:r>
      <w:r>
        <w:rPr>
          <w:b/>
        </w:rPr>
        <w:t>515 zmien</w:t>
      </w:r>
      <w:r>
        <w:rPr/>
        <w:t xml:space="preserve"> a 1 </w:t>
      </w:r>
      <w:r>
        <w:rPr>
          <w:b/>
        </w:rPr>
        <w:t xml:space="preserve">301 konkrétnych opatrení v celom </w:t>
      </w:r>
      <w:r>
        <w:rPr/>
        <w:t xml:space="preserve">Francúzsku.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V týždňoch, ktoré oddeľovali regionálne konferencie a národnú konferenciu, projektový tím vykonal zoskupenie 515 zmien do ucelených skupín. Všetky zmeny vyjadrené v regiónoch boli podrobené lexikologickej analýze a zavŕšili, keď sa ich zámer zdal podobný alebo blízky, aby sa zriadili pracovné skupiny národných konferencií so spoločným želaním pre Európu. Napokon </w:t>
      </w:r>
      <w:r>
        <w:rPr>
          <w:b/>
        </w:rPr>
        <w:t>zmeny identifikované v regiónoch boli zoskupené do 14 odlišných európskych prianí</w:t>
      </w:r>
      <w:r>
        <w:rPr/>
        <w:t xml:space="preserve">. </w:t>
      </w:r>
    </w:p>
    <w:p>
      <w:pPr>
        <w:pStyle w:val="Normal"/>
        <w:rPr/>
      </w:pPr>
      <w:r>
        <w:rPr/>
        <mc:AlternateContent>
          <mc:Choice Requires="wpg">
            <w:drawing>
              <wp:anchor behindDoc="0" distT="0" distB="0" distL="0" distR="0" simplePos="0" locked="0" layoutInCell="1" allowOverlap="1" relativeHeight="60">
                <wp:simplePos x="0" y="0"/>
                <wp:positionH relativeFrom="column">
                  <wp:posOffset>436880</wp:posOffset>
                </wp:positionH>
                <wp:positionV relativeFrom="paragraph">
                  <wp:posOffset>92075</wp:posOffset>
                </wp:positionV>
                <wp:extent cx="5765800" cy="1319530"/>
                <wp:effectExtent l="0" t="0" r="0" b="0"/>
                <wp:wrapTopAndBottom/>
                <wp:docPr id="94" name="Formulár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99"/>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Prianie</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pre Európu 2035</w:t>
                              </w:r>
                            </w:p>
                          </w:txbxContent>
                        </wps:txbx>
                        <wps:bodyPr lIns="90000" rIns="90000" tIns="45000" bIns="45000">
                          <a:noAutofit/>
                        </wps:bodyPr>
                      </wps:wsp>
                      <wps:wsp>
                        <wps:cNvSpPr/>
                        <wps:spPr>
                          <a:xfrm>
                            <a:off x="2309400" y="195120"/>
                            <a:ext cx="1454040" cy="11239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Zmeny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na dosiahnutie tejto želanej Európy</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Konkrétne návrhy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na vykonanie týchto zmien</w:t>
                              </w:r>
                            </w:p>
                          </w:txbxContent>
                        </wps:txbx>
                        <wps:bodyPr lIns="90000" rIns="90000" tIns="45000" bIns="45000">
                          <a:noAutofit/>
                        </wps:bodyPr>
                      </wps:wsp>
                    </wpg:wgp>
                  </a:graphicData>
                </a:graphic>
              </wp:anchor>
            </w:drawing>
          </mc:Choice>
          <mc:Fallback>
            <w:pict>
              <v:group id="shape_0" alt="Formulár11" style="position:absolute;margin-left:34.4pt;margin-top:7.25pt;width:453.95pt;height:103.85pt" coordorigin="688,145" coordsize="9079,2077">
                <v:shape id="shape_0" stroked="f" style="position:absolute;left:688;top:145;width:9078;height:1696" type="shapetype_75">
                  <v:imagedata r:id="rId99" o:detectmouseclick="t"/>
                  <w10:wrap type="none"/>
                  <v:stroke color="#3465a4" joinstyle="round" endcap="flat"/>
                </v:shape>
                <v:rect id="shape_0" stroked="f" style="position:absolute;left:2354;top:452;width:1722;height:1377">
                  <v:textbo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Prianie</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pre Európu 2035</w:t>
                        </w:r>
                      </w:p>
                    </w:txbxContent>
                  </v:textbox>
                  <w10:wrap type="square"/>
                  <v:fill o:detectmouseclick="t" on="false"/>
                  <v:stroke color="#3465a4" joinstyle="round" endcap="flat"/>
                </v:rect>
                <v:rect id="shape_0" stroked="f" style="position:absolute;left:4325;top:452;width:2289;height:1769">
                  <v:textbo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Zmeny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na dosiahnutie tejto želanej Európy</w:t>
                        </w:r>
                      </w:p>
                    </w:txbxContent>
                  </v:textbox>
                  <w10:wrap type="square"/>
                  <v:fill o:detectmouseclick="t" on="false"/>
                  <v:stroke color="#3465a4" joinstyle="round" endcap="flat"/>
                </v:rect>
                <v:rect id="shape_0" stroked="f" style="position:absolute;left:6880;top:270;width:2744;height:1769">
                  <v:textbo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Konkrétne návrhy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na vykonanie týchto zmien</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10"/>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Otázka pre občanov</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Aké je vaše želanie pre Európu roku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Aké zmeny sú potrebné na dosiahnutie tejto želanej Európy?</w:t>
            </w:r>
          </w:p>
        </w:tc>
        <w:tc>
          <w:tcPr>
            <w:tcW w:w="241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Aké konkrétne návrhy by ste predložili na vykonanie týchto zmien?</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Výsledky regionálnych konferencií</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želaní</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zmien</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konkrétnych návrhov</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Objednanie 515 regionálnych zmien v 14 konzistentných želaniach zo strany organizačného tímu</w:t>
            </w:r>
          </w:p>
        </w:tc>
        <w:tc>
          <w:tcPr>
            <w:tcW w:w="4820"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Zoskupenie, stanovenie priorít a podrobnosti o zmenách účastníkov počas národnej konferencie</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Výsledok národnej konferencie</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želaní</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zmien</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Kľúčové vykonávacie kroky a kritériá úspešnosti každej zmeny</w:t>
            </w:r>
          </w:p>
        </w:tc>
      </w:tr>
    </w:tbl>
    <w:p>
      <w:pPr>
        <w:pStyle w:val="Normal"/>
        <w:rPr/>
      </w:pPr>
      <w:r>
        <w:rPr/>
      </w:r>
      <w:r>
        <w:br w:type="page"/>
      </w:r>
    </w:p>
    <w:p>
      <w:pPr>
        <w:pStyle w:val="P68B1DB1Normal33"/>
        <w:spacing w:lineRule="auto" w:line="240"/>
        <w:rPr/>
      </w:pPr>
      <w:r>
        <w:rPr/>
        <w:t xml:space="preserve">a. Hodnotenie štrnástich prianí Európy </w:t>
      </w:r>
    </w:p>
    <w:p>
      <w:pPr>
        <w:pStyle w:val="P68B1DB1Normal19"/>
        <w:widowControl w:val="false"/>
        <w:spacing w:lineRule="auto" w:line="240" w:before="322" w:after="0"/>
        <w:ind w:left="0" w:right="0" w:hanging="0"/>
        <w:jc w:val="left"/>
        <w:rPr/>
      </w:pPr>
      <w:r>
        <w:rPr/>
        <w:t xml:space="preserve">Na konci každej regionálnej konferencie zúčastnení občania hlasovali za vyjadrenie podpory zmenám, ktoré určili rôzne pracovné skupiny.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64">
                <wp:simplePos x="0" y="0"/>
                <wp:positionH relativeFrom="column">
                  <wp:posOffset>635</wp:posOffset>
                </wp:positionH>
                <wp:positionV relativeFrom="paragraph">
                  <wp:posOffset>1340485</wp:posOffset>
                </wp:positionV>
                <wp:extent cx="5111750" cy="6269990"/>
                <wp:effectExtent l="0" t="0" r="0" b="0"/>
                <wp:wrapTopAndBottom/>
                <wp:docPr id="95" name="Rámec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pPr>
                            <w:r>
                              <w:rPr>
                                <w:color w:val="auto"/>
                              </w:rPr>
                              <w:t xml:space="preserve">Poradie prianí Európy podľa miery popularity </w:t>
                            </w:r>
                          </w:p>
                        </w:txbxContent>
                      </wps:txbx>
                      <wps:bodyPr lIns="0" rIns="0" tIns="0" bIns="0">
                        <a:noAutofit/>
                      </wps:bodyPr>
                    </wps:wsp>
                  </a:graphicData>
                </a:graphic>
              </wp:anchor>
            </w:drawing>
          </mc:Choice>
          <mc:Fallback>
            <w:pict>
              <v:rect id="shape_0" ID="Rámec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pPr>
                      <w:r>
                        <w:rPr>
                          <w:color w:val="auto"/>
                        </w:rPr>
                        <w:t xml:space="preserve">Poradie prianí Európy podľa miery popularity </w:t>
                      </w:r>
                    </w:p>
                  </w:txbxContent>
                </v:textbox>
              </v:rect>
            </w:pict>
          </mc:Fallback>
        </mc:AlternateContent>
      </w:r>
      <w:r>
        <w:rPr>
          <w:rFonts w:ascii="Times New Roman" w:hAnsi="Times New Roman"/>
          <w:color w:val="000000"/>
          <w:sz w:val="24"/>
        </w:rPr>
        <w:t xml:space="preserve">Na základe zoskupení, ktoré sa uskutočnili pred celoštátnou konferenciou o syntéze, je možné určiť – vďaka hlasovaniu o zmenách v každom regióne – želania Európy, ktorá bola medzi občanmi najpopulárnejšia. Želania „ </w:t>
      </w:r>
      <w:r>
        <w:rPr>
          <w:rFonts w:ascii="Times New Roman" w:hAnsi="Times New Roman"/>
          <w:i/>
          <w:color w:val="000000"/>
          <w:sz w:val="24"/>
        </w:rPr>
        <w:t>Európa, ktorá kladie vzdelávanie do popredia“</w:t>
      </w:r>
      <w:r>
        <w:rPr>
          <w:rFonts w:ascii="Times New Roman" w:hAnsi="Times New Roman"/>
          <w:color w:val="000000"/>
          <w:sz w:val="24"/>
        </w:rPr>
        <w:t xml:space="preserve"> a „ </w:t>
      </w:r>
      <w:r>
        <w:rPr>
          <w:rFonts w:ascii="Times New Roman" w:hAnsi="Times New Roman"/>
          <w:i/>
          <w:color w:val="000000"/>
          <w:sz w:val="24"/>
        </w:rPr>
        <w:t>bližšiu a prístupnú Európu</w:t>
      </w:r>
      <w:r>
        <w:rPr>
          <w:rFonts w:ascii="Times New Roman" w:hAnsi="Times New Roman"/>
          <w:color w:val="000000"/>
          <w:sz w:val="24"/>
        </w:rPr>
        <w:t>“</w:t>
      </w:r>
      <w:r>
        <w:rPr>
          <w:rFonts w:ascii="Times New Roman" w:hAnsi="Times New Roman"/>
          <w:i/>
          <w:color w:val="000000"/>
          <w:sz w:val="24"/>
        </w:rPr>
        <w:t xml:space="preserve"> </w:t>
      </w:r>
      <w:r>
        <w:rPr>
          <w:rFonts w:ascii="Times New Roman" w:hAnsi="Times New Roman"/>
          <w:color w:val="000000"/>
          <w:sz w:val="24"/>
        </w:rPr>
        <w:t xml:space="preserve">boli preto vo veľkej miere vítané, pričom zmeny podporili v priemere 56 % občanov na regionálnych konferenciách. </w:t>
      </w:r>
    </w:p>
    <w:p>
      <w:pPr>
        <w:pStyle w:val="Normal"/>
        <w:rPr/>
      </w:pPr>
      <w:r>
        <w:rPr/>
        <mc:AlternateContent>
          <mc:Choice Requires="wpg">
            <w:drawing>
              <wp:anchor behindDoc="0" distT="0" distB="0" distL="0" distR="0" simplePos="0" locked="0" layoutInCell="1" allowOverlap="1" relativeHeight="62">
                <wp:simplePos x="0" y="0"/>
                <wp:positionH relativeFrom="column">
                  <wp:posOffset>273050</wp:posOffset>
                </wp:positionH>
                <wp:positionV relativeFrom="paragraph">
                  <wp:posOffset>506095</wp:posOffset>
                </wp:positionV>
                <wp:extent cx="4505960" cy="6283960"/>
                <wp:effectExtent l="0" t="0" r="0" b="0"/>
                <wp:wrapTopAndBottom/>
                <wp:docPr id="97" name="Formulár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0"/>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Aké zmeny by ste chceli vidieť implementovať?</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Európa, ktorá stavia vzdelávanie do popredia</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Bližšia a prístupná Európa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Európa so spoločnými kultúrami a identitami</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Európa, ktorá sa zaviazala čeliť klimatickej a environmentálnej výzve</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Jednotnejšia Európa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Solidarita Európa, ktorá chráni</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Európa, ktorá zaručuje dodržiavanie základných práv</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Konkurencieschopná a inovatívna Európa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Európa, ktorá podporuje trvalo udržateľný rozvoj</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Demokratickejšia Európa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Európa s účinnejšou správou vecí verejných</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Európa, ktorá obhajuje svoje záujmy</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Silná Európa vo svete</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Európa, v ktorej prevládajú záujmy každého štátu</w:t>
                              </w:r>
                            </w:p>
                          </w:txbxContent>
                        </wps:txbx>
                        <wps:bodyPr lIns="90000" rIns="90000" tIns="45000" bIns="45000">
                          <a:noAutofit/>
                        </wps:bodyPr>
                      </wps:wsp>
                    </wpg:wgp>
                  </a:graphicData>
                </a:graphic>
              </wp:anchor>
            </w:drawing>
          </mc:Choice>
          <mc:Fallback>
            <w:pict>
              <v:group id="shape_0" alt="Formulár4" style="position:absolute;margin-left:21.5pt;margin-top:39.85pt;width:354.75pt;height:494.75pt" coordorigin="430,797" coordsize="7095,9895">
                <v:shape id="shape_0" stroked="f" style="position:absolute;left:4005;top:1727;width:3121;height:8964" type="shapetype_75">
                  <v:imagedata r:id="rId100" o:detectmouseclick="t"/>
                  <w10:wrap type="none"/>
                  <v:stroke color="#3465a4" joinstyle="round" endcap="flat"/>
                </v:shape>
                <v:rect id="shape_0" stroked="f" style="position:absolute;left:2243;top:797;width:5281;height:7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Aké zmeny by ste chceli vidieť implementovať?</w:t>
                        </w:r>
                      </w:p>
                    </w:txbxContent>
                  </v:textbox>
                  <w10:wrap type="square"/>
                  <v:fill o:detectmouseclick="t" on="false"/>
                  <v:stroke color="#3465a4" joinstyle="round" endcap="flat"/>
                </v:rect>
                <v:rect id="shape_0" stroked="f" style="position:absolute;left:430;top:1960;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Európa, ktorá stavia vzdelávanie do popredia</w:t>
                        </w:r>
                      </w:p>
                    </w:txbxContent>
                  </v:textbox>
                  <w10:wrap type="square"/>
                  <v:fill o:detectmouseclick="t" on="false"/>
                  <v:stroke color="#3465a4" joinstyle="round" endcap="flat"/>
                </v:rect>
                <v:rect id="shape_0" stroked="f" style="position:absolute;left:430;top:2497;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Bližšia a prístupná Európa</w:t>
                        </w:r>
                      </w:p>
                    </w:txbxContent>
                  </v:textbox>
                  <w10:wrap type="square"/>
                  <v:fill o:detectmouseclick="t" on="false"/>
                  <v:stroke color="#3465a4" joinstyle="round" endcap="flat"/>
                </v:rect>
                <v:rect id="shape_0" stroked="f" style="position:absolute;left:430;top:3235;width:3491;height:556">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Európa so spoločnými kultúrami a identitami</w:t>
                        </w:r>
                      </w:p>
                    </w:txbxContent>
                  </v:textbox>
                  <w10:wrap type="square"/>
                  <v:fill o:detectmouseclick="t" on="false"/>
                  <v:stroke color="#3465a4" joinstyle="round" endcap="flat"/>
                </v:rect>
                <v:rect id="shape_0" stroked="f" style="position:absolute;left:430;top:3866;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Európa, ktorá sa zaviazala čeliť klimatickej a environmentálnej výzve</w:t>
                        </w:r>
                      </w:p>
                    </w:txbxContent>
                  </v:textbox>
                  <w10:wrap type="square"/>
                  <v:fill o:detectmouseclick="t" on="false"/>
                  <v:stroke color="#3465a4" joinstyle="round" endcap="flat"/>
                </v:rect>
                <v:rect id="shape_0" stroked="f" style="position:absolute;left:430;top:4463;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Jednotnejšia Európa</w:t>
                        </w:r>
                      </w:p>
                    </w:txbxContent>
                  </v:textbox>
                  <w10:wrap type="square"/>
                  <v:fill o:detectmouseclick="t" on="false"/>
                  <v:stroke color="#3465a4" joinstyle="round" endcap="flat"/>
                </v:rect>
                <v:rect id="shape_0" stroked="f" style="position:absolute;left:430;top:4940;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Solidarita Európa, ktorá chráni</w:t>
                        </w:r>
                      </w:p>
                    </w:txbxContent>
                  </v:textbox>
                  <w10:wrap type="square"/>
                  <v:fill o:detectmouseclick="t" on="false"/>
                  <v:stroke color="#3465a4" joinstyle="round" endcap="flat"/>
                </v:rect>
                <v:rect id="shape_0" stroked="f" style="position:absolute;left:430;top:5576;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Európa, ktorá zaručuje dodržiavanie základných práv</w:t>
                        </w:r>
                      </w:p>
                    </w:txbxContent>
                  </v:textbox>
                  <w10:wrap type="square"/>
                  <v:fill o:detectmouseclick="t" on="false"/>
                  <v:stroke color="#3465a4" joinstyle="round" endcap="flat"/>
                </v:rect>
                <v:rect id="shape_0" stroked="f" style="position:absolute;left:430;top:6259;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Konkurencieschopná a inovatívna Európa</w:t>
                        </w:r>
                      </w:p>
                    </w:txbxContent>
                  </v:textbox>
                  <w10:wrap type="square"/>
                  <v:fill o:detectmouseclick="t" on="false"/>
                  <v:stroke color="#3465a4" joinstyle="round" endcap="flat"/>
                </v:rect>
                <v:rect id="shape_0" stroked="f" style="position:absolute;left:430;top:6959;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Európa, ktorá podporuje trvalo udržateľný rozvoj</w:t>
                        </w:r>
                      </w:p>
                    </w:txbxContent>
                  </v:textbox>
                  <w10:wrap type="square"/>
                  <v:fill o:detectmouseclick="t" on="false"/>
                  <v:stroke color="#3465a4" joinstyle="round" endcap="flat"/>
                </v:rect>
                <v:rect id="shape_0" stroked="f" style="position:absolute;left:430;top:7482;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Demokratickejšia Európa</w:t>
                        </w:r>
                      </w:p>
                    </w:txbxContent>
                  </v:textbox>
                  <w10:wrap type="square"/>
                  <v:fill o:detectmouseclick="t" on="false"/>
                  <v:stroke color="#3465a4" joinstyle="round" endcap="flat"/>
                </v:rect>
                <v:rect id="shape_0" stroked="f" style="position:absolute;left:430;top:7989;width:3491;height:556">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Európa s účinnejšou správou vecí verejných</w:t>
                        </w:r>
                      </w:p>
                    </w:txbxContent>
                  </v:textbox>
                  <w10:wrap type="square"/>
                  <v:fill o:detectmouseclick="t" on="false"/>
                  <v:stroke color="#3465a4" joinstyle="round" endcap="flat"/>
                </v:rect>
                <v:rect id="shape_0" stroked="f" style="position:absolute;left:430;top:8834;width:3491;height:348">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Európa, ktorá obhajuje svoje záujmy</w:t>
                        </w:r>
                      </w:p>
                    </w:txbxContent>
                  </v:textbox>
                  <w10:wrap type="square"/>
                  <v:fill o:detectmouseclick="t" on="false"/>
                  <v:stroke color="#3465a4" joinstyle="round" endcap="flat"/>
                </v:rect>
                <v:rect id="shape_0" stroked="f" style="position:absolute;left:430;top:9494;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Silná Európa vo svete</w:t>
                        </w:r>
                      </w:p>
                    </w:txbxContent>
                  </v:textbox>
                  <w10:wrap type="square"/>
                  <v:fill o:detectmouseclick="t" on="false"/>
                  <v:stroke color="#3465a4" joinstyle="round" endcap="flat"/>
                </v:rect>
                <v:rect id="shape_0" stroked="f" style="position:absolute;left:430;top:10052;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Európa, v ktorej prevládajú záujmy každého štátu</w:t>
                        </w:r>
                      </w:p>
                    </w:txbxContent>
                  </v:textbox>
                  <w10:wrap type="square"/>
                  <v:fill o:detectmouseclick="t" on="false"/>
                  <v:stroke color="#3465a4" joinstyle="round" endcap="flat"/>
                </v:rect>
              </v:group>
            </w:pict>
          </mc:Fallback>
        </mc:AlternateContent>
      </w:r>
      <w:r>
        <w:br w:type="page"/>
      </w:r>
    </w:p>
    <w:p>
      <w:pPr>
        <w:pStyle w:val="P68B1DB1Normal33"/>
        <w:rPr/>
      </w:pPr>
      <w:r>
        <w:rPr/>
        <w:t xml:space="preserve">B. Prezentácia 14 prioritných zmien vyplývajúcich z národnej konferencie </w:t>
      </w:r>
    </w:p>
    <w:p>
      <w:pPr>
        <w:pStyle w:val="P68B1DB1Normal19"/>
        <w:widowControl w:val="false"/>
        <w:spacing w:lineRule="exact" w:line="388" w:before="322" w:after="0"/>
        <w:ind w:left="0" w:right="0" w:hanging="0"/>
        <w:jc w:val="left"/>
        <w:rPr/>
      </w:pPr>
      <w:r>
        <w:rPr/>
        <w:t>Na konferencii národnej syntézy 100 zúčastnených občanov pracovalo na jednej zo 14 zriadených skupín želaní. Na konci práce bola každá skupina vybraná tak, aby reprezentovala svoje želanie</w:t>
      </w:r>
      <w:r>
        <w:rPr>
          <w:b/>
        </w:rPr>
        <w:t>, aby Európa do roku 2035 zaviedla prioritnú zmenu</w:t>
      </w:r>
      <w:r>
        <w:rPr/>
        <w:t xml:space="preserve">. Týchto 14 prioritných zmien bolo navrhnutých na hlasovanie 100 občanov v posledný deň národnej konferencie. Výsledok tohto hlasovania je uvedený nižšie v zostupnom poradí podľa počtu hlasov získaných za každú zmenu. </w:t>
      </w:r>
    </w:p>
    <w:p>
      <w:pPr>
        <w:pStyle w:val="P68B1DB1Normal19"/>
        <w:widowControl w:val="false"/>
        <w:spacing w:lineRule="exact" w:line="413" w:before="332" w:after="0"/>
        <w:ind w:left="0" w:right="708" w:hanging="0"/>
        <w:jc w:val="left"/>
        <w:rPr/>
      </w:pPr>
      <w:r>
        <w:rPr/>
        <w:t xml:space="preserve">Zmena, ktorá získala najviac hlasov od 100 občanov národnej konferencie, je „ </w:t>
      </w:r>
      <w:r>
        <w:rPr>
          <w:i/>
        </w:rPr>
        <w:t>Rozvíjať energetickú triezvosť, aby sme menej spotrebovali zastavením nadbytočných“</w:t>
      </w:r>
      <w:r>
        <w:rPr/>
        <w:t xml:space="preserve">. </w:t>
      </w:r>
    </w:p>
    <w:p>
      <w:pPr>
        <w:pStyle w:val="P68B1DB1Normal39"/>
        <w:widowControl w:val="false"/>
        <w:spacing w:lineRule="exact" w:line="199" w:before="42" w:after="0"/>
        <w:ind w:left="0" w:right="0" w:hanging="0"/>
        <w:jc w:val="left"/>
        <w:rPr/>
      </w:pPr>
      <w:r>
        <w:rPr/>
        <w:t xml:space="preserve"> </w:t>
      </w:r>
    </w:p>
    <w:p>
      <w:pPr>
        <w:pStyle w:val="P68B1DB1Normal40"/>
        <w:widowControl w:val="false"/>
        <w:spacing w:lineRule="auto" w:line="240"/>
        <w:ind w:left="208" w:right="0" w:hanging="0"/>
        <w:jc w:val="left"/>
        <w:rPr/>
      </w:pPr>
      <w:r>
        <w:rPr>
          <w:b/>
          <w:sz w:val="34"/>
        </w:rPr>
        <w:t xml:space="preserve">14 </w:t>
      </w:r>
      <w:r>
        <w:rPr>
          <w:sz w:val="30"/>
        </w:rPr>
        <w:t>kľúčových zmien pre Európu v roku 2035</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Rozvíjajte energetickú triezvosť, aby ste menej spotrebovali nadbytočné</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Posilnenie spoločnej obrany a bezpečnosti Európskej únie</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Podporovať kolektívnu hospodársku výkonnosť prostredníctvom autonómneho, konkurencieschopného a oceňovaného priemyslu Európskej únie</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Vytvorenie moci občanov na viacerých úrovniach: účasť, rozhodovanie, kontrola</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Ísť do federácie európskych štátov so silnými právomocami v oblastiach spoločného záujmu</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Navrhovať celoživotné výmenné programy</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Zdieľanie európskych kultúr prostredníctvom zjednocujúcich podujatí a podujatí</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Harmonizácia zdravia a jeho sprístupnenie pre všetkých Európanov prostredníctvom spoločnej politiky v oblasti zdravia</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Rozvíjanie a pilotné strategické kanály na európskej úrovni s cieľom zabezpečiť našu suverenitu</w:t>
      </w:r>
    </w:p>
    <w:p>
      <w:pPr>
        <w:pStyle w:val="P68B1DB1Normal41"/>
        <w:widowControl w:val="false"/>
        <w:spacing w:lineRule="auto" w:line="240" w:before="193" w:after="0"/>
        <w:ind w:left="324" w:right="0" w:hanging="0"/>
        <w:jc w:val="left"/>
        <w:rPr/>
      </w:pPr>
      <w:r>
        <w:rPr>
          <w:color w:val="FFFFFF"/>
        </w:rPr>
        <w:t>10</w:t>
      </w:r>
      <w:r>
        <w:rPr>
          <w:color w:val="000000"/>
        </w:rPr>
        <w:t>(10)Zlepšenie ochrany životného prostredia a ekosystémov a vytváranie chránených oblastí v centre mestských, prímestských a vidieckych oblastí</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Zakladanie európskych štafiet na územiach s cieľom počúvať a radiť občanom</w:t>
      </w:r>
    </w:p>
    <w:p>
      <w:pPr>
        <w:pStyle w:val="P68B1DB1Normal41"/>
        <w:widowControl w:val="false"/>
        <w:spacing w:lineRule="auto" w:line="240" w:before="193" w:after="0"/>
        <w:ind w:left="283" w:right="643" w:hanging="0"/>
        <w:jc w:val="left"/>
        <w:rPr/>
      </w:pPr>
      <w:r>
        <w:rPr>
          <w:color w:val="000000"/>
        </w:rPr>
        <w:t>12 (12)</w:t>
      </w:r>
      <w:r>
        <w:rPr>
          <w:color w:val="FFFFFF"/>
        </w:rPr>
        <w:t xml:space="preserve"> </w:t>
      </w:r>
      <w:r>
        <w:rPr>
          <w:color w:val="000000"/>
        </w:rPr>
        <w:t>Zjednotiť spôsob voľby do Európskeho parlamentu pre dvadsaťsedem štátov a zlepšiť blízkosť občanov nahradením súčasného hlasovania jednorazovým hlasovaním na regionálnej úrovni</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Definovanie spoločnej politiky na zlepšenie prijímania a sociálnej a profesijnej integrácie migrantov (vrátane neregulárnych migrantov)</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Zachovať špecifiká (značky potravín, remeselná výroba, tradície) rôznych európskych regiónov s cieľom vyhnúť sa jednotnému životnému štýlu a zabezpečiť vysledovateľnosť a kvalitu výrobkov</w:t>
      </w:r>
    </w:p>
    <w:p>
      <w:pPr>
        <w:pStyle w:val="Normal"/>
        <w:spacing w:lineRule="auto" w:line="240"/>
        <w:rPr/>
      </w:pPr>
      <w:r>
        <w:rPr/>
      </w:r>
    </w:p>
    <w:p>
      <w:pPr>
        <w:pStyle w:val="Normal"/>
        <w:rPr/>
      </w:pPr>
      <w:r>
        <w:rPr/>
        <w:t xml:space="preserve">V prípade každej zmeny priority občania príslušnej skupiny definovali zmenu, navrhli konkrétne opatrenia, ktoré sa majú vykonať na jej vykonávanie, a uviedli kritériá úspechu do roku 2035. </w:t>
      </w:r>
    </w:p>
    <w:p>
      <w:pPr>
        <w:pStyle w:val="Normal"/>
        <w:rPr/>
      </w:pPr>
      <w:r>
        <w:rPr/>
      </w:r>
      <w:r>
        <w:br w:type="page"/>
      </w:r>
    </w:p>
    <w:p>
      <w:pPr>
        <w:pStyle w:val="P68B1DB1Normal42"/>
        <w:widowControl w:val="false"/>
        <w:spacing w:lineRule="auto" w:line="240" w:before="237" w:after="0"/>
        <w:ind w:left="0" w:right="0" w:hanging="0"/>
        <w:jc w:val="left"/>
        <w:rPr/>
      </w:pPr>
      <w:r>
        <w:rPr/>
        <w:t xml:space="preserve">Zmena 1 – Rozvíjajte energetickú triezvosť, aby ste menej spotrebovali zastavením nadbytočných </w:t>
      </w:r>
    </w:p>
    <w:p>
      <w:pPr>
        <w:pStyle w:val="P68B1DB1Normal43"/>
        <w:widowControl w:val="false"/>
        <w:spacing w:lineRule="auto" w:line="240" w:before="347" w:after="0"/>
        <w:ind w:left="0" w:right="0" w:hanging="0"/>
        <w:jc w:val="left"/>
        <w:rPr/>
      </w:pPr>
      <w:r>
        <w:rPr/>
        <w:t xml:space="preserve">Želanie združenej Európy: Európa, ktorá sa zaviazala čeliť klimatickej a environmentálnej výzve </w:t>
      </w:r>
    </w:p>
    <w:p>
      <w:pPr>
        <w:pStyle w:val="P68B1DB1Normal33"/>
        <w:widowControl w:val="false"/>
        <w:spacing w:lineRule="auto" w:line="240" w:before="323" w:after="0"/>
        <w:ind w:left="0" w:right="0" w:hanging="0"/>
        <w:jc w:val="left"/>
        <w:rPr/>
      </w:pPr>
      <w:r>
        <w:rPr/>
        <w:t xml:space="preserve">Čo táto zmena znamená? </w:t>
      </w:r>
    </w:p>
    <w:p>
      <w:pPr>
        <w:pStyle w:val="P68B1DB1Normal7"/>
        <w:widowControl w:val="false"/>
        <w:spacing w:lineRule="auto" w:line="240" w:before="76" w:after="0"/>
        <w:ind w:left="0" w:right="0" w:hanging="0"/>
        <w:jc w:val="left"/>
        <w:rPr/>
      </w:pPr>
      <w:r>
        <w:rPr>
          <w:i/>
          <w:color w:val="000000"/>
        </w:rPr>
        <w:t>Kľúčové slová: Rozvoj obnoviteľných zdrojov energie, zníženie spotreby energie</w:t>
      </w:r>
      <w:r>
        <w:rPr>
          <w:b/>
          <w:color w:val="273375"/>
        </w:rPr>
        <w:t xml:space="preserve"> </w:t>
      </w:r>
    </w:p>
    <w:p>
      <w:pPr>
        <w:pStyle w:val="P68B1DB1Normal19"/>
        <w:widowControl w:val="false"/>
        <w:spacing w:lineRule="auto" w:line="240" w:before="248" w:after="0"/>
        <w:ind w:left="0" w:right="9" w:hanging="0"/>
        <w:jc w:val="both"/>
        <w:rPr/>
      </w:pPr>
      <w:r>
        <w:rPr/>
        <w:t xml:space="preserve">Cieľom tejto zmeny je podporiť zníženie spotreby energie v Európe a rozvoj energie z obnoviteľných zdrojov. Jeho prioritizácia zo strany občanov prepisuje ich túžbu zapojiť Európu a jej obyvateľov do </w:t>
      </w:r>
      <w:r>
        <w:rPr>
          <w:b/>
        </w:rPr>
        <w:t>rozhodného prístupu k</w:t>
      </w:r>
      <w:r>
        <w:rPr/>
        <w:t xml:space="preserve"> klimatickým a environmentálnym výzvam. </w:t>
      </w:r>
    </w:p>
    <w:p>
      <w:pPr>
        <w:pStyle w:val="P68B1DB1Normal33"/>
        <w:widowControl w:val="false"/>
        <w:spacing w:lineRule="auto" w:line="240" w:before="333" w:after="0"/>
        <w:ind w:left="0" w:right="0" w:hanging="0"/>
        <w:jc w:val="left"/>
        <w:rPr/>
      </w:pPr>
      <w:r>
        <w:rPr/>
        <w:t xml:space="preserve">Aké sú kľúčové kroky a kritériá úspešnosti? </w:t>
      </w:r>
    </w:p>
    <w:p>
      <w:pPr>
        <w:pStyle w:val="P68B1DB1Normal19"/>
        <w:widowControl w:val="false"/>
        <w:spacing w:lineRule="auto" w:line="240" w:before="237" w:after="0"/>
        <w:ind w:left="0" w:right="9" w:hanging="0"/>
        <w:jc w:val="both"/>
        <w:rPr/>
      </w:pPr>
      <w:r>
        <w:rPr/>
        <w:t xml:space="preserve">Táto zmena sa odráža vo vývoji </w:t>
      </w:r>
      <w:r>
        <w:rPr>
          <w:b/>
        </w:rPr>
        <w:t>ambicióznych výskumných programov</w:t>
      </w:r>
      <w:r>
        <w:rPr/>
        <w:t xml:space="preserve"> v oblasti obnoviteľných zdrojov energie a v </w:t>
      </w:r>
      <w:r>
        <w:rPr>
          <w:b/>
        </w:rPr>
        <w:t>zavádzaní európskych investičných fondov</w:t>
      </w:r>
      <w:r>
        <w:rPr/>
        <w:t xml:space="preserve"> s priamou účasťou v spoločnostiach v tomto odvetví. </w:t>
      </w:r>
    </w:p>
    <w:p>
      <w:pPr>
        <w:pStyle w:val="P68B1DB1Normal19"/>
        <w:widowControl w:val="false"/>
        <w:spacing w:lineRule="auto" w:line="240" w:before="326" w:after="0"/>
        <w:ind w:left="0" w:right="9" w:hanging="0"/>
        <w:jc w:val="both"/>
        <w:rPr/>
      </w:pPr>
      <w:r>
        <w:rPr/>
        <w:t xml:space="preserve">Pre občanov by táto zmena bola úspešná, ak by sa zaviedli </w:t>
      </w:r>
      <w:r>
        <w:rPr>
          <w:b/>
        </w:rPr>
        <w:t>záväzné ciele spotreby energie</w:t>
      </w:r>
      <w:r>
        <w:rPr/>
        <w:t xml:space="preserve"> a</w:t>
      </w:r>
      <w:r>
        <w:rPr>
          <w:b/>
        </w:rPr>
        <w:t>kľúčové ukazovatele triezvosti</w:t>
      </w:r>
      <w:r>
        <w:rPr/>
        <w:t xml:space="preserve">, ako je pokles európskej automobilovej flotily alebo spotreba mäsa. Ambíciou je tiež uspieť pri stanovovaní spotrebiteľských </w:t>
      </w:r>
      <w:r>
        <w:rPr>
          <w:b/>
        </w:rPr>
        <w:t>kvót podľa odvetví,</w:t>
      </w:r>
      <w:r>
        <w:rPr/>
        <w:t xml:space="preserve"> pričom sa zohľadnia výkyvy v spotrebe spoločností a bude sa rešpektovať dôvernosť ich údajov. </w:t>
      </w:r>
    </w:p>
    <w:p>
      <w:pPr>
        <w:pStyle w:val="Normal"/>
        <w:spacing w:lineRule="auto" w:line="240"/>
        <w:rPr/>
      </w:pPr>
      <w:r>
        <w:rPr/>
      </w:r>
    </w:p>
    <w:p>
      <w:pPr>
        <w:pStyle w:val="P68B1DB1Normal42"/>
        <w:spacing w:lineRule="auto" w:line="240"/>
        <w:rPr/>
      </w:pPr>
      <w:r>
        <w:rPr/>
        <w:t xml:space="preserve">Zmena 2 – Posilnenie spoločnej obrany a bezpečnosti Európskej únie </w:t>
      </w:r>
    </w:p>
    <w:p>
      <w:pPr>
        <w:pStyle w:val="P68B1DB1Normal43"/>
        <w:widowControl w:val="false"/>
        <w:spacing w:lineRule="auto" w:line="240" w:before="347" w:after="0"/>
        <w:ind w:left="0" w:right="0" w:hanging="0"/>
        <w:jc w:val="left"/>
        <w:rPr/>
      </w:pPr>
      <w:r>
        <w:rPr/>
        <w:t xml:space="preserve">Želanie združenej Európy: Silná Európa vo svete </w:t>
      </w:r>
    </w:p>
    <w:p>
      <w:pPr>
        <w:pStyle w:val="P68B1DB1Normal33"/>
        <w:widowControl w:val="false"/>
        <w:spacing w:lineRule="auto" w:line="240" w:before="321" w:after="0"/>
        <w:ind w:left="0" w:right="0" w:hanging="0"/>
        <w:jc w:val="left"/>
        <w:rPr/>
      </w:pPr>
      <w:r>
        <w:rPr/>
        <w:t xml:space="preserve">Čo táto zmena znamená? </w:t>
      </w:r>
    </w:p>
    <w:p>
      <w:pPr>
        <w:pStyle w:val="P68B1DB1Normal7"/>
        <w:widowControl w:val="false"/>
        <w:spacing w:lineRule="auto" w:line="240" w:before="78" w:after="0"/>
        <w:ind w:left="0" w:right="0" w:hanging="0"/>
        <w:jc w:val="left"/>
        <w:rPr/>
      </w:pPr>
      <w:r>
        <w:rPr>
          <w:i/>
          <w:color w:val="000000"/>
        </w:rPr>
        <w:t>Kľúčové slová: Európska armáda, strategická autonómia</w:t>
      </w:r>
      <w:r>
        <w:rPr>
          <w:b/>
          <w:color w:val="273375"/>
        </w:rPr>
        <w:t xml:space="preserve"> </w:t>
      </w:r>
    </w:p>
    <w:p>
      <w:pPr>
        <w:pStyle w:val="P68B1DB1Normal19"/>
        <w:widowControl w:val="false"/>
        <w:spacing w:lineRule="auto" w:line="240" w:before="201" w:after="0"/>
        <w:ind w:left="0" w:right="10" w:hanging="0"/>
        <w:jc w:val="left"/>
        <w:rPr/>
      </w:pPr>
      <w:r>
        <w:rPr/>
        <w:t>Táto zmena je reakciou na jednomyseľnú vôľu občanov dosiahnuť</w:t>
      </w:r>
      <w:r>
        <w:rPr>
          <w:b/>
        </w:rPr>
        <w:t>autonómiu</w:t>
      </w:r>
      <w:r>
        <w:rPr/>
        <w:t xml:space="preserve"> v oblasti obrany a bezpečnosti v Európe, aby nebola závislá od zahraničných mocností. </w:t>
      </w:r>
    </w:p>
    <w:p>
      <w:pPr>
        <w:pStyle w:val="P68B1DB1Normal33"/>
        <w:widowControl w:val="false"/>
        <w:spacing w:lineRule="auto" w:line="240" w:before="330" w:after="0"/>
        <w:ind w:left="0" w:right="0" w:hanging="0"/>
        <w:jc w:val="left"/>
        <w:rPr/>
      </w:pPr>
      <w:r>
        <w:rPr/>
        <w:t xml:space="preserve">Aké sú kľúčové kroky a kritériá úspešnosti? </w:t>
      </w:r>
    </w:p>
    <w:p>
      <w:pPr>
        <w:pStyle w:val="P68B1DB1Normal19"/>
        <w:widowControl w:val="false"/>
        <w:spacing w:lineRule="auto" w:line="240" w:before="198" w:after="0"/>
        <w:ind w:left="0" w:right="10" w:hanging="0"/>
        <w:jc w:val="left"/>
        <w:rPr/>
      </w:pPr>
      <w:r>
        <w:rPr/>
        <w:t>Úspech tejto zmeny by predovšetkým viedol k vymenovaniu</w:t>
      </w:r>
      <w:r>
        <w:rPr>
          <w:b/>
        </w:rPr>
        <w:t xml:space="preserve"> európskeho komisára</w:t>
      </w:r>
      <w:r>
        <w:rPr/>
        <w:t xml:space="preserve"> pre obranu a bezpečnosť. </w:t>
      </w:r>
    </w:p>
    <w:p>
      <w:pPr>
        <w:pStyle w:val="P68B1DB1Normal19"/>
        <w:widowControl w:val="false"/>
        <w:spacing w:lineRule="auto" w:line="240" w:before="203" w:after="0"/>
        <w:ind w:left="0" w:right="10" w:hanging="0"/>
        <w:jc w:val="both"/>
        <w:rPr/>
      </w:pPr>
      <w:r>
        <w:rPr/>
        <w:t>V oblasti obrany by vytvorenie</w:t>
      </w:r>
      <w:r>
        <w:rPr>
          <w:b/>
        </w:rPr>
        <w:t xml:space="preserve"> stálej, reaktívnej a projektovateľnej armády</w:t>
      </w:r>
      <w:r>
        <w:rPr/>
        <w:t xml:space="preserve"> na celom svete umožnilo Európe chrániť svoje hranice a v prípade potreby zasiahnuť na žiadosť tretích krajín. </w:t>
      </w:r>
    </w:p>
    <w:p>
      <w:pPr>
        <w:pStyle w:val="P68B1DB1Normal19"/>
        <w:widowControl w:val="false"/>
        <w:spacing w:lineRule="auto" w:line="240" w:before="206" w:after="0"/>
        <w:ind w:left="0" w:right="10" w:hanging="0"/>
        <w:jc w:val="both"/>
        <w:rPr/>
      </w:pPr>
      <w:r>
        <w:rPr/>
        <w:t xml:space="preserve">Pokiaľ ide o bezpečnosť, Európa by mala v očiach svojich občanov zaručiť </w:t>
      </w:r>
      <w:r>
        <w:rPr>
          <w:b/>
        </w:rPr>
        <w:t>bezpečnosť svojich dodávok a chrániť svoj</w:t>
      </w:r>
      <w:r>
        <w:rPr/>
        <w:t xml:space="preserve"> </w:t>
      </w:r>
      <w:r>
        <w:rPr>
          <w:b/>
        </w:rPr>
        <w:t>strategický výskum</w:t>
      </w:r>
      <w:r>
        <w:rPr/>
        <w:t xml:space="preserve"> v prioritných odvetviach, ako je kozmický priestor, kybernetická bezpečnosť, zdravotníctvo a životné prostredie. Lepšia </w:t>
      </w:r>
      <w:r>
        <w:rPr>
          <w:b/>
        </w:rPr>
        <w:t>ochrana vonkajších hraníc</w:t>
      </w:r>
      <w:r>
        <w:rPr/>
        <w:t xml:space="preserve"> by tiež mala pomôcť zastaviť nelegálne prisťahovalectvo a obchodovanie s ľuďmi. </w:t>
      </w:r>
    </w:p>
    <w:p>
      <w:pPr>
        <w:pStyle w:val="Normal"/>
        <w:spacing w:lineRule="auto" w:line="240"/>
        <w:rPr/>
      </w:pPr>
      <w:r>
        <w:rPr/>
      </w:r>
    </w:p>
    <w:p>
      <w:pPr>
        <w:pStyle w:val="P68B1DB1Normal42"/>
        <w:spacing w:lineRule="auto" w:line="240"/>
        <w:rPr/>
      </w:pPr>
      <w:r>
        <w:rPr/>
        <w:t xml:space="preserve">Zmena 3 – Podpora kolektívnej hospodárskej výkonnosti prostredníctvom autonómneho, konkurencieschopného a oceňovaného priemyslu zo strany Európskej únie </w:t>
      </w:r>
    </w:p>
    <w:p>
      <w:pPr>
        <w:pStyle w:val="P68B1DB1Normal43"/>
        <w:widowControl w:val="false"/>
        <w:spacing w:lineRule="auto" w:line="240" w:before="347" w:after="0"/>
        <w:ind w:left="0" w:right="0" w:hanging="0"/>
        <w:jc w:val="left"/>
        <w:rPr/>
      </w:pPr>
      <w:r>
        <w:rPr/>
        <w:t xml:space="preserve">Želanie združenej Európy: Európa, ktorá obhajuje svoje záujmy </w:t>
      </w:r>
    </w:p>
    <w:p>
      <w:pPr>
        <w:pStyle w:val="P68B1DB1Normal33"/>
        <w:widowControl w:val="false"/>
        <w:spacing w:lineRule="auto" w:line="240" w:before="323" w:after="0"/>
        <w:ind w:left="0" w:right="0" w:hanging="0"/>
        <w:jc w:val="left"/>
        <w:rPr/>
      </w:pPr>
      <w:r>
        <w:rPr/>
        <w:t xml:space="preserve">Čo táto zmena znamená? </w:t>
      </w:r>
    </w:p>
    <w:p>
      <w:pPr>
        <w:pStyle w:val="P68B1DB1Normal44"/>
        <w:widowControl w:val="false"/>
        <w:spacing w:lineRule="auto" w:line="240" w:before="84" w:after="0"/>
        <w:ind w:left="0" w:right="10" w:hanging="0"/>
        <w:jc w:val="left"/>
        <w:rPr/>
      </w:pPr>
      <w:r>
        <w:rPr/>
        <w:t xml:space="preserve">Kľúčové slová: </w:t>
      </w:r>
    </w:p>
    <w:p>
      <w:pPr>
        <w:pStyle w:val="P68B1DB1Normal7"/>
        <w:widowControl w:val="false"/>
        <w:spacing w:lineRule="auto" w:line="240"/>
        <w:ind w:left="0" w:right="10" w:hanging="0"/>
        <w:jc w:val="left"/>
        <w:rPr/>
      </w:pPr>
      <w:r>
        <w:rPr>
          <w:i/>
          <w:color w:val="000000"/>
        </w:rPr>
        <w:t>Európske preferencie, ochrana know-how, rozvoj európskych šampiónov</w:t>
      </w:r>
      <w:r>
        <w:rPr>
          <w:b/>
          <w:color w:val="273375"/>
        </w:rPr>
        <w:t xml:space="preserve"> </w:t>
      </w:r>
    </w:p>
    <w:p>
      <w:pPr>
        <w:pStyle w:val="P68B1DB1Normal19"/>
        <w:widowControl w:val="false"/>
        <w:spacing w:lineRule="auto" w:line="240" w:before="321" w:after="0"/>
        <w:ind w:left="0" w:right="10" w:hanging="0"/>
        <w:jc w:val="both"/>
        <w:rPr/>
      </w:pPr>
      <w:r>
        <w:rPr/>
        <w:t xml:space="preserve">Cieľom tejto zmeny je dosiahnuť tri ciele: posilniť politiku </w:t>
      </w:r>
      <w:r>
        <w:rPr>
          <w:b/>
        </w:rPr>
        <w:t>„</w:t>
      </w:r>
      <w:r>
        <w:rPr/>
        <w:t xml:space="preserve"> </w:t>
      </w:r>
      <w:r>
        <w:rPr>
          <w:b/>
        </w:rPr>
        <w:t>európskej preferencie“</w:t>
      </w:r>
      <w:r>
        <w:rPr/>
        <w:t xml:space="preserve"> v rámci Únie, zaručiť </w:t>
      </w:r>
      <w:r>
        <w:rPr>
          <w:b/>
        </w:rPr>
        <w:t>ochranu základného tovaru a know-how</w:t>
      </w:r>
      <w:r>
        <w:rPr/>
        <w:t xml:space="preserve"> a vytvoriť </w:t>
      </w:r>
      <w:r>
        <w:rPr>
          <w:b/>
        </w:rPr>
        <w:t>„európskych šampiónov“.</w:t>
      </w:r>
      <w:r>
        <w:rPr/>
        <w:t xml:space="preserve"> </w:t>
      </w:r>
    </w:p>
    <w:p>
      <w:pPr>
        <w:pStyle w:val="P68B1DB1Normal33"/>
        <w:widowControl w:val="false"/>
        <w:spacing w:lineRule="auto" w:line="240" w:before="323" w:after="0"/>
        <w:ind w:left="0" w:right="0" w:hanging="0"/>
        <w:jc w:val="left"/>
        <w:rPr/>
      </w:pPr>
      <w:r>
        <w:rPr/>
        <w:t xml:space="preserve">Aké sú kľúčové kroky a kritériá úspešnosti? </w:t>
      </w:r>
    </w:p>
    <w:p>
      <w:pPr>
        <w:pStyle w:val="P68B1DB1Normal19"/>
        <w:widowControl w:val="false"/>
        <w:spacing w:lineRule="auto" w:line="240" w:before="316" w:after="0"/>
        <w:ind w:left="0" w:right="10" w:hanging="0"/>
        <w:jc w:val="both"/>
        <w:rPr/>
      </w:pPr>
      <w:r>
        <w:rPr/>
        <w:t xml:space="preserve">Dosiahnutie týchto cieľov si v prvom rade vyžaduje zavedenie </w:t>
      </w:r>
      <w:r>
        <w:rPr>
          <w:b/>
        </w:rPr>
        <w:t>politiky „európskej preferencie“</w:t>
      </w:r>
      <w:r>
        <w:rPr/>
        <w:t xml:space="preserve"> v kontexte verejných súťaží a zavedenie </w:t>
      </w:r>
      <w:r>
        <w:rPr>
          <w:b/>
        </w:rPr>
        <w:t>uhlíkovej dane z</w:t>
      </w:r>
      <w:r>
        <w:rPr/>
        <w:t xml:space="preserve"> dovozu. </w:t>
      </w:r>
    </w:p>
    <w:p>
      <w:pPr>
        <w:pStyle w:val="P68B1DB1Normal19"/>
        <w:widowControl w:val="false"/>
        <w:spacing w:lineRule="auto" w:line="240" w:before="332" w:after="0"/>
        <w:ind w:left="0" w:right="10" w:hanging="0"/>
        <w:jc w:val="left"/>
        <w:rPr/>
      </w:pPr>
      <w:r>
        <w:rPr/>
        <w:t xml:space="preserve">Ochrana know-how by viedla k zvýšenej kontrole zahraničných spätných nákupov a investícií a k rozvoju pomoci na </w:t>
      </w:r>
      <w:r>
        <w:rPr>
          <w:b/>
        </w:rPr>
        <w:t>premiestnenie</w:t>
      </w:r>
      <w:r>
        <w:rPr/>
        <w:t xml:space="preserve">. </w:t>
      </w:r>
    </w:p>
    <w:p>
      <w:pPr>
        <w:pStyle w:val="P68B1DB1Normal19"/>
        <w:widowControl w:val="false"/>
        <w:spacing w:lineRule="auto" w:line="240" w:before="323" w:after="0"/>
        <w:ind w:left="0" w:right="10" w:hanging="0"/>
        <w:jc w:val="both"/>
        <w:rPr/>
      </w:pPr>
      <w:r>
        <w:rPr/>
        <w:t xml:space="preserve">Napokon, vytvorenie „európskych šampiónov“ zahŕňa podporu európskych </w:t>
      </w:r>
      <w:r>
        <w:rPr>
          <w:b/>
        </w:rPr>
        <w:t>priemyselných aliancií</w:t>
      </w:r>
      <w:r>
        <w:rPr/>
        <w:t xml:space="preserve"> v strategických odvetviach a podporu investícií do verejného rizikového kapitálu. </w:t>
      </w:r>
    </w:p>
    <w:p>
      <w:pPr>
        <w:pStyle w:val="P68B1DB1Normal45"/>
        <w:widowControl w:val="false"/>
        <w:spacing w:lineRule="auto" w:line="240" w:before="333" w:after="0"/>
        <w:ind w:left="0" w:right="13" w:hanging="0"/>
        <w:jc w:val="both"/>
        <w:rPr/>
      </w:pPr>
      <w:r>
        <w:rPr/>
        <w:t xml:space="preserve">Úspech tejto zmeny sa prejaví pre občanov rozvojom európskych priemyselných aliancií v kľúčových odvetviach, zvýšením počtu premiestnení podnikov a zlepšením obchodnej rovnováhy. </w:t>
      </w:r>
    </w:p>
    <w:p>
      <w:pPr>
        <w:pStyle w:val="P68B1DB1Normal19"/>
        <w:widowControl w:val="false"/>
        <w:spacing w:lineRule="auto" w:line="240" w:before="153" w:after="0"/>
        <w:ind w:left="0" w:right="0" w:hanging="0"/>
        <w:jc w:val="left"/>
        <w:rPr/>
      </w:pPr>
      <w:r>
        <w:rPr/>
        <w:t xml:space="preserve"> </w:t>
      </w:r>
    </w:p>
    <w:p>
      <w:pPr>
        <w:pStyle w:val="P68B1DB1Normal42"/>
        <w:spacing w:lineRule="auto" w:line="240"/>
        <w:rPr/>
      </w:pPr>
      <w:r>
        <w:rPr/>
        <w:t xml:space="preserve">Zmena 4 – Posilnenie postavenia občanov na viacerých úrovniach: účasť, rozhodovanie, kontrola </w:t>
      </w:r>
    </w:p>
    <w:p>
      <w:pPr>
        <w:pStyle w:val="P68B1DB1Normal43"/>
        <w:widowControl w:val="false"/>
        <w:spacing w:lineRule="auto" w:line="240" w:before="347" w:after="0"/>
        <w:ind w:left="0" w:right="0" w:hanging="0"/>
        <w:jc w:val="left"/>
        <w:rPr/>
      </w:pPr>
      <w:r>
        <w:rPr/>
        <w:t xml:space="preserve">Želanie združenej Európy: Demokratickejšia Európa </w:t>
      </w:r>
    </w:p>
    <w:p>
      <w:pPr>
        <w:pStyle w:val="P68B1DB1Normal33"/>
        <w:widowControl w:val="false"/>
        <w:spacing w:lineRule="auto" w:line="240" w:before="323" w:after="0"/>
        <w:ind w:left="0" w:right="0" w:hanging="0"/>
        <w:jc w:val="left"/>
        <w:rPr/>
      </w:pPr>
      <w:r>
        <w:rPr/>
        <w:t xml:space="preserve">Čo táto zmena znamená? </w:t>
      </w:r>
    </w:p>
    <w:p>
      <w:pPr>
        <w:pStyle w:val="P68B1DB1Normal7"/>
        <w:widowControl w:val="false"/>
        <w:spacing w:lineRule="auto" w:line="240" w:before="84" w:after="0"/>
        <w:ind w:left="0" w:right="10" w:hanging="0"/>
        <w:jc w:val="left"/>
        <w:rPr/>
      </w:pPr>
      <w:r>
        <w:rPr>
          <w:i/>
          <w:color w:val="000000"/>
        </w:rPr>
        <w:t>Kľúčové slová: zvýšenie účasti voličov, európsky barometer spokojnosti, zovšeobecnenie konzultácií s občanmi</w:t>
      </w:r>
      <w:r>
        <w:rPr>
          <w:b/>
          <w:color w:val="273375"/>
        </w:rPr>
        <w:t xml:space="preserve"> </w:t>
      </w:r>
    </w:p>
    <w:p>
      <w:pPr>
        <w:pStyle w:val="P68B1DB1Normal19"/>
        <w:widowControl w:val="false"/>
        <w:spacing w:lineRule="auto" w:line="240" w:before="324" w:after="0"/>
        <w:ind w:left="0" w:right="10" w:hanging="0"/>
        <w:jc w:val="both"/>
        <w:rPr/>
      </w:pPr>
      <w:r>
        <w:rPr/>
        <w:t>V dôsledku tejto zmeny občania navrhujú vytvoriť pre</w:t>
      </w:r>
      <w:r>
        <w:rPr>
          <w:i/>
        </w:rPr>
        <w:t xml:space="preserve"> </w:t>
      </w:r>
      <w:r>
        <w:rPr/>
        <w:t xml:space="preserve">Európanov „ </w:t>
      </w:r>
      <w:r>
        <w:rPr>
          <w:i/>
        </w:rPr>
        <w:t>úplnú skúsenosť občanov“</w:t>
      </w:r>
      <w:r>
        <w:rPr/>
        <w:t xml:space="preserve">, čím sa zvýši ich </w:t>
      </w:r>
      <w:r>
        <w:rPr>
          <w:b/>
        </w:rPr>
        <w:t>zapojenie do</w:t>
      </w:r>
      <w:r>
        <w:rPr/>
        <w:t xml:space="preserve"> všetkých fáz rozhodovacieho procesu. Odráža ochotu občanov </w:t>
      </w:r>
      <w:r>
        <w:rPr>
          <w:b/>
        </w:rPr>
        <w:t>vyjadriť svoje názory</w:t>
      </w:r>
      <w:r>
        <w:rPr/>
        <w:t xml:space="preserve"> a ovplyvňovať verejné politiky ovplyvňujúce ich každodenný život. </w:t>
      </w:r>
    </w:p>
    <w:p>
      <w:pPr>
        <w:pStyle w:val="P68B1DB1Normal33"/>
        <w:widowControl w:val="false"/>
        <w:spacing w:lineRule="auto" w:line="240" w:before="330" w:after="0"/>
        <w:ind w:left="0" w:right="0" w:hanging="0"/>
        <w:jc w:val="left"/>
        <w:rPr/>
      </w:pPr>
      <w:r>
        <w:rPr/>
        <w:t xml:space="preserve">Aké sú kľúčové kroky a kritériá úspešnosti? </w:t>
      </w:r>
    </w:p>
    <w:p>
      <w:pPr>
        <w:pStyle w:val="P68B1DB1Normal24"/>
        <w:widowControl w:val="false"/>
        <w:spacing w:lineRule="auto" w:line="240" w:before="323" w:after="0"/>
        <w:ind w:left="0" w:right="13" w:hanging="0"/>
        <w:jc w:val="both"/>
        <w:rPr/>
      </w:pPr>
      <w:r>
        <w:rPr/>
        <w:t>Je to najmä pre občanov, aby rozvíjali a udržiavali iniciatívy zamerané na účasť občanov</w:t>
      </w:r>
      <w:r>
        <w:rPr>
          <w:b/>
        </w:rPr>
        <w:t xml:space="preserve">. </w:t>
      </w:r>
      <w:r>
        <w:rPr/>
        <w:t xml:space="preserve">Na tento účel by sa mohlo zaviesť niekoľko nástrojov: zriadenie </w:t>
      </w:r>
      <w:r>
        <w:rPr>
          <w:b/>
        </w:rPr>
        <w:t>stálej poradnej komory</w:t>
      </w:r>
      <w:r>
        <w:rPr/>
        <w:t xml:space="preserve">, registrácia </w:t>
      </w:r>
      <w:r>
        <w:rPr>
          <w:b/>
        </w:rPr>
        <w:t>občianskej moci</w:t>
      </w:r>
      <w:r>
        <w:rPr/>
        <w:t xml:space="preserve"> v európskych zmluvách alebo vytvorenie </w:t>
      </w:r>
      <w:r>
        <w:rPr>
          <w:b/>
        </w:rPr>
        <w:t>značky</w:t>
      </w:r>
      <w:r>
        <w:rPr/>
        <w:t xml:space="preserve"> potvrdzujúcej právne predpisy, ktoré boli predmetom konzultácie s občanmi. </w:t>
      </w:r>
    </w:p>
    <w:p>
      <w:pPr>
        <w:pStyle w:val="P68B1DB1Normal19"/>
        <w:widowControl w:val="false"/>
        <w:spacing w:lineRule="auto" w:line="240" w:before="230" w:after="0"/>
        <w:ind w:left="0" w:right="10" w:hanging="0"/>
        <w:jc w:val="both"/>
        <w:rPr/>
      </w:pPr>
      <w:r>
        <w:rPr/>
        <w:t xml:space="preserve">Úspech tejto zmeny by sa prejavil nárastom ukazovateľov, ako je </w:t>
      </w:r>
      <w:r>
        <w:rPr>
          <w:b/>
        </w:rPr>
        <w:t>účasť na voľbách, záujem</w:t>
      </w:r>
      <w:r>
        <w:rPr/>
        <w:t xml:space="preserve"> a </w:t>
      </w:r>
      <w:r>
        <w:rPr>
          <w:b/>
        </w:rPr>
        <w:t>dôvera</w:t>
      </w:r>
      <w:r>
        <w:rPr/>
        <w:t xml:space="preserve"> vyjadrená v Európskej únii a </w:t>
      </w:r>
      <w:r>
        <w:rPr>
          <w:b/>
        </w:rPr>
        <w:t>účasť európskych webových stránok</w:t>
      </w:r>
      <w:r>
        <w:rPr/>
        <w:t xml:space="preserve">. Zvýšenie počtu rozhodnutí prijatých po konzultácii s občanmi a zvýšené využívanie </w:t>
      </w:r>
      <w:r>
        <w:rPr>
          <w:b/>
        </w:rPr>
        <w:t>európskych iniciatív občanov (ECI</w:t>
      </w:r>
      <w:r>
        <w:rPr/>
        <w:t xml:space="preserve">) sa tiež považujú za ukazovatele úspechu. </w:t>
      </w:r>
    </w:p>
    <w:p>
      <w:pPr>
        <w:pStyle w:val="P68B1DB1Normal19"/>
        <w:widowControl w:val="false"/>
        <w:spacing w:lineRule="auto" w:line="240" w:before="90" w:after="0"/>
        <w:ind w:left="0" w:right="0" w:hanging="0"/>
        <w:jc w:val="left"/>
        <w:rPr/>
      </w:pPr>
      <w:r>
        <w:rPr/>
        <w:t xml:space="preserve"> </w:t>
      </w:r>
    </w:p>
    <w:p>
      <w:pPr>
        <w:pStyle w:val="P68B1DB1Normal42"/>
        <w:spacing w:lineRule="auto" w:line="240"/>
        <w:rPr/>
      </w:pPr>
      <w:r>
        <w:rPr/>
        <w:t xml:space="preserve">Zmena 5 – Smerom k federácii európskych štátov so silnými právomocami v oblastiach spoločného záujmu </w:t>
      </w:r>
    </w:p>
    <w:p>
      <w:pPr>
        <w:pStyle w:val="P68B1DB1Normal43"/>
        <w:widowControl w:val="false"/>
        <w:spacing w:lineRule="auto" w:line="240" w:before="347" w:after="0"/>
        <w:ind w:left="0" w:right="0" w:hanging="0"/>
        <w:jc w:val="left"/>
        <w:rPr/>
      </w:pPr>
      <w:r>
        <w:rPr/>
        <w:t xml:space="preserve">Želanie združenej Európy: Jednotnejšia Európa </w:t>
      </w:r>
    </w:p>
    <w:p>
      <w:pPr>
        <w:pStyle w:val="P68B1DB1Normal33"/>
        <w:widowControl w:val="false"/>
        <w:spacing w:lineRule="auto" w:line="240" w:before="323" w:after="0"/>
        <w:ind w:left="0" w:right="0" w:hanging="0"/>
        <w:jc w:val="left"/>
        <w:rPr/>
      </w:pPr>
      <w:r>
        <w:rPr/>
        <w:t xml:space="preserve">Čo táto zmena znamená? </w:t>
      </w:r>
    </w:p>
    <w:p>
      <w:pPr>
        <w:pStyle w:val="P68B1DB1Normal7"/>
        <w:widowControl w:val="false"/>
        <w:spacing w:lineRule="auto" w:line="240" w:before="76" w:after="0"/>
        <w:ind w:left="0" w:right="0" w:hanging="0"/>
        <w:jc w:val="left"/>
        <w:rPr/>
      </w:pPr>
      <w:r>
        <w:rPr>
          <w:i/>
          <w:color w:val="000000"/>
        </w:rPr>
        <w:t>Kľúčové slová: zjednotenie inštitúcií, zvolený predseda, posilnenie právomocí EÚ</w:t>
      </w:r>
      <w:r>
        <w:rPr>
          <w:b/>
          <w:color w:val="273375"/>
        </w:rPr>
        <w:t xml:space="preserve"> </w:t>
      </w:r>
    </w:p>
    <w:p>
      <w:pPr>
        <w:pStyle w:val="P68B1DB1Normal19"/>
        <w:widowControl w:val="false"/>
        <w:spacing w:lineRule="auto" w:line="240" w:before="244" w:after="0"/>
        <w:ind w:left="0" w:right="10" w:hanging="0"/>
        <w:jc w:val="both"/>
        <w:rPr/>
      </w:pPr>
      <w:r>
        <w:rPr/>
        <w:t>Táto zmena odráža ambíciu občanov</w:t>
      </w:r>
      <w:r>
        <w:rPr>
          <w:b/>
        </w:rPr>
        <w:t>zjednotiť</w:t>
      </w:r>
      <w:r>
        <w:rPr/>
        <w:t xml:space="preserve"> európske politické inštitúcie. Zobrazený model je model federácie štátov s cieľom </w:t>
      </w:r>
      <w:r>
        <w:rPr>
          <w:b/>
        </w:rPr>
        <w:t>posilniť spoločné alebo výlučné právomoci</w:t>
      </w:r>
      <w:r>
        <w:rPr/>
        <w:t xml:space="preserve"> Európskej únie bez toho, aby sa posunul smerom k federálnemu štátu. </w:t>
      </w:r>
    </w:p>
    <w:p>
      <w:pPr>
        <w:pStyle w:val="P68B1DB1Normal33"/>
        <w:widowControl w:val="false"/>
        <w:spacing w:lineRule="auto" w:line="240" w:before="330" w:after="0"/>
        <w:ind w:left="0" w:right="0" w:hanging="0"/>
        <w:jc w:val="left"/>
        <w:rPr/>
      </w:pPr>
      <w:r>
        <w:rPr/>
        <w:t xml:space="preserve">Aké sú kľúčové míľniky a kritériá úspechu? </w:t>
      </w:r>
    </w:p>
    <w:p>
      <w:pPr>
        <w:pStyle w:val="P68B1DB1Normal19"/>
        <w:widowControl w:val="false"/>
        <w:spacing w:lineRule="auto" w:line="240" w:before="239" w:after="0"/>
        <w:ind w:left="0" w:right="10" w:hanging="0"/>
        <w:jc w:val="both"/>
        <w:rPr/>
      </w:pPr>
      <w:r>
        <w:rPr/>
        <w:t xml:space="preserve">Vnútorne by táto zmena mohla zahŕňať </w:t>
      </w:r>
      <w:r>
        <w:rPr>
          <w:b/>
        </w:rPr>
        <w:t>rozvoj účasti občanov</w:t>
      </w:r>
      <w:r>
        <w:rPr/>
        <w:t xml:space="preserve">, vytvorenie </w:t>
      </w:r>
      <w:r>
        <w:rPr>
          <w:b/>
        </w:rPr>
        <w:t>európskych ministerstiev v</w:t>
      </w:r>
      <w:r>
        <w:rPr/>
        <w:t xml:space="preserve"> členských štátoch a z dlhodobého hľadiska</w:t>
      </w:r>
      <w:r>
        <w:rPr>
          <w:b/>
        </w:rPr>
        <w:t xml:space="preserve">voľbu </w:t>
      </w:r>
      <w:r>
        <w:rPr/>
        <w:t xml:space="preserve">predsedu Európskej komisie vo </w:t>
      </w:r>
      <w:r>
        <w:rPr>
          <w:b/>
        </w:rPr>
        <w:t>všeobecných voľbách</w:t>
      </w:r>
      <w:r>
        <w:rPr/>
        <w:t xml:space="preserve">. </w:t>
      </w:r>
    </w:p>
    <w:p>
      <w:pPr>
        <w:pStyle w:val="P68B1DB1Normal19"/>
        <w:widowControl w:val="false"/>
        <w:spacing w:lineRule="auto" w:line="240" w:before="327" w:after="0"/>
        <w:ind w:left="0" w:right="10" w:hanging="0"/>
        <w:jc w:val="left"/>
        <w:rPr/>
      </w:pPr>
      <w:r>
        <w:rPr/>
        <w:t xml:space="preserve">Navonok by sa posilnenie európskeho hlasu v zahraničí premietlo do </w:t>
      </w:r>
      <w:r>
        <w:rPr>
          <w:b/>
        </w:rPr>
        <w:t xml:space="preserve">inkarnácie </w:t>
      </w:r>
      <w:r>
        <w:rPr/>
        <w:t>prostredníctvom</w:t>
      </w:r>
      <w:r>
        <w:rPr>
          <w:b/>
        </w:rPr>
        <w:t xml:space="preserve"> jedinečného zástupcu</w:t>
      </w:r>
      <w:r>
        <w:rPr/>
        <w:t xml:space="preserve"> </w:t>
      </w:r>
      <w:r>
        <w:rPr>
          <w:b/>
        </w:rPr>
        <w:t>Európy</w:t>
      </w:r>
      <w:r>
        <w:rPr/>
        <w:t xml:space="preserve"> na medzinárodnej scéne. </w:t>
      </w:r>
    </w:p>
    <w:p>
      <w:pPr>
        <w:pStyle w:val="P68B1DB1Normal24"/>
        <w:widowControl w:val="false"/>
        <w:spacing w:lineRule="auto" w:line="240" w:before="324" w:after="0"/>
        <w:ind w:left="0" w:right="15" w:hanging="0"/>
        <w:jc w:val="left"/>
        <w:rPr/>
      </w:pPr>
      <w:r>
        <w:rPr/>
        <w:t xml:space="preserve">Táto federácia štátov by tiež profitovala zo zvýšeného </w:t>
      </w:r>
      <w:r>
        <w:rPr>
          <w:b/>
        </w:rPr>
        <w:t>európskeho rozpočtu</w:t>
      </w:r>
      <w:r>
        <w:rPr/>
        <w:t xml:space="preserve"> s ambíciou dosiahnuť 10 % HDP (v porovnaní so súčasnými 2 %).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pPr>
      <w:r>
        <w:rPr/>
        <w:t xml:space="preserve">Zmena 6 – Navrhovanie celoživotných výmenných programov </w:t>
      </w:r>
    </w:p>
    <w:p>
      <w:pPr>
        <w:pStyle w:val="P68B1DB1Normal43"/>
        <w:widowControl w:val="false"/>
        <w:spacing w:lineRule="auto" w:line="240" w:before="349" w:after="0"/>
        <w:ind w:left="0" w:right="0" w:hanging="0"/>
        <w:jc w:val="left"/>
        <w:rPr/>
      </w:pPr>
      <w:r>
        <w:rPr/>
        <w:t xml:space="preserve">Želanie združenej Európy: Európa, ktorá stavia vzdelávanie do popredia </w:t>
      </w:r>
    </w:p>
    <w:p>
      <w:pPr>
        <w:pStyle w:val="P68B1DB1Normal33"/>
        <w:widowControl w:val="false"/>
        <w:spacing w:lineRule="auto" w:line="240" w:before="326" w:after="0"/>
        <w:ind w:left="0" w:right="0" w:hanging="0"/>
        <w:jc w:val="left"/>
        <w:rPr/>
      </w:pPr>
      <w:r>
        <w:rPr/>
        <w:t xml:space="preserve">Čo táto zmena znamená? </w:t>
      </w:r>
    </w:p>
    <w:p>
      <w:pPr>
        <w:pStyle w:val="P68B1DB1Normal44"/>
        <w:widowControl w:val="false"/>
        <w:spacing w:lineRule="auto" w:line="240" w:before="326" w:after="0"/>
        <w:ind w:left="0" w:right="0" w:hanging="0"/>
        <w:jc w:val="left"/>
        <w:rPr/>
      </w:pPr>
      <w:r>
        <w:rPr/>
        <w:t xml:space="preserve">Kľúčové slová: školské výmeny, Erasmus </w:t>
      </w:r>
    </w:p>
    <w:p>
      <w:pPr>
        <w:pStyle w:val="P68B1DB1Normal19"/>
        <w:widowControl w:val="false"/>
        <w:spacing w:lineRule="auto" w:line="240" w:before="330" w:after="0"/>
        <w:ind w:left="0" w:right="0" w:hanging="0"/>
        <w:jc w:val="both"/>
        <w:rPr/>
      </w:pPr>
      <w:r>
        <w:rPr/>
        <w:t xml:space="preserve">Všeobecne uznávaná táto zmena odráža význam stretnutí a skúseností v zahraničí pre občanov ako silného kvasu európskeho sentimentu. Ambíciou je prejsť </w:t>
      </w:r>
      <w:r>
        <w:rPr>
          <w:i/>
        </w:rPr>
        <w:t>„od akademických znalostí k živému</w:t>
      </w:r>
      <w:r>
        <w:rPr>
          <w:b/>
          <w:i/>
        </w:rPr>
        <w:t>, skúsenému a citlivému prístupu k</w:t>
      </w:r>
      <w:r>
        <w:rPr>
          <w:i/>
        </w:rPr>
        <w:t>Európe</w:t>
      </w:r>
      <w:r>
        <w:rPr/>
        <w:t xml:space="preserve">“ a chápať vzdelávanie v širšom zmysle ako </w:t>
      </w:r>
      <w:r>
        <w:rPr>
          <w:b/>
        </w:rPr>
        <w:t xml:space="preserve">celoživotné vzdelávanie. </w:t>
      </w:r>
    </w:p>
    <w:p>
      <w:pPr>
        <w:pStyle w:val="P68B1DB1Normal33"/>
        <w:widowControl w:val="false"/>
        <w:spacing w:lineRule="auto" w:line="240" w:before="323" w:after="0"/>
        <w:ind w:left="0" w:right="0" w:hanging="0"/>
        <w:jc w:val="left"/>
        <w:rPr/>
      </w:pPr>
      <w:r>
        <w:rPr/>
        <w:t xml:space="preserve">Aké sú kľúčové kroky a kritériá úspešnosti? </w:t>
      </w:r>
    </w:p>
    <w:p>
      <w:pPr>
        <w:pStyle w:val="P68B1DB1Normal24"/>
        <w:widowControl w:val="false"/>
        <w:spacing w:lineRule="auto" w:line="240" w:before="317" w:after="0"/>
        <w:ind w:left="0" w:right="4" w:hanging="0"/>
        <w:jc w:val="both"/>
        <w:rPr/>
      </w:pPr>
      <w:r>
        <w:rPr/>
        <w:t xml:space="preserve">Úspech takejto zmeny je spôsobený najmä zavedením </w:t>
      </w:r>
      <w:r>
        <w:rPr>
          <w:b/>
        </w:rPr>
        <w:t>rozšírenej ponuky mobility</w:t>
      </w:r>
      <w:r>
        <w:rPr/>
        <w:t xml:space="preserve">, okrem iného vrátane školských výmen, twinningu, cestovania a profesijnej mobility. Pre občanov musí byť táto ponuka prístupná pre všetkých, najmä pre tých, ktorí majú nízke zdroje alebo zdravotné postihnutie. Program Erasmus by sa napríklad mohol vzťahovať na všetkých Európanov bez obmedzenia veku alebo zdrojov. Tieto programy musia byť koncipované ako </w:t>
      </w:r>
      <w:r>
        <w:rPr>
          <w:b/>
        </w:rPr>
        <w:t>rôznorodé, inkluzívne</w:t>
      </w:r>
      <w:r>
        <w:rPr>
          <w:b/>
          <w:sz w:val="20"/>
        </w:rPr>
        <w:t xml:space="preserve"> </w:t>
      </w:r>
      <w:r>
        <w:rPr>
          <w:b/>
        </w:rPr>
        <w:t>a prístupné</w:t>
      </w:r>
      <w:r>
        <w:rPr/>
        <w:t xml:space="preserve"> so zjednodušenými administratívnymi postupmi. </w:t>
      </w:r>
    </w:p>
    <w:p>
      <w:pPr>
        <w:pStyle w:val="P68B1DB1Normal24"/>
        <w:widowControl w:val="false"/>
        <w:spacing w:lineRule="auto" w:line="240" w:before="232" w:after="0"/>
        <w:ind w:left="0" w:right="3" w:hanging="0"/>
        <w:jc w:val="both"/>
        <w:rPr/>
      </w:pPr>
      <w:r>
        <w:rPr/>
        <w:t xml:space="preserve">Okrem mobilít sa spomenul aj </w:t>
      </w:r>
      <w:r>
        <w:rPr>
          <w:b/>
        </w:rPr>
        <w:t>význam rozvoja prepojení medzi vzdelávacími systémami</w:t>
      </w:r>
      <w:r>
        <w:rPr/>
        <w:t xml:space="preserve"> (rovnocennosť diplomov atď.) a zvýšenie príťažlivosti Európy s cieľom zabrániť úniku talentov do zahraničia. </w:t>
      </w:r>
    </w:p>
    <w:p>
      <w:pPr>
        <w:pStyle w:val="P68B1DB1Normal19"/>
        <w:widowControl w:val="false"/>
        <w:spacing w:lineRule="auto" w:line="240" w:before="153" w:after="0"/>
        <w:ind w:left="0" w:right="0" w:hanging="0"/>
        <w:jc w:val="left"/>
        <w:rPr/>
      </w:pPr>
      <w:r>
        <w:rPr/>
        <w:t xml:space="preserve"> </w:t>
      </w:r>
    </w:p>
    <w:p>
      <w:pPr>
        <w:pStyle w:val="P68B1DB1Normal42"/>
        <w:spacing w:lineRule="auto" w:line="240"/>
        <w:rPr/>
      </w:pPr>
      <w:r>
        <w:rPr/>
        <w:t xml:space="preserve">Zmena 7 – Zdieľanie európskych kultúr prostredníctvom zjednocujúcich udalostí a podujatí </w:t>
      </w:r>
    </w:p>
    <w:p>
      <w:pPr>
        <w:pStyle w:val="P68B1DB1Normal43"/>
        <w:widowControl w:val="false"/>
        <w:spacing w:lineRule="auto" w:line="240" w:before="347" w:after="0"/>
        <w:ind w:left="0" w:right="0" w:hanging="0"/>
        <w:jc w:val="left"/>
        <w:rPr/>
      </w:pPr>
      <w:r>
        <w:rPr/>
        <w:t xml:space="preserve">Želanie združenej Európy: Európa so spoločnými kultúrami a identitami </w:t>
      </w:r>
    </w:p>
    <w:p>
      <w:pPr>
        <w:pStyle w:val="P68B1DB1Normal33"/>
        <w:widowControl w:val="false"/>
        <w:spacing w:lineRule="auto" w:line="240" w:before="326" w:after="0"/>
        <w:ind w:left="0" w:right="0" w:hanging="0"/>
        <w:jc w:val="left"/>
        <w:rPr/>
      </w:pPr>
      <w:r>
        <w:rPr/>
        <w:t xml:space="preserve">Čo táto zmena znamená? </w:t>
      </w:r>
    </w:p>
    <w:p>
      <w:pPr>
        <w:pStyle w:val="P68B1DB1Normal44"/>
        <w:widowControl w:val="false"/>
        <w:spacing w:lineRule="auto" w:line="240" w:before="206" w:after="0"/>
        <w:ind w:left="0" w:right="0" w:hanging="0"/>
        <w:jc w:val="left"/>
        <w:rPr/>
      </w:pPr>
      <w:r>
        <w:rPr/>
        <w:t xml:space="preserve">Kľúčové slová: Európsky festival, Európsky štátny sviatok, Svetová výstava Európy </w:t>
      </w:r>
    </w:p>
    <w:p>
      <w:pPr>
        <w:pStyle w:val="P68B1DB1Normal19"/>
        <w:widowControl w:val="false"/>
        <w:spacing w:lineRule="auto" w:line="240" w:before="246" w:after="0"/>
        <w:ind w:left="0" w:right="10" w:hanging="0"/>
        <w:jc w:val="left"/>
        <w:rPr/>
      </w:pPr>
      <w:r>
        <w:rPr/>
        <w:t xml:space="preserve">Cieľom tejto zmeny je </w:t>
      </w:r>
      <w:r>
        <w:rPr>
          <w:b/>
        </w:rPr>
        <w:t>vytvoriť a žiť európskeho ducha</w:t>
      </w:r>
      <w:r>
        <w:rPr/>
        <w:t xml:space="preserve"> prostredníctvom spoločných skúseností, podujatí a slávnostných podujatí. </w:t>
      </w:r>
    </w:p>
    <w:p>
      <w:pPr>
        <w:pStyle w:val="P68B1DB1Normal33"/>
        <w:widowControl w:val="false"/>
        <w:spacing w:lineRule="auto" w:line="240" w:before="330" w:after="0"/>
        <w:ind w:left="0" w:right="0" w:hanging="0"/>
        <w:jc w:val="left"/>
        <w:rPr/>
      </w:pPr>
      <w:r>
        <w:rPr/>
        <w:t xml:space="preserve">Aké sú kľúčové kroky a kritériá úspešnosti? </w:t>
      </w:r>
    </w:p>
    <w:p>
      <w:pPr>
        <w:pStyle w:val="P68B1DB1Normal19"/>
        <w:widowControl w:val="false"/>
        <w:spacing w:lineRule="auto" w:line="240" w:before="239" w:after="0"/>
        <w:ind w:left="0" w:right="10" w:hanging="0"/>
        <w:jc w:val="both"/>
        <w:rPr/>
      </w:pPr>
      <w:r>
        <w:rPr/>
        <w:t>Udalosti, ktoré si občania predstavujú, sú určené na to</w:t>
      </w:r>
      <w:r>
        <w:rPr>
          <w:b/>
        </w:rPr>
        <w:t>, aby boli zábavné, zjednocujúce a populárne</w:t>
      </w:r>
      <w:r>
        <w:rPr/>
        <w:t xml:space="preserve">, aby ich zdieľal najväčší počet. Na tento účel by mali zapojiť </w:t>
      </w:r>
      <w:r>
        <w:rPr>
          <w:b/>
        </w:rPr>
        <w:t>všetky publikum</w:t>
      </w:r>
      <w:r>
        <w:rPr/>
        <w:t xml:space="preserve"> (vrátane detí, školského publika, mladých ľudí a študentov programu Erasmus) a mali by sa konať na </w:t>
      </w:r>
      <w:r>
        <w:rPr>
          <w:b/>
        </w:rPr>
        <w:t>rôznych miestach</w:t>
      </w:r>
      <w:r>
        <w:rPr/>
        <w:t xml:space="preserve"> (dôchodkové domy, školy, orgány verejnej správy, väznice atď.). </w:t>
      </w:r>
    </w:p>
    <w:p>
      <w:pPr>
        <w:pStyle w:val="P68B1DB1Normal24"/>
        <w:widowControl w:val="false"/>
        <w:spacing w:lineRule="auto" w:line="240" w:before="327" w:after="0"/>
        <w:ind w:left="0" w:right="13" w:hanging="0"/>
        <w:jc w:val="both"/>
        <w:rPr/>
      </w:pPr>
      <w:r>
        <w:rPr/>
        <w:t xml:space="preserve">Konkrétne sa plánovali dve podujatia na zblíženie Európanov: </w:t>
      </w:r>
      <w:r>
        <w:rPr>
          <w:b/>
        </w:rPr>
        <w:t>univerzálna výstava Európy</w:t>
      </w:r>
      <w:r>
        <w:rPr/>
        <w:t xml:space="preserve">, ktorá by umožnila reprezentovať všetky členské štáty, a </w:t>
      </w:r>
      <w:r>
        <w:rPr>
          <w:b/>
        </w:rPr>
        <w:t>prepracovanie Dňa Európy 9.</w:t>
      </w:r>
      <w:r>
        <w:rPr/>
        <w:t xml:space="preserve">mája, ktoré by zahŕňalo najmä vzdelávacie podujatie, aby </w:t>
      </w:r>
      <w:r>
        <w:rPr>
          <w:i/>
        </w:rPr>
        <w:t>sme „nezabudli na mier spojený s Európou a jej hodnotami</w:t>
      </w:r>
      <w:r>
        <w:rPr/>
        <w:t xml:space="preserve">“. Zároveň by sa európski zástupcovia mohli stretnúť so školákmi kontinentu vo svojich školách s cieľom posilniť blízkosť a pochopenie Európy občanov od útleho veku. </w:t>
      </w:r>
    </w:p>
    <w:p>
      <w:pPr>
        <w:pStyle w:val="P68B1DB1Normal19"/>
        <w:widowControl w:val="false"/>
        <w:spacing w:lineRule="auto" w:line="240" w:before="112" w:after="0"/>
        <w:ind w:left="0" w:right="0" w:hanging="0"/>
        <w:jc w:val="left"/>
        <w:rPr/>
      </w:pPr>
      <w:r>
        <w:rPr/>
        <w:t xml:space="preserve"> </w:t>
      </w:r>
    </w:p>
    <w:p>
      <w:pPr>
        <w:pStyle w:val="P68B1DB1Normal42"/>
        <w:spacing w:lineRule="auto" w:line="240"/>
        <w:rPr/>
      </w:pPr>
      <w:r>
        <w:rPr/>
        <w:t xml:space="preserve">Zmena 8 – Harmonizácia zdravia a jeho sprístupnenie pre všetkých Európanov prostredníctvom spoločnej politiky v oblasti zdravia </w:t>
      </w:r>
    </w:p>
    <w:p>
      <w:pPr>
        <w:pStyle w:val="P68B1DB1Normal43"/>
        <w:widowControl w:val="false"/>
        <w:spacing w:lineRule="auto" w:line="240" w:before="347" w:after="0"/>
        <w:ind w:left="0" w:right="0" w:hanging="0"/>
        <w:jc w:val="left"/>
        <w:rPr/>
      </w:pPr>
      <w:r>
        <w:rPr/>
        <w:t xml:space="preserve">Želanie združenej Európy: Solidarita Európa, ktorá chráni </w:t>
      </w:r>
    </w:p>
    <w:p>
      <w:pPr>
        <w:pStyle w:val="P68B1DB1Normal33"/>
        <w:widowControl w:val="false"/>
        <w:spacing w:lineRule="auto" w:line="240" w:before="326" w:after="0"/>
        <w:ind w:left="0" w:right="0" w:hanging="0"/>
        <w:jc w:val="left"/>
        <w:rPr/>
      </w:pPr>
      <w:r>
        <w:rPr/>
        <w:t xml:space="preserve">Čo táto zmena znamená? </w:t>
      </w:r>
    </w:p>
    <w:p>
      <w:pPr>
        <w:pStyle w:val="P68B1DB1Normal7"/>
        <w:widowControl w:val="false"/>
        <w:spacing w:lineRule="auto" w:line="240" w:before="86" w:after="0"/>
        <w:ind w:left="0" w:right="10" w:hanging="0"/>
        <w:jc w:val="left"/>
        <w:rPr/>
      </w:pPr>
      <w:r>
        <w:rPr>
          <w:i/>
          <w:color w:val="000000"/>
        </w:rPr>
        <w:t>Kľúčové slová: všeobecná zdravotná starostlivosť, harmonizácia starostlivosti, zdravie ako základné právo</w:t>
      </w:r>
      <w:r>
        <w:rPr>
          <w:b/>
          <w:color w:val="273375"/>
        </w:rPr>
        <w:t xml:space="preserve"> </w:t>
      </w:r>
    </w:p>
    <w:p>
      <w:pPr>
        <w:pStyle w:val="P68B1DB1Normal19"/>
        <w:widowControl w:val="false"/>
        <w:spacing w:lineRule="auto" w:line="240" w:before="248" w:after="0"/>
        <w:ind w:left="0" w:right="10" w:hanging="0"/>
        <w:jc w:val="both"/>
        <w:rPr/>
      </w:pPr>
      <w:r>
        <w:rPr/>
        <w:t xml:space="preserve">S cieľom zaručiť prístup k zdraviu pre všetkých Európanov a reagovať </w:t>
      </w:r>
      <w:r>
        <w:rPr>
          <w:i/>
        </w:rPr>
        <w:t>na „potrebu ochrany a solidarity</w:t>
      </w:r>
      <w:r>
        <w:rPr/>
        <w:t xml:space="preserve">“ bol jednomyseľne navrhnutý </w:t>
      </w:r>
      <w:r>
        <w:rPr>
          <w:b/>
        </w:rPr>
        <w:t>nadnárodný systém zdravotnej starostlivosti</w:t>
      </w:r>
      <w:r>
        <w:rPr/>
        <w:t xml:space="preserve">. Bol by založený na spravodlivom financovaní medzi členskými štátmi a vychádzal by z najlepších systémov EÚ. Takáto zmena odráža ochotu občanov vidieť, že Európa zohráva aktívnejšiu úlohu pri ochrane svojich obyvateľov, najmä v oblasti zdravia, kde sa doterajšie opatrenia považujú za príliš plaché. </w:t>
      </w:r>
    </w:p>
    <w:p>
      <w:pPr>
        <w:pStyle w:val="P68B1DB1Normal33"/>
        <w:widowControl w:val="false"/>
        <w:spacing w:lineRule="auto" w:line="240" w:before="330" w:after="0"/>
        <w:ind w:left="0" w:right="0" w:hanging="0"/>
        <w:jc w:val="left"/>
        <w:rPr/>
      </w:pPr>
      <w:r>
        <w:rPr/>
        <w:t xml:space="preserve">Aké sú kľúčové kroky a kritériá úspešnosti? </w:t>
      </w:r>
    </w:p>
    <w:p>
      <w:pPr>
        <w:pStyle w:val="P68B1DB1Normal19"/>
        <w:widowControl w:val="false"/>
        <w:spacing w:lineRule="auto" w:line="240" w:before="239" w:after="0"/>
        <w:ind w:left="0" w:right="10" w:hanging="0"/>
        <w:jc w:val="both"/>
        <w:rPr/>
      </w:pPr>
      <w:r>
        <w:rPr/>
        <w:t xml:space="preserve">Na vykonanie tejto zmeny väčšina schválila </w:t>
      </w:r>
      <w:r>
        <w:rPr>
          <w:b/>
        </w:rPr>
        <w:t>zásadu európskeho všeobecného sociálneho zabezpečenia</w:t>
      </w:r>
      <w:r>
        <w:rPr/>
        <w:t xml:space="preserve">. O opatreniach na zavedenie tohto systému však nebolo možné rozhodnúť. Zatiaľ čo niektorí argumentujú </w:t>
      </w:r>
      <w:r>
        <w:rPr>
          <w:i/>
        </w:rPr>
        <w:t xml:space="preserve">za „centralizáciu údajov, ktorá umožní [európskym] zdravotníckym pracovníkom prístup k celej anamnéze pacienta“, </w:t>
      </w:r>
      <w:r>
        <w:rPr/>
        <w:t xml:space="preserve">iní vnímajú toto opatrenie ako </w:t>
      </w:r>
      <w:r>
        <w:rPr>
          <w:i/>
        </w:rPr>
        <w:t>„ďalšie pozbavenie slobody a systém kontroly“.</w:t>
      </w:r>
      <w:r>
        <w:rPr/>
        <w:t xml:space="preserve"> </w:t>
      </w:r>
    </w:p>
    <w:p>
      <w:pPr>
        <w:pStyle w:val="P68B1DB1Normal24"/>
        <w:widowControl w:val="false"/>
        <w:spacing w:lineRule="auto" w:line="240" w:before="329" w:after="0"/>
        <w:ind w:left="0" w:right="14" w:hanging="0"/>
        <w:jc w:val="both"/>
        <w:rPr/>
      </w:pPr>
      <w:r>
        <w:rPr>
          <w:b/>
        </w:rPr>
        <w:t xml:space="preserve">Transparentnosť </w:t>
      </w:r>
      <w:r>
        <w:rPr/>
        <w:t>a</w:t>
      </w:r>
      <w:r>
        <w:rPr>
          <w:b/>
        </w:rPr>
        <w:t>harmonizácia regulačných požiadaviek na celom</w:t>
      </w:r>
      <w:r>
        <w:rPr/>
        <w:t xml:space="preserve"> kontinente, ako aj </w:t>
      </w:r>
      <w:r>
        <w:rPr>
          <w:b/>
        </w:rPr>
        <w:t>európsky plán v oblasti zdravia boli</w:t>
      </w:r>
      <w:r>
        <w:rPr/>
        <w:t xml:space="preserve"> napriek tomu identifikované ako predpoklady akejkoľvek významnej transformácie. </w:t>
      </w:r>
    </w:p>
    <w:p>
      <w:pPr>
        <w:pStyle w:val="P68B1DB1Normal19"/>
        <w:spacing w:lineRule="auto" w:line="240"/>
        <w:rPr/>
      </w:pPr>
      <w:r>
        <w:rPr/>
        <w:t xml:space="preserve"> </w:t>
      </w:r>
    </w:p>
    <w:p>
      <w:pPr>
        <w:pStyle w:val="P68B1DB1Normal42"/>
        <w:widowControl w:val="false"/>
        <w:spacing w:lineRule="auto" w:line="240" w:before="237" w:after="0"/>
        <w:ind w:left="0" w:right="0" w:hanging="0"/>
        <w:jc w:val="left"/>
        <w:rPr/>
      </w:pPr>
      <w:r>
        <w:rPr/>
        <w:t xml:space="preserve">Zmena 9 – Rozvoj a vedenie strategických kanálov na európskej úrovni s cieľom zabezpečiť našu suverenitu </w:t>
      </w:r>
    </w:p>
    <w:p>
      <w:pPr>
        <w:pStyle w:val="P68B1DB1Normal43"/>
        <w:widowControl w:val="false"/>
        <w:spacing w:lineRule="auto" w:line="240" w:before="347" w:after="0"/>
        <w:ind w:left="0" w:right="0" w:hanging="0"/>
        <w:jc w:val="left"/>
        <w:rPr/>
      </w:pPr>
      <w:r>
        <w:rPr/>
        <w:t xml:space="preserve">Želanie združenej Európy: Konkurencieschopná a inovatívna Európa </w:t>
      </w:r>
    </w:p>
    <w:p>
      <w:pPr>
        <w:pStyle w:val="P68B1DB1Normal33"/>
        <w:widowControl w:val="false"/>
        <w:spacing w:lineRule="auto" w:line="240" w:before="326" w:after="0"/>
        <w:ind w:left="0" w:right="0" w:hanging="0"/>
        <w:jc w:val="left"/>
        <w:rPr/>
      </w:pPr>
      <w:r>
        <w:rPr/>
        <w:t xml:space="preserve">Čo táto zmena znamená? </w:t>
      </w:r>
    </w:p>
    <w:p>
      <w:pPr>
        <w:pStyle w:val="P68B1DB1Normal7"/>
        <w:widowControl w:val="false"/>
        <w:spacing w:lineRule="auto" w:line="240" w:before="86" w:after="0"/>
        <w:ind w:left="0" w:right="9" w:hanging="0"/>
        <w:jc w:val="left"/>
        <w:rPr/>
      </w:pPr>
      <w:r>
        <w:rPr>
          <w:i/>
          <w:color w:val="000000"/>
        </w:rPr>
        <w:t>Kľúčové slová: rozvoj európskych šampiónov, kontrola zahraničných investícií, digitálna autonómia a energetika</w:t>
      </w:r>
      <w:r>
        <w:rPr>
          <w:b/>
          <w:color w:val="273375"/>
        </w:rPr>
        <w:t xml:space="preserve"> </w:t>
      </w:r>
    </w:p>
    <w:p>
      <w:pPr>
        <w:pStyle w:val="P68B1DB1Normal19"/>
        <w:widowControl w:val="false"/>
        <w:spacing w:lineRule="auto" w:line="240" w:before="248" w:after="0"/>
        <w:ind w:left="0" w:right="9" w:hanging="0"/>
        <w:jc w:val="both"/>
        <w:rPr/>
      </w:pPr>
      <w:r>
        <w:rPr/>
        <w:t xml:space="preserve">Pilotné projekty strategických odvetví, ako sú zdravotníctvo, potravinárstvo, energetika, digitálne technológie, obrana, doprava a nové materiály na európskej úrovni, reagujú </w:t>
      </w:r>
      <w:r>
        <w:rPr>
          <w:b/>
        </w:rPr>
        <w:t>na potrebu suverenity</w:t>
      </w:r>
      <w:r>
        <w:rPr/>
        <w:t>, ktorú identifikovali občania. To by obmedzilo hospodársku súťaž medzi európskymi spoločnosťami, podporilo by</w:t>
      </w:r>
      <w:r>
        <w:rPr>
          <w:b/>
        </w:rPr>
        <w:t>vznik kontinentálnych šampiónov</w:t>
      </w:r>
      <w:r>
        <w:rPr/>
        <w:t xml:space="preserve"> </w:t>
      </w:r>
      <w:r>
        <w:rPr>
          <w:b/>
        </w:rPr>
        <w:t>a reindustrializovalo Európu</w:t>
      </w:r>
      <w:r>
        <w:rPr/>
        <w:t xml:space="preserve"> prostredníctvom európskych preferencií. </w:t>
      </w:r>
    </w:p>
    <w:p>
      <w:pPr>
        <w:pStyle w:val="P68B1DB1Normal33"/>
        <w:widowControl w:val="false"/>
        <w:spacing w:lineRule="auto" w:line="240" w:before="325" w:after="0"/>
        <w:ind w:left="0" w:right="0" w:hanging="0"/>
        <w:jc w:val="left"/>
        <w:rPr/>
      </w:pPr>
      <w:r>
        <w:rPr/>
        <w:t xml:space="preserve">Aké sú kľúčové kroky a kritériá úspešnosti? </w:t>
      </w:r>
    </w:p>
    <w:p>
      <w:pPr>
        <w:pStyle w:val="P68B1DB1Normal19"/>
        <w:widowControl w:val="false"/>
        <w:spacing w:lineRule="auto" w:line="240" w:before="237" w:after="0"/>
        <w:ind w:left="0" w:right="9" w:hanging="0"/>
        <w:jc w:val="both"/>
        <w:rPr/>
      </w:pPr>
      <w:r>
        <w:rPr/>
        <w:t xml:space="preserve">Na dosiahnutie tejto suverenity by </w:t>
      </w:r>
      <w:r>
        <w:rPr>
          <w:b/>
        </w:rPr>
        <w:t>európsky orgán</w:t>
      </w:r>
      <w:r>
        <w:rPr/>
        <w:t xml:space="preserve"> mohol byť poverený vedením týchto odvetví vydávaním povolení na nákup európskych spoločností zahraničnými konkurentmi a zabezpečením toho, aby dovážané výrobky spĺňali rovnaké normy ako výroba v EÚ. V strednodobom horizonte by sa</w:t>
      </w:r>
      <w:r>
        <w:rPr>
          <w:b/>
        </w:rPr>
        <w:t xml:space="preserve"> 30 až 50 %</w:t>
      </w:r>
      <w:r>
        <w:rPr/>
        <w:t xml:space="preserve"> európskej spotreby v týchto strategických odvetviach malo </w:t>
      </w:r>
      <w:r>
        <w:rPr>
          <w:b/>
        </w:rPr>
        <w:t>vyrábať na kontinente</w:t>
      </w:r>
      <w:r>
        <w:rPr/>
        <w:t xml:space="preserve"> a v dlhodobom horizonte až do </w:t>
      </w:r>
      <w:r>
        <w:rPr>
          <w:b/>
        </w:rPr>
        <w:t>70 %</w:t>
      </w:r>
      <w:r>
        <w:rPr/>
        <w:t>. Splnenie týchto kritérií by zabezpečilo</w:t>
      </w:r>
      <w:r>
        <w:rPr>
          <w:b/>
        </w:rPr>
        <w:t>sebestačnosť</w:t>
      </w:r>
      <w:r>
        <w:rPr/>
        <w:t xml:space="preserve"> a</w:t>
      </w:r>
      <w:r>
        <w:rPr>
          <w:b/>
        </w:rPr>
        <w:t xml:space="preserve"> vplyv</w:t>
      </w:r>
      <w:r>
        <w:rPr/>
        <w:t>a dokonca</w:t>
      </w:r>
      <w:r>
        <w:rPr>
          <w:b/>
        </w:rPr>
        <w:t xml:space="preserve">vývoz </w:t>
      </w:r>
      <w:r>
        <w:rPr/>
        <w:t xml:space="preserve">európskeho priemyselného modelu. </w:t>
      </w:r>
    </w:p>
    <w:p>
      <w:pPr>
        <w:pStyle w:val="Normal"/>
        <w:spacing w:lineRule="auto" w:line="240"/>
        <w:rPr/>
      </w:pPr>
      <w:r>
        <w:rPr/>
      </w:r>
    </w:p>
    <w:p>
      <w:pPr>
        <w:pStyle w:val="P68B1DB1Normal42"/>
        <w:spacing w:lineRule="auto" w:line="240"/>
        <w:rPr/>
      </w:pPr>
      <w:r>
        <w:rPr/>
        <w:t xml:space="preserve">Zmena 10 – Zlepšenie ochrany životného prostredia a ekosystémov a vytváranie chránených oblastí v centre mestských, prímestských a vidieckych oblastí </w:t>
      </w:r>
    </w:p>
    <w:p>
      <w:pPr>
        <w:pStyle w:val="P68B1DB1Normal43"/>
        <w:widowControl w:val="false"/>
        <w:spacing w:lineRule="auto" w:line="240" w:before="347" w:after="0"/>
        <w:ind w:left="0" w:right="0" w:hanging="0"/>
        <w:jc w:val="left"/>
        <w:rPr/>
      </w:pPr>
      <w:r>
        <w:rPr/>
        <w:t xml:space="preserve">Želanie združenej Európy: Európa, ktorá podporuje trvalo udržateľný rozvoj </w:t>
      </w:r>
    </w:p>
    <w:p>
      <w:pPr>
        <w:pStyle w:val="P68B1DB1Normal33"/>
        <w:widowControl w:val="false"/>
        <w:spacing w:lineRule="auto" w:line="240" w:before="326" w:after="0"/>
        <w:ind w:left="0" w:right="0" w:hanging="0"/>
        <w:jc w:val="left"/>
        <w:rPr/>
      </w:pPr>
      <w:r>
        <w:rPr/>
        <w:t xml:space="preserve">Čo táto zmena znamená? </w:t>
      </w:r>
    </w:p>
    <w:p>
      <w:pPr>
        <w:pStyle w:val="P68B1DB1Normal7"/>
        <w:widowControl w:val="false"/>
        <w:spacing w:lineRule="auto" w:line="240" w:before="78" w:after="0"/>
        <w:ind w:left="0" w:right="0" w:hanging="0"/>
        <w:jc w:val="left"/>
        <w:rPr/>
      </w:pPr>
      <w:r>
        <w:rPr>
          <w:i/>
          <w:color w:val="000000"/>
        </w:rPr>
        <w:t>Kľúčové slová: ekologickejšia urbanizácia, úcta a ochrana pôd</w:t>
      </w:r>
      <w:r>
        <w:rPr>
          <w:b/>
          <w:color w:val="273375"/>
        </w:rPr>
        <w:t xml:space="preserve"> </w:t>
      </w:r>
    </w:p>
    <w:p>
      <w:pPr>
        <w:pStyle w:val="P68B1DB1Normal19"/>
        <w:widowControl w:val="false"/>
        <w:spacing w:lineRule="auto" w:line="240" w:before="321" w:after="0"/>
        <w:ind w:left="0" w:right="9" w:hanging="0"/>
        <w:jc w:val="both"/>
        <w:rPr/>
      </w:pPr>
      <w:r>
        <w:rPr/>
        <w:t xml:space="preserve">Cieľom je </w:t>
      </w:r>
      <w:r>
        <w:rPr>
          <w:b/>
        </w:rPr>
        <w:t>obmedziť negatívny vplyv urbanizácie na pôdu</w:t>
      </w:r>
      <w:r>
        <w:rPr/>
        <w:t xml:space="preserve">. Prísnymi opatreniami by sa </w:t>
      </w:r>
      <w:r>
        <w:rPr>
          <w:b/>
        </w:rPr>
        <w:t xml:space="preserve">obmedzili katastrofy súvisiace s </w:t>
      </w:r>
      <w:r>
        <w:rPr/>
        <w:t>deštrukciou pôdy, ako sú zosuvy pôdy</w:t>
      </w:r>
      <w:r>
        <w:rPr>
          <w:b/>
        </w:rPr>
        <w:t>, a zlepšila by sa kvalita života v mestských oblastiach</w:t>
      </w:r>
      <w:r>
        <w:rPr/>
        <w:t xml:space="preserve">, najmä výsadbou stromov. </w:t>
      </w:r>
    </w:p>
    <w:p>
      <w:pPr>
        <w:pStyle w:val="P68B1DB1Normal33"/>
        <w:widowControl w:val="false"/>
        <w:spacing w:lineRule="auto" w:line="240" w:before="330" w:after="0"/>
        <w:ind w:left="0" w:right="0" w:hanging="0"/>
        <w:jc w:val="left"/>
        <w:rPr/>
      </w:pPr>
      <w:r>
        <w:rPr/>
        <w:t xml:space="preserve">Aké sú kľúčové kroky a kritériá úspešnosti? </w:t>
      </w:r>
    </w:p>
    <w:p>
      <w:pPr>
        <w:pStyle w:val="P68B1DB1Normal19"/>
        <w:widowControl w:val="false"/>
        <w:spacing w:lineRule="auto" w:line="240" w:before="318" w:after="0"/>
        <w:ind w:left="0" w:right="9" w:hanging="0"/>
        <w:jc w:val="both"/>
        <w:rPr/>
      </w:pPr>
      <w:r>
        <w:rPr/>
        <w:t xml:space="preserve">Navrhlo sa konať na dvoch úrovniach: po prvé, </w:t>
      </w:r>
      <w:r>
        <w:rPr>
          <w:b/>
        </w:rPr>
        <w:t>zvrátiť trend nových stavieb</w:t>
      </w:r>
      <w:r>
        <w:rPr/>
        <w:t xml:space="preserve"> s cieľom znížiť mieru zástavby pôdy a po druhé </w:t>
      </w:r>
      <w:r>
        <w:rPr>
          <w:b/>
        </w:rPr>
        <w:t>podporiť obnovu pôdy s</w:t>
      </w:r>
      <w:r>
        <w:rPr/>
        <w:t xml:space="preserve"> cieľom „vrátiť sa </w:t>
      </w:r>
      <w:r>
        <w:rPr>
          <w:i/>
        </w:rPr>
        <w:t>k prírode to, čo k nej patrí</w:t>
      </w:r>
      <w:r>
        <w:rPr/>
        <w:t xml:space="preserve">“. </w:t>
      </w:r>
    </w:p>
    <w:p>
      <w:pPr>
        <w:pStyle w:val="Normal"/>
        <w:spacing w:lineRule="auto" w:line="240"/>
        <w:rPr/>
      </w:pPr>
      <w:r>
        <w:rPr/>
      </w:r>
    </w:p>
    <w:p>
      <w:pPr>
        <w:pStyle w:val="P68B1DB1Normal42"/>
        <w:spacing w:lineRule="auto" w:line="240"/>
        <w:rPr/>
      </w:pPr>
      <w:r>
        <w:rPr/>
        <w:t xml:space="preserve">Zmena 11 – Vytvorenie európskych štafiet na územiach s cieľom počúvať a radiť občanom </w:t>
      </w:r>
    </w:p>
    <w:p>
      <w:pPr>
        <w:pStyle w:val="P68B1DB1Normal43"/>
        <w:widowControl w:val="false"/>
        <w:spacing w:lineRule="auto" w:line="240" w:before="347" w:after="0"/>
        <w:ind w:left="0" w:right="0" w:hanging="0"/>
        <w:jc w:val="left"/>
        <w:rPr/>
      </w:pPr>
      <w:r>
        <w:rPr/>
        <w:t xml:space="preserve">Želanie združenej Európy: Bližšia a prístupná Európa </w:t>
      </w:r>
    </w:p>
    <w:p>
      <w:pPr>
        <w:pStyle w:val="P68B1DB1Normal33"/>
        <w:widowControl w:val="false"/>
        <w:spacing w:lineRule="auto" w:line="240" w:before="326" w:after="0"/>
        <w:ind w:left="0" w:right="0" w:hanging="0"/>
        <w:jc w:val="left"/>
        <w:rPr/>
      </w:pPr>
      <w:r>
        <w:rPr/>
        <w:t xml:space="preserve">Čo táto zmena znamená? </w:t>
      </w:r>
    </w:p>
    <w:p>
      <w:pPr>
        <w:pStyle w:val="P68B1DB1Normal44"/>
        <w:widowControl w:val="false"/>
        <w:spacing w:lineRule="auto" w:line="240" w:before="326" w:after="0"/>
        <w:ind w:left="0" w:right="0" w:hanging="0"/>
        <w:jc w:val="left"/>
        <w:rPr/>
      </w:pPr>
      <w:r>
        <w:rPr/>
        <w:t xml:space="preserve">Kľúčové slová: Domy Európy, referent Európa na miestnej úrovni, lepší prístup k informáciám </w:t>
      </w:r>
    </w:p>
    <w:p>
      <w:pPr>
        <w:pStyle w:val="P68B1DB1Normal19"/>
        <w:widowControl w:val="false"/>
        <w:spacing w:lineRule="auto" w:line="240" w:before="326" w:after="0"/>
        <w:ind w:left="0" w:right="11" w:hanging="0"/>
        <w:jc w:val="both"/>
        <w:rPr/>
      </w:pPr>
      <w:r>
        <w:rPr/>
        <w:t xml:space="preserve">Cieľom tejto zmeny je poskytnúť konkrétne odpovede na </w:t>
      </w:r>
      <w:r>
        <w:rPr>
          <w:b/>
        </w:rPr>
        <w:t>nedostatok stelesnenia Európskej únie</w:t>
      </w:r>
      <w:r>
        <w:rPr/>
        <w:t xml:space="preserve"> v každodennom živote, ktorý si všimli mnohí účastníci, a usilovať sa o zblíženie Európy a jej občanov. </w:t>
      </w:r>
    </w:p>
    <w:p>
      <w:pPr>
        <w:pStyle w:val="P68B1DB1Normal33"/>
        <w:widowControl w:val="false"/>
        <w:spacing w:lineRule="auto" w:line="240" w:before="333" w:after="0"/>
        <w:ind w:left="0" w:right="0" w:hanging="0"/>
        <w:jc w:val="left"/>
        <w:rPr/>
      </w:pPr>
      <w:r>
        <w:rPr/>
        <w:t xml:space="preserve">Aké sú kľúčové kroky a kritériá úspešnosti? </w:t>
      </w:r>
    </w:p>
    <w:p>
      <w:pPr>
        <w:pStyle w:val="P68B1DB1Normal24"/>
        <w:widowControl w:val="false"/>
        <w:spacing w:lineRule="auto" w:line="240" w:before="317" w:after="0"/>
        <w:ind w:left="0" w:right="14" w:hanging="0"/>
        <w:jc w:val="both"/>
        <w:rPr/>
      </w:pPr>
      <w:r>
        <w:rPr/>
        <w:t xml:space="preserve">S cieľom riešiť túto vzdialenosť medzi EÚ a občanmi by </w:t>
      </w:r>
      <w:r>
        <w:rPr>
          <w:b/>
        </w:rPr>
        <w:t>sa na každú radnicu mohol vymenovať špecializovaný</w:t>
      </w:r>
      <w:r>
        <w:rPr/>
        <w:t xml:space="preserve"> referent s poslaním počúvať a radiť občanom. Informácie poskytnuté v tejto správe by mohli byť sociálno-ekonomické, najmä pokiaľ ide o prístup k európskej alebo informatívnej pomoci, napríklad o úlohe lobistov. Poskytnuté informácie by boli zamerané tak na širokú verejnosť, ako aj na odborníkov, najmä na poskytovanie poradenstva malým a stredným podnikom a na pomoc vedúcim projektov pri prístupe k finančným prostriedkom EÚ. Z dlhodobého hľadiska by táto zmena mohla viesť k vytvoreniu </w:t>
      </w:r>
      <w:r>
        <w:rPr>
          <w:b/>
        </w:rPr>
        <w:t>miest venovaných Európe</w:t>
      </w:r>
      <w:r>
        <w:rPr/>
        <w:t xml:space="preserve">, podobných existujúcim domom v Európe, ale na komunálnej úrovni, ktorá by umožnila peknú územnú sieť. </w:t>
      </w:r>
    </w:p>
    <w:p>
      <w:pPr>
        <w:pStyle w:val="P68B1DB1Normal24"/>
        <w:widowControl w:val="false"/>
        <w:spacing w:lineRule="auto" w:line="240" w:before="235" w:after="0"/>
        <w:ind w:left="0" w:right="15" w:hanging="0"/>
        <w:jc w:val="both"/>
        <w:rPr/>
      </w:pPr>
      <w:r>
        <w:rPr/>
        <w:t xml:space="preserve">Úspech tejto zmeny by bol úplný, ak by každý občan poznal </w:t>
      </w:r>
      <w:r>
        <w:rPr>
          <w:i/>
        </w:rPr>
        <w:t>existenciu</w:t>
      </w:r>
      <w:r>
        <w:rPr/>
        <w:t xml:space="preserve">tohto odkazu a toto miesto zdrojov venovaných Európe, ktoré by poskytovali zdroje, počúvanie, informácie a poradenstvo. </w:t>
      </w:r>
    </w:p>
    <w:p>
      <w:pPr>
        <w:pStyle w:val="P68B1DB1Normal19"/>
        <w:widowControl w:val="false"/>
        <w:spacing w:lineRule="auto" w:line="240" w:before="153" w:after="0"/>
        <w:ind w:left="0" w:right="0" w:hanging="0"/>
        <w:jc w:val="left"/>
        <w:rPr/>
      </w:pPr>
      <w:r>
        <w:rPr/>
        <w:t xml:space="preserve"> </w:t>
      </w:r>
    </w:p>
    <w:p>
      <w:pPr>
        <w:pStyle w:val="P68B1DB1Normal42"/>
        <w:widowControl w:val="false"/>
        <w:spacing w:lineRule="auto" w:line="240" w:before="237" w:after="0"/>
        <w:ind w:left="0" w:right="0" w:hanging="0"/>
        <w:jc w:val="both"/>
        <w:rPr/>
      </w:pPr>
      <w:r>
        <w:rPr/>
        <w:t xml:space="preserve">Zmena 12 – Zjednotiť spôsob voľby do Európskeho parlamentu pre 27 štátov a zlepšiť blízkosť občanov nahradením súčasného hlasovania jednorazovým hlasovaním na regionálnej úrovni </w:t>
      </w:r>
    </w:p>
    <w:p>
      <w:pPr>
        <w:pStyle w:val="P68B1DB1Normal43"/>
        <w:widowControl w:val="false"/>
        <w:spacing w:lineRule="auto" w:line="240" w:before="347" w:after="0"/>
        <w:ind w:left="0" w:right="0" w:hanging="0"/>
        <w:jc w:val="left"/>
        <w:rPr/>
      </w:pPr>
      <w:r>
        <w:rPr/>
        <w:t xml:space="preserve">Želanie združenej Európy: Európa s účinnejšou správou vecí verejných </w:t>
      </w:r>
    </w:p>
    <w:p>
      <w:pPr>
        <w:pStyle w:val="P68B1DB1Normal33"/>
        <w:widowControl w:val="false"/>
        <w:spacing w:lineRule="auto" w:line="240" w:before="328" w:after="0"/>
        <w:ind w:left="0" w:right="0" w:hanging="0"/>
        <w:jc w:val="left"/>
        <w:rPr/>
      </w:pPr>
      <w:r>
        <w:rPr/>
        <w:t xml:space="preserve">Čo táto zmena znamená? </w:t>
      </w:r>
    </w:p>
    <w:p>
      <w:pPr>
        <w:pStyle w:val="P68B1DB1Normal7"/>
        <w:widowControl w:val="false"/>
        <w:spacing w:lineRule="auto" w:line="240" w:before="76" w:after="0"/>
        <w:ind w:left="0" w:right="0" w:hanging="0"/>
        <w:jc w:val="left"/>
        <w:rPr/>
      </w:pPr>
      <w:r>
        <w:rPr>
          <w:i/>
          <w:color w:val="000000"/>
        </w:rPr>
        <w:t>Kľúčové slová: inštitucionálna zmena, po ktorej nasledovali opatrenia občanov počas celého mandátu</w:t>
      </w:r>
      <w:r>
        <w:rPr>
          <w:b/>
          <w:color w:val="273375"/>
        </w:rPr>
        <w:t xml:space="preserve"> </w:t>
      </w:r>
    </w:p>
    <w:p>
      <w:pPr>
        <w:pStyle w:val="P68B1DB1Normal19"/>
        <w:widowControl w:val="false"/>
        <w:spacing w:lineRule="auto" w:line="240" w:before="275" w:after="0"/>
        <w:ind w:left="0" w:right="10" w:hanging="0"/>
        <w:jc w:val="both"/>
        <w:rPr/>
      </w:pPr>
      <w:r>
        <w:rPr/>
        <w:t xml:space="preserve">Táto zmena odráža túžbu občanov posilniť svoju </w:t>
      </w:r>
      <w:r>
        <w:rPr>
          <w:b/>
        </w:rPr>
        <w:t>blízkosť k voleným</w:t>
      </w:r>
      <w:r>
        <w:rPr/>
        <w:t xml:space="preserve"> úradníkom a sledovať ich činnosť počas celého svojho mandátu. Reaguje na všeobecne spoločné pozorovanie nedostatočného prekladu obáv občanov do konkrétnych opatrení volených zástupcov Európskeho parlamentu. </w:t>
      </w:r>
    </w:p>
    <w:p>
      <w:pPr>
        <w:pStyle w:val="P68B1DB1Normal33"/>
        <w:widowControl w:val="false"/>
        <w:spacing w:lineRule="auto" w:line="240" w:before="381" w:after="0"/>
        <w:ind w:left="0" w:right="0" w:hanging="0"/>
        <w:jc w:val="left"/>
        <w:rPr/>
      </w:pPr>
      <w:r>
        <w:rPr/>
        <w:t xml:space="preserve">Aké sú kľúčové kroky a kritériá úspešnosti? </w:t>
      </w:r>
    </w:p>
    <w:p>
      <w:pPr>
        <w:pStyle w:val="P68B1DB1Normal19"/>
        <w:widowControl w:val="false"/>
        <w:spacing w:lineRule="auto" w:line="240" w:before="316" w:after="0"/>
        <w:ind w:left="0" w:right="10" w:hanging="0"/>
        <w:jc w:val="both"/>
        <w:rPr/>
      </w:pPr>
      <w:r>
        <w:rPr/>
        <w:t xml:space="preserve">Zmena spôsobu voľby by spočívala v </w:t>
      </w:r>
      <w:r>
        <w:rPr>
          <w:b/>
        </w:rPr>
        <w:t>zjednotení volebného systému</w:t>
      </w:r>
      <w:r>
        <w:rPr/>
        <w:t xml:space="preserve"> na európskej úrovni a v prechode z národných na regionálne volebné obvody, ktoré sa odhadujú do roku 2035. </w:t>
      </w:r>
    </w:p>
    <w:p>
      <w:pPr>
        <w:pStyle w:val="Normal"/>
        <w:spacing w:lineRule="auto" w:line="240"/>
        <w:rPr/>
      </w:pPr>
      <w:r>
        <w:rPr/>
      </w:r>
    </w:p>
    <w:p>
      <w:pPr>
        <w:pStyle w:val="P68B1DB1Normal42"/>
        <w:spacing w:lineRule="auto" w:line="240"/>
        <w:rPr/>
      </w:pPr>
      <w:r>
        <w:rPr/>
        <w:t xml:space="preserve">Zmena 13 – Definovanie spoločnej politiky na zlepšenie prijímania a sociálnej a profesijnej integrácie migrantov (vrátane neregulárnych migrantov) </w:t>
      </w:r>
    </w:p>
    <w:p>
      <w:pPr>
        <w:pStyle w:val="P68B1DB1Normal43"/>
        <w:widowControl w:val="false"/>
        <w:spacing w:lineRule="auto" w:line="240" w:before="347" w:after="0"/>
        <w:ind w:left="0" w:right="0" w:hanging="0"/>
        <w:jc w:val="left"/>
        <w:rPr/>
      </w:pPr>
      <w:r>
        <w:rPr/>
        <w:t xml:space="preserve">Želanie združenej Európy: Európa, ktorá zaručuje dodržiavanie základných práv </w:t>
      </w:r>
    </w:p>
    <w:p>
      <w:pPr>
        <w:pStyle w:val="P68B1DB1Normal33"/>
        <w:widowControl w:val="false"/>
        <w:spacing w:lineRule="auto" w:line="240" w:before="328" w:after="0"/>
        <w:ind w:left="0" w:right="0" w:hanging="0"/>
        <w:jc w:val="left"/>
        <w:rPr/>
      </w:pPr>
      <w:r>
        <w:rPr/>
        <w:t xml:space="preserve">Čo táto zmena znamená? </w:t>
      </w:r>
    </w:p>
    <w:p>
      <w:pPr>
        <w:pStyle w:val="P68B1DB1Normal7"/>
        <w:widowControl w:val="false"/>
        <w:spacing w:lineRule="auto" w:line="240" w:before="76" w:after="0"/>
        <w:ind w:left="0" w:right="0" w:hanging="0"/>
        <w:jc w:val="left"/>
        <w:rPr/>
      </w:pPr>
      <w:r>
        <w:rPr>
          <w:i/>
          <w:color w:val="000000"/>
        </w:rPr>
        <w:t>Kľúčové slová: Európsky úrad pre migráciu, zabezpečenie dôstojného prijímania v celej Európe</w:t>
      </w:r>
      <w:r>
        <w:rPr>
          <w:b/>
          <w:color w:val="273375"/>
        </w:rPr>
        <w:t xml:space="preserve"> </w:t>
      </w:r>
    </w:p>
    <w:p>
      <w:pPr>
        <w:pStyle w:val="P68B1DB1Normal19"/>
        <w:widowControl w:val="false"/>
        <w:spacing w:lineRule="auto" w:line="240" w:before="248" w:after="0"/>
        <w:ind w:left="0" w:right="10" w:hanging="0"/>
        <w:jc w:val="both"/>
        <w:rPr/>
      </w:pPr>
      <w:r>
        <w:rPr/>
        <w:t xml:space="preserve">Cieľom tejto zmeny je zlepšiť prijímanie migrantov v rámci Európskej únie, čo je problém, ktorý občania jednomyseľne označili za </w:t>
      </w:r>
      <w:r>
        <w:rPr>
          <w:b/>
        </w:rPr>
        <w:t>núdzový stav</w:t>
      </w:r>
      <w:r>
        <w:rPr/>
        <w:t xml:space="preserve">. Na prelome súčasnej situácie sa zdá, že vytvorenie </w:t>
      </w:r>
      <w:r>
        <w:rPr>
          <w:b/>
        </w:rPr>
        <w:t>spoločnej, zosúladenej a solidárnej prisťahovaleckej politiky</w:t>
      </w:r>
      <w:r>
        <w:rPr/>
        <w:t xml:space="preserve"> je hlavným vektorom mieru.</w:t>
      </w:r>
      <w:r>
        <w:rPr>
          <w:b/>
        </w:rPr>
        <w:t xml:space="preserve"> </w:t>
      </w:r>
    </w:p>
    <w:p>
      <w:pPr>
        <w:pStyle w:val="P68B1DB1Normal33"/>
        <w:widowControl w:val="false"/>
        <w:spacing w:lineRule="auto" w:line="240" w:before="325" w:after="0"/>
        <w:ind w:left="0" w:right="0" w:hanging="0"/>
        <w:jc w:val="left"/>
        <w:rPr/>
      </w:pPr>
      <w:r>
        <w:rPr/>
        <w:t xml:space="preserve">Aké sú kľúčové kroky a kritériá úspešnosti? </w:t>
      </w:r>
    </w:p>
    <w:p>
      <w:pPr>
        <w:pStyle w:val="P68B1DB1Normal19"/>
        <w:widowControl w:val="false"/>
        <w:spacing w:lineRule="auto" w:line="240" w:before="243" w:after="0"/>
        <w:ind w:left="0" w:right="10" w:hanging="0"/>
        <w:jc w:val="left"/>
        <w:rPr/>
      </w:pPr>
      <w:r>
        <w:rPr/>
        <w:t xml:space="preserve">Úspech takejto zmeny by viedol k postupnému vykonávaniu spoločnej politiky prijímania migrantov. </w:t>
      </w:r>
    </w:p>
    <w:p>
      <w:pPr>
        <w:pStyle w:val="P68B1DB1Normal19"/>
        <w:widowControl w:val="false"/>
        <w:spacing w:lineRule="auto" w:line="240" w:before="326" w:after="0"/>
        <w:ind w:left="0" w:right="10" w:hanging="0"/>
        <w:jc w:val="both"/>
        <w:rPr/>
      </w:pPr>
      <w:r>
        <w:rPr>
          <w:b/>
        </w:rPr>
        <w:t>Iniciatíva občanov</w:t>
      </w:r>
      <w:r>
        <w:rPr/>
        <w:t xml:space="preserve"> by mala predložiť vec Komisii a v strednodobom horizonte umožniť prijatie </w:t>
      </w:r>
      <w:r>
        <w:rPr>
          <w:b/>
        </w:rPr>
        <w:t>spoločnej normy</w:t>
      </w:r>
      <w:r>
        <w:rPr/>
        <w:t xml:space="preserve"> určujúcej rámec pre prijímanie a sociálnu integráciu migrantov. Z dlhodobého hľadiska by sa táto norma podporila vytvorením </w:t>
      </w:r>
      <w:r>
        <w:rPr>
          <w:b/>
        </w:rPr>
        <w:t>špecializovaného európskeho úradu pre prisťahovalectvo</w:t>
      </w:r>
      <w:r>
        <w:rPr/>
        <w:t xml:space="preserve"> a uznaním migračnej politiky ako právomoci Európskej únie. </w:t>
      </w:r>
    </w:p>
    <w:p>
      <w:pPr>
        <w:pStyle w:val="Normal"/>
        <w:spacing w:lineRule="auto" w:line="240"/>
        <w:rPr/>
      </w:pPr>
      <w:r>
        <w:rPr/>
      </w:r>
    </w:p>
    <w:p>
      <w:pPr>
        <w:pStyle w:val="P68B1DB1Normal42"/>
        <w:spacing w:lineRule="auto" w:line="240"/>
        <w:rPr/>
      </w:pPr>
      <w:r>
        <w:rPr/>
        <w:t xml:space="preserve">Zmena 14 – Zachovanie špecifík (značky potravín, remeselná výroba, tradície) rôznych európskych regiónov s cieľom vyhnúť sa jednotnému životnému štýlu a zabezpečiť vysledovateľnosť a kvalitu výrobkov </w:t>
      </w:r>
    </w:p>
    <w:p>
      <w:pPr>
        <w:pStyle w:val="P68B1DB1Normal43"/>
        <w:widowControl w:val="false"/>
        <w:spacing w:lineRule="auto" w:line="240" w:before="347" w:after="0"/>
        <w:ind w:left="0" w:right="912" w:hanging="0"/>
        <w:jc w:val="left"/>
        <w:rPr/>
      </w:pPr>
      <w:r>
        <w:rPr/>
        <w:t xml:space="preserve">Želanie združenej Európy: Európa, v ktorej prevládajú záujmy každého štátu </w:t>
      </w:r>
    </w:p>
    <w:p>
      <w:pPr>
        <w:pStyle w:val="P68B1DB1Normal33"/>
        <w:widowControl w:val="false"/>
        <w:spacing w:lineRule="auto" w:line="240" w:before="347" w:after="0"/>
        <w:ind w:left="0" w:right="912" w:hanging="0"/>
        <w:jc w:val="left"/>
        <w:rPr/>
      </w:pPr>
      <w:r>
        <w:rPr/>
        <w:t xml:space="preserve">Čo táto zmena znamená? </w:t>
      </w:r>
    </w:p>
    <w:p>
      <w:pPr>
        <w:pStyle w:val="P68B1DB1Normal7"/>
        <w:widowControl w:val="false"/>
        <w:spacing w:lineRule="auto" w:line="240" w:before="76" w:after="0"/>
        <w:ind w:left="0" w:right="0" w:hanging="0"/>
        <w:jc w:val="left"/>
        <w:rPr/>
      </w:pPr>
      <w:r>
        <w:rPr>
          <w:i/>
          <w:color w:val="000000"/>
        </w:rPr>
        <w:t>Kľúčové slová: Európske značky, ktoré oceňujú rozmanitosť kultúr a tradícií</w:t>
      </w:r>
      <w:r>
        <w:rPr>
          <w:b/>
          <w:color w:val="273375"/>
        </w:rPr>
        <w:t xml:space="preserve"> </w:t>
      </w:r>
    </w:p>
    <w:p>
      <w:pPr>
        <w:pStyle w:val="P68B1DB1Normal19"/>
        <w:widowControl w:val="false"/>
        <w:spacing w:lineRule="auto" w:line="240" w:before="323" w:after="0"/>
        <w:ind w:left="0" w:right="10" w:hanging="0"/>
        <w:jc w:val="both"/>
        <w:rPr/>
      </w:pPr>
      <w:r>
        <w:rPr/>
        <w:t xml:space="preserve">Ambíciou tejto zmeny je zachovať </w:t>
      </w:r>
      <w:r>
        <w:rPr>
          <w:b/>
        </w:rPr>
        <w:t>rozmanitosť európskych tradícií a produkcie a</w:t>
      </w:r>
      <w:r>
        <w:rPr/>
        <w:t xml:space="preserve"> </w:t>
      </w:r>
      <w:r>
        <w:rPr>
          <w:b/>
        </w:rPr>
        <w:t xml:space="preserve">zabrániť štandardizácii </w:t>
      </w:r>
      <w:r>
        <w:rPr/>
        <w:t>životného štýlu, ktorý sa často označuje ako kritika Európskej únie.</w:t>
      </w:r>
      <w:r>
        <w:rPr>
          <w:b/>
        </w:rPr>
        <w:t xml:space="preserve"> </w:t>
      </w:r>
    </w:p>
    <w:p>
      <w:pPr>
        <w:pStyle w:val="P68B1DB1Normal33"/>
        <w:widowControl w:val="false"/>
        <w:spacing w:lineRule="auto" w:line="240" w:before="325" w:after="0"/>
        <w:ind w:left="0" w:right="0" w:hanging="0"/>
        <w:jc w:val="left"/>
        <w:rPr/>
      </w:pPr>
      <w:r>
        <w:rPr/>
        <w:t xml:space="preserve">Aké sú kľúčové kroky a kritériá úspešnosti? </w:t>
      </w:r>
    </w:p>
    <w:p>
      <w:pPr>
        <w:pStyle w:val="P68B1DB1Normal19"/>
        <w:widowControl w:val="false"/>
        <w:spacing w:lineRule="auto" w:line="240" w:before="322" w:after="0"/>
        <w:ind w:left="0" w:right="10" w:hanging="0"/>
        <w:jc w:val="both"/>
        <w:rPr/>
      </w:pPr>
      <w:r>
        <w:rPr/>
        <w:t xml:space="preserve">Pre občanov je hlavným cieľom sprístupniť existujúcu databázu, v ktorej sa uvádzajú rôzne </w:t>
      </w:r>
      <w:r>
        <w:rPr>
          <w:b/>
        </w:rPr>
        <w:t>európske a vnútroštátne značky</w:t>
      </w:r>
      <w:r>
        <w:rPr/>
        <w:t xml:space="preserve">. Na tento účel sa navrhuje vytvorenie webovej </w:t>
      </w:r>
      <w:r>
        <w:rPr>
          <w:i/>
        </w:rPr>
        <w:t>stránky s tromi</w:t>
      </w:r>
      <w:r>
        <w:rPr/>
        <w:t xml:space="preserve"> kliknutiami: jedno kliknutie na prístup na stránku, druhé zobrazenie mapy regiónov Európskej únie a druhé zobrazenie opisu štítkov každého regiónu. </w:t>
      </w:r>
    </w:p>
    <w:p>
      <w:pPr>
        <w:pStyle w:val="Normal"/>
        <w:widowControl w:val="false"/>
        <w:spacing w:lineRule="auto" w:line="240" w:before="327" w:after="0"/>
        <w:ind w:left="0" w:right="14" w:hanging="0"/>
        <w:jc w:val="left"/>
        <w:rPr/>
      </w:pPr>
      <w:r>
        <w:rPr>
          <w:rFonts w:ascii="Times New Roman" w:hAnsi="Times New Roman"/>
          <w:color w:val="000000"/>
        </w:rPr>
        <w:t xml:space="preserve">Úspech tejto zmeny by spočíval v lepšej </w:t>
      </w:r>
      <w:r>
        <w:rPr>
          <w:rFonts w:ascii="Times New Roman" w:hAnsi="Times New Roman"/>
          <w:b/>
          <w:color w:val="000000"/>
        </w:rPr>
        <w:t>komunikácii</w:t>
      </w:r>
      <w:r>
        <w:rPr>
          <w:rFonts w:ascii="Times New Roman" w:hAnsi="Times New Roman"/>
          <w:color w:val="000000"/>
        </w:rPr>
        <w:t xml:space="preserve"> o existujúcich úspechoch, čo by viedlo k lepšiemu </w:t>
      </w:r>
      <w:r>
        <w:rPr>
          <w:rFonts w:ascii="Times New Roman" w:hAnsi="Times New Roman"/>
          <w:b/>
          <w:color w:val="000000"/>
        </w:rPr>
        <w:t>pochopeniu</w:t>
      </w:r>
      <w:r>
        <w:rPr>
          <w:rFonts w:ascii="Times New Roman" w:hAnsi="Times New Roman"/>
          <w:color w:val="000000"/>
        </w:rPr>
        <w:t xml:space="preserve"> rozmanitosti európskych kultúr zo strany občanov.</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Druhá časť: prezentácia výsledkov konzultácie „Sláva pre mládež“</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pPr>
      <w:r>
        <w:rPr/>
        <w:t xml:space="preserve">Dátumy konzultácie </w:t>
      </w:r>
    </w:p>
    <w:p>
      <w:pPr>
        <w:pStyle w:val="P68B1DB1Normal19"/>
        <w:widowControl w:val="false"/>
        <w:spacing w:lineRule="auto" w:line="240" w:before="34" w:after="0"/>
        <w:ind w:left="0" w:right="0" w:hanging="0"/>
        <w:jc w:val="center"/>
        <w:rPr/>
      </w:pPr>
      <w:r>
        <w:rPr/>
        <w:t>od 9. 5. 2021 do 18. júla 2021</w:t>
      </w:r>
      <w:r>
        <w:rPr>
          <w:b/>
        </w:rPr>
        <w:t xml:space="preserve"> </w:t>
      </w:r>
    </w:p>
    <w:p>
      <w:pPr>
        <w:pStyle w:val="P68B1DB1Normal47"/>
        <w:widowControl w:val="false"/>
        <w:spacing w:lineRule="auto" w:line="240" w:before="102" w:after="0"/>
        <w:ind w:left="0" w:right="0" w:hanging="0"/>
        <w:jc w:val="center"/>
        <w:rPr/>
      </w:pPr>
      <w:r>
        <w:rPr/>
        <w:t xml:space="preserve"> </w:t>
      </w:r>
    </w:p>
    <w:p>
      <w:pPr>
        <w:pStyle w:val="P68B1DB1Normal48"/>
        <w:widowControl w:val="false"/>
        <w:spacing w:lineRule="auto" w:line="240" w:before="26" w:after="0"/>
        <w:ind w:left="0" w:right="0" w:hanging="0"/>
        <w:jc w:val="center"/>
        <w:rPr/>
      </w:pPr>
      <w:r>
        <w:rPr>
          <w:b/>
        </w:rPr>
        <w:t>Údaje o účasti</w:t>
      </w:r>
      <w:r>
        <w:rPr/>
        <w:t xml:space="preserve"> </w:t>
      </w:r>
    </w:p>
    <w:p>
      <w:pPr>
        <w:pStyle w:val="P68B1DB1Normal19"/>
        <w:widowControl w:val="false"/>
        <w:spacing w:lineRule="auto" w:line="240" w:before="26" w:after="0"/>
        <w:ind w:left="0" w:right="0" w:hanging="0"/>
        <w:jc w:val="center"/>
        <w:rPr/>
      </w:pPr>
      <w:r>
        <w:rPr/>
        <w:t xml:space="preserve">50 008 účastníkov </w:t>
      </w:r>
    </w:p>
    <w:p>
      <w:pPr>
        <w:pStyle w:val="P68B1DB1Normal19"/>
        <w:widowControl w:val="false"/>
        <w:spacing w:lineRule="auto" w:line="240" w:before="92" w:after="0"/>
        <w:ind w:left="0" w:right="0" w:hanging="0"/>
        <w:jc w:val="center"/>
        <w:rPr/>
      </w:pPr>
      <w:r>
        <w:rPr/>
        <w:t xml:space="preserve">2 918 návrhov </w:t>
      </w:r>
    </w:p>
    <w:p>
      <w:pPr>
        <w:pStyle w:val="P68B1DB1Normal19"/>
        <w:widowControl w:val="false"/>
        <w:spacing w:lineRule="auto" w:line="240" w:before="90" w:after="0"/>
        <w:ind w:left="0" w:right="0" w:hanging="0"/>
        <w:jc w:val="center"/>
        <w:rPr/>
      </w:pPr>
      <w:r>
        <w:rPr/>
        <w:t xml:space="preserve">338 330 hlasov </w:t>
      </w:r>
    </w:p>
    <w:p>
      <w:pPr>
        <w:pStyle w:val="P68B1DB1Normal49"/>
        <w:widowControl w:val="false"/>
        <w:spacing w:lineRule="auto" w:line="240" w:before="106" w:after="0"/>
        <w:ind w:left="4819" w:right="0" w:hanging="0"/>
        <w:jc w:val="left"/>
        <w:rPr/>
      </w:pPr>
      <w:r>
        <w:rPr/>
        <w:t xml:space="preserve"> </w:t>
      </w:r>
    </w:p>
    <w:p>
      <w:pPr>
        <w:pStyle w:val="P68B1DB1Normal50"/>
        <w:widowControl w:val="false"/>
        <w:spacing w:lineRule="auto" w:line="240" w:before="30" w:after="0"/>
        <w:ind w:left="0" w:right="28" w:hanging="0"/>
        <w:jc w:val="both"/>
        <w:rPr/>
      </w:pPr>
      <w:r>
        <w:rPr/>
        <w:t xml:space="preserve">Konzultácia „Cesta k mládeži“ sa začala na podnet štátneho sekretariátu pre európske záležitosti. Táto konzultácia sa uskutočňuje v kontexte Konferencie o budúcnosti Európy, bezprecedentnej participatívnej demokracie pod vedením európskych inštitúcií, ktorej cieľom je umožniť všetkým európskym občanom vyjadriť svoje názory na to, čo očakávajú od Európskej únie. Skúsenosti z konzultácií budú podkladom pre prácu Konferencie o budúcnosti Európy a francúzskeho predsedníctva Rady Európskej únie. </w:t>
      </w:r>
    </w:p>
    <w:p>
      <w:pPr>
        <w:pStyle w:val="P68B1DB1Normal51"/>
        <w:widowControl w:val="false"/>
        <w:spacing w:lineRule="auto" w:line="240" w:before="210" w:after="0"/>
        <w:ind w:left="0" w:right="0" w:hanging="0"/>
        <w:jc w:val="left"/>
        <w:rPr/>
      </w:pPr>
      <w:r>
        <w:rPr/>
        <w:t xml:space="preserve">4 hlavné lekcie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Masívna mobilizácia mladých ľudí: konzultácie sa</w:t>
      </w:r>
      <w:r>
        <w:rPr>
          <w:rFonts w:ascii="Times New Roman" w:hAnsi="Times New Roman"/>
          <w:b/>
        </w:rPr>
        <w:t xml:space="preserve"> zúčastnilo viac ako 50 000 mladých francúzskych občanov </w:t>
      </w:r>
      <w:r>
        <w:rPr>
          <w:rFonts w:ascii="Times New Roman" w:hAnsi="Times New Roman"/>
        </w:rPr>
        <w:t xml:space="preserve">na všetkých územiach.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rPr>
        <w:t xml:space="preserve"> Najdôležitejší konsenzus </w:t>
      </w:r>
      <w:r>
        <w:rPr>
          <w:rFonts w:ascii="Times New Roman" w:hAnsi="Times New Roman"/>
          <w:b/>
        </w:rPr>
        <w:t>sa týka európskych politík boja proti zmene klímy, premiestňovania  výroby do Európy, revitalizácie európskej demokracie, váhy EÚ vo svete (hospodárstvo, výskum, ľudské práva, diplomacia).</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Myšlienka silnejšej a jednotnejšej Európy prechádza celou konzultáciou a</w:t>
      </w:r>
      <w:r>
        <w:rPr>
          <w:rFonts w:ascii="Times New Roman" w:hAnsi="Times New Roman"/>
        </w:rPr>
        <w:t xml:space="preserve"> dosahuje konsenzus vo viacerých bodoch: </w:t>
      </w:r>
    </w:p>
    <w:p>
      <w:pPr>
        <w:pStyle w:val="P68B1DB1Normal34"/>
        <w:widowControl w:val="false"/>
        <w:spacing w:lineRule="auto" w:line="240" w:before="92" w:after="0"/>
        <w:ind w:left="360" w:right="0" w:hanging="0"/>
        <w:jc w:val="left"/>
        <w:rPr/>
      </w:pPr>
      <w:r>
        <w:rPr>
          <w:rFonts w:ascii="Times New Roman" w:hAnsi="Times New Roman"/>
        </w:rPr>
        <w:t>-</w:t>
      </w:r>
      <w:r>
        <w:rPr/>
        <w:t xml:space="preserve"> </w:t>
      </w:r>
      <w:r>
        <w:rPr>
          <w:rFonts w:ascii="Times New Roman" w:hAnsi="Times New Roman"/>
        </w:rPr>
        <w:t xml:space="preserve">Silnejšia Európa ekonomicky (najmä prostredníctvom premiestnenia), aby sa vyrovnala s Čínou alebo Spojenými štátmi </w:t>
      </w:r>
    </w:p>
    <w:p>
      <w:pPr>
        <w:pStyle w:val="P68B1DB1Normal34"/>
        <w:widowControl w:val="false"/>
        <w:spacing w:lineRule="auto" w:line="240" w:before="92" w:after="0"/>
        <w:ind w:left="360" w:right="0" w:hanging="0"/>
        <w:jc w:val="left"/>
        <w:rPr/>
      </w:pPr>
      <w:r>
        <w:rPr>
          <w:rFonts w:ascii="Times New Roman" w:hAnsi="Times New Roman"/>
        </w:rPr>
        <w:t>Diplomatická</w:t>
      </w:r>
      <w:r>
        <w:rPr/>
        <w:t xml:space="preserve"> </w:t>
      </w:r>
      <w:r>
        <w:rPr>
          <w:rFonts w:ascii="Times New Roman" w:hAnsi="Times New Roman"/>
        </w:rPr>
        <w:t xml:space="preserve">Európa, ktorá na medzinárodnej scéne váži viac </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Európsky líder v boji proti zmene klímy vo svete</w:t>
      </w:r>
    </w:p>
    <w:p>
      <w:pPr>
        <w:pStyle w:val="P68B1DB1Normal34"/>
        <w:widowControl w:val="false"/>
        <w:spacing w:lineRule="auto" w:line="240" w:before="85" w:after="0"/>
        <w:ind w:left="360" w:right="1483" w:hanging="0"/>
        <w:jc w:val="left"/>
        <w:rPr>
          <w:rFonts w:ascii="Times New Roman" w:hAnsi="Times New Roman"/>
        </w:rPr>
      </w:pPr>
      <w:r>
        <w:rPr>
          <w:rFonts w:ascii="Times New Roman" w:hAnsi="Times New Roman"/>
        </w:rPr>
        <w:t xml:space="preserve">Európa, ktorú spája jej mládež </w:t>
      </w:r>
    </w:p>
    <w:p>
      <w:pPr>
        <w:pStyle w:val="P68B1DB1Normal34"/>
        <w:widowControl w:val="false"/>
        <w:spacing w:lineRule="auto" w:line="240" w:before="85" w:after="0"/>
        <w:ind w:left="360" w:right="0" w:hanging="0"/>
        <w:jc w:val="left"/>
        <w:rPr/>
      </w:pPr>
      <w:r>
        <w:rPr>
          <w:rFonts w:ascii="Times New Roman" w:hAnsi="Times New Roman"/>
        </w:rPr>
        <w:t>-</w:t>
      </w:r>
      <w:r>
        <w:rPr/>
        <w:t xml:space="preserve"> </w:t>
      </w:r>
      <w:r>
        <w:rPr>
          <w:rFonts w:ascii="Times New Roman" w:hAnsi="Times New Roman"/>
        </w:rPr>
        <w:t xml:space="preserve">Zjednotená Európa v oblasti výskumu a inovácií </w:t>
      </w:r>
    </w:p>
    <w:p>
      <w:pPr>
        <w:pStyle w:val="P68B1DB1Normal19"/>
        <w:widowControl w:val="false"/>
        <w:spacing w:lineRule="auto" w:line="240" w:before="88" w:after="0"/>
        <w:ind w:left="720" w:right="0" w:hanging="0"/>
        <w:jc w:val="left"/>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Mladí ľudia uvítali aj štyri doplňujúce myšlienky</w:t>
      </w:r>
      <w:r>
        <w:rPr>
          <w:rFonts w:ascii="Times New Roman" w:hAnsi="Times New Roman"/>
        </w:rPr>
        <w:t xml:space="preserve"> k myšlienkam</w:t>
      </w:r>
      <w:r>
        <w:rPr>
          <w:rFonts w:ascii="Times New Roman" w:hAnsi="Times New Roman"/>
          <w:b/>
        </w:rPr>
        <w:t xml:space="preserve">z panelových diskusií občanov: </w:t>
      </w:r>
    </w:p>
    <w:p>
      <w:pPr>
        <w:pStyle w:val="P68B1DB1Normal34"/>
        <w:widowControl w:val="false"/>
        <w:spacing w:lineRule="auto" w:line="240" w:before="90" w:after="0"/>
        <w:ind w:left="360" w:right="0" w:hanging="0"/>
        <w:jc w:val="left"/>
        <w:rPr/>
      </w:pPr>
      <w:r>
        <w:rPr>
          <w:rFonts w:ascii="Times New Roman" w:hAnsi="Times New Roman"/>
        </w:rPr>
        <w:t>Environmentálne</w:t>
      </w:r>
      <w:r>
        <w:rPr/>
        <w:t xml:space="preserve"> </w:t>
      </w:r>
      <w:r>
        <w:rPr>
          <w:rFonts w:ascii="Times New Roman" w:hAnsi="Times New Roman"/>
        </w:rPr>
        <w:t xml:space="preserve">a sociálne zodpovedné európske hospodárstvo </w:t>
      </w:r>
    </w:p>
    <w:p>
      <w:pPr>
        <w:pStyle w:val="P68B1DB1Normal34"/>
        <w:widowControl w:val="false"/>
        <w:spacing w:lineRule="auto" w:line="240" w:before="88" w:after="0"/>
        <w:ind w:left="360" w:right="0" w:hanging="0"/>
        <w:jc w:val="left"/>
        <w:rPr/>
      </w:pPr>
      <w:r>
        <w:rPr>
          <w:rFonts w:ascii="Times New Roman" w:hAnsi="Times New Roman"/>
        </w:rPr>
        <w:t>Európa</w:t>
      </w:r>
      <w:r>
        <w:rPr/>
        <w:t xml:space="preserve"> </w:t>
      </w:r>
      <w:r>
        <w:rPr>
          <w:rFonts w:ascii="Times New Roman" w:hAnsi="Times New Roman"/>
        </w:rPr>
        <w:t xml:space="preserve">geograficky viac prepojená železničnou dopravou </w:t>
      </w:r>
    </w:p>
    <w:p>
      <w:pPr>
        <w:pStyle w:val="P68B1DB1Normal34"/>
        <w:widowControl w:val="false"/>
        <w:spacing w:lineRule="auto" w:line="240" w:before="85" w:after="0"/>
        <w:ind w:left="360" w:right="0" w:hanging="0"/>
        <w:jc w:val="left"/>
        <w:rPr/>
      </w:pPr>
      <w:r>
        <w:rPr>
          <w:rFonts w:ascii="Times New Roman" w:hAnsi="Times New Roman"/>
        </w:rPr>
        <w:t>Fiškálne</w:t>
      </w:r>
      <w:r>
        <w:rPr/>
        <w:t xml:space="preserve"> </w:t>
      </w:r>
      <w:r>
        <w:rPr>
          <w:rFonts w:ascii="Times New Roman" w:hAnsi="Times New Roman"/>
        </w:rPr>
        <w:t xml:space="preserve">spravodlivejšia Európa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Rozhodné opatrenia Európskej únie na podporu práv žien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populárnych nápadov a 13 kontroverzných myšlienok sa rozšírilo v 9 témach Konferencie o budúcnosti Európy </w:t>
      </w:r>
    </w:p>
    <w:p>
      <w:pPr>
        <w:pStyle w:val="P68B1DB1Normal19"/>
        <w:widowControl w:val="false"/>
        <w:spacing w:lineRule="auto" w:line="240" w:before="80" w:after="0"/>
        <w:ind w:left="0" w:right="0" w:hanging="0"/>
        <w:jc w:val="left"/>
        <w:rPr/>
      </w:pPr>
      <w:r>
        <w:rPr/>
        <w:t xml:space="preserve"> </w:t>
      </w:r>
    </w:p>
    <w:p>
      <w:pPr>
        <w:pStyle w:val="P68B1DB1Normal52"/>
        <w:widowControl w:val="false"/>
        <w:spacing w:lineRule="auto" w:line="240" w:before="96" w:after="0"/>
        <w:ind w:left="0" w:right="0" w:hanging="0"/>
        <w:jc w:val="both"/>
        <w:rPr/>
      </w:pPr>
      <w:r>
        <w:rPr>
          <w:color w:val="38761D"/>
        </w:rPr>
        <w:t>Uznávané myšlienky</w:t>
      </w:r>
      <w:r>
        <w:rPr>
          <w:color w:val="000000"/>
        </w:rPr>
        <w:t xml:space="preserve"> vychádzajú z návrhov, ktoré väčšinou podporili účastníci konzultácie. Ohlasované návrhy sú návrhy, ktoré priťahujú najväčšiu podporu, využívajú v priemere </w:t>
      </w:r>
      <w:r>
        <w:rPr>
          <w:b/>
          <w:color w:val="000000"/>
        </w:rPr>
        <w:t>79 % hlasov za</w:t>
      </w:r>
      <w:r>
        <w:rPr>
          <w:color w:val="000000"/>
        </w:rPr>
        <w:t xml:space="preserve">. </w:t>
      </w:r>
    </w:p>
    <w:p>
      <w:pPr>
        <w:pStyle w:val="P68B1DB1Normal44"/>
        <w:widowControl w:val="false"/>
        <w:spacing w:lineRule="auto" w:line="240" w:before="94" w:after="0"/>
        <w:ind w:left="0" w:right="0" w:hanging="0"/>
        <w:jc w:val="left"/>
        <w:rPr/>
      </w:pPr>
      <w:r>
        <w:rPr/>
        <w:t xml:space="preserve"> </w:t>
      </w:r>
    </w:p>
    <w:p>
      <w:pPr>
        <w:pStyle w:val="P68B1DB1Normal52"/>
        <w:widowControl w:val="false"/>
        <w:spacing w:lineRule="auto" w:line="240" w:before="96" w:after="0"/>
        <w:ind w:left="0" w:right="0" w:hanging="0"/>
        <w:jc w:val="both"/>
        <w:rPr/>
      </w:pPr>
      <w:r>
        <w:rPr>
          <w:color w:val="FF9900"/>
        </w:rPr>
        <w:t>Kontroverzné myšlienky</w:t>
      </w:r>
      <w:r>
        <w:rPr>
          <w:color w:val="000000"/>
        </w:rPr>
        <w:t xml:space="preserve"> sú založené na návrhoch, o ktorých účastníci konzultácie najviac diskutovali, s rovnováhou medzi hlasmi za a proti. Kontroverzné návrhy sú najviac diskutovanými návrhmi konzultácie, pričom v priemere využívajú </w:t>
      </w:r>
      <w:r>
        <w:rPr>
          <w:b/>
          <w:color w:val="000000"/>
        </w:rPr>
        <w:t>40 % hlasov za</w:t>
      </w:r>
      <w:r>
        <w:rPr>
          <w:color w:val="000000"/>
        </w:rPr>
        <w:t xml:space="preserve">, </w:t>
      </w:r>
      <w:r>
        <w:rPr>
          <w:b/>
          <w:color w:val="000000"/>
        </w:rPr>
        <w:t>38 % hlasov proti</w:t>
      </w:r>
      <w:r>
        <w:rPr>
          <w:color w:val="000000"/>
        </w:rPr>
        <w:t xml:space="preserve">. </w:t>
      </w:r>
    </w:p>
    <w:p>
      <w:pPr>
        <w:pStyle w:val="P68B1DB1Normal44"/>
        <w:widowControl w:val="false"/>
        <w:spacing w:lineRule="auto" w:line="240" w:before="96" w:after="0"/>
        <w:ind w:left="0" w:right="0" w:hanging="0"/>
        <w:jc w:val="left"/>
        <w:rPr/>
      </w:pPr>
      <w:r>
        <w:rPr/>
        <w:t xml:space="preserve"> </w:t>
      </w:r>
    </w:p>
    <w:p>
      <w:pPr>
        <w:pStyle w:val="Normal"/>
        <w:widowControl w:val="false"/>
        <w:spacing w:lineRule="auto" w:line="240" w:before="90" w:after="0"/>
        <w:ind w:left="0" w:right="0" w:hanging="0"/>
        <w:jc w:val="both"/>
        <w:rPr>
          <w:rFonts w:ascii="Times New Roman" w:hAnsi="Times New Roman"/>
          <w:color w:val="000000"/>
          <w:sz w:val="24"/>
        </w:rPr>
      </w:pPr>
      <w:r>
        <w:rPr>
          <w:rFonts w:ascii="Times New Roman" w:hAnsi="Times New Roman"/>
          <w:color w:val="000000"/>
          <w:sz w:val="24"/>
        </w:rPr>
        <w:t xml:space="preserve">V analýze týchto návrhov sa identifikovalo 22 uznávaných myšlienok a 13 kontroverzných myšlienok. Týchto 22 uznávaných myšlienok a 13 kontroverzných myšlienok bolo rozdelených do 9 osí zodpovedajúcich hlavným témam Konferencie o budúcnosti Európy. </w:t>
      </w:r>
      <w:r>
        <w:br w:type="page"/>
      </w:r>
    </w:p>
    <w:p>
      <w:pPr>
        <w:pStyle w:val="Normal"/>
        <w:widowControl w:val="false"/>
        <w:spacing w:lineRule="auto" w:line="240" w:before="85" w:after="0"/>
        <w:ind w:left="0" w:right="0" w:hanging="0"/>
        <w:jc w:val="left"/>
        <w:rPr/>
      </w:pPr>
      <w:r>
        <w:rPr/>
        <w:t>Syntéza uznávaných a kontroverzných myšlienok</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10"/>
      </w:tblGrid>
      <w:tr>
        <w:trPr/>
        <w:tc>
          <w:tcPr>
            <w:tcW w:w="9638"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pPr>
            <w:r>
              <w:rPr/>
              <w:t>Zmena klímy a životné prostredie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Zavedenie silnejšej európskej ekologickej politiky</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Prechod na udržateľnejšie poľnohospodárstvo</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Dôraznejšie konať v záujme ochrany biodiverzity</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Rozvoj železničnej dopravy v EÚ</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Urýchliť energetickú transformáciu</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Obmedzenie obalov a zlepšenie nakladania s odpadom</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Zvyšovanie povedomia o životnom prostredí</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rFonts w:eastAsia="Wingdings" w:cs="Wingdings" w:ascii="Wingdings" w:hAnsi="Wingdings"/>
              </w:rPr>
              <w:t xml:space="preserve"> </w:t>
            </w:r>
            <w:r>
              <w:rPr/>
              <w:t>Podpora ekologicky zodpovedných stavebných procesov</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Viac investícií do jadrovej energie</w:t>
            </w:r>
          </w:p>
        </w:tc>
      </w:tr>
      <w:tr>
        <w:trPr/>
        <w:tc>
          <w:tcPr>
            <w:tcW w:w="9638"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pPr>
            <w:r>
              <w:rPr/>
              <w:t>Európska demokracia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Lepšie informovanie o úlohe a práci EÚ</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Zmena demokratického fungovania Európskej únie</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rFonts w:eastAsia="Wingdings" w:cs="Wingdings" w:ascii="Wingdings" w:hAnsi="Wingdings"/>
              </w:rPr>
              <w:t xml:space="preserve"> </w:t>
            </w:r>
            <w:r>
              <w:rPr/>
              <w:t>Boj proti dezinformáciám</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Urobiť z Európy federáciu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Ponechanie väčšej autonómie členským štátom</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Budovanie silnejšej európskej výkonnej moci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Dať mladým ľuďom miesto v európskych inštitúciách</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8"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pPr>
            <w:r>
              <w:rPr/>
              <w:t>Hospodárstvo, sociálna spravodlivosť a zamestnanosť</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Premiestnenie výroby do Európy v záujme väčšej autonómie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Zvýšenie zodpovednosti obchodných praktík a obchodu</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Boj proti daňovým únikom a optimalizácia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Harmonizácia európskych miezd</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Vytvorenie univerzálneho príjmu</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Preorientovanie Európy na antikapitalistický model</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pPr>
            <w:r>
              <w:rPr/>
              <w:t>Vzdelávanie, kultúra, mládež a šport</w:t>
            </w:r>
          </w:p>
        </w:tc>
        <w:tc>
          <w:tcPr>
            <w:tcW w:w="4820"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pPr>
            <w:r>
              <w:rPr/>
              <w:t>Digitálna transformácia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Umožniť mladým ľuďom viac si vymieňať s inými krajinami EÚ</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Podpora učenia sa neanglických jazykov</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Investovanie do vedeckého, digitálneho a environmentálneho výskumu</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color w:val="000000"/>
              </w:rPr>
            </w:pPr>
            <w:r>
              <w:rPr>
                <w:color w:val="000000"/>
              </w:rPr>
              <w:t>Zvyšovanie povedomia o digitálnych technológiách a ich nebezpečenstvách</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Zavedenie povinného pobytu v Európe pre mladých ľudí</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Vývoj kryptomien v Európe</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pPr>
            <w:r>
              <w:rPr/>
              <w:t>Hodnoty a práva, právny štát, bezpečnosť</w:t>
            </w:r>
          </w:p>
        </w:tc>
        <w:tc>
          <w:tcPr>
            <w:tcW w:w="4820"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pPr>
            <w:r>
              <w:rPr/>
              <w:t>Zdravie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Posilnenie opatrení EÚ zameraných na dodržiavanie ľudských práv</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Posilnenie práv žien</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Investovanie do zdravia</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color w:val="000000"/>
              </w:rPr>
            </w:pPr>
            <w:r>
              <w:rPr>
                <w:color w:val="000000"/>
              </w:rPr>
              <w:t>Zlepšiť kvalitu našich potravinových výrobkov</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pPr>
            <w:r>
              <w:rPr/>
              <w:t>EÚ vo svete</w:t>
            </w:r>
          </w:p>
        </w:tc>
        <w:tc>
          <w:tcPr>
            <w:tcW w:w="4820"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pPr>
            <w:r>
              <w:rPr/>
              <w:t xml:space="preserve">Prisťahovalectvo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Zabezpečenie toho, aby EÚ mohla na medzinárodnej úrovni vážiť</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Vytvorenie európskych ozbrojených síl</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Znižovanie alebo sprevádzanie prisťahovalectva v Európe</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Times New Roman" w:hAnsi="Times New Roman" w:eastAsia="SimSun" w:cs="Mangal"/>
        </w:rPr>
      </w:pPr>
      <w:r>
        <w:rPr>
          <w:rFonts w:eastAsia="SimSun" w:cs="Mangal" w:ascii="Times New Roman" w:hAnsi="Times New Roman"/>
        </w:rPr>
        <w:t>Prevládajúca myšlienka (&gt; 10 uznávaných návrhov)</w:t>
      </w:r>
    </w:p>
    <w:p>
      <w:pPr>
        <w:pStyle w:val="P68B1DB1Contenudetableau64"/>
        <w:spacing w:lineRule="auto" w:line="240"/>
        <w:jc w:val="center"/>
        <w:rPr>
          <w:rFonts w:ascii="Times New Roman" w:hAnsi="Times New Roman" w:eastAsia="SimSun" w:cs="Mangal"/>
        </w:rPr>
      </w:pPr>
      <w:r>
        <w:rPr>
          <w:rFonts w:eastAsia="SimSun" w:cs="Mangal" w:ascii="Times New Roman" w:hAnsi="Times New Roman"/>
        </w:rPr>
        <w:t>Jedinečná myšlienka (alt;10 uznávané návrhy)</w:t>
      </w:r>
    </w:p>
    <w:p>
      <w:pPr>
        <w:pStyle w:val="Contenudetableau"/>
        <w:spacing w:lineRule="auto" w:line="240"/>
        <w:jc w:val="center"/>
        <w:rPr>
          <w:rFonts w:ascii="Times New Roman" w:hAnsi="Times New Roman" w:eastAsia="SimSun" w:cs="Mangal"/>
          <w:color w:val="F58220"/>
          <w:sz w:val="18"/>
        </w:rPr>
      </w:pPr>
      <w:r>
        <w:rPr>
          <w:rFonts w:eastAsia="SimSun" w:cs="Mangal" w:ascii="Times New Roman" w:hAnsi="Times New Roman"/>
          <w:color w:val="F58220"/>
          <w:sz w:val="18"/>
        </w:rPr>
        <w:t>Kontroverzná myšlienka (&gt; 3 kontroverzné návrhy)</w:t>
      </w:r>
      <w:r>
        <w:br w:type="page"/>
      </w:r>
    </w:p>
    <w:p>
      <w:pPr>
        <w:pStyle w:val="Titre2"/>
        <w:numPr>
          <w:ilvl w:val="1"/>
          <w:numId w:val="2"/>
        </w:numPr>
        <w:rPr/>
      </w:pPr>
      <w:bookmarkStart w:id="213" w:name="__RefHeading___Toc300458_1346298689"/>
      <w:bookmarkEnd w:id="213"/>
      <w:r>
        <w:rPr/>
        <w:t xml:space="preserve">Záver </w:t>
      </w:r>
    </w:p>
    <w:p>
      <w:pPr>
        <w:pStyle w:val="P68B1DB1Normal33"/>
        <w:widowControl w:val="false"/>
        <w:spacing w:lineRule="exact" w:line="399" w:before="293" w:after="0"/>
        <w:ind w:left="0" w:right="0" w:hanging="0"/>
        <w:jc w:val="left"/>
        <w:rPr/>
      </w:pPr>
      <w:r>
        <w:rPr/>
        <w:t xml:space="preserve"> </w:t>
      </w:r>
    </w:p>
    <w:p>
      <w:pPr>
        <w:pStyle w:val="P68B1DB1Normal33"/>
        <w:widowControl w:val="false"/>
        <w:spacing w:lineRule="exact" w:line="399" w:before="81" w:after="0"/>
        <w:ind w:left="0" w:right="0" w:hanging="0"/>
        <w:jc w:val="left"/>
        <w:rPr/>
      </w:pPr>
      <w:r>
        <w:rPr/>
        <w:t xml:space="preserve"> </w:t>
      </w:r>
    </w:p>
    <w:p>
      <w:pPr>
        <w:pStyle w:val="P68B1DB1Normal33"/>
        <w:widowControl w:val="false"/>
        <w:spacing w:lineRule="exact" w:line="399" w:before="83" w:after="0"/>
        <w:ind w:left="0" w:right="0" w:hanging="0"/>
        <w:jc w:val="left"/>
        <w:rPr/>
      </w:pPr>
      <w:r>
        <w:rPr/>
        <w:t xml:space="preserve"> </w:t>
      </w:r>
    </w:p>
    <w:p>
      <w:pPr>
        <w:pStyle w:val="P68B1DB1Normal65"/>
        <w:widowControl w:val="false"/>
        <w:spacing w:lineRule="exact" w:line="416" w:before="88" w:after="0"/>
        <w:ind w:left="0" w:right="0" w:hanging="0"/>
        <w:jc w:val="left"/>
        <w:rPr/>
      </w:pPr>
      <w:r>
        <w:rPr/>
        <w:t>„</w:t>
      </w:r>
      <w:r>
        <w:rPr/>
        <w:t xml:space="preserve">Pre vás, Európa v roku 2035 bude musieť byť jedným slovom...“: </w:t>
      </w:r>
    </w:p>
    <w:p>
      <w:pPr>
        <w:pStyle w:val="Normal"/>
        <w:widowControl w:val="false"/>
        <w:spacing w:lineRule="exact" w:line="430" w:before="2454" w:after="0"/>
        <w:ind w:left="0" w:right="0" w:hanging="0"/>
        <w:jc w:val="center"/>
        <w:rPr>
          <w:rFonts w:ascii="Times New Roman" w:hAnsi="Times New Roman"/>
          <w:i/>
          <w:i/>
          <w:color w:val="632423"/>
          <w:sz w:val="24"/>
        </w:rPr>
      </w:pPr>
      <w:r>
        <w:drawing>
          <wp:anchor behindDoc="0" distT="0" distB="0" distL="0" distR="0" simplePos="0" locked="0" layoutInCell="1" allowOverlap="1" relativeHeight="45">
            <wp:simplePos x="0" y="0"/>
            <wp:positionH relativeFrom="column">
              <wp:align>center</wp:align>
            </wp:positionH>
            <wp:positionV relativeFrom="paragraph">
              <wp:posOffset>635</wp:posOffset>
            </wp:positionV>
            <wp:extent cx="6120130" cy="1558290"/>
            <wp:effectExtent l="0" t="0" r="0" b="0"/>
            <wp:wrapSquare wrapText="largest"/>
            <wp:docPr id="98" name="Obrázok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ázok41" descr=""/>
                    <pic:cNvPicPr>
                      <a:picLocks noChangeAspect="1" noChangeArrowheads="1"/>
                    </pic:cNvPicPr>
                  </pic:nvPicPr>
                  <pic:blipFill>
                    <a:blip r:embed="rId101"/>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O</w:t>
      </w:r>
      <w:r>
        <w:rPr>
          <w:rFonts w:ascii="Times New Roman" w:hAnsi="Times New Roman"/>
          <w:i/>
          <w:color w:val="632423"/>
          <w:sz w:val="24"/>
        </w:rPr>
        <w:t xml:space="preserve">dpoveď občanov národnej konferencie na záverečnú otázku: </w:t>
      </w:r>
    </w:p>
    <w:p>
      <w:pPr>
        <w:pStyle w:val="P68B1DB1Normal66"/>
        <w:widowControl w:val="false"/>
        <w:spacing w:lineRule="exact" w:line="430" w:before="95" w:after="0"/>
        <w:ind w:left="0" w:right="0" w:hanging="0"/>
        <w:jc w:val="center"/>
        <w:rPr/>
      </w:pPr>
      <w:r>
        <w:rPr/>
        <w:t xml:space="preserve">V skratke, pre vás, Európa v roku 2035 bude musieť byť...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Národné panely: Nemecko</w:t>
      </w:r>
    </w:p>
    <w:p>
      <w:pPr>
        <w:pStyle w:val="P68B1DB1Normal67"/>
        <w:spacing w:lineRule="auto" w:line="240"/>
        <w:rPr/>
      </w:pPr>
      <w:r>
        <w:rPr/>
        <w:t xml:space="preserve">Národný panel občanov o budúcnosti Európy v Berlíne </w:t>
      </w:r>
    </w:p>
    <w:p>
      <w:pPr>
        <w:pStyle w:val="P68B1DB1Normal19"/>
        <w:widowControl w:val="false"/>
        <w:spacing w:lineRule="exact" w:line="388" w:before="206" w:after="0"/>
        <w:ind w:left="3422" w:right="0" w:hanging="0"/>
        <w:jc w:val="left"/>
        <w:rPr/>
      </w:pPr>
      <w:r>
        <w:rPr/>
        <w:t xml:space="preserve">— </w:t>
      </w:r>
      <w:r>
        <w:rPr/>
        <w:t xml:space="preserve">Odporúčania občanov — </w:t>
      </w:r>
    </w:p>
    <w:p>
      <w:pPr>
        <w:pStyle w:val="P68B1DB1Normal52"/>
        <w:widowControl w:val="false"/>
        <w:spacing w:lineRule="exact" w:line="317" w:before="288" w:after="0"/>
        <w:ind w:left="276" w:right="113" w:hanging="0"/>
        <w:jc w:val="both"/>
        <w:rPr/>
      </w:pPr>
      <w:r>
        <w:rPr>
          <w:color w:val="000000"/>
        </w:rPr>
        <w:t xml:space="preserve">Nemecko usporiadalo 5., 8., 15. a 16. januára svoj národný panel občanov o budúcnosti Európy. Proces výberu občanov sa riadil stratifikovaným náhodným výberom účastníkov európskych panelových diskusií občanov. Na účasť bolo pozvaných 12 000 nemeckých občanov; z respondentov bolo vybraných približne 100 s prihliadnutím na súčasné údaje Spolkovej republiky Nemecko s cieľom zohľadniť rozmanitosť nemeckej spoločnosti a obyvateľstva ako celku. Počas Národného panelu občanov účastníci diskutovali o piatich témach: EÚ vo svete; silnejšia ekonomika; zmena klímy a životné prostredie; sociálna spravodlivosť; Európske hodnoty a právny štát. Následne vypracovali konkrétne odporúčania pre každú z týchto tém, ktoré boli prijaté na záverečnom plenárnom zasadnutí 16. januára: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pPr>
      <w:r>
        <w:rPr/>
        <w:t xml:space="preserve">Okrúhly stôl 1: </w:t>
      </w:r>
    </w:p>
    <w:p>
      <w:pPr>
        <w:pStyle w:val="P68B1DB1Normal68"/>
        <w:widowControl w:val="false"/>
        <w:spacing w:lineRule="exact" w:line="400" w:before="196" w:after="0"/>
        <w:ind w:left="0" w:right="0" w:hanging="0"/>
        <w:jc w:val="left"/>
        <w:rPr/>
      </w:pPr>
      <w:r>
        <w:rPr/>
        <w:t xml:space="preserve">Prepojenie záujmov zahraničného obchodu s opatreniami politiky v oblasti klímy </w:t>
      </w:r>
    </w:p>
    <w:p>
      <w:pPr>
        <w:pStyle w:val="P68B1DB1Normal20"/>
        <w:widowControl w:val="false"/>
        <w:spacing w:lineRule="exact" w:line="337" w:before="192" w:after="0"/>
        <w:ind w:left="276" w:right="123" w:hanging="0"/>
        <w:jc w:val="both"/>
        <w:rPr/>
      </w:pPr>
      <w:r>
        <w:rPr/>
        <w:t xml:space="preserve">Odporúčame, aby EÚ (najmä Európska komisia) spustila investičný balík pre technológie a inovácie šetrné ku klíme vrátane programov financovania. Tento balík opatrení by sa mal financovať z dovozných ciel súvisiacich s klímou, ktoré by boli osobitne ovplyvnené a prenesené ako finančná náhrada za škody spôsobené zmenou klímy. V tejto súvislosti by sa zaviedol systém bodov na posudzovanie udržateľnosti pre určité výrobky. Jasná pozícia EÚ a silná a inovatívna Európa by prispeli k dosiahnutiu globálnych cieľov v oblasti klímy. Pomohlo by to upevniť úlohu Európskej únie ako globálneho priekopníka a zodpovedného modelu, ktorý zaručuje bohatstvo a môže viesť k udržateľnej zmene v celosvetovom meradle. Tieto ciele sú pre nás dôležité, keďže EÚ udržateľným spôsobom prispieva k boju proti zmene klímy, ktorá by z dlhodobého hľadiska mohla zohrávať kľúčovú úlohu pri upevňovaní svetového mieru.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pPr>
      <w:r>
        <w:rPr/>
        <w:t xml:space="preserve">Okrúhly stôl 2: </w:t>
      </w:r>
    </w:p>
    <w:p>
      <w:pPr>
        <w:pStyle w:val="P68B1DB1Normal68"/>
        <w:widowControl w:val="false"/>
        <w:spacing w:lineRule="exact" w:line="338" w:before="321" w:after="0"/>
        <w:ind w:left="0" w:right="131" w:hanging="0"/>
        <w:jc w:val="left"/>
        <w:rPr/>
      </w:pPr>
      <w:r>
        <w:rPr/>
        <w:t xml:space="preserve">Vytvoriť stimuly na realizáciu výroby v EÚ, najmä pokiaľ ide o komodity </w:t>
      </w:r>
    </w:p>
    <w:p>
      <w:pPr>
        <w:pStyle w:val="P68B1DB1Normal20"/>
        <w:widowControl w:val="false"/>
        <w:spacing w:lineRule="exact" w:line="337" w:before="208" w:after="0"/>
        <w:ind w:left="276" w:right="121" w:hanging="0"/>
        <w:jc w:val="both"/>
        <w:rPr/>
      </w:pPr>
      <w:r>
        <w:rPr/>
        <w:t xml:space="preserve">S cieľom uľahčiť výrobu komodít v EÚ odporúčame urýchliť a štandardizovať schvaľovacie postupy, znížiť byrokraciu a poskytovať subvencie spoločnostiam, ktoré sa pohybujú do EÚ, a/alebo zriaďovať výrobné prevádzky v EÚ. EÚ by mala masívne podporovať energiu z obnoviteľných zdrojov s cieľom znížiť náklady na energiu. </w:t>
      </w:r>
    </w:p>
    <w:p>
      <w:pPr>
        <w:pStyle w:val="P68B1DB1Normal20"/>
        <w:widowControl w:val="false"/>
        <w:spacing w:lineRule="exact" w:line="336" w:before="216" w:after="0"/>
        <w:ind w:left="276" w:right="121" w:hanging="0"/>
        <w:jc w:val="both"/>
        <w:rPr/>
      </w:pPr>
      <w:r>
        <w:rPr/>
        <w:t xml:space="preserve">Prostredníctvom týchto opatrení chceme skrátiť dodávateľské reťazce a zabezpečiť, aby boli šetrnejšie ku klíme, pomôcť posilniť EÚ a vytvoriť pracovné miesta, v ktorých sa dodržiavajú ľudské práva. </w:t>
      </w:r>
    </w:p>
    <w:p>
      <w:pPr>
        <w:pStyle w:val="Normal"/>
        <w:widowControl w:val="false"/>
        <w:spacing w:lineRule="exact" w:line="336" w:before="219" w:after="0"/>
        <w:ind w:left="276" w:right="121" w:hanging="0"/>
        <w:jc w:val="both"/>
        <w:rPr>
          <w:rFonts w:ascii="Calibri" w:hAnsi="Calibri"/>
          <w:color w:val="000000"/>
          <w:sz w:val="24"/>
        </w:rPr>
      </w:pPr>
      <w:r>
        <w:rPr>
          <w:rFonts w:ascii="Calibri" w:hAnsi="Calibri"/>
          <w:color w:val="000000"/>
          <w:sz w:val="24"/>
        </w:rPr>
        <w:t xml:space="preserve">Tieto ciele sú pre nás dôležité, pretože premiestnením výroby do EÚ by sa EÚ stala autonómnejšou na medzinárodnej úrovni a menej politicky zraniteľnou. </w:t>
      </w:r>
      <w:r>
        <w:br w:type="page"/>
      </w:r>
    </w:p>
    <w:p>
      <w:pPr>
        <w:pStyle w:val="P68B1DB1Normal44"/>
        <w:widowControl w:val="false"/>
        <w:spacing w:lineRule="exact" w:line="383" w:before="247" w:after="0"/>
        <w:ind w:left="276" w:right="0" w:hanging="0"/>
        <w:jc w:val="left"/>
        <w:rPr/>
      </w:pPr>
      <w:r>
        <w:rPr/>
        <w:t xml:space="preserve">Okrúhly stôl 1: </w:t>
      </w:r>
    </w:p>
    <w:p>
      <w:pPr>
        <w:pStyle w:val="P68B1DB1Normal68"/>
        <w:widowControl w:val="false"/>
        <w:spacing w:lineRule="exact" w:line="400" w:before="196" w:after="0"/>
        <w:ind w:left="0" w:right="0" w:hanging="0"/>
        <w:jc w:val="left"/>
        <w:rPr/>
      </w:pPr>
      <w:r>
        <w:rPr/>
        <w:t xml:space="preserve">Digi-Score – bodový systém pre silné digitálne hospodárstvo v celej EÚ </w:t>
      </w:r>
    </w:p>
    <w:p>
      <w:pPr>
        <w:pStyle w:val="P68B1DB1Normal20"/>
        <w:widowControl w:val="false"/>
        <w:spacing w:lineRule="exact" w:line="337" w:before="192" w:after="0"/>
        <w:ind w:left="276" w:right="119" w:hanging="0"/>
        <w:jc w:val="both"/>
        <w:rPr/>
      </w:pPr>
      <w:r>
        <w:rPr/>
        <w:t xml:space="preserve">Navrhujeme vytvorenie verejne prístupnej digitálnej tabule s názvom Digi-Score, ktorú spravuje Európska komisia (GR CNECT). Bol by to presný systém určovania poradia, ktorý by naznačoval a porovnával súčasnú úroveň digitálnej zrelosti spoločností z EÚ. Týmto návrhom chceme podporiť väčšiu digitalizáciu v celej Európe. Spoločnosti s nízkym digitálnym skóre by mali nárok na cielenú podporu s cieľom pomôcť im dobehnúť. </w:t>
      </w:r>
    </w:p>
    <w:p>
      <w:pPr>
        <w:pStyle w:val="P68B1DB1Normal20"/>
        <w:widowControl w:val="false"/>
        <w:spacing w:lineRule="exact" w:line="338" w:before="219" w:after="0"/>
        <w:ind w:left="276" w:right="121" w:hanging="0"/>
        <w:jc w:val="both"/>
        <w:rPr/>
      </w:pPr>
      <w:r>
        <w:rPr/>
        <w:t xml:space="preserve">Tento cieľ je pre nás dôležitý, pretože by pomohol pripraviť pôdu pre zvýšenie produktivity, efektívnosti a predaja, čím by sa posilnila úloha Európy ako základu pre výrobu. </w:t>
      </w:r>
    </w:p>
    <w:p>
      <w:pPr>
        <w:pStyle w:val="P68B1DB1Normal20"/>
        <w:widowControl w:val="false"/>
        <w:spacing w:lineRule="exact" w:line="385" w:before="137" w:after="0"/>
        <w:ind w:left="0" w:right="0" w:hanging="0"/>
        <w:jc w:val="left"/>
        <w:rPr/>
      </w:pPr>
      <w:r>
        <w:rPr/>
        <w:t xml:space="preserve"> </w:t>
      </w:r>
    </w:p>
    <w:p>
      <w:pPr>
        <w:pStyle w:val="P68B1DB1Normal44"/>
        <w:widowControl w:val="false"/>
        <w:spacing w:lineRule="exact" w:line="383" w:before="271" w:after="0"/>
        <w:ind w:left="276" w:right="0" w:hanging="0"/>
        <w:jc w:val="left"/>
        <w:rPr/>
      </w:pPr>
      <w:r>
        <w:rPr/>
        <w:t xml:space="preserve">Okrúhly stôl 2: </w:t>
      </w:r>
    </w:p>
    <w:p>
      <w:pPr>
        <w:pStyle w:val="P68B1DB1Normal68"/>
        <w:widowControl w:val="false"/>
        <w:spacing w:lineRule="exact" w:line="400" w:before="209" w:after="0"/>
        <w:ind w:left="0" w:right="0" w:hanging="0"/>
        <w:jc w:val="left"/>
        <w:rPr/>
      </w:pPr>
      <w:r>
        <w:rPr/>
        <w:t xml:space="preserve">Informačná platforma na výmenu poznatkov a skúseností na úrovni EÚ </w:t>
      </w:r>
    </w:p>
    <w:p>
      <w:pPr>
        <w:pStyle w:val="P68B1DB1Normal20"/>
        <w:widowControl w:val="false"/>
        <w:spacing w:lineRule="exact" w:line="337"/>
        <w:ind w:left="276" w:right="119" w:hanging="0"/>
        <w:jc w:val="both"/>
        <w:rPr/>
      </w:pPr>
      <w:r>
        <w:rPr/>
        <w:t xml:space="preserve">Odporúčame, aby EÚ zriadila informačnú platformu na výmenu poznatkov a skúseností na úrovni EÚ. Naším cieľom je vymieňať si informácie o existujúcich nadnárodných činnostiach v oblasti vzdelávania a odbornej prípravy v EÚ, prezentovať príklady osvedčených postupov a poskytnúť občanom príležitosť prezentovať nové nápady na cezhraničné výmeny. Okrem toho by sa mohli poskytnúť dodatočné informácie o dostupných technických expertných fórach (napr. o energetike, životnom prostredí alebo digitálnej transformácii). </w:t>
      </w:r>
    </w:p>
    <w:p>
      <w:pPr>
        <w:pStyle w:val="P68B1DB1Normal20"/>
        <w:widowControl w:val="false"/>
        <w:spacing w:lineRule="exact" w:line="337" w:before="216" w:after="0"/>
        <w:ind w:left="276" w:right="121" w:hanging="0"/>
        <w:jc w:val="both"/>
        <w:rPr/>
      </w:pPr>
      <w:r>
        <w:rPr/>
        <w:t xml:space="preserve">Domnievame sa, že je to dôležité, pretože občania potrebujú transparentnosť, pokiaľ ide o cezhraničné činnosti v oblasti vzdelávania a odbornej prípravy, ktoré sú k dispozícii. Na úrovni EÚ by mali dostávať lepšie usmernenia o existujúcich fórach a platformách. </w:t>
      </w:r>
    </w:p>
    <w:p>
      <w:pPr>
        <w:pStyle w:val="Normal"/>
        <w:spacing w:lineRule="auto" w:line="240"/>
        <w:rPr/>
      </w:pPr>
      <w:r>
        <w:rPr/>
      </w:r>
      <w:r>
        <w:br w:type="page"/>
      </w:r>
    </w:p>
    <w:p>
      <w:pPr>
        <w:pStyle w:val="P68B1DB1Normal44"/>
        <w:spacing w:lineRule="auto" w:line="240"/>
        <w:rPr/>
      </w:pPr>
      <w:r>
        <w:rPr/>
        <w:t xml:space="preserve">Okrúhly stôl 1: </w:t>
      </w:r>
    </w:p>
    <w:p>
      <w:pPr>
        <w:pStyle w:val="P68B1DB1Normal68"/>
        <w:widowControl w:val="false"/>
        <w:spacing w:lineRule="exact" w:line="400" w:before="196" w:after="0"/>
        <w:ind w:left="0" w:right="0" w:hanging="0"/>
        <w:jc w:val="left"/>
        <w:rPr/>
      </w:pPr>
      <w:r>
        <w:rPr/>
        <w:t xml:space="preserve">Nariadenie o zárukách na životnosť výrobkov </w:t>
      </w:r>
    </w:p>
    <w:p>
      <w:pPr>
        <w:pStyle w:val="P68B1DB1Normal20"/>
        <w:widowControl w:val="false"/>
        <w:spacing w:lineRule="exact" w:line="337" w:before="192" w:after="0"/>
        <w:ind w:left="276" w:right="119" w:hanging="0"/>
        <w:jc w:val="both"/>
        <w:rPr/>
      </w:pPr>
      <w:r>
        <w:rPr/>
        <w:t xml:space="preserve">Odporúčame, aby EÚ prijala právne predpisy na stanovenie predĺženej, garantovanej a špecifickej životnosti pre každý výrobok vyrábaný a predávaný v EÚ a aby bola v tejto súvislosti transparentná so spotrebiteľmi. </w:t>
      </w:r>
    </w:p>
    <w:p>
      <w:pPr>
        <w:pStyle w:val="P68B1DB1Normal20"/>
        <w:widowControl w:val="false"/>
        <w:spacing w:lineRule="exact" w:line="336" w:before="219" w:after="0"/>
        <w:ind w:left="276" w:right="126" w:hanging="0"/>
        <w:jc w:val="both"/>
        <w:rPr/>
      </w:pPr>
      <w:r>
        <w:rPr/>
        <w:t xml:space="preserve">Zdroje sú obmedzené, čo by ušetrilo peniaze a znížilo by odpad, čo by prospelo životnému prostrediu, klíme a spotrebiteľom. </w:t>
      </w:r>
    </w:p>
    <w:p>
      <w:pPr>
        <w:pStyle w:val="P68B1DB1Normal20"/>
        <w:widowControl w:val="false"/>
        <w:spacing w:lineRule="exact" w:line="338" w:before="216" w:after="0"/>
        <w:ind w:left="276" w:right="131" w:hanging="0"/>
        <w:jc w:val="left"/>
        <w:rPr/>
      </w:pPr>
      <w:r>
        <w:rPr/>
        <w:t xml:space="preserve">Chceme povzbudiť výrobcov, aby priniesli na trh trvanlivejšie a opraviteľné výrobky. </w:t>
      </w:r>
    </w:p>
    <w:p>
      <w:pPr>
        <w:pStyle w:val="P68B1DB1Normal69"/>
        <w:widowControl w:val="false"/>
        <w:spacing w:lineRule="exact" w:line="332" w:before="138" w:after="0"/>
        <w:ind w:left="0" w:right="0" w:hanging="0"/>
        <w:jc w:val="left"/>
        <w:rPr/>
      </w:pPr>
      <w:r>
        <w:rPr/>
        <w:t xml:space="preserve"> </w:t>
      </w:r>
    </w:p>
    <w:p>
      <w:pPr>
        <w:pStyle w:val="P68B1DB1Normal44"/>
        <w:widowControl w:val="false"/>
        <w:spacing w:lineRule="exact" w:line="383" w:before="107" w:after="0"/>
        <w:ind w:left="276" w:right="0" w:hanging="0"/>
        <w:jc w:val="left"/>
        <w:rPr/>
      </w:pPr>
      <w:r>
        <w:rPr/>
        <w:t xml:space="preserve">Okrúhly stôl 2: </w:t>
      </w:r>
    </w:p>
    <w:p>
      <w:pPr>
        <w:pStyle w:val="P68B1DB1Normal68"/>
        <w:widowControl w:val="false"/>
        <w:spacing w:lineRule="exact" w:line="400" w:before="321" w:after="0"/>
        <w:ind w:left="0" w:right="0" w:hanging="0"/>
        <w:jc w:val="left"/>
        <w:rPr/>
      </w:pPr>
      <w:r>
        <w:rPr/>
        <w:t xml:space="preserve">Dlhodobá kampaň EÚ za udržateľnú spotrebu a životný štýl </w:t>
      </w:r>
    </w:p>
    <w:p>
      <w:pPr>
        <w:pStyle w:val="P68B1DB1Normal20"/>
        <w:widowControl w:val="false"/>
        <w:spacing w:lineRule="exact" w:line="336"/>
        <w:ind w:left="276" w:right="126" w:hanging="0"/>
        <w:jc w:val="left"/>
        <w:rPr/>
      </w:pPr>
      <w:r>
        <w:rPr/>
        <w:t xml:space="preserve">Odporúčame, aby európsky orgán vrátane pobočiek v krajinách EÚ mal vlastné zdroje a viedol túto kampaň. </w:t>
      </w:r>
    </w:p>
    <w:p>
      <w:pPr>
        <w:pStyle w:val="P68B1DB1Normal20"/>
        <w:widowControl w:val="false"/>
        <w:spacing w:lineRule="exact" w:line="336" w:before="219" w:after="0"/>
        <w:ind w:left="276" w:right="128" w:hanging="0"/>
        <w:jc w:val="both"/>
        <w:rPr/>
      </w:pPr>
      <w:r>
        <w:rPr/>
        <w:t xml:space="preserve">Naším cieľom je zabezpečiť, aby sa všetci občania EÚ uznali v spoločnej identite, aby si viac uvedomovali potrebu udržateľnej spotreby a životného štýlu a prijali tento spôsob života. </w:t>
      </w:r>
    </w:p>
    <w:p>
      <w:pPr>
        <w:pStyle w:val="P68B1DB1Normal20"/>
        <w:widowControl w:val="false"/>
        <w:spacing w:lineRule="exact" w:line="336" w:before="216" w:after="0"/>
        <w:ind w:left="276" w:right="128" w:hanging="0"/>
        <w:jc w:val="left"/>
        <w:rPr/>
      </w:pPr>
      <w:r>
        <w:rPr/>
        <w:t xml:space="preserve">Tieto ciele sú pre nás dôležité, pretože chceme prebudiť vnútornú motiváciu k udržateľnému životnému štýlu. </w:t>
      </w:r>
    </w:p>
    <w:p>
      <w:pPr>
        <w:pStyle w:val="Normal"/>
        <w:spacing w:lineRule="auto" w:line="240"/>
        <w:rPr/>
      </w:pPr>
      <w:r>
        <w:rPr/>
      </w:r>
      <w:r>
        <w:br w:type="page"/>
      </w:r>
    </w:p>
    <w:p>
      <w:pPr>
        <w:pStyle w:val="P68B1DB1Normal44"/>
        <w:widowControl w:val="false"/>
        <w:spacing w:lineRule="exact" w:line="383" w:before="247" w:after="0"/>
        <w:ind w:left="276" w:right="0" w:hanging="0"/>
        <w:jc w:val="left"/>
        <w:rPr/>
      </w:pPr>
      <w:r>
        <w:rPr/>
        <w:t xml:space="preserve">Okrúhly stôl 1: </w:t>
      </w:r>
    </w:p>
    <w:p>
      <w:pPr>
        <w:pStyle w:val="P68B1DB1Normal68"/>
        <w:widowControl w:val="false"/>
        <w:spacing w:lineRule="exact" w:line="400" w:before="88" w:after="0"/>
        <w:ind w:left="0" w:right="0" w:hanging="0"/>
        <w:jc w:val="left"/>
        <w:rPr/>
      </w:pPr>
      <w:r>
        <w:rPr/>
        <w:t xml:space="preserve">Vytvorenie väčšieho počtu príležitostí na výmenu pre študentov v Európe </w:t>
      </w:r>
    </w:p>
    <w:p>
      <w:pPr>
        <w:pStyle w:val="P68B1DB1Normal20"/>
        <w:widowControl w:val="false"/>
        <w:spacing w:lineRule="exact" w:line="293" w:before="162" w:after="0"/>
        <w:ind w:left="276" w:right="123" w:hanging="0"/>
        <w:jc w:val="both"/>
        <w:rPr/>
      </w:pPr>
      <w:r>
        <w:rPr/>
        <w:t xml:space="preserve">Odporúčame, aby Európska únia okrem programu Erasmus prijala nariadenie o výmennom programe pre žiakov a študentov vo veku od 14 do 25 rokov bez ohľadu na ich pôvod, pohlavie a úroveň vzdelania. Tento výmenný program by mali systematicky vytvárať a podporovať školy na miestnej úrovni. Každý študent by mal mať možnosť zúčastniť sa výmenného programu kedykoľvek počas školskej dochádzky. Na tento účel by Európska komisia mala predložiť návrh Európskemu parlamentu a Európskej rade. </w:t>
      </w:r>
    </w:p>
    <w:p>
      <w:pPr>
        <w:pStyle w:val="P68B1DB1Normal20"/>
        <w:widowControl w:val="false"/>
        <w:spacing w:lineRule="exact" w:line="293" w:before="168" w:after="0"/>
        <w:ind w:left="276" w:right="123" w:hanging="0"/>
        <w:jc w:val="both"/>
        <w:rPr/>
      </w:pPr>
      <w:r>
        <w:rPr/>
        <w:t xml:space="preserve">Naším cieľom je poskytnúť študentom, bez ohľadu na ich akademickú výkonnosť a finančnú podporu svojich rodičov, možnosť zúčastniť sa výmenných programov v celej Európe. Kultúra európskych výmen by sa mala podporovať už od školského veku. Predovšetkým je dôležité, aby výmenné programy boli ľahko dostupné a bez byrokracie. Prostredníctvom tohto výmenného programu chceme vytvoriť európsku solidaritu a znížiť jazykové bariéry. V tejto súvislosti treba mať na pamäti rovnosť vo vzdelávaní a účasť na vzdelávaní, aby sa posilnili medzikultúrne a komunikačné zručnosti. </w:t>
      </w:r>
    </w:p>
    <w:p>
      <w:pPr>
        <w:pStyle w:val="P68B1DB1Normal20"/>
        <w:widowControl w:val="false"/>
        <w:spacing w:lineRule="exact" w:line="293" w:before="168" w:after="0"/>
        <w:ind w:left="276" w:right="123" w:hanging="0"/>
        <w:jc w:val="both"/>
        <w:rPr/>
      </w:pPr>
      <w:r>
        <w:rPr/>
        <w:t xml:space="preserve">Tieto ciele sú pre nás dôležité, pretože môžu pomôcť podporiť európsku súdržnosť, posilniť rešpekt a spoluprácu a sprostredkovať európske hodnoty už od útleho veku, aby sa rozmanitosť Európy mohla vnímať ako príležitosť. </w:t>
      </w:r>
    </w:p>
    <w:p>
      <w:pPr>
        <w:pStyle w:val="P68B1DB1Normal20"/>
        <w:widowControl w:val="false"/>
        <w:spacing w:lineRule="exact" w:line="385" w:before="92" w:after="0"/>
        <w:ind w:left="0" w:right="0" w:hanging="0"/>
        <w:jc w:val="left"/>
        <w:rPr/>
      </w:pPr>
      <w:r>
        <w:rPr/>
        <w:t xml:space="preserve"> </w:t>
      </w:r>
    </w:p>
    <w:p>
      <w:pPr>
        <w:pStyle w:val="P68B1DB1Normal44"/>
        <w:widowControl w:val="false"/>
        <w:spacing w:lineRule="exact" w:line="383" w:before="112" w:after="0"/>
        <w:ind w:left="276" w:right="0" w:hanging="0"/>
        <w:jc w:val="left"/>
        <w:rPr/>
      </w:pPr>
      <w:r>
        <w:rPr/>
        <w:t xml:space="preserve">Okrúhly stôl 2: </w:t>
      </w:r>
    </w:p>
    <w:p>
      <w:pPr>
        <w:pStyle w:val="P68B1DB1Normal68"/>
        <w:widowControl w:val="false"/>
        <w:spacing w:lineRule="exact" w:line="400" w:before="205" w:after="0"/>
        <w:ind w:left="0" w:right="0" w:hanging="0"/>
        <w:jc w:val="left"/>
        <w:rPr/>
      </w:pPr>
      <w:r>
        <w:rPr/>
        <w:t xml:space="preserve">Stanovenie základnej mzdy špecifickej pre zamestnanosť </w:t>
      </w:r>
    </w:p>
    <w:p>
      <w:pPr>
        <w:pStyle w:val="P68B1DB1Normal20"/>
        <w:widowControl w:val="false"/>
        <w:spacing w:lineRule="exact" w:line="293"/>
        <w:ind w:left="276" w:right="121" w:hanging="0"/>
        <w:jc w:val="both"/>
        <w:rPr/>
      </w:pPr>
      <w:r>
        <w:rPr/>
        <w:t xml:space="preserve">Odporúčame, aby európsky komisár pre zamestnanosť a sociálne práva predložil Európskemu parlamentu návrh na vytvorenie základnej mzdy špecifickej pre zamestnanosť vo všetkých členských štátoch. Táto základná mzda by mala pozostávať z minimálneho príjmu dostatočného na zabezpečenie živobytia a osobitného doplnku k zamestnaniu. </w:t>
      </w:r>
    </w:p>
    <w:p>
      <w:pPr>
        <w:pStyle w:val="P68B1DB1Normal20"/>
        <w:widowControl w:val="false"/>
        <w:spacing w:lineRule="exact" w:line="293" w:before="173" w:after="0"/>
        <w:ind w:left="276" w:right="121" w:hanging="0"/>
        <w:jc w:val="both"/>
        <w:rPr/>
      </w:pPr>
      <w:r>
        <w:rPr/>
        <w:t xml:space="preserve">Naším cieľom je zabezpečiť, aby boli profesionálne výsledky a mzdy porovnateľné v celej EÚ s cieľom posilniť sociálnu spravodlivosť. Tento cieľ je pre nás dôležitý, pretože by zabezpečil, aby trh práce dodržiaval základnú zásadu EÚ: porovnateľné životné a pracovné podmienky bez ohľadu na miesto bydliska a povolania osoby. </w:t>
      </w:r>
    </w:p>
    <w:p>
      <w:pPr>
        <w:pStyle w:val="Normal"/>
        <w:spacing w:lineRule="auto" w:line="240"/>
        <w:rPr/>
      </w:pPr>
      <w:r>
        <w:rPr/>
      </w:r>
      <w:r>
        <w:br w:type="page"/>
      </w:r>
    </w:p>
    <w:p>
      <w:pPr>
        <w:pStyle w:val="P68B1DB1Normal44"/>
        <w:spacing w:lineRule="auto" w:line="240"/>
        <w:rPr/>
      </w:pPr>
      <w:r>
        <w:rPr/>
        <w:t xml:space="preserve">Okrúhly stôl 1: </w:t>
      </w:r>
    </w:p>
    <w:p>
      <w:pPr>
        <w:pStyle w:val="P68B1DB1Normal68"/>
        <w:widowControl w:val="false"/>
        <w:spacing w:lineRule="exact" w:line="400" w:before="196" w:after="0"/>
        <w:ind w:left="0" w:right="0" w:hanging="0"/>
        <w:jc w:val="left"/>
        <w:rPr/>
      </w:pPr>
      <w:r>
        <w:rPr/>
        <w:t xml:space="preserve">Stelesnenie európskych hodnôt a komunikácia s nimi apelovaním na emócie </w:t>
      </w:r>
    </w:p>
    <w:p>
      <w:pPr>
        <w:pStyle w:val="P68B1DB1Normal20"/>
        <w:widowControl w:val="false"/>
        <w:spacing w:lineRule="exact" w:line="338" w:before="192" w:after="0"/>
        <w:ind w:left="276" w:right="126" w:hanging="0"/>
        <w:jc w:val="both"/>
        <w:rPr/>
      </w:pPr>
      <w:r>
        <w:rPr/>
        <w:t xml:space="preserve">Odporúčame konkretizovať európske hodnoty a komunikovať s väčšími emóciami. To by sme mohli dosiahnuť napríklad prostredníctvom „integračného“ balíka týkajúceho sa médií, interaktívnych prvkov a väčšej účasti občanov. </w:t>
      </w:r>
    </w:p>
    <w:p>
      <w:pPr>
        <w:pStyle w:val="P68B1DB1Normal20"/>
        <w:widowControl w:val="false"/>
        <w:spacing w:lineRule="exact" w:line="336" w:before="216" w:after="0"/>
        <w:ind w:left="276" w:right="126" w:hanging="0"/>
        <w:jc w:val="left"/>
        <w:rPr/>
      </w:pPr>
      <w:r>
        <w:rPr/>
        <w:t xml:space="preserve">Naším cieľom je, aby všetci žijúci v EÚ poznali a prijali spoločné hodnoty. </w:t>
      </w:r>
    </w:p>
    <w:p>
      <w:pPr>
        <w:pStyle w:val="P68B1DB1Normal20"/>
        <w:widowControl w:val="false"/>
        <w:spacing w:lineRule="exact" w:line="337" w:before="216" w:after="0"/>
        <w:ind w:left="276" w:right="119" w:hanging="0"/>
        <w:jc w:val="both"/>
        <w:rPr/>
      </w:pPr>
      <w:r>
        <w:rPr/>
        <w:t xml:space="preserve">Tento cieľ je pre nás dôležitý, pretože tvorí základ pre naše spolužitie v našom spoločenstve hodnôt. Tieto hodnoty sú príliš málo známe, pretože osobné spojenie chýba. Musíme vytvoriť toto spojenie. </w:t>
      </w:r>
    </w:p>
    <w:p>
      <w:pPr>
        <w:pStyle w:val="P68B1DB1Normal20"/>
        <w:widowControl w:val="false"/>
        <w:spacing w:lineRule="exact" w:line="385" w:before="135" w:after="0"/>
        <w:ind w:left="0" w:right="0" w:hanging="0"/>
        <w:jc w:val="left"/>
        <w:rPr/>
      </w:pPr>
      <w:r>
        <w:rPr/>
        <w:t xml:space="preserve"> </w:t>
      </w:r>
    </w:p>
    <w:p>
      <w:pPr>
        <w:pStyle w:val="P68B1DB1Normal44"/>
        <w:widowControl w:val="false"/>
        <w:spacing w:lineRule="exact" w:line="383" w:before="114" w:after="0"/>
        <w:ind w:left="276" w:right="0" w:hanging="0"/>
        <w:jc w:val="left"/>
        <w:rPr/>
      </w:pPr>
      <w:r>
        <w:rPr/>
        <w:t xml:space="preserve">Okrúhly stôl 2: </w:t>
      </w:r>
    </w:p>
    <w:p>
      <w:pPr>
        <w:pStyle w:val="P68B1DB1Normal68"/>
        <w:widowControl w:val="false"/>
        <w:spacing w:lineRule="exact" w:line="400" w:before="211" w:after="0"/>
        <w:ind w:left="0" w:right="0" w:hanging="0"/>
        <w:jc w:val="left"/>
        <w:rPr/>
      </w:pPr>
      <w:r>
        <w:rPr/>
        <w:t xml:space="preserve">Život v EÚ </w:t>
      </w:r>
    </w:p>
    <w:p>
      <w:pPr>
        <w:pStyle w:val="P68B1DB1Normal20"/>
        <w:widowControl w:val="false"/>
        <w:spacing w:lineRule="exact" w:line="337" w:before="191" w:after="0"/>
        <w:ind w:left="276" w:right="116" w:hanging="0"/>
        <w:jc w:val="both"/>
        <w:rPr/>
      </w:pPr>
      <w:r>
        <w:rPr/>
        <w:t xml:space="preserve">Odporúčame, aby EÚ vytvorila vlastný vzdelávací a informačný televízny program s cieľom zvýšiť informovanosť všetkých občanov EÚ o našich spoločných hodnotách a zabezpečiť jednoduchý a neobmedzený prístup k týmto informáciám pre všetkých. Tieto ciele sú pre nás dôležité, pretože chceme lepšie pochopiť verejnú mienku v každej krajine EÚ. Týmto spôsobom chceme posilniť spoločný základ a pomôcť spojiť občanov, aby podporili väčšiu solidaritu a vyškolili ich v oblasti právneho štátu s cieľom zachovať demokraciu.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Národné panely: Taliansko</w:t>
      </w:r>
    </w:p>
    <w:p>
      <w:pPr>
        <w:pStyle w:val="P68B1DB1Normal70"/>
        <w:spacing w:lineRule="auto" w:line="240"/>
        <w:jc w:val="center"/>
        <w:rPr/>
      </w:pPr>
      <w:r>
        <w:rPr/>
        <w:t xml:space="preserve">Panel občanov, ktorý má vypracovať odporúčania pre Konferenciu o budúcnosti Európy, 11. – 12. marca 2022 </w:t>
      </w:r>
    </w:p>
    <w:p>
      <w:pPr>
        <w:pStyle w:val="P68B1DB1Normal71"/>
        <w:widowControl w:val="false"/>
        <w:spacing w:lineRule="exact" w:line="916" w:before="147" w:after="0"/>
        <w:ind w:left="2234" w:right="0" w:hanging="0"/>
        <w:jc w:val="left"/>
        <w:rPr/>
      </w:pPr>
      <w:r>
        <w:rPr/>
        <w:t xml:space="preserve">Súhrnná správa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Rím, 16. marca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6">
            <wp:simplePos x="0" y="0"/>
            <wp:positionH relativeFrom="column">
              <wp:posOffset>50800</wp:posOffset>
            </wp:positionH>
            <wp:positionV relativeFrom="paragraph">
              <wp:posOffset>155575</wp:posOffset>
            </wp:positionV>
            <wp:extent cx="810895" cy="956310"/>
            <wp:effectExtent l="0" t="0" r="0" b="0"/>
            <wp:wrapSquare wrapText="largest"/>
            <wp:docPr id="99" name="Obrázok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ázok42" descr=""/>
                    <pic:cNvPicPr>
                      <a:picLocks noChangeAspect="1" noChangeArrowheads="1"/>
                    </pic:cNvPicPr>
                  </pic:nvPicPr>
                  <pic:blipFill>
                    <a:blip r:embed="rId102"/>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p>
      <w:pPr>
        <w:pStyle w:val="TOAHeading"/>
        <w:rPr/>
      </w:pPr>
      <w:r>
        <w:rPr/>
        <w:t>Obsah</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Hlavné zásady pre proces organizovania panelu </w:t>
      </w:r>
    </w:p>
    <w:p>
      <w:pPr>
        <w:pStyle w:val="P68B1DB1Normal34"/>
        <w:widowControl w:val="false"/>
        <w:spacing w:lineRule="auto" w:line="240"/>
        <w:ind w:left="0" w:right="0" w:hanging="0"/>
        <w:jc w:val="left"/>
        <w:rPr/>
      </w:pPr>
      <w:r>
        <w:rPr/>
        <w:t xml:space="preserve"> </w:t>
      </w:r>
      <w:r>
        <w:rPr/>
        <w:t xml:space="preserve">Celý proces vykonávania panelu bol navrhnutý tak, aby bol v súlade s usmerneniami obsiahnutými v usmerneniach pre vnútroštátne panelové diskusie občanov v kontexte Konferencie o budúcnosti Európy. Konkrétnejšie: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Účel:</w:t>
      </w:r>
      <w:r>
        <w:rPr>
          <w:b/>
          <w:color w:val="000000"/>
        </w:rPr>
        <w:t xml:space="preserve"> </w:t>
      </w:r>
    </w:p>
    <w:p>
      <w:pPr>
        <w:pStyle w:val="P68B1DB1Normal34"/>
        <w:widowControl w:val="false"/>
        <w:spacing w:lineRule="auto" w:line="240"/>
        <w:ind w:left="720" w:right="0" w:hanging="0"/>
        <w:jc w:val="left"/>
        <w:rPr/>
      </w:pPr>
      <w:r>
        <w:rPr/>
        <w:t xml:space="preserve">Všetci pozvaní na účasť v paneli vyplnili dotazník o účasti obsahujúci ciele a účely projektu s konkrétnymi odkazmi na Konferenciu o budúcnosti Európy, témy a spôsoby účasti.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Transparentnosť: </w:t>
      </w:r>
    </w:p>
    <w:p>
      <w:pPr>
        <w:pStyle w:val="P68B1DB1Normal34"/>
        <w:widowControl w:val="false"/>
        <w:spacing w:lineRule="auto" w:line="240"/>
        <w:ind w:left="720" w:right="0" w:hanging="0"/>
        <w:jc w:val="left"/>
        <w:rPr/>
      </w:pPr>
      <w:r>
        <w:rPr/>
        <w:t xml:space="preserve">Všetky dokumenty, ktoré predstavujú iniciatívu, boli účastníkom sprístupnené rôznymi spôsobmi, pričom vždy odkazovali na oficiálnu internetovú stránku konferencie. Dokumenty boli zaslané e-mailom všetkým účastníkom.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Inkluzívnosť: </w:t>
      </w:r>
    </w:p>
    <w:p>
      <w:pPr>
        <w:pStyle w:val="P68B1DB1Normal75"/>
        <w:widowControl w:val="false"/>
        <w:spacing w:lineRule="auto" w:line="240"/>
        <w:ind w:left="708" w:right="0" w:hanging="0"/>
        <w:jc w:val="left"/>
        <w:rPr/>
      </w:pPr>
      <w:r>
        <w:rPr>
          <w:color w:val="000000"/>
        </w:rPr>
        <w:t xml:space="preserve">Pozvánka na účasť bola odoslaná rôznymi kanálmi: napríklad, e-mail členom komunity </w:t>
      </w:r>
      <w:r>
        <w:rPr>
          <w:color w:val="ED7D31"/>
        </w:rPr>
        <w:t>SWG</w:t>
      </w:r>
      <w:r>
        <w:rPr>
          <w:color w:val="000000"/>
        </w:rPr>
        <w:t xml:space="preserve"> a zdieľať odkaz na formulár žiadosti cez Twitter a LinkedIn. Výsledkom bolo viac ako 400 prístupov k formuláru žiadosti a 245 žiadostí. (Náhodný) výber účastníkov sa uskutočnil tak, aby sa zaručila prítomnosť rôznych osôb pohlavia, veku, sociálneho pôvodu, miesta bydliska a profesijného postavenia.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Reprezentatívnosť: </w:t>
      </w:r>
    </w:p>
    <w:p>
      <w:pPr>
        <w:pStyle w:val="P68B1DB1Normal34"/>
        <w:widowControl w:val="false"/>
        <w:spacing w:lineRule="auto" w:line="240"/>
        <w:ind w:left="708" w:right="0" w:hanging="0"/>
        <w:jc w:val="left"/>
        <w:rPr/>
      </w:pPr>
      <w:r>
        <w:rPr/>
        <w:t xml:space="preserve">Hoci veľkosť vzorky nie je reprezentatívna v štatistickom zmysle, vzorka bola navrhnutá tak, aby sa dosiahla maximálna heterogenita medzi účastníkmi s cieľom reprodukovať mikrokozmu cieľovej skupiny.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Informácie: </w:t>
      </w:r>
    </w:p>
    <w:p>
      <w:pPr>
        <w:pStyle w:val="Normal"/>
        <w:widowControl w:val="false"/>
        <w:spacing w:lineRule="auto" w:line="240"/>
        <w:ind w:left="720" w:right="0" w:hanging="0"/>
        <w:jc w:val="left"/>
        <w:rPr/>
      </w:pPr>
      <w:r>
        <w:rPr>
          <w:color w:val="000000"/>
        </w:rPr>
        <w:t xml:space="preserve">Všetci účastníci dostali širokú škálu informácií o konferencii a o témach, o ktorých sa diskutovalo počas panelu. Ciele a spôsoby projektu boli účastníkom pripomenuté v úvodnej časti v súlade so zásadami neutrality a úplnosti. Všetci účastníci dostali možnosť vyžiadať si ďalšie informácie a podrobnosti o podujatí prostredníctvom priamych telefónnych čísel projektových manažérov v rámci </w:t>
      </w:r>
      <w:r>
        <w:rPr>
          <w:color w:val="ED7D31"/>
        </w:rPr>
        <w:t>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Diskusné skupiny: </w:t>
      </w:r>
    </w:p>
    <w:p>
      <w:pPr>
        <w:pStyle w:val="P68B1DB1Normal76"/>
        <w:widowControl w:val="false"/>
        <w:spacing w:lineRule="auto" w:line="240"/>
        <w:ind w:left="720" w:right="0" w:hanging="0"/>
        <w:jc w:val="left"/>
        <w:rPr/>
      </w:pPr>
      <w:r>
        <w:rPr/>
        <w:t xml:space="preserve">Hlavným cieľom celého procesu bolo sformulovať konkrétne odporúčania, ktoré účastníci vo veľkej miere zdieľajú, a ktoré by mali byť adresované Európskej únii. Spôsob organizácie práce a vedenia skupín viedol k procesu zameranému na zhromažďovanie indikácií účastníkov, ich liečbu a syntézu, ako aj ich overovanie a validáciu samotnými skupinami počas nasledujúceho pracovného zasadnutia.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Kalendár: </w:t>
      </w:r>
    </w:p>
    <w:p>
      <w:pPr>
        <w:pStyle w:val="P68B1DB1Normal76"/>
        <w:widowControl w:val="false"/>
        <w:spacing w:lineRule="auto" w:line="240"/>
        <w:ind w:left="720" w:right="0" w:hanging="0"/>
        <w:jc w:val="left"/>
        <w:rPr/>
      </w:pPr>
      <w:r>
        <w:rPr/>
        <w:t xml:space="preserve">Počas pracovných sedení vznikla uvoľnená atmosféra, ktorá dáva účastníkom po celý čas potrebný na prehĺbenie tém, na ktoré boli pozvaní, aby prerokovali, vyjadrili svoje názory a počúvali názory iných. Z rovnakého dôvodu sa rozhodlo rozdeliť dve hlavné skupiny na dve podskupiny. Okrem toho sa práca rozložila na dva dni, aby sa mohli zakladať na formulovaných nápadoch.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Následné opatrenia:</w:t>
      </w:r>
      <w:r>
        <w:rPr>
          <w:color w:val="000000"/>
        </w:rPr>
        <w:t xml:space="preserve"> </w:t>
      </w:r>
    </w:p>
    <w:p>
      <w:pPr>
        <w:pStyle w:val="P68B1DB1Normal76"/>
        <w:widowControl w:val="false"/>
        <w:spacing w:lineRule="auto" w:line="240"/>
        <w:ind w:left="720" w:right="0" w:hanging="0"/>
        <w:jc w:val="left"/>
        <w:rPr/>
      </w:pPr>
      <w:r>
        <w:rPr/>
        <w:t xml:space="preserve">V posledný deň všetky skupiny vykonali overenie a validáciu prvého návrhu odporúčaní vydaných počas prvej fázy práce. Keď bola správa o výsledkoch predložená sekcia pre európsku politiku predsedníctva Rady ministrov a jej schválenie, konečné znenie odporúčaní sa postúpilo všetkým účastníkom panelu. V každom prípade boli účastníci vyzvaní, aby pokračovali v monitorovaní aktivít konferencie na webovom sídle a prostredníctvom aktualizácií, ktoré sa majú uverejniť.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Integrita: </w:t>
      </w:r>
    </w:p>
    <w:p>
      <w:pPr>
        <w:pStyle w:val="Normal"/>
        <w:widowControl w:val="false"/>
        <w:spacing w:lineRule="auto" w:line="240"/>
        <w:ind w:left="720" w:right="0" w:hanging="0"/>
        <w:jc w:val="left"/>
        <w:rPr/>
      </w:pPr>
      <w:r>
        <w:rPr>
          <w:color w:val="000000"/>
        </w:rPr>
        <w:t xml:space="preserve">Celý pracovný proces vykonávala nezávisle </w:t>
      </w:r>
      <w:r>
        <w:rPr>
          <w:color w:val="ED7D31"/>
        </w:rPr>
        <w:t>SWG</w:t>
      </w:r>
      <w:r>
        <w:rPr>
          <w:color w:val="000000"/>
        </w:rPr>
        <w:t xml:space="preserve">, v závislosti od prijatej misie. Európska tematická sekcia predsedníctva Rady ministrov bola neustále informovaná o rôznych etapách iniciatívy a výsledkoch.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Ochrana súkromia: </w:t>
      </w:r>
    </w:p>
    <w:p>
      <w:pPr>
        <w:pStyle w:val="P68B1DB1Normal76"/>
        <w:widowControl w:val="false"/>
        <w:spacing w:lineRule="auto" w:line="240"/>
        <w:ind w:left="721" w:right="0" w:hanging="0"/>
        <w:jc w:val="left"/>
        <w:rPr/>
      </w:pPr>
      <w:r>
        <w:rPr/>
        <w:t xml:space="preserve">Súkromie účastníkov bolo plne zaručené. Na to, aby sa všetci uchádzači mohli zúčastniť na výberovom konaní, museli podpísať formulár informovaného súhlasu, ktorý vyžaduje zákon.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Hodnotenie: </w:t>
      </w:r>
    </w:p>
    <w:p>
      <w:pPr>
        <w:pStyle w:val="P68B1DB1Normal76"/>
        <w:widowControl w:val="false"/>
        <w:spacing w:lineRule="auto" w:line="240"/>
        <w:ind w:left="721" w:right="0" w:hanging="0"/>
        <w:jc w:val="left"/>
        <w:rPr/>
      </w:pPr>
      <w:r>
        <w:rPr/>
        <w:t xml:space="preserve">Na konci procesu bol všetkým účastníkom zaslaný dotazník s cieľom posúdiť ich skúsenosti. Výsledky sú zhrnuté v tejto správe. </w:t>
      </w:r>
    </w:p>
    <w:p>
      <w:pPr>
        <w:pStyle w:val="P68B1DB1Titre277"/>
        <w:numPr>
          <w:ilvl w:val="0"/>
          <w:numId w:val="2"/>
        </w:numPr>
        <w:rPr/>
      </w:pPr>
      <w:bookmarkStart w:id="217" w:name="__RefHeading___Toc300310_1346298689"/>
      <w:bookmarkEnd w:id="217"/>
      <w:r>
        <w:rPr/>
        <w:t xml:space="preserve">2. Výber účastníkov a spôsob účasti </w:t>
      </w:r>
    </w:p>
    <w:p>
      <w:pPr>
        <w:pStyle w:val="P68B1DB1Normal74"/>
        <w:widowControl w:val="false"/>
        <w:spacing w:lineRule="auto" w:line="240" w:before="208" w:after="0"/>
        <w:ind w:left="0" w:right="0" w:hanging="0"/>
        <w:jc w:val="left"/>
        <w:rPr/>
      </w:pPr>
      <w:r>
        <w:rPr/>
        <w:t xml:space="preserve">Výber </w:t>
      </w:r>
    </w:p>
    <w:p>
      <w:pPr>
        <w:pStyle w:val="P68B1DB1Normal76"/>
        <w:widowControl w:val="false"/>
        <w:spacing w:lineRule="auto" w:line="240" w:before="90" w:after="0"/>
        <w:ind w:left="0" w:right="6" w:hanging="0"/>
        <w:jc w:val="left"/>
        <w:rPr/>
      </w:pPr>
      <w:r>
        <w:rPr/>
        <w:t xml:space="preserve">Cieľom fázy komunikácie pred podujatím bolo vybrať najmenej 50 talianskych občanov, ktorí majú záujem o účasť na iniciatíve. </w:t>
      </w:r>
    </w:p>
    <w:p>
      <w:pPr>
        <w:pStyle w:val="Normal"/>
        <w:widowControl w:val="false"/>
        <w:spacing w:lineRule="auto" w:line="240" w:before="90" w:after="0"/>
        <w:ind w:left="0" w:right="4" w:hanging="0"/>
        <w:jc w:val="both"/>
        <w:rPr/>
      </w:pPr>
      <w:r>
        <w:rPr>
          <w:color w:val="000000"/>
        </w:rPr>
        <w:t xml:space="preserve">Na tento účel bol vytvorený krátky formulár samožiadosti vo forme dotazníka, ktorý sa má vyplniť online na platforme </w:t>
      </w:r>
      <w:r>
        <w:rPr>
          <w:color w:val="ED7D31"/>
        </w:rPr>
        <w:t>SWG</w:t>
      </w:r>
      <w:r>
        <w:rPr>
          <w:color w:val="000000"/>
        </w:rPr>
        <w:t xml:space="preserve">, prostredníctvom ktorého sa mohli prihlásiť všetci záujemcovia o účasť na iniciatíve, s uvedením údajov, ktoré je potrebné vložiť do skupín, z ktorých boli účastníci náhodne vybraní. Nevyhnutné podmienky účasti boli: mať pripojenie na internet, zariadenie vybavené mikrofónom a videokamerou, ako aj podpísať konferenčnú chartu.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53">
            <wp:simplePos x="0" y="0"/>
            <wp:positionH relativeFrom="column">
              <wp:posOffset>58420</wp:posOffset>
            </wp:positionH>
            <wp:positionV relativeFrom="paragraph">
              <wp:posOffset>1365885</wp:posOffset>
            </wp:positionV>
            <wp:extent cx="187960" cy="187960"/>
            <wp:effectExtent l="0" t="0" r="0" b="0"/>
            <wp:wrapSquare wrapText="largest"/>
            <wp:docPr id="100" name="Obrázok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ázok44" descr=""/>
                    <pic:cNvPicPr>
                      <a:picLocks noChangeAspect="1" noChangeArrowheads="1"/>
                    </pic:cNvPicPr>
                  </pic:nvPicPr>
                  <pic:blipFill>
                    <a:blip r:embed="rId103"/>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57">
            <wp:simplePos x="0" y="0"/>
            <wp:positionH relativeFrom="column">
              <wp:posOffset>49530</wp:posOffset>
            </wp:positionH>
            <wp:positionV relativeFrom="paragraph">
              <wp:posOffset>958850</wp:posOffset>
            </wp:positionV>
            <wp:extent cx="287020" cy="287020"/>
            <wp:effectExtent l="0" t="0" r="0" b="0"/>
            <wp:wrapSquare wrapText="largest"/>
            <wp:docPr id="101" name="Obrázok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ázok43" descr=""/>
                    <pic:cNvPicPr>
                      <a:picLocks noChangeAspect="1" noChangeArrowheads="1"/>
                    </pic:cNvPicPr>
                  </pic:nvPicPr>
                  <pic:blipFill>
                    <a:blip r:embed="rId104"/>
                    <a:stretch>
                      <a:fillRect/>
                    </a:stretch>
                  </pic:blipFill>
                  <pic:spPr bwMode="auto">
                    <a:xfrm>
                      <a:off x="0" y="0"/>
                      <a:ext cx="287020" cy="287020"/>
                    </a:xfrm>
                    <a:prstGeom prst="rect">
                      <a:avLst/>
                    </a:prstGeom>
                  </pic:spPr>
                </pic:pic>
              </a:graphicData>
            </a:graphic>
          </wp:anchor>
        </w:drawing>
      </w:r>
      <w:r>
        <w:rPr>
          <w:color w:val="000000"/>
        </w:rPr>
        <w:t>F</w:t>
      </w:r>
      <w:r>
        <w:rPr>
          <w:color w:val="000000"/>
        </w:rPr>
        <w:t>ormulár žiadosti bol distribuovaný na sociálnych sieťach z účtov</w:t>
      </w:r>
      <w:r>
        <w:rPr>
          <w:color w:val="ED7D31"/>
        </w:rPr>
        <w:t>SWG</w:t>
      </w:r>
      <w:r>
        <w:rPr>
          <w:color w:val="000000"/>
        </w:rPr>
        <w:t xml:space="preserve">. Na tento účel bolo na Twitteri uverejnených šesť príspevkov a jeden na LinkedIn s nasledujúcimi výsledkami: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10"/>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Sociálna sieť</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Dátumy</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Počet názorov</w:t>
            </w:r>
          </w:p>
        </w:tc>
        <w:tc>
          <w:tcPr>
            <w:tcW w:w="241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Prístup k formuláru žiadosti</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Na Twitteri</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pracovných miest medzi 8. a 10. marcom</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príspevok 8. marca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Členovia komunity </w:t>
      </w:r>
      <w:r>
        <w:rPr>
          <w:color w:val="ED7D31"/>
        </w:rPr>
        <w:t>SWG</w:t>
      </w:r>
      <w:r>
        <w:rPr>
          <w:color w:val="000000"/>
        </w:rPr>
        <w:t xml:space="preserve"> boli zároveň vyzvaní, aby sa prihlásili v súlade s pozývacou stratégiou, ktorej cieľom je zabezpečiť maximálnu reprezentatívnosť talianskeho obyvateľstva, a to nielen z hľadiska sociálnych charakteristík, ale aj z hľadiska ideí, kultúrnej orientácie a hodnôt. </w:t>
      </w:r>
    </w:p>
    <w:p>
      <w:pPr>
        <w:pStyle w:val="P68B1DB1Normal76"/>
        <w:widowControl w:val="false"/>
        <w:spacing w:lineRule="exact" w:line="253" w:before="71" w:after="0"/>
        <w:ind w:left="1" w:right="0" w:hanging="0"/>
        <w:jc w:val="both"/>
        <w:rPr/>
      </w:pPr>
      <w:r>
        <w:rPr/>
        <w:t xml:space="preserve">Žiadosti bolo možné predložiť od 8. marca do 8.00 hod. a 10. marca 2022 o 16.00 hod. Celkovo proces získal 420 prístup k formuláru žiadosti a bolo prijatých 225 úplných žiadostí. </w:t>
      </w:r>
    </w:p>
    <w:p>
      <w:pPr>
        <w:pStyle w:val="P68B1DB1Normal76"/>
        <w:widowControl w:val="false"/>
        <w:spacing w:lineRule="exact" w:line="253" w:before="67" w:after="0"/>
        <w:ind w:left="1" w:right="2" w:hanging="0"/>
        <w:jc w:val="both"/>
        <w:rPr/>
      </w:pPr>
      <w:r>
        <w:rPr/>
        <w:t xml:space="preserve">Celkovo bolo skutočne oprávnených </w:t>
      </w:r>
      <w:r>
        <w:rPr>
          <w:b/>
        </w:rPr>
        <w:t>140</w:t>
      </w:r>
      <w:r>
        <w:rPr/>
        <w:t xml:space="preserve"> osôb, z toho 70 bolo vybraných na základe kritéria na zabezpečenie vyváženého zastúpenia z hľadiska pohlavia, geografického rozloženia, veku a dosiahnutého vzdelania. </w:t>
      </w:r>
    </w:p>
    <w:p>
      <w:pPr>
        <w:pStyle w:val="P68B1DB1Normal76"/>
        <w:widowControl w:val="false"/>
        <w:spacing w:lineRule="exact" w:line="253" w:before="73" w:after="0"/>
        <w:ind w:left="1" w:right="1" w:hanging="0"/>
        <w:jc w:val="both"/>
        <w:rPr/>
      </w:pPr>
      <w:r>
        <w:rPr/>
        <w:t xml:space="preserve">V rámci výberového konania sa osobitná pozornosť venovala zásade primeranej pravdepodobnosti výberu účastníkov spolu s postupmi založenými na náhodnom kritériu. </w:t>
      </w:r>
    </w:p>
    <w:p>
      <w:pPr>
        <w:pStyle w:val="P68B1DB1Normal76"/>
        <w:widowControl w:val="false"/>
        <w:spacing w:lineRule="exact" w:line="253" w:before="71" w:after="0"/>
        <w:ind w:left="1" w:right="0" w:hanging="0"/>
        <w:jc w:val="both"/>
        <w:rPr/>
      </w:pPr>
      <w:r>
        <w:rPr/>
        <w:t xml:space="preserve">Náhodný charakter výberu bol ústredným prvkom projektu na zabezpečenie spravodlivého procesu prístupu. V duchu iniciatívy sa však zdalo dôležité zaviesť stratégiu zameranú nielen na zapojenie čo najväčšieho počtu ľudí, ale aj na zabezpečenie maximálnej rôznorodosti vybraných ľudí s cieľom podporiť čo najväčšiu inkluzívnosť. </w:t>
      </w:r>
    </w:p>
    <w:p>
      <w:pPr>
        <w:pStyle w:val="P68B1DB1Normal34"/>
        <w:widowControl w:val="false"/>
        <w:spacing w:lineRule="exact" w:line="393" w:before="70" w:after="0"/>
        <w:ind w:left="0" w:right="0" w:hanging="0"/>
        <w:jc w:val="left"/>
        <w:rPr/>
      </w:pPr>
      <w:r>
        <w:rPr/>
        <w:t xml:space="preserve"> </w:t>
      </w:r>
    </w:p>
    <w:p>
      <w:pPr>
        <w:pStyle w:val="P68B1DB1Normal76"/>
        <w:widowControl w:val="false"/>
        <w:spacing w:lineRule="exact" w:line="362" w:before="69" w:after="0"/>
        <w:ind w:left="0" w:right="0" w:hanging="0"/>
        <w:jc w:val="left"/>
        <w:rPr/>
      </w:pPr>
      <w:r>
        <w:rPr/>
        <w:t>Stručne povedané, rozdelenie oprávnených osôb bolo takéto:</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63">
                <wp:simplePos x="0" y="0"/>
                <wp:positionH relativeFrom="column">
                  <wp:posOffset>0</wp:posOffset>
                </wp:positionH>
                <wp:positionV relativeFrom="paragraph">
                  <wp:posOffset>132715</wp:posOffset>
                </wp:positionV>
                <wp:extent cx="6059805" cy="3775710"/>
                <wp:effectExtent l="0" t="0" r="0" b="0"/>
                <wp:wrapTopAndBottom/>
                <wp:docPr id="102" name="Formulár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5"/>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Rozdelenie oprávnených kandidátov</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pohlavie</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veková skupina</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 34 rokov</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 – 64 rokov</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 – 75 rokov</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Úroveň vzdelania</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Nízka</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Severovýchod</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 odborné vzdelávanie</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Priemer</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Vyvýšený</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Bakalársky titul, magisterský titul alebo viac</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Severný západ</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Oblasť bydliska</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Južné a ostrovy</w:t>
                              </w:r>
                            </w:p>
                          </w:txbxContent>
                        </wps:txbx>
                        <wps:bodyPr lIns="90000" rIns="90000" tIns="45000" bIns="45000">
                          <a:noAutofit/>
                        </wps:bodyPr>
                      </wps:wsp>
                    </wpg:wgp>
                  </a:graphicData>
                </a:graphic>
              </wp:anchor>
            </w:drawing>
          </mc:Choice>
          <mc:Fallback>
            <w:pict>
              <v:group id="shape_0" alt="Formulár4" style="position:absolute;margin-left:0pt;margin-top:10.45pt;width:477.1pt;height:297.25pt" coordorigin="0,209" coordsize="9542,5945">
                <v:shape id="shape_0" stroked="f" style="position:absolute;left:0;top:976;width:9526;height:5177" type="shapetype_75">
                  <v:imagedata r:id="rId105" o:detectmouseclick="t"/>
                  <w10:wrap type="none"/>
                  <v:stroke color="#3465a4" joinstyle="round" endcap="flat"/>
                </v:shape>
                <v:rect id="shape_0" stroked="f" style="position:absolute;left:2284;top:209;width:6128;height:969">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Rozdelenie oprávnených kandidátov</w:t>
                        </w:r>
                      </w:p>
                    </w:txbxContent>
                  </v:textbox>
                  <w10:wrap type="square"/>
                  <v:fill o:detectmouseclick="t" on="false"/>
                  <v:stroke color="#3465a4" joinstyle="round" endcap="flat"/>
                </v:rect>
                <v:rect id="shape_0" stroked="f" style="position:absolute;left:771;top:2019;width:169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pohlavie</w:t>
                        </w:r>
                      </w:p>
                    </w:txbxContent>
                  </v:textbox>
                  <w10:wrap type="square"/>
                  <v:fill o:detectmouseclick="t" on="false"/>
                  <v:stroke color="#3465a4" joinstyle="round" endcap="flat"/>
                </v:rect>
                <v:rect id="shape_0" stroked="f" style="position:absolute;left:519;top:3413;width:169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veková skupina</w:t>
                        </w:r>
                      </w:p>
                    </w:txbxContent>
                  </v:textbox>
                  <w10:wrap type="square"/>
                  <v:fill o:detectmouseclick="t" on="false"/>
                  <v:stroke color="#3465a4" joinstyle="round" endcap="flat"/>
                </v:rect>
                <v:rect id="shape_0" stroked="f" style="position:absolute;left:1608;top:3921;width:1325;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 34 rokov</w:t>
                        </w:r>
                      </w:p>
                    </w:txbxContent>
                  </v:textbox>
                  <w10:wrap type="square"/>
                  <v:fill o:detectmouseclick="t" on="false"/>
                  <v:stroke color="#3465a4" joinstyle="round" endcap="flat"/>
                </v:rect>
                <v:rect id="shape_0" stroked="f" style="position:absolute;left:1555;top:4524;width:1325;height:69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 – 64 rokov</w:t>
                        </w:r>
                      </w:p>
                    </w:txbxContent>
                  </v:textbox>
                  <w10:wrap type="square"/>
                  <v:fill o:detectmouseclick="t" on="false"/>
                  <v:stroke color="#3465a4" joinstyle="round" endcap="flat"/>
                </v:rect>
                <v:rect id="shape_0" stroked="f" style="position:absolute;left:1568;top:5035;width:1325;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 – 75 rokov</w:t>
                        </w:r>
                      </w:p>
                    </w:txbxContent>
                  </v:textbox>
                  <w10:wrap type="square"/>
                  <v:fill o:detectmouseclick="t" on="false"/>
                  <v:stroke color="#3465a4" joinstyle="round" endcap="flat"/>
                </v:rect>
                <v:rect id="shape_0" stroked="f" style="position:absolute;left:3320;top:2032;width:262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Úroveň vzdelania</w:t>
                        </w:r>
                      </w:p>
                    </w:txbxContent>
                  </v:textbox>
                  <w10:wrap type="square"/>
                  <v:fill o:detectmouseclick="t" on="false"/>
                  <v:stroke color="#3465a4" joinstyle="round" endcap="flat"/>
                </v:rect>
                <v:rect id="shape_0" stroked="f" style="position:absolute;left:4328;top:2541;width:1325;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Nízka</w:t>
                        </w:r>
                      </w:p>
                    </w:txbxContent>
                  </v:textbox>
                  <w10:wrap type="square"/>
                  <v:fill o:detectmouseclick="t" on="false"/>
                  <v:stroke color="#3465a4" joinstyle="round" endcap="flat"/>
                </v:rect>
                <v:rect id="shape_0" stroked="f" style="position:absolute;left:8017;top:2313;width:132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Severovýchod</w:t>
                        </w:r>
                      </w:p>
                    </w:txbxContent>
                  </v:textbox>
                  <w10:wrap type="square"/>
                  <v:fill o:detectmouseclick="t" on="false"/>
                  <v:stroke color="#3465a4" joinstyle="round" endcap="flat"/>
                </v:rect>
                <v:rect id="shape_0" stroked="f" style="position:absolute;left:3188;top:2943;width:2796;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 odborné vzdelávanie</w:t>
                        </w:r>
                      </w:p>
                    </w:txbxContent>
                  </v:textbox>
                  <w10:wrap type="square"/>
                  <v:fill o:detectmouseclick="t" on="false"/>
                  <v:stroke color="#3465a4" joinstyle="round" endcap="flat"/>
                </v:rect>
                <v:rect id="shape_0" stroked="f" style="position:absolute;left:4408;top:3613;width:1325;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Priemer</w:t>
                        </w:r>
                      </w:p>
                    </w:txbxContent>
                  </v:textbox>
                  <w10:wrap type="square"/>
                  <v:fill o:detectmouseclick="t" on="false"/>
                  <v:stroke color="#3465a4" joinstyle="round" endcap="flat"/>
                </v:rect>
                <v:rect id="shape_0" stroked="f" style="position:absolute;left:3413;top:4069;width:2332;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w:t>
                        </w:r>
                      </w:p>
                    </w:txbxContent>
                  </v:textbox>
                  <w10:wrap type="square"/>
                  <v:fill o:detectmouseclick="t" on="false"/>
                  <v:stroke color="#3465a4" joinstyle="round" endcap="flat"/>
                </v:rect>
                <v:rect id="shape_0" stroked="f" style="position:absolute;left:4435;top:4847;width:1323;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Vyvýšený</w:t>
                        </w:r>
                      </w:p>
                    </w:txbxContent>
                  </v:textbox>
                  <w10:wrap type="square"/>
                  <v:fill o:detectmouseclick="t" on="false"/>
                  <v:stroke color="#3465a4" joinstyle="round" endcap="flat"/>
                </v:rect>
                <v:rect id="shape_0" stroked="f" style="position:absolute;left:3134;top:5209;width:3036;height:60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Bakalársky titul, magisterský titul alebo viac</w:t>
                        </w:r>
                      </w:p>
                    </w:txbxContent>
                  </v:textbox>
                  <w10:wrap type="square"/>
                  <v:fill o:detectmouseclick="t" on="false"/>
                  <v:stroke color="#3465a4" joinstyle="round" endcap="flat"/>
                </v:rect>
                <v:rect id="shape_0" stroked="f" style="position:absolute;left:6371;top:2662;width:1326;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Severný západ</w:t>
                        </w:r>
                      </w:p>
                    </w:txbxContent>
                  </v:textbox>
                  <w10:wrap type="square"/>
                  <v:fill o:detectmouseclick="t" on="false"/>
                  <v:stroke color="#3465a4" joinstyle="round" endcap="flat"/>
                </v:rect>
                <v:rect id="shape_0" stroked="f" style="position:absolute;left:6505;top:2032;width:263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Oblasť bydliska</w:t>
                        </w:r>
                      </w:p>
                    </w:txbxContent>
                  </v:textbox>
                  <w10:wrap type="square"/>
                  <v:fill o:detectmouseclick="t" on="false"/>
                  <v:stroke color="#3465a4" joinstyle="round" endcap="flat"/>
                </v:rect>
                <v:rect id="shape_0" stroked="f" style="position:absolute;left:8217;top:3198;width:132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v:textbox>
                  <w10:wrap type="square"/>
                  <v:fill o:detectmouseclick="t" on="false"/>
                  <v:stroke color="#3465a4" joinstyle="round" endcap="flat"/>
                </v:rect>
                <v:rect id="shape_0" stroked="f" style="position:absolute;left:6359;top:4686;width:1616;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Južné a ostrovy</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Hneď ako bolo vybraných 70 kandidátov, dostali v dopoludňajších hodinách telefonický hovor s cieľom potvrdiť ich účasť. Tieto hovory uskutočnilo kontaktné centrum </w:t>
      </w:r>
      <w:r>
        <w:rPr>
          <w:color w:val="ED7D31"/>
        </w:rPr>
        <w:t>SWG</w:t>
      </w:r>
      <w:r>
        <w:rPr>
          <w:color w:val="000000"/>
        </w:rPr>
        <w:t xml:space="preserve"> pomocou metódy CATI (Computer Assisted Telephone Survey). Na konci tejto fázy potvrdilo svoju účasť celkovo 59 osôb a bolo zaregistrovaných. </w:t>
      </w:r>
      <w:r>
        <w:rPr>
          <w:b/>
          <w:color w:val="BD1271"/>
        </w:rPr>
        <w:t>Z toho 55 sa aktívne zúčastnilo na paneli.</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pPr>
      <w:r>
        <w:rPr/>
        <w:t xml:space="preserve">Rozdelenie členov panelu do sociálnej a vekovej skupiny bolo takéto: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65">
                <wp:simplePos x="0" y="0"/>
                <wp:positionH relativeFrom="column">
                  <wp:posOffset>635</wp:posOffset>
                </wp:positionH>
                <wp:positionV relativeFrom="paragraph">
                  <wp:posOffset>41275</wp:posOffset>
                </wp:positionV>
                <wp:extent cx="6157595" cy="3623310"/>
                <wp:effectExtent l="0" t="0" r="0" b="0"/>
                <wp:wrapTopAndBottom/>
                <wp:docPr id="103" name="Formulár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6"/>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Distribúcia aktívnych účastníkov</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pohlavie</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veková skupina</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 34 rokov</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 – 64 rokov</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 – 75 rokov</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Úroveň vzdelania</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Nízka</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Severovýchod</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 odborné vzdelávanie</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Priemer</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Vyvýšený</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Bakalársky titul, magisterský titul alebo viac</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Severný západ</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Oblasť bydliska</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Južné a ostrovy</w:t>
                              </w:r>
                            </w:p>
                          </w:txbxContent>
                        </wps:txbx>
                        <wps:bodyPr lIns="90000" rIns="90000" tIns="45000" bIns="45000">
                          <a:noAutofit/>
                        </wps:bodyPr>
                      </wps:wsp>
                    </wpg:wgp>
                  </a:graphicData>
                </a:graphic>
              </wp:anchor>
            </w:drawing>
          </mc:Choice>
          <mc:Fallback>
            <w:pict>
              <v:group id="shape_0" alt="Formulár5" style="position:absolute;margin-left:0.05pt;margin-top:3.25pt;width:484.8pt;height:285.3pt" coordorigin="1,65" coordsize="9696,5706">
                <v:shape id="shape_0" stroked="f" style="position:absolute;left:1;top:787;width:9545;height:4982" type="shapetype_75">
                  <v:imagedata r:id="rId106" o:detectmouseclick="t"/>
                  <w10:wrap type="none"/>
                  <v:stroke color="#3465a4" joinstyle="round" endcap="flat"/>
                </v:shape>
                <v:rect id="shape_0" stroked="f" style="position:absolute;left:2328;top:65;width:6200;height:66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Distribúcia aktívnych účastníkov</w:t>
                        </w:r>
                      </w:p>
                    </w:txbxContent>
                  </v:textbox>
                  <w10:wrap type="square"/>
                  <v:fill o:detectmouseclick="t" on="false"/>
                  <v:stroke color="#3465a4" joinstyle="round" endcap="flat"/>
                </v:rect>
                <v:rect id="shape_0" stroked="f" style="position:absolute;left:825;top:1657;width:171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pohlavie</w:t>
                        </w:r>
                      </w:p>
                    </w:txbxContent>
                  </v:textbox>
                  <w10:wrap type="square"/>
                  <v:fill o:detectmouseclick="t" on="false"/>
                  <v:stroke color="#3465a4" joinstyle="round" endcap="flat"/>
                </v:rect>
                <v:rect id="shape_0" stroked="f" style="position:absolute;left:570;top:3038;width:1716;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veková skupina</w:t>
                        </w:r>
                      </w:p>
                    </w:txbxContent>
                  </v:textbox>
                  <w10:wrap type="square"/>
                  <v:fill o:detectmouseclick="t" on="false"/>
                  <v:stroke color="#3465a4" joinstyle="round" endcap="flat"/>
                </v:rect>
                <v:rect id="shape_0" stroked="f" style="position:absolute;left:1670;top:3541;width:1341;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 34 rokov</w:t>
                        </w:r>
                      </w:p>
                    </w:txbxContent>
                  </v:textbox>
                  <w10:wrap type="square"/>
                  <v:fill o:detectmouseclick="t" on="false"/>
                  <v:stroke color="#3465a4" joinstyle="round" endcap="flat"/>
                </v:rect>
                <v:rect id="shape_0" stroked="f" style="position:absolute;left:1618;top:4138;width:1340;height:69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 – 64 rokov</w:t>
                        </w:r>
                      </w:p>
                    </w:txbxContent>
                  </v:textbox>
                  <w10:wrap type="square"/>
                  <v:fill o:detectmouseclick="t" on="false"/>
                  <v:stroke color="#3465a4" joinstyle="round" endcap="flat"/>
                </v:rect>
                <v:rect id="shape_0" stroked="f" style="position:absolute;left:1631;top:4643;width:1340;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 – 75 rokov</w:t>
                        </w:r>
                      </w:p>
                    </w:txbxContent>
                  </v:textbox>
                  <w10:wrap type="square"/>
                  <v:fill o:detectmouseclick="t" on="false"/>
                  <v:stroke color="#3465a4" joinstyle="round" endcap="flat"/>
                </v:rect>
                <v:rect id="shape_0" stroked="f" style="position:absolute;left:3403;top:1670;width:265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Úroveň vzdelania</w:t>
                        </w:r>
                      </w:p>
                    </w:txbxContent>
                  </v:textbox>
                  <w10:wrap type="square"/>
                  <v:fill o:detectmouseclick="t" on="false"/>
                  <v:stroke color="#3465a4" joinstyle="round" endcap="flat"/>
                </v:rect>
                <v:rect id="shape_0" stroked="f" style="position:absolute;left:4423;top:2175;width:133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Nízka</w:t>
                        </w:r>
                      </w:p>
                    </w:txbxContent>
                  </v:textbox>
                  <w10:wrap type="square"/>
                  <v:fill o:detectmouseclick="t" on="false"/>
                  <v:stroke color="#3465a4" joinstyle="round" endcap="flat"/>
                </v:rect>
                <v:rect id="shape_0" stroked="f" style="position:absolute;left:8155;top:1949;width:133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Severovýchod</w:t>
                        </w:r>
                      </w:p>
                    </w:txbxContent>
                  </v:textbox>
                  <w10:wrap type="square"/>
                  <v:fill o:detectmouseclick="t" on="false"/>
                  <v:stroke color="#3465a4" joinstyle="round" endcap="flat"/>
                </v:rect>
                <v:rect id="shape_0" stroked="f" style="position:absolute;left:3269;top:2573;width:2829;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 odborné vzdelávanie</w:t>
                        </w:r>
                      </w:p>
                    </w:txbxContent>
                  </v:textbox>
                  <w10:wrap type="square"/>
                  <v:fill o:detectmouseclick="t" on="false"/>
                  <v:stroke color="#3465a4" joinstyle="round" endcap="flat"/>
                </v:rect>
                <v:rect id="shape_0" stroked="f" style="position:absolute;left:4504;top:3236;width:1340;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Priemer</w:t>
                        </w:r>
                      </w:p>
                    </w:txbxContent>
                  </v:textbox>
                  <w10:wrap type="square"/>
                  <v:fill o:detectmouseclick="t" on="false"/>
                  <v:stroke color="#3465a4" joinstyle="round" endcap="flat"/>
                </v:rect>
                <v:rect id="shape_0" stroked="f" style="position:absolute;left:3497;top:3687;width:235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Vysoká škola</w:t>
                        </w:r>
                      </w:p>
                    </w:txbxContent>
                  </v:textbox>
                  <w10:wrap type="square"/>
                  <v:fill o:detectmouseclick="t" on="false"/>
                  <v:stroke color="#3465a4" joinstyle="round" endcap="flat"/>
                </v:rect>
                <v:rect id="shape_0" stroked="f" style="position:absolute;left:4531;top:4458;width:133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Vyvýšený</w:t>
                        </w:r>
                      </w:p>
                    </w:txbxContent>
                  </v:textbox>
                  <w10:wrap type="square"/>
                  <v:fill o:detectmouseclick="t" on="false"/>
                  <v:stroke color="#3465a4" joinstyle="round" endcap="flat"/>
                </v:rect>
                <v:rect id="shape_0" stroked="f" style="position:absolute;left:3215;top:4816;width:3071;height:599">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Bakalársky titul, magisterský titul alebo viac</w:t>
                        </w:r>
                      </w:p>
                    </w:txbxContent>
                  </v:textbox>
                  <w10:wrap type="square"/>
                  <v:fill o:detectmouseclick="t" on="false"/>
                  <v:stroke color="#3465a4" joinstyle="round" endcap="flat"/>
                </v:rect>
                <v:rect id="shape_0" stroked="f" style="position:absolute;left:6490;top:2294;width:1341;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Severný západ</w:t>
                        </w:r>
                      </w:p>
                    </w:txbxContent>
                  </v:textbox>
                  <w10:wrap type="square"/>
                  <v:fill o:detectmouseclick="t" on="false"/>
                  <v:stroke color="#3465a4" joinstyle="round" endcap="flat"/>
                </v:rect>
                <v:rect id="shape_0" stroked="f" style="position:absolute;left:6624;top:1670;width:266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Oblasť bydliska</w:t>
                        </w:r>
                      </w:p>
                    </w:txbxContent>
                  </v:textbox>
                  <w10:wrap type="square"/>
                  <v:fill o:detectmouseclick="t" on="false"/>
                  <v:stroke color="#3465a4" joinstyle="round" endcap="flat"/>
                </v:rect>
                <v:rect id="shape_0" stroked="f" style="position:absolute;left:8356;top:2825;width:1340;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v:textbox>
                  <w10:wrap type="square"/>
                  <v:fill o:detectmouseclick="t" on="false"/>
                  <v:stroke color="#3465a4" joinstyle="round" endcap="flat"/>
                </v:rect>
                <v:rect id="shape_0" stroked="f" style="position:absolute;left:6477;top:4297;width:1635;height:418">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Južné a ostrovy</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pPr>
      <w:r>
        <w:rPr/>
        <w:t xml:space="preserve">Tu sú výsledky krokov výberového konania: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66">
                <wp:simplePos x="0" y="0"/>
                <wp:positionH relativeFrom="column">
                  <wp:posOffset>10160</wp:posOffset>
                </wp:positionH>
                <wp:positionV relativeFrom="paragraph">
                  <wp:posOffset>144780</wp:posOffset>
                </wp:positionV>
                <wp:extent cx="6047740" cy="3640455"/>
                <wp:effectExtent l="0" t="0" r="0" b="0"/>
                <wp:wrapNone/>
                <wp:docPr id="104" name="Formulár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7"/>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Proces podávania žiadostí</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Prístup k formuláru žiadosti</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Kompletné aplikácie</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Oprávnení kandidáti</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Pripustiť do panelu</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Aktívni účastníci</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 10. marca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marca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 10. marca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marca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marca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 12. marca 2022</w:t>
                              </w:r>
                            </w:p>
                          </w:txbxContent>
                        </wps:txbx>
                        <wps:bodyPr lIns="90000" rIns="90000" tIns="45000" bIns="45000">
                          <a:noAutofit/>
                        </wps:bodyPr>
                      </wps:wsp>
                    </wpg:wgp>
                  </a:graphicData>
                </a:graphic>
              </wp:anchor>
            </w:drawing>
          </mc:Choice>
          <mc:Fallback>
            <w:pict>
              <v:group id="shape_0" alt="Formulár6" style="position:absolute;margin-left:0.8pt;margin-top:11.4pt;width:476.1pt;height:286.6pt" coordorigin="16,228" coordsize="9522,5732">
                <v:shape id="shape_0" stroked="f" style="position:absolute;left:2410;top:949;width:4571;height:5010" type="shapetype_75">
                  <v:imagedata r:id="rId107" o:detectmouseclick="t"/>
                  <w10:wrap type="none"/>
                  <v:stroke color="#3465a4" joinstyle="round" endcap="flat"/>
                </v:shape>
                <v:rect id="shape_0" stroked="f" style="position:absolute;left:1108;top:228;width:7315;height:638">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Proces podávania žiadostí</w:t>
                        </w:r>
                      </w:p>
                    </w:txbxContent>
                  </v:textbox>
                  <w10:wrap type="square"/>
                  <v:fill o:detectmouseclick="t" on="false"/>
                  <v:stroke color="#3465a4" joinstyle="round" endcap="flat"/>
                </v:rect>
                <v:rect id="shape_0" stroked="f" style="position:absolute;left:16;top:1292;width:2518;height:69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Prístup k formuláru žiadosti</w:t>
                        </w:r>
                      </w:p>
                    </w:txbxContent>
                  </v:textbox>
                  <w10:wrap type="square"/>
                  <v:fill o:detectmouseclick="t" on="false"/>
                  <v:stroke color="#3465a4" joinstyle="round" endcap="flat"/>
                </v:rect>
                <v:rect id="shape_0" stroked="f" style="position:absolute;left:16;top:1959;width:2518;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Kompletné aplikácie</w:t>
                        </w:r>
                      </w:p>
                    </w:txbxContent>
                  </v:textbox>
                  <w10:wrap type="square"/>
                  <v:fill o:detectmouseclick="t" on="false"/>
                  <v:stroke color="#3465a4" joinstyle="round" endcap="flat"/>
                </v:rect>
                <v:rect id="shape_0" stroked="f" style="position:absolute;left:16;top:2586;width:2518;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Oprávnení kandidáti</w:t>
                        </w:r>
                      </w:p>
                    </w:txbxContent>
                  </v:textbox>
                  <w10:wrap type="square"/>
                  <v:fill o:detectmouseclick="t" on="false"/>
                  <v:stroke color="#3465a4" joinstyle="round" endcap="flat"/>
                </v:rect>
                <v:rect id="shape_0" stroked="f" style="position:absolute;left:16;top:3252;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Pripustiť do panelu</w:t>
                        </w:r>
                      </w:p>
                    </w:txbxContent>
                  </v:textbox>
                  <w10:wrap type="square"/>
                  <v:fill o:detectmouseclick="t" on="false"/>
                  <v:stroke color="#3465a4" joinstyle="round" endcap="flat"/>
                </v:rect>
                <v:rect id="shape_0" stroked="f" style="position:absolute;left:16;top:3918;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Aktívni účastníci</w:t>
                        </w:r>
                      </w:p>
                    </w:txbxContent>
                  </v:textbox>
                  <w10:wrap type="square"/>
                  <v:fill o:detectmouseclick="t" on="false"/>
                  <v:stroke color="#3465a4" joinstyle="round" endcap="flat"/>
                </v:rect>
                <v:rect id="shape_0" stroked="f" style="position:absolute;left:6993;top:1164;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 10. marca 2022</w:t>
                        </w:r>
                      </w:p>
                    </w:txbxContent>
                  </v:textbox>
                  <w10:wrap type="square"/>
                  <v:fill o:detectmouseclick="t" on="false"/>
                  <v:stroke color="#3465a4" joinstyle="round" endcap="flat"/>
                </v:rect>
                <v:rect id="shape_0" stroked="f" style="position:absolute;left:7020;top:1960;width:2518;height:4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marca 2022</w:t>
                        </w:r>
                      </w:p>
                    </w:txbxContent>
                  </v:textbox>
                  <w10:wrap type="square"/>
                  <v:fill o:detectmouseclick="t" on="false"/>
                  <v:stroke color="#3465a4" joinstyle="round" endcap="flat"/>
                </v:rect>
                <v:rect id="shape_0" stroked="f" style="position:absolute;left:6993;top:1165;width:2518;height:4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 10. marca 2022</w:t>
                        </w:r>
                      </w:p>
                    </w:txbxContent>
                  </v:textbox>
                  <w10:wrap type="square"/>
                  <v:fill o:detectmouseclick="t" on="false"/>
                  <v:stroke color="#3465a4" joinstyle="round" endcap="flat"/>
                </v:rect>
                <v:rect id="shape_0" stroked="f" style="position:absolute;left:7007;top:2613;width:2517;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marca 2022</w:t>
                        </w:r>
                      </w:p>
                    </w:txbxContent>
                  </v:textbox>
                  <w10:wrap type="square"/>
                  <v:fill o:detectmouseclick="t" on="false"/>
                  <v:stroke color="#3465a4" joinstyle="round" endcap="flat"/>
                </v:rect>
                <v:rect id="shape_0" stroked="f" style="position:absolute;left:6993;top:3241;width:2518;height:4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marca 2022</w:t>
                        </w:r>
                      </w:p>
                    </w:txbxContent>
                  </v:textbox>
                  <w10:wrap type="square"/>
                  <v:fill o:detectmouseclick="t" on="false"/>
                  <v:stroke color="#3465a4" joinstyle="round" endcap="flat"/>
                </v:rect>
                <v:rect id="shape_0" stroked="f" style="position:absolute;left:6952;top:3817;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 12. marca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pPr>
      <w:r>
        <w:rPr/>
        <w:t xml:space="preserve">Komunikačné zariadenia </w:t>
      </w:r>
    </w:p>
    <w:p>
      <w:pPr>
        <w:pStyle w:val="P68B1DB1Normal76"/>
        <w:widowControl w:val="false"/>
        <w:spacing w:lineRule="exact" w:line="379" w:before="200" w:after="0"/>
        <w:ind w:left="0" w:right="2" w:hanging="0"/>
        <w:jc w:val="left"/>
        <w:rPr/>
      </w:pPr>
      <w:r>
        <w:rPr/>
        <w:t xml:space="preserve">S cieľom zabezpečiť vysokú úroveň motivácie a účasti od začiatku boli všetkým účastníkom sprístupnené tieto dokumenty: </w:t>
      </w:r>
    </w:p>
    <w:p>
      <w:pPr>
        <w:pStyle w:val="P68B1DB1Normal76"/>
        <w:widowControl w:val="false"/>
        <w:spacing w:lineRule="exact" w:line="252" w:before="192" w:after="0"/>
        <w:ind w:left="720" w:right="0" w:hanging="0"/>
        <w:jc w:val="left"/>
        <w:rPr/>
      </w:pPr>
      <w:r>
        <w:rPr/>
        <w:t xml:space="preserve">• </w:t>
      </w:r>
      <w:r>
        <w:rPr>
          <w:b/>
        </w:rPr>
        <w:t xml:space="preserve">prezentačné listy Konferencie o budúcnosti Európy a národných panelov; </w:t>
      </w:r>
    </w:p>
    <w:p>
      <w:pPr>
        <w:pStyle w:val="P68B1DB1Normal76"/>
        <w:widowControl w:val="false"/>
        <w:spacing w:lineRule="exact" w:line="379"/>
        <w:ind w:left="720" w:right="0" w:hanging="0"/>
        <w:jc w:val="left"/>
        <w:rPr/>
      </w:pPr>
      <w:r>
        <w:rPr/>
        <w:t xml:space="preserve">• </w:t>
      </w:r>
      <w:r>
        <w:rPr>
          <w:b/>
        </w:rPr>
        <w:t xml:space="preserve">Charta Konferencie o budúcnosti Európy; </w:t>
      </w:r>
    </w:p>
    <w:p>
      <w:pPr>
        <w:pStyle w:val="P68B1DB1Normal76"/>
        <w:widowControl w:val="false"/>
        <w:spacing w:lineRule="exact" w:line="379"/>
        <w:ind w:left="720" w:right="0" w:hanging="0"/>
        <w:jc w:val="left"/>
        <w:rPr/>
      </w:pPr>
      <w:r>
        <w:rPr/>
        <w:t xml:space="preserve">• </w:t>
      </w:r>
      <w:r>
        <w:rPr/>
        <w:t>témy</w:t>
      </w:r>
      <w:r>
        <w:rPr>
          <w:b/>
        </w:rPr>
        <w:t xml:space="preserve">, o ktorých sa bude diskutovať počas panelov; </w:t>
      </w:r>
    </w:p>
    <w:p>
      <w:pPr>
        <w:pStyle w:val="P68B1DB1Normal76"/>
        <w:widowControl w:val="false"/>
        <w:spacing w:lineRule="exact" w:line="379"/>
        <w:ind w:left="721" w:right="0" w:hanging="0"/>
        <w:jc w:val="left"/>
        <w:rPr/>
      </w:pPr>
      <w:r>
        <w:rPr/>
        <w:t xml:space="preserve">• </w:t>
      </w:r>
      <w:r>
        <w:rPr>
          <w:b/>
        </w:rPr>
        <w:t xml:space="preserve">technické a organizačné informácie potrebné na účasť. </w:t>
      </w:r>
    </w:p>
    <w:p>
      <w:pPr>
        <w:pStyle w:val="P68B1DB1Titre277"/>
        <w:numPr>
          <w:ilvl w:val="0"/>
          <w:numId w:val="2"/>
        </w:numPr>
        <w:rPr/>
      </w:pPr>
      <w:bookmarkStart w:id="218" w:name="__RefHeading___Toc300312_1346298689"/>
      <w:bookmarkEnd w:id="218"/>
      <w:r>
        <w:rPr/>
        <w:t xml:space="preserve">3. Organizácia panelu </w:t>
      </w:r>
    </w:p>
    <w:p>
      <w:pPr>
        <w:pStyle w:val="P68B1DB1Normal76"/>
        <w:widowControl w:val="false"/>
        <w:spacing w:lineRule="exact" w:line="272" w:before="231" w:after="0"/>
        <w:ind w:left="0" w:right="0" w:hanging="0"/>
        <w:jc w:val="both"/>
        <w:rPr/>
      </w:pPr>
      <w:r>
        <w:rPr/>
        <w:t xml:space="preserve">S cieľom umožniť maximálnu účasť vrátane osôb s odbornými záväzkami bola porota organizovaná počas dvoch po sebe nasledujúcich poldní vrátane jedného cez víkendy podľa tohto harmonogramu: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Piatok 11. marca od 16.00 do 18.00 hod.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Sobota 12. marca od 10 do 12.00 hod. </w:t>
      </w:r>
    </w:p>
    <w:p>
      <w:pPr>
        <w:pStyle w:val="Normal"/>
        <w:widowControl w:val="false"/>
        <w:spacing w:lineRule="exact" w:line="286" w:before="83" w:after="0"/>
        <w:ind w:left="0" w:right="1" w:hanging="0"/>
        <w:jc w:val="both"/>
        <w:rPr/>
      </w:pPr>
      <w:r>
        <w:rPr>
          <w:color w:val="000000"/>
        </w:rPr>
        <w:t xml:space="preserve">Cieľom tejto voľby bolo na jednej strane uľahčiť účasť pracovníkov na iniciatíve a na druhej strane rozdeliť čas účasti s cieľom podporiť väčšiu pozornosť a účasť, ako aj ďalšie úvahy o predložených témach a návrhoch. Účastníci panelu sa pripojili k dvom pracovným sedeniam prostredníctvom platformy GoToMeeting a boli rozdelení do štyroch skupín (dve pre každú tematickú oblasť), vedených moderátorom </w:t>
      </w:r>
      <w:r>
        <w:rPr>
          <w:color w:val="ED7D31"/>
        </w:rPr>
        <w:t>SWG</w:t>
      </w:r>
      <w:r>
        <w:rPr>
          <w:color w:val="000000"/>
        </w:rPr>
        <w:t xml:space="preserve"> a asistentmi osoby zodpovednej za písanie rokovania. Moderátori uľahčovali skupiny prostredníctvom dvoch rôznych spôsobov diskusie (jeden pre každú tematickú oblasť) s cieľom čo najviac zapojiť všetkých vybraných ľudí a zabezpečiť prístup založený na maximálnom začlenení a neutralite. </w:t>
      </w:r>
    </w:p>
    <w:p>
      <w:pPr>
        <w:pStyle w:val="Titre2"/>
        <w:numPr>
          <w:ilvl w:val="1"/>
          <w:numId w:val="2"/>
        </w:numPr>
        <w:rPr/>
      </w:pPr>
      <w:bookmarkStart w:id="219" w:name="__RefHeading___Toc300314_1346298689"/>
      <w:bookmarkEnd w:id="219"/>
      <w:r>
        <w:rPr>
          <w:color w:val="BD1271"/>
        </w:rPr>
        <w:t>4. Pracovný program</w:t>
      </w:r>
      <w:r>
        <w:rPr/>
        <w:t xml:space="preserve"> </w:t>
      </w:r>
    </w:p>
    <w:p>
      <w:pPr>
        <w:pStyle w:val="P68B1DB1Normal80"/>
        <w:widowControl w:val="false"/>
        <w:spacing w:lineRule="exact" w:line="393" w:before="85" w:after="0"/>
        <w:ind w:left="0" w:right="0" w:hanging="0"/>
        <w:jc w:val="left"/>
        <w:rPr/>
      </w:pPr>
      <w:r>
        <w:rPr/>
        <w:t xml:space="preserve">Prvé zasadnutie (piatok 11. marca 2022) </w:t>
      </w:r>
    </w:p>
    <w:p>
      <w:pPr>
        <w:pStyle w:val="P68B1DB1Normal76"/>
        <w:widowControl w:val="false"/>
        <w:spacing w:lineRule="exact" w:line="362" w:before="208" w:after="0"/>
        <w:ind w:left="360" w:right="0" w:hanging="0"/>
        <w:jc w:val="left"/>
        <w:rPr/>
      </w:pPr>
      <w:r>
        <w:rPr/>
        <w:t xml:space="preserve">• </w:t>
      </w:r>
      <w:r>
        <w:rPr/>
        <w:t xml:space="preserve">00 – Otvorenie virtuálnej miestnosti a možnosť, aby sa účastníci pripojili k platforme s cieľom skontrolovať správne fungovanie svojich audio a video systémov. </w:t>
      </w:r>
    </w:p>
    <w:p>
      <w:pPr>
        <w:pStyle w:val="P68B1DB1Normal76"/>
        <w:widowControl w:val="false"/>
        <w:spacing w:lineRule="exact" w:line="362"/>
        <w:ind w:left="360" w:right="0" w:hanging="0"/>
        <w:jc w:val="left"/>
        <w:rPr/>
      </w:pPr>
      <w:r>
        <w:rPr/>
        <w:t xml:space="preserve">• </w:t>
      </w:r>
      <w:r>
        <w:rPr/>
        <w:t xml:space="preserve">16:00 – Úvod moderátorom: vysvetlenie dôvodov iniciatívy a opis štruktúry práce. </w:t>
      </w:r>
    </w:p>
    <w:p>
      <w:pPr>
        <w:pStyle w:val="P68B1DB1Normal76"/>
        <w:widowControl w:val="false"/>
        <w:spacing w:lineRule="exact" w:line="362"/>
        <w:ind w:left="360" w:right="0" w:hanging="0"/>
        <w:jc w:val="left"/>
        <w:rPr/>
      </w:pPr>
      <w:r>
        <w:rPr/>
        <w:t xml:space="preserve">• </w:t>
      </w:r>
      <w:r>
        <w:rPr/>
        <w:t xml:space="preserve">15:00 – Rozdelenie účastníkov v skupinách na základe preferencií uvedených vo fáze podávania žiadostí. </w:t>
      </w:r>
    </w:p>
    <w:p>
      <w:pPr>
        <w:pStyle w:val="P68B1DB1Normal76"/>
        <w:widowControl w:val="false"/>
        <w:spacing w:lineRule="exact" w:line="362"/>
        <w:ind w:left="360" w:right="0" w:hanging="0"/>
        <w:jc w:val="left"/>
        <w:rPr/>
      </w:pPr>
      <w:r>
        <w:rPr/>
        <w:t xml:space="preserve">• </w:t>
      </w:r>
      <w:r>
        <w:rPr/>
        <w:t xml:space="preserve">16:20 – Začiatok skupinovej diskusie. </w:t>
      </w:r>
    </w:p>
    <w:p>
      <w:pPr>
        <w:pStyle w:val="P68B1DB1Normal76"/>
        <w:widowControl w:val="false"/>
        <w:spacing w:lineRule="exact" w:line="362"/>
        <w:ind w:left="360" w:right="0" w:hanging="0"/>
        <w:jc w:val="left"/>
        <w:rPr/>
      </w:pPr>
      <w:r>
        <w:rPr/>
        <w:t xml:space="preserve">• </w:t>
      </w:r>
      <w:r>
        <w:rPr/>
        <w:t xml:space="preserve">20.00 hod. – Koniec zasadnutia. </w:t>
      </w:r>
    </w:p>
    <w:p>
      <w:pPr>
        <w:pStyle w:val="P68B1DB1Normal80"/>
        <w:widowControl w:val="false"/>
        <w:spacing w:lineRule="exact" w:line="393" w:before="248" w:after="0"/>
        <w:ind w:left="0" w:right="0" w:hanging="0"/>
        <w:jc w:val="left"/>
        <w:rPr/>
      </w:pPr>
      <w:r>
        <w:rPr/>
        <w:t xml:space="preserve">Druhé zasadnutie (sobota 12. marca 2022) </w:t>
      </w:r>
    </w:p>
    <w:p>
      <w:pPr>
        <w:pStyle w:val="P68B1DB1Normal76"/>
        <w:widowControl w:val="false"/>
        <w:spacing w:lineRule="exact" w:line="362" w:before="208" w:after="0"/>
        <w:ind w:left="360" w:right="0" w:hanging="0"/>
        <w:jc w:val="left"/>
        <w:rPr/>
      </w:pPr>
      <w:r>
        <w:rPr/>
        <w:t xml:space="preserve">• </w:t>
      </w:r>
      <w:r>
        <w:rPr/>
        <w:t xml:space="preserve">10 hod. – Obnovenie práce čítaním výsledkov práce prvého dňa. </w:t>
      </w:r>
    </w:p>
    <w:p>
      <w:pPr>
        <w:pStyle w:val="P68B1DB1Normal76"/>
        <w:widowControl w:val="false"/>
        <w:spacing w:lineRule="exact" w:line="254"/>
        <w:ind w:left="360" w:right="140" w:hanging="0"/>
        <w:jc w:val="left"/>
        <w:rPr/>
      </w:pPr>
      <w:r>
        <w:rPr/>
        <w:t xml:space="preserve">• </w:t>
      </w:r>
      <w:r>
        <w:rPr/>
        <w:t xml:space="preserve">10.15 hod. – Pokračovať v diskusii, hĺbkových diskusiách a pripomienkach účastníkov. </w:t>
      </w:r>
    </w:p>
    <w:p>
      <w:pPr>
        <w:pStyle w:val="Normal"/>
        <w:widowControl w:val="false"/>
        <w:spacing w:lineRule="exact" w:line="362"/>
        <w:ind w:left="360" w:right="0" w:hanging="0"/>
        <w:jc w:val="left"/>
        <w:rPr/>
      </w:pPr>
      <w:r>
        <w:rPr>
          <w:color w:val="000000"/>
        </w:rPr>
        <w:t xml:space="preserve">• </w:t>
      </w:r>
      <w:r>
        <w:rPr>
          <w:color w:val="000000"/>
        </w:rPr>
        <w:t>12.00 – Záver práce</w:t>
      </w:r>
      <w:r>
        <w:rPr>
          <w:color w:val="FF0000"/>
        </w:rPr>
        <w:t>.</w:t>
      </w:r>
      <w:r>
        <w:rPr>
          <w:color w:val="000000"/>
        </w:rPr>
        <w:t xml:space="preserve"> </w:t>
      </w:r>
    </w:p>
    <w:p>
      <w:pPr>
        <w:pStyle w:val="P68B1DB1Normal34"/>
        <w:widowControl w:val="false"/>
        <w:spacing w:lineRule="exact" w:line="393"/>
        <w:ind w:left="360" w:right="0" w:hanging="0"/>
        <w:jc w:val="left"/>
        <w:rPr/>
      </w:pPr>
      <w:r>
        <w:rPr/>
        <w:t xml:space="preserve"> </w:t>
      </w:r>
    </w:p>
    <w:p>
      <w:pPr>
        <w:pStyle w:val="Normal"/>
        <w:spacing w:lineRule="auto" w:line="240" w:before="5420" w:after="57"/>
        <w:rPr/>
      </w:pPr>
      <w:r>
        <w:rPr/>
        <w:drawing>
          <wp:anchor behindDoc="0" distT="0" distB="0" distL="0" distR="0" simplePos="0" locked="0" layoutInCell="1" allowOverlap="1" relativeHeight="50">
            <wp:simplePos x="0" y="0"/>
            <wp:positionH relativeFrom="column">
              <wp:align>center</wp:align>
            </wp:positionH>
            <wp:positionV relativeFrom="paragraph">
              <wp:posOffset>635</wp:posOffset>
            </wp:positionV>
            <wp:extent cx="6120130" cy="3441700"/>
            <wp:effectExtent l="0" t="0" r="0" b="0"/>
            <wp:wrapTopAndBottom/>
            <wp:docPr id="105" name="Obrázok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ok45" descr=""/>
                    <pic:cNvPicPr>
                      <a:picLocks noChangeAspect="1" noChangeArrowheads="1"/>
                    </pic:cNvPicPr>
                  </pic:nvPicPr>
                  <pic:blipFill>
                    <a:blip r:embed="rId108"/>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pPr>
      <w:bookmarkStart w:id="220" w:name="__RefHeading___Toc300316_1346298689"/>
      <w:bookmarkEnd w:id="220"/>
      <w:r>
        <w:rPr/>
        <w:t xml:space="preserve">5. Vydané odporúčania </w:t>
      </w:r>
    </w:p>
    <w:p>
      <w:pPr>
        <w:pStyle w:val="Titre3"/>
        <w:numPr>
          <w:ilvl w:val="2"/>
          <w:numId w:val="2"/>
        </w:numPr>
        <w:rPr/>
      </w:pPr>
      <w:bookmarkStart w:id="221" w:name="__RefHeading___Toc300318_1346298689"/>
      <w:bookmarkEnd w:id="221"/>
      <w:r>
        <w:rPr>
          <w:color w:val="FFFFFF"/>
          <w:highlight w:val="darkCyan"/>
        </w:rPr>
        <w:t>Silnejšie hospodárstvo, sociálna spravodlivosť a zamestnanosť</w:t>
      </w:r>
      <w:r>
        <w:rPr/>
        <w:t xml:space="preserve"> </w:t>
      </w:r>
    </w:p>
    <w:p>
      <w:pPr>
        <w:pStyle w:val="P68B1DB1Normal19"/>
        <w:widowControl w:val="false"/>
        <w:spacing w:lineRule="auto" w:line="240" w:before="106" w:after="0"/>
        <w:ind w:left="0" w:right="0" w:hanging="0"/>
        <w:jc w:val="left"/>
        <w:rPr/>
      </w:pPr>
      <w:r>
        <w:rPr/>
        <w:t xml:space="preserve"> </w:t>
      </w:r>
    </w:p>
    <w:p>
      <w:pPr>
        <w:pStyle w:val="P68B1DB1Titre481"/>
        <w:numPr>
          <w:ilvl w:val="0"/>
          <w:numId w:val="2"/>
        </w:numPr>
        <w:rPr/>
      </w:pPr>
      <w:bookmarkStart w:id="222" w:name="__RefHeading___Toc300428_1346298689"/>
      <w:bookmarkEnd w:id="222"/>
      <w:r>
        <w:rPr/>
        <w:t xml:space="preserve">1. Prekonanie výrobného modelu z minulého storočia </w:t>
      </w:r>
    </w:p>
    <w:p>
      <w:pPr>
        <w:pStyle w:val="P68B1DB1Normal76"/>
        <w:widowControl w:val="false"/>
        <w:spacing w:lineRule="auto" w:line="240" w:before="80" w:after="0"/>
        <w:ind w:left="0" w:right="1" w:hanging="0"/>
        <w:jc w:val="both"/>
        <w:rPr/>
      </w:pPr>
      <w:r>
        <w:rPr/>
        <w:t xml:space="preserve">Účastníci panelu sa domnievali, že najnovšie globálne udalosti (pandémia COVID-19 a konflikt medzi Ruskom a Ukrajinou) zjavne preukázali obmedzenia súčasného európskeho modelu výroby a zdôraznili potrebu prehodnotiť prístup, ktorý mnohí označujú ako „súvisiace s minulým storočím“.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2" w:hanging="0"/>
        <w:jc w:val="both"/>
        <w:rPr/>
      </w:pPr>
      <w:r>
        <w:rPr/>
        <w:t xml:space="preserve">Dôkazy o závislosti Európy od dovozu energie a potravín z krajín mimo Európskej únie, ako aj o objave (počas pandémie), že nie sme schopní sami vyrábať množstvo zdravotníckych pomôcok a vakcín potrebných na boj proti šíreniu vírusu, vyvolali dojem, že náš hospodársky systém trpí štrukturálnymi slabosťami v dôsledku nedostatočnej sebestačnosti.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3" w:hanging="0"/>
        <w:jc w:val="both"/>
        <w:rPr/>
      </w:pPr>
      <w:r>
        <w:rPr/>
        <w:t xml:space="preserve">Účastníci sa zároveň jasne domnievajú, že silnejšie hospodárstvo schopné vytvárať pracovné miesta v kontexte sociálnej spravodlivosti musí byť schopné získať dôležité technologické aktíva. Na tento účel je nevyhnutné podporovať vzdelávací systém s čoraz väčšou pozornosťou venovanou témam súvisiacim so STEM.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b/>
        </w:rPr>
        <w:t>Technologické inovácie, trvalo udržateľná energia, ale aj cestovný ruch a kultúra</w:t>
      </w:r>
      <w:r>
        <w:rPr/>
        <w:t xml:space="preserve"> sa javia ako tri základné osi pre rozvoj európskeho hospodárstva zajtrajška, s osobitným dôrazom na zachovanie základnej výroby, aby sa zabránilo riziku nadmernej závislosti od tretích krajín od dodávok základných výrobkov a surovín. </w:t>
      </w:r>
    </w:p>
    <w:p>
      <w:pPr>
        <w:pStyle w:val="P68B1DB1Normal82"/>
        <w:widowControl w:val="false"/>
        <w:spacing w:lineRule="auto" w:line="240"/>
        <w:ind w:left="4819" w:right="0" w:hanging="0"/>
        <w:jc w:val="left"/>
        <w:rPr/>
      </w:pPr>
      <w:r>
        <w:rPr/>
        <w:t xml:space="preserve"> </w:t>
      </w:r>
    </w:p>
    <w:p>
      <w:pPr>
        <w:pStyle w:val="P68B1DB1Normal83"/>
        <w:widowControl w:val="false"/>
        <w:spacing w:lineRule="auto" w:line="240" w:before="84" w:after="0"/>
        <w:ind w:left="3000" w:right="0" w:hanging="0"/>
        <w:jc w:val="left"/>
        <w:rPr/>
      </w:pPr>
      <w:r>
        <w:rPr/>
        <w:t xml:space="preserve">ODPORÚČANIA V SKRATKE </w:t>
      </w:r>
    </w:p>
    <w:p>
      <w:pPr>
        <w:pStyle w:val="P68B1DB1Normal84"/>
        <w:widowControl w:val="false"/>
        <w:spacing w:lineRule="auto" w:line="240" w:before="69" w:after="0"/>
        <w:ind w:left="283" w:right="0" w:hanging="0"/>
        <w:jc w:val="left"/>
        <w:rPr/>
      </w:pPr>
      <w:r>
        <w:rPr>
          <w:color w:val="BD1271"/>
        </w:rPr>
        <w:t xml:space="preserve">1. </w:t>
      </w:r>
      <w:r>
        <w:rPr>
          <w:color w:val="000000"/>
        </w:rPr>
        <w:t>Prijať účinné opatrenia v oblasti zmeny klímy a alternatívnej energie.</w:t>
      </w:r>
    </w:p>
    <w:p>
      <w:pPr>
        <w:pStyle w:val="P68B1DB1Normal84"/>
        <w:widowControl w:val="false"/>
        <w:spacing w:lineRule="auto" w:line="240"/>
        <w:ind w:left="283" w:right="0" w:hanging="0"/>
        <w:jc w:val="left"/>
        <w:rPr/>
      </w:pPr>
      <w:r>
        <w:rPr>
          <w:color w:val="BD1271"/>
        </w:rPr>
        <w:t xml:space="preserve">2. </w:t>
      </w:r>
      <w:r>
        <w:rPr>
          <w:color w:val="000000"/>
        </w:rPr>
        <w:t>Investovať do cestovného ruchu a kultúrneho hospodárstva a oceniť aj mnohé malé destinácie v Európe.</w:t>
      </w:r>
    </w:p>
    <w:p>
      <w:pPr>
        <w:pStyle w:val="P68B1DB1Normal84"/>
        <w:widowControl w:val="false"/>
        <w:spacing w:lineRule="auto" w:line="240"/>
        <w:ind w:left="283" w:right="0" w:hanging="0"/>
        <w:jc w:val="left"/>
        <w:rPr/>
      </w:pPr>
      <w:r>
        <w:rPr>
          <w:color w:val="BD1271"/>
        </w:rPr>
        <w:t xml:space="preserve">3. </w:t>
      </w:r>
      <w:r>
        <w:rPr>
          <w:color w:val="000000"/>
        </w:rPr>
        <w:t>Zamerať sa na technológie a inovácie ako hnacie sily rastu.</w:t>
      </w:r>
    </w:p>
    <w:p>
      <w:pPr>
        <w:pStyle w:val="P68B1DB1Normal84"/>
        <w:widowControl w:val="false"/>
        <w:spacing w:lineRule="auto" w:line="240"/>
        <w:ind w:left="283" w:right="0" w:hanging="0"/>
        <w:jc w:val="left"/>
        <w:rPr/>
      </w:pPr>
      <w:r>
        <w:rPr>
          <w:color w:val="BD1271"/>
        </w:rPr>
        <w:t xml:space="preserve">4. </w:t>
      </w:r>
      <w:r>
        <w:rPr>
          <w:color w:val="000000"/>
        </w:rPr>
        <w:t>Znížiť závislosť od iných krajín od surovín, zdrojov energie a poľnohospodárstva.</w:t>
      </w:r>
    </w:p>
    <w:p>
      <w:pPr>
        <w:pStyle w:val="P68B1DB1Normal84"/>
        <w:widowControl w:val="false"/>
        <w:spacing w:lineRule="auto" w:line="240"/>
        <w:ind w:left="283" w:right="0" w:hanging="0"/>
        <w:jc w:val="left"/>
        <w:rPr/>
      </w:pPr>
      <w:r>
        <w:rPr>
          <w:color w:val="BD1271"/>
        </w:rPr>
        <w:t xml:space="preserve">5. </w:t>
      </w:r>
      <w:r>
        <w:rPr>
          <w:color w:val="000000"/>
        </w:rPr>
        <w:t>Povzbudzujte mladých ľudí, aby študovali vedecké predmety.</w:t>
      </w:r>
    </w:p>
    <w:p>
      <w:pPr>
        <w:pStyle w:val="P68B1DB1Normal85"/>
        <w:widowControl w:val="false"/>
        <w:spacing w:lineRule="exact" w:line="460"/>
        <w:ind w:left="0" w:right="0" w:hanging="0"/>
        <w:jc w:val="left"/>
        <w:rPr/>
      </w:pPr>
      <w:r>
        <w:rPr/>
        <w:t xml:space="preserve"> </w:t>
      </w:r>
    </w:p>
    <w:p>
      <w:pPr>
        <w:pStyle w:val="P68B1DB1Titre481"/>
        <w:numPr>
          <w:ilvl w:val="0"/>
          <w:numId w:val="2"/>
        </w:numPr>
        <w:rPr/>
      </w:pPr>
      <w:bookmarkStart w:id="223" w:name="__RefHeading___Toc300430_1346298689"/>
      <w:bookmarkEnd w:id="223"/>
      <w:r>
        <w:rPr/>
        <w:t xml:space="preserve">2. Generatívne a inkluzívne výrobné predpisy </w:t>
      </w:r>
    </w:p>
    <w:p>
      <w:pPr>
        <w:pStyle w:val="P68B1DB1Normal76"/>
        <w:widowControl w:val="false"/>
        <w:spacing w:lineRule="auto" w:line="240" w:before="91" w:after="0"/>
        <w:ind w:left="0" w:right="2" w:hanging="0"/>
        <w:jc w:val="both"/>
        <w:rPr/>
      </w:pPr>
      <w:r>
        <w:rPr/>
        <w:t xml:space="preserve">Na prekonanie ekonomickej logiky minulého storočia je tiež potrebné preskúmať pravidlá a postupy, ktorými sa riadia obchodné činnosti. V tomto zmysle existujú štyri odporúčania, ktoré všetky reagujú na spoločnú logiku: na jednej strane zjednodušenie pravidiel a na druhej strane zachovanie vysokej úrovne ostražitosti proti protiprávnemu konaniu (najmä pokiaľ ide o falšovanie a nekalú hospodársku súťaž). </w:t>
      </w:r>
    </w:p>
    <w:p>
      <w:pPr>
        <w:pStyle w:val="P68B1DB1Normal76"/>
        <w:widowControl w:val="false"/>
        <w:spacing w:lineRule="auto" w:line="240" w:before="15" w:after="0"/>
        <w:ind w:left="0" w:right="2" w:hanging="0"/>
        <w:jc w:val="both"/>
        <w:rPr/>
      </w:pPr>
      <w:r>
        <w:rPr/>
        <w:t xml:space="preserve">Veľká pozornosť sa venuje potrebe hospodárskych pravidiel, ktoré sú primárne generatívne, čím sa čo najviac zníži výber, ktorý si vyžaduje štandardizáciu výrobných procesov (ohrozuje špecifickú miestnu výrobu s hlbokými kultúrnymi koreňmi), ale aj zničenie poľnohospodárskeho tovaru z dôvodu potreby zachovať vopred stanovené množstvá výroby. </w:t>
      </w:r>
    </w:p>
    <w:p>
      <w:pPr>
        <w:pStyle w:val="P68B1DB1Normal83"/>
        <w:widowControl w:val="false"/>
        <w:spacing w:lineRule="auto" w:line="240" w:before="6" w:after="0"/>
        <w:ind w:left="4819" w:right="0" w:hanging="0"/>
        <w:jc w:val="left"/>
        <w:rPr/>
      </w:pPr>
      <w:r>
        <w:rPr/>
        <w:t xml:space="preserve"> </w:t>
      </w:r>
    </w:p>
    <w:p>
      <w:pPr>
        <w:pStyle w:val="P68B1DB1Normal83"/>
        <w:widowControl w:val="false"/>
        <w:spacing w:lineRule="auto" w:line="240" w:before="72" w:after="0"/>
        <w:ind w:left="3000" w:right="0" w:hanging="0"/>
        <w:jc w:val="left"/>
        <w:rPr/>
      </w:pPr>
      <w:r>
        <w:rPr/>
        <w:t xml:space="preserve">ODPORÚČANIA V SKRATKE </w:t>
      </w:r>
    </w:p>
    <w:p>
      <w:pPr>
        <w:pStyle w:val="P68B1DB1Normal84"/>
        <w:widowControl w:val="false"/>
        <w:spacing w:lineRule="auto" w:line="240" w:before="72" w:after="0"/>
        <w:ind w:left="142" w:right="0" w:hanging="0"/>
        <w:jc w:val="left"/>
        <w:rPr/>
      </w:pPr>
      <w:r>
        <w:rPr>
          <w:color w:val="BD1271"/>
        </w:rPr>
        <w:t xml:space="preserve">1. </w:t>
      </w:r>
      <w:r>
        <w:rPr>
          <w:color w:val="000000"/>
        </w:rPr>
        <w:t>Znížiť byrokraciu (autorizácie, certifikácie).</w:t>
      </w:r>
    </w:p>
    <w:p>
      <w:pPr>
        <w:pStyle w:val="P68B1DB1Normal84"/>
        <w:widowControl w:val="false"/>
        <w:spacing w:lineRule="auto" w:line="240"/>
        <w:ind w:left="142" w:right="0" w:hanging="0"/>
        <w:jc w:val="left"/>
        <w:rPr/>
      </w:pPr>
      <w:r>
        <w:rPr>
          <w:color w:val="BD1271"/>
        </w:rPr>
        <w:t xml:space="preserve">2. </w:t>
      </w:r>
      <w:r>
        <w:rPr>
          <w:color w:val="000000"/>
        </w:rPr>
        <w:t>Znížiť štandardizáciu výrobkov a uznať miestne a regionálne osobitosti z hľadiska kultúry a výroby (rešpektovanie výrobných tradícií).</w:t>
      </w:r>
    </w:p>
    <w:p>
      <w:pPr>
        <w:pStyle w:val="P68B1DB1Normal84"/>
        <w:widowControl w:val="false"/>
        <w:spacing w:lineRule="auto" w:line="240"/>
        <w:ind w:left="142" w:right="417" w:hanging="0"/>
        <w:jc w:val="left"/>
        <w:rPr/>
      </w:pPr>
      <w:r>
        <w:rPr>
          <w:color w:val="BD1271"/>
        </w:rPr>
        <w:t xml:space="preserve">3. </w:t>
      </w:r>
      <w:r>
        <w:rPr>
          <w:color w:val="000000"/>
        </w:rPr>
        <w:t>Prekračovať logiku kvót v poľnohospodárskej výrobe a z toho vyplývajúce zničenie nadbytočnej výroby.</w:t>
      </w:r>
    </w:p>
    <w:p>
      <w:pPr>
        <w:pStyle w:val="P68B1DB1Normal84"/>
        <w:widowControl w:val="false"/>
        <w:spacing w:lineRule="auto" w:line="240"/>
        <w:ind w:left="142" w:right="0" w:hanging="0"/>
        <w:jc w:val="left"/>
        <w:rPr/>
      </w:pPr>
      <w:r>
        <w:rPr>
          <w:color w:val="BD1271"/>
        </w:rPr>
        <w:t xml:space="preserve">4. </w:t>
      </w:r>
      <w:r>
        <w:rPr>
          <w:color w:val="000000"/>
        </w:rPr>
        <w:t>Boj proti falšovaniu a nekalej hospodárskej súťaži.</w:t>
      </w:r>
    </w:p>
    <w:p>
      <w:pPr>
        <w:pStyle w:val="P68B1DB1Normal86"/>
        <w:widowControl w:val="false"/>
        <w:spacing w:lineRule="auto" w:line="240"/>
        <w:ind w:left="0" w:right="0" w:hanging="0"/>
        <w:jc w:val="left"/>
        <w:rPr/>
      </w:pPr>
      <w:r>
        <w:rPr/>
        <w:t xml:space="preserve"> </w:t>
      </w:r>
    </w:p>
    <w:p>
      <w:pPr>
        <w:pStyle w:val="P68B1DB1Titre487"/>
        <w:numPr>
          <w:ilvl w:val="0"/>
          <w:numId w:val="2"/>
        </w:numPr>
        <w:rPr/>
      </w:pPr>
      <w:bookmarkStart w:id="224" w:name="__RefHeading___Toc300432_1346298689"/>
      <w:bookmarkEnd w:id="224"/>
      <w:r>
        <w:rPr/>
        <w:t xml:space="preserve">3. Meranie rastu voči šťastiu v populácii a nie kvantite produktov </w:t>
      </w:r>
    </w:p>
    <w:p>
      <w:pPr>
        <w:pStyle w:val="P68B1DB1Normal76"/>
        <w:widowControl w:val="false"/>
        <w:spacing w:lineRule="auto" w:line="240" w:before="88" w:after="0"/>
        <w:ind w:left="0" w:right="0" w:hanging="0"/>
        <w:jc w:val="both"/>
        <w:rPr/>
      </w:pPr>
      <w:r>
        <w:rPr/>
        <w:t xml:space="preserve">Prekročenie výrobného modelu z minulého storočia neznamená len zmenu výrobných metód, ale aj rozvoj novej kultúry, v ktorej sa ukazovatele rastu zameriavajú nielen na množstvo vyrobených statkov, ale aj na schopnosť zaručiť občanom cieľ šťastia. V tomto novom hospodárstve tovar nemôže byť ústredným bodom úvah z hľadiska vplyvu a investícií, ale toto miesto sa musí vrátiť ľuďom. To zahŕňa prechod zo systému ukazovateľov založených na množstve vyprodukovaného tovaru (HDP) do systému schopného merať blahobyt vytvorený pre ľudí (BIB – hrubé domáce šťastie). </w:t>
      </w:r>
    </w:p>
    <w:p>
      <w:pPr>
        <w:pStyle w:val="P68B1DB1Normal83"/>
        <w:widowControl w:val="false"/>
        <w:spacing w:lineRule="auto" w:line="240" w:before="8" w:after="0"/>
        <w:ind w:left="4819" w:right="0" w:hanging="0"/>
        <w:jc w:val="left"/>
        <w:rPr/>
      </w:pPr>
      <w:r>
        <w:rPr/>
        <w:t xml:space="preserve"> </w:t>
      </w:r>
    </w:p>
    <w:p>
      <w:pPr>
        <w:pStyle w:val="P68B1DB1Normal83"/>
        <w:widowControl w:val="false"/>
        <w:spacing w:lineRule="auto" w:line="240" w:before="69" w:after="0"/>
        <w:ind w:left="3079" w:right="0" w:hanging="0"/>
        <w:jc w:val="left"/>
        <w:rPr/>
      </w:pPr>
      <w:r>
        <w:rPr/>
        <w:t xml:space="preserve">ODPORÚČANIE V SKRATKE </w:t>
      </w:r>
    </w:p>
    <w:p>
      <w:pPr>
        <w:pStyle w:val="P68B1DB1Normal84"/>
        <w:widowControl w:val="false"/>
        <w:spacing w:lineRule="auto" w:line="240" w:before="69" w:after="0"/>
        <w:ind w:left="142" w:right="0" w:hanging="0"/>
        <w:jc w:val="left"/>
        <w:rPr/>
      </w:pPr>
      <w:r>
        <w:rPr>
          <w:color w:val="BD1271"/>
        </w:rPr>
        <w:t xml:space="preserve">1. </w:t>
      </w:r>
      <w:r>
        <w:rPr>
          <w:color w:val="000000"/>
        </w:rPr>
        <w:t>Rozvíjať hospodárstvo viac zamerané na produkciu šťastia (hrubé domáce šťastie) ako na tovar (hrubý domáci produkt).</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pPr>
      <w:bookmarkStart w:id="225" w:name="__RefHeading___Toc300434_1346298689"/>
      <w:bookmarkEnd w:id="225"/>
      <w:r>
        <w:rPr/>
        <w:t xml:space="preserve">4. Väčšia integrácia medzi štátmi </w:t>
      </w:r>
    </w:p>
    <w:p>
      <w:pPr>
        <w:pStyle w:val="P68B1DB1Normal76"/>
        <w:widowControl w:val="false"/>
        <w:spacing w:lineRule="auto" w:line="240" w:before="49" w:after="0"/>
        <w:ind w:left="0" w:right="0" w:hanging="0"/>
        <w:jc w:val="both"/>
        <w:rPr/>
      </w:pPr>
      <w:r>
        <w:rPr/>
        <w:t xml:space="preserve">Pre všetkých, dokonca aj tých, ktorí sú menej spokojní so súčasnou organizáciou a s výsledkami, ktoré doteraz dosiahla Európska únia, je jasné, že menová únia nestačí a že Európa musí byť schopná s rastúcou silou vyvíjať sa ako súdržný politický subjekt schopný rokovať jedným hlasom vonku a konať s väčšou solidaritou vnútorne. Silnejšia únia je základným aspektom posilnenia politickej, obchodnej a produktívnej sily Európskej únie: homogénnosť základných právnych predpisov, ako aj integrovaný a súdržný systém zdaňovania podnikov a občanov, v ktorom sú mzdy a služby občanom zosúladené. Len takýmto spôsobom budeme mať Európu, ktorá dokáže zmenšiť sociálne rozdiely a podporovať kvalitu života. </w:t>
      </w:r>
    </w:p>
    <w:p>
      <w:pPr>
        <w:pStyle w:val="P68B1DB1Normal76"/>
        <w:widowControl w:val="false"/>
        <w:spacing w:lineRule="auto" w:line="240" w:before="1" w:after="0"/>
        <w:ind w:left="0" w:right="2" w:hanging="0"/>
        <w:jc w:val="both"/>
        <w:rPr/>
      </w:pPr>
      <w:r>
        <w:rPr/>
        <w:t xml:space="preserve">Znamená to, že sa nevrátime k úspechom dosiahnutým v posledných rokoch a zachováme koncepciu sociálneho štátu, ktorý účastníci panelu označili za najpokročilejších na svete a najviac sa obávajú zabezpečenia rovnosti príležitostí a sociálnej spravodlivosti pre svojich občanov. </w:t>
      </w:r>
    </w:p>
    <w:p>
      <w:pPr>
        <w:pStyle w:val="P68B1DB1Normal83"/>
        <w:widowControl w:val="false"/>
        <w:spacing w:lineRule="auto" w:line="240" w:before="72" w:after="0"/>
        <w:ind w:left="3000" w:right="0" w:hanging="0"/>
        <w:jc w:val="left"/>
        <w:rPr/>
      </w:pPr>
      <w:r>
        <w:rPr/>
        <w:t xml:space="preserve">ODPORÚČANIA V SKRATKE </w:t>
      </w:r>
    </w:p>
    <w:p>
      <w:pPr>
        <w:pStyle w:val="P68B1DB1Normal84"/>
        <w:widowControl w:val="false"/>
        <w:spacing w:lineRule="auto" w:line="240" w:before="69" w:after="0"/>
        <w:ind w:left="283" w:right="0" w:hanging="0"/>
        <w:jc w:val="left"/>
        <w:rPr/>
      </w:pPr>
      <w:r>
        <w:rPr>
          <w:color w:val="BD1271"/>
        </w:rPr>
        <w:t xml:space="preserve">1. </w:t>
      </w:r>
      <w:r>
        <w:rPr>
          <w:color w:val="000000"/>
        </w:rPr>
        <w:t>Nerobte kompromisy v oblasti sociálnych práv (verejné zdravie, verejné vzdelávanie, pracovné politiky).</w:t>
      </w:r>
    </w:p>
    <w:p>
      <w:pPr>
        <w:pStyle w:val="P68B1DB1Normal84"/>
        <w:widowControl w:val="false"/>
        <w:spacing w:lineRule="auto" w:line="240"/>
        <w:ind w:left="283" w:right="0" w:hanging="0"/>
        <w:jc w:val="left"/>
        <w:rPr/>
      </w:pPr>
      <w:r>
        <w:rPr>
          <w:color w:val="BD1271"/>
        </w:rPr>
        <w:t xml:space="preserve">2. </w:t>
      </w:r>
      <w:r>
        <w:rPr>
          <w:color w:val="000000"/>
        </w:rPr>
        <w:t>Konsolidovať to, čo sa urobilo v súvislosti s jednotnou menou a prepojením platobných systémov a telekomunikácií.</w:t>
      </w:r>
    </w:p>
    <w:p>
      <w:pPr>
        <w:pStyle w:val="P68B1DB1Normal88"/>
        <w:widowControl w:val="false"/>
        <w:spacing w:lineRule="auto" w:line="240"/>
        <w:ind w:left="0" w:right="0" w:hanging="0"/>
        <w:jc w:val="left"/>
        <w:rPr/>
      </w:pPr>
      <w:r>
        <w:rPr/>
        <w:t xml:space="preserve"> </w:t>
      </w:r>
    </w:p>
    <w:p>
      <w:pPr>
        <w:pStyle w:val="P68B1DB1Normal76"/>
        <w:widowControl w:val="false"/>
        <w:spacing w:lineRule="auto" w:line="240" w:before="57" w:after="0"/>
        <w:ind w:left="0" w:right="0" w:hanging="0"/>
        <w:jc w:val="both"/>
        <w:rPr/>
      </w:pPr>
      <w:r>
        <w:rPr/>
        <w:t xml:space="preserve">Dnes sa však zdá, že všetko, čo sa v minulosti urobilo, už nestačí a Európa budúcnosti musí urobiť rozhodujúci krok vpred, pokiaľ ide o integráciu medzi členskými štátmi, podľa vnútornej vízie, ktorá už nie je založená na hospodárskej súťaži, ale na spolupráci, ktorá zabezpečí, aby každý európsky občan mohol mať rovnaké systémy záruk a príležitostí vo všetkých členských štátoch Únie. </w:t>
      </w:r>
    </w:p>
    <w:p>
      <w:pPr>
        <w:pStyle w:val="P68B1DB1Normal34"/>
        <w:widowControl w:val="false"/>
        <w:spacing w:lineRule="auto" w:line="240" w:before="3" w:after="0"/>
        <w:ind w:left="0" w:right="0" w:hanging="0"/>
        <w:jc w:val="left"/>
        <w:rPr/>
      </w:pPr>
      <w:r>
        <w:rPr/>
        <w:t xml:space="preserve"> </w:t>
      </w:r>
    </w:p>
    <w:p>
      <w:pPr>
        <w:pStyle w:val="P68B1DB1Normal83"/>
        <w:widowControl w:val="false"/>
        <w:spacing w:lineRule="auto" w:line="240" w:before="81" w:after="0"/>
        <w:ind w:left="3000" w:right="0" w:hanging="0"/>
        <w:jc w:val="left"/>
        <w:rPr/>
      </w:pPr>
      <w:r>
        <w:rPr/>
        <w:t xml:space="preserve">ODPORÚČANIA V SKRATKE </w:t>
      </w:r>
    </w:p>
    <w:p>
      <w:pPr>
        <w:pStyle w:val="P68B1DB1Normal84"/>
        <w:widowControl w:val="false"/>
        <w:spacing w:lineRule="auto" w:line="240" w:before="72" w:after="0"/>
        <w:ind w:left="283" w:right="0" w:hanging="0"/>
        <w:jc w:val="left"/>
        <w:rPr/>
      </w:pPr>
      <w:r>
        <w:rPr>
          <w:color w:val="BD1271"/>
        </w:rPr>
        <w:t xml:space="preserve">1. </w:t>
      </w:r>
      <w:r>
        <w:rPr>
          <w:color w:val="000000"/>
        </w:rPr>
        <w:t>Prekonajte sebeckosť štátov a tendenciu hľadať individuálne výhody na úkor druhých.</w:t>
      </w:r>
    </w:p>
    <w:p>
      <w:pPr>
        <w:pStyle w:val="P68B1DB1Normal84"/>
        <w:widowControl w:val="false"/>
        <w:spacing w:lineRule="auto" w:line="240"/>
        <w:ind w:left="283" w:right="0" w:hanging="0"/>
        <w:jc w:val="left"/>
        <w:rPr/>
      </w:pPr>
      <w:r>
        <w:rPr>
          <w:color w:val="BD1271"/>
        </w:rPr>
        <w:t xml:space="preserve">2. </w:t>
      </w:r>
      <w:r>
        <w:rPr>
          <w:color w:val="000000"/>
        </w:rPr>
        <w:t>Vytvoriť systém s rovnakými zákonmi, daňovými systémami, právami a povinnosťami vo všetkých krajinách.</w:t>
      </w:r>
    </w:p>
    <w:p>
      <w:pPr>
        <w:pStyle w:val="P68B1DB1Normal84"/>
        <w:widowControl w:val="false"/>
        <w:spacing w:lineRule="auto" w:line="240"/>
        <w:ind w:left="283" w:right="0" w:hanging="0"/>
        <w:jc w:val="left"/>
        <w:rPr/>
      </w:pPr>
      <w:r>
        <w:rPr>
          <w:color w:val="BD1271"/>
        </w:rPr>
        <w:t xml:space="preserve">3. </w:t>
      </w:r>
      <w:r>
        <w:rPr>
          <w:color w:val="000000"/>
        </w:rPr>
        <w:t>Koordinované daňové režimy medzi rôznymi štátmi, najmä pokiaľ ide o podniky (bez slobodných pásiem alebo nízkeho zdanenia).</w:t>
      </w:r>
    </w:p>
    <w:p>
      <w:pPr>
        <w:pStyle w:val="P68B1DB1Normal84"/>
        <w:widowControl w:val="false"/>
        <w:spacing w:lineRule="auto" w:line="240"/>
        <w:ind w:left="283" w:right="416" w:hanging="0"/>
        <w:jc w:val="left"/>
        <w:rPr/>
      </w:pPr>
      <w:r>
        <w:rPr>
          <w:color w:val="BD1271"/>
        </w:rPr>
        <w:t xml:space="preserve">4. </w:t>
      </w:r>
      <w:r>
        <w:rPr>
          <w:color w:val="000000"/>
        </w:rPr>
        <w:t>Konzistentné ceny výrobkov a záruka rovnakej kúpnej sily medzi jednotlivými štátmi.</w:t>
      </w:r>
    </w:p>
    <w:p>
      <w:pPr>
        <w:pStyle w:val="P68B1DB1Normal84"/>
        <w:widowControl w:val="false"/>
        <w:spacing w:lineRule="auto" w:line="240"/>
        <w:ind w:left="283" w:right="416" w:hanging="0"/>
        <w:jc w:val="left"/>
        <w:rPr/>
      </w:pPr>
      <w:r>
        <w:rPr>
          <w:color w:val="BD1271"/>
        </w:rPr>
        <w:t xml:space="preserve">5. </w:t>
      </w:r>
      <w:r>
        <w:rPr>
          <w:color w:val="000000"/>
        </w:rPr>
        <w:t>Znížiť mzdové rozdiely medzi jednotlivými štátmi a geografickými regiónmi v rámci tej istej krajiny.</w:t>
      </w:r>
    </w:p>
    <w:p>
      <w:pPr>
        <w:pStyle w:val="P68B1DB1Normal84"/>
        <w:widowControl w:val="false"/>
        <w:spacing w:lineRule="auto" w:line="240"/>
        <w:ind w:left="283" w:right="416" w:hanging="0"/>
        <w:jc w:val="left"/>
        <w:rPr/>
      </w:pPr>
      <w:r>
        <w:rPr>
          <w:color w:val="BD1271"/>
        </w:rPr>
        <w:t xml:space="preserve">6. </w:t>
      </w:r>
      <w:r>
        <w:rPr>
          <w:color w:val="000000"/>
        </w:rPr>
        <w:t>Zabezpečiť, aby sa verejný dlh viacerých členských štátov stal spoločnou zodpovednosťou.</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pPr>
      <w:bookmarkStart w:id="226" w:name="__RefHeading___Toc300436_1346298689"/>
      <w:bookmarkEnd w:id="226"/>
      <w:r>
        <w:rPr/>
        <w:t xml:space="preserve">5. Politiky začleňovania </w:t>
      </w:r>
    </w:p>
    <w:p>
      <w:pPr>
        <w:pStyle w:val="P68B1DB1Normal76"/>
        <w:widowControl w:val="false"/>
        <w:spacing w:lineRule="auto" w:line="240" w:before="88" w:after="0"/>
        <w:ind w:left="0" w:right="0" w:hanging="0"/>
        <w:jc w:val="both"/>
        <w:rPr/>
      </w:pPr>
      <w:r>
        <w:rPr/>
        <w:t xml:space="preserve">Spravodlivá Európa schopná ponúknuť šťastie svojim občanom je inkluzívna Európa, ktorá vždy venuje veľkú pozornosť boju proti nerovnosti. V odporúčaniach sa stanovuje ďalší postup na dosiahnutie dlhodobých cieľov (ako je rodová rovnosť) a stanovujú sa nové požiadavky týkajúce sa kultúrnej transformácie súčasných spoločností (digitálna nerovnosť a právo žiť v zdravom prostredí). </w:t>
      </w:r>
    </w:p>
    <w:p>
      <w:pPr>
        <w:pStyle w:val="P68B1DB1Normal89"/>
        <w:widowControl w:val="false"/>
        <w:spacing w:lineRule="auto" w:line="240" w:before="74" w:after="0"/>
        <w:ind w:left="4819" w:right="0" w:hanging="0"/>
        <w:jc w:val="left"/>
        <w:rPr/>
      </w:pPr>
      <w:r>
        <w:rPr/>
        <w:t xml:space="preserve"> </w:t>
      </w:r>
    </w:p>
    <w:p>
      <w:pPr>
        <w:pStyle w:val="P68B1DB1Normal83"/>
        <w:widowControl w:val="false"/>
        <w:spacing w:lineRule="auto" w:line="240" w:before="72" w:after="0"/>
        <w:ind w:left="3000" w:right="0" w:hanging="0"/>
        <w:jc w:val="left"/>
        <w:rPr/>
      </w:pPr>
      <w:r>
        <w:rPr/>
        <w:t xml:space="preserve">ODPORÚČANIA V SKRATKE </w:t>
      </w:r>
    </w:p>
    <w:p>
      <w:pPr>
        <w:pStyle w:val="P68B1DB1Normal84"/>
        <w:widowControl w:val="false"/>
        <w:spacing w:lineRule="auto" w:line="240" w:before="69" w:after="0"/>
        <w:ind w:left="283" w:right="0" w:hanging="0"/>
        <w:jc w:val="left"/>
        <w:rPr/>
      </w:pPr>
      <w:r>
        <w:rPr>
          <w:color w:val="BD1271"/>
        </w:rPr>
        <w:t xml:space="preserve">1. </w:t>
      </w:r>
      <w:r>
        <w:rPr>
          <w:color w:val="000000"/>
        </w:rPr>
        <w:t>Dosiahnutie úplnej rodovej rovnosti, a to aj posilnením otcovskej rodičovskej dovolenky a zariadení starostlivosti o deti.</w:t>
      </w:r>
    </w:p>
    <w:p>
      <w:pPr>
        <w:pStyle w:val="P68B1DB1Normal84"/>
        <w:widowControl w:val="false"/>
        <w:spacing w:lineRule="auto" w:line="240"/>
        <w:ind w:left="283" w:right="0" w:hanging="0"/>
        <w:jc w:val="left"/>
        <w:rPr/>
      </w:pPr>
      <w:r>
        <w:rPr>
          <w:color w:val="BD1271"/>
        </w:rPr>
        <w:t xml:space="preserve">2. </w:t>
      </w:r>
      <w:r>
        <w:rPr>
          <w:color w:val="000000"/>
        </w:rPr>
        <w:t>Riešenie digitálnych nerovností.</w:t>
      </w:r>
    </w:p>
    <w:p>
      <w:pPr>
        <w:pStyle w:val="P68B1DB1Normal84"/>
        <w:widowControl w:val="false"/>
        <w:spacing w:lineRule="auto" w:line="240"/>
        <w:ind w:left="283" w:right="0" w:hanging="0"/>
        <w:jc w:val="left"/>
        <w:rPr/>
      </w:pPr>
      <w:r>
        <w:rPr>
          <w:color w:val="BD1271"/>
        </w:rPr>
        <w:t xml:space="preserve">3. </w:t>
      </w:r>
      <w:r>
        <w:rPr>
          <w:color w:val="000000"/>
        </w:rPr>
        <w:t>Zabezpečiť, aby všetci európski občania mohli žiť v zdravom a udržateľnom prostredí.</w:t>
      </w:r>
    </w:p>
    <w:p>
      <w:pPr>
        <w:pStyle w:val="P68B1DB1Normal84"/>
        <w:widowControl w:val="false"/>
        <w:spacing w:lineRule="auto" w:line="240"/>
        <w:ind w:left="283" w:right="0" w:hanging="0"/>
        <w:jc w:val="left"/>
        <w:rPr/>
      </w:pPr>
      <w:r>
        <w:rPr>
          <w:color w:val="BD1271"/>
        </w:rPr>
        <w:t xml:space="preserve">4. </w:t>
      </w:r>
      <w:r>
        <w:rPr>
          <w:color w:val="000000"/>
        </w:rPr>
        <w:t>Zabezpečiť príležitosti pre sociálnu mobilitu, a preto mať každú príležitosť na osobný rozvoj a sebaurčenie</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Podporovať obnovu generácií na všetkých úrovniach</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Riadiť prijímanie utečencov a migrantov vyváženým spôsobom medzi jednotlivými štátmi.</w:t>
      </w:r>
    </w:p>
    <w:p>
      <w:pPr>
        <w:pStyle w:val="P68B1DB1Normal76"/>
        <w:widowControl w:val="false"/>
        <w:spacing w:lineRule="auto" w:line="240" w:before="106" w:after="0"/>
        <w:ind w:left="0" w:right="0" w:hanging="0"/>
        <w:jc w:val="both"/>
        <w:rPr/>
      </w:pPr>
      <w:r>
        <w:rPr/>
        <w:t xml:space="preserve">Opäť sa zdá, že úloha škôl a vzdelávacích politík je kľúčová, a to nielen pri poskytovaní zručností mladým ľuďom, ktoré potrebujú na vstup na trh práce, ale aj pri budovaní európskej kultúry. Po vybudovaní Európy inštitúcií je nevyhnutné vybudovať Európu národov. V tejto súvislosti sa kladie dôraz na ústrednosť spoločného jazyka s cieľom umožniť dialóg medzi občanmi rôznych krajín a rovnaký prístup k službám. Keď sa sen esperantu zrútil, odchod Spojeného kráľovstva z Európskej únie vyvolal pochybnosti o možnosti prijať angličtinu ako spoločný jazyk, kľúčový jazyk medzinárodných vzťahov a v rámci vedeckého a ekonomického systému. </w:t>
      </w:r>
    </w:p>
    <w:p>
      <w:pPr>
        <w:pStyle w:val="P68B1DB1Normal90"/>
        <w:widowControl w:val="false"/>
        <w:spacing w:lineRule="auto" w:line="240" w:before="86" w:after="0"/>
        <w:ind w:left="0" w:right="0" w:hanging="0"/>
        <w:jc w:val="left"/>
        <w:rPr/>
      </w:pPr>
      <w:r>
        <w:rPr/>
        <w:t xml:space="preserve"> </w:t>
      </w:r>
    </w:p>
    <w:p>
      <w:pPr>
        <w:pStyle w:val="P68B1DB1Normal83"/>
        <w:widowControl w:val="false"/>
        <w:spacing w:lineRule="auto" w:line="240" w:before="45" w:after="0"/>
        <w:ind w:left="3142" w:right="0" w:hanging="0"/>
        <w:jc w:val="left"/>
        <w:rPr/>
      </w:pPr>
      <w:r>
        <w:rPr/>
        <w:t xml:space="preserve">ODPORÚČANIA V SKRATKE </w:t>
      </w:r>
    </w:p>
    <w:p>
      <w:pPr>
        <w:pStyle w:val="P68B1DB1Normal84"/>
        <w:widowControl w:val="false"/>
        <w:spacing w:lineRule="auto" w:line="240" w:before="72" w:after="0"/>
        <w:ind w:left="283" w:right="0" w:hanging="0"/>
        <w:jc w:val="left"/>
        <w:rPr/>
      </w:pPr>
      <w:r>
        <w:rPr>
          <w:color w:val="BD1271"/>
        </w:rPr>
        <w:t xml:space="preserve">1. </w:t>
      </w:r>
      <w:r>
        <w:rPr>
          <w:color w:val="000000"/>
        </w:rPr>
        <w:t>Podporovať prijatie spoločného jazyka.</w:t>
      </w:r>
    </w:p>
    <w:p>
      <w:pPr>
        <w:pStyle w:val="P68B1DB1Normal84"/>
        <w:widowControl w:val="false"/>
        <w:spacing w:lineRule="auto" w:line="240"/>
        <w:ind w:left="283" w:right="0" w:hanging="0"/>
        <w:jc w:val="left"/>
        <w:rPr/>
      </w:pPr>
      <w:r>
        <w:rPr>
          <w:color w:val="BD1271"/>
        </w:rPr>
        <w:t xml:space="preserve">2. </w:t>
      </w:r>
      <w:r>
        <w:rPr>
          <w:color w:val="000000"/>
        </w:rPr>
        <w:t>Investovať do škôl a výučby európskej histórie, a nie do každého národa, ako aj do výučby politického hospodárstva a občianskej výchovy.</w:t>
      </w:r>
    </w:p>
    <w:p>
      <w:pPr>
        <w:pStyle w:val="P68B1DB1Normal84"/>
        <w:widowControl w:val="false"/>
        <w:spacing w:lineRule="auto" w:line="240"/>
        <w:ind w:left="283" w:right="417" w:hanging="0"/>
        <w:jc w:val="left"/>
        <w:rPr/>
      </w:pPr>
      <w:r>
        <w:rPr>
          <w:color w:val="BD1271"/>
        </w:rPr>
        <w:t xml:space="preserve">3. </w:t>
      </w:r>
      <w:r>
        <w:rPr>
          <w:color w:val="000000"/>
        </w:rPr>
        <w:t>Prístup ku kultúre, vzdelávaniu a výmenám medzi študentmi a občanmi rôznych členských štátov.</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Politiky začleňovania zohrávajú kľúčovú úlohu pri zabezpečovaní prístupu občanov k príležitostiam. V tejto súvislosti účastníci panelu zdôraznili, že Taliansko často nie je schopné použiť finančné prostriedky EÚ sprístupnené na tento účel. Začlenenie a prístupnosť znamenajú, že európske inštitúcie musia byť bližšie k svojim občanom a tieto koncepcie idú ruka v ruke s väčším množstvom informácií a informovanosti o právach európskych občanov ako takých. Z tohto hľadiska vznikol význam priameho vzťahu medzi inštitúciami EÚ a občanmi bez toho, aby ho museli členské štáty nevyhnutne sprostredkovať. </w:t>
      </w:r>
    </w:p>
    <w:p>
      <w:pPr>
        <w:pStyle w:val="P68B1DB1Normal34"/>
        <w:widowControl w:val="false"/>
        <w:spacing w:lineRule="auto" w:line="240" w:before="78"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ODPORÚČANIA V SKRATKE</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Podporovať využívanie finančných prostriedkov EÚ na zníženie nerovností</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Dostupnosť a blízkosť európskych inštitúcií k občanom.</w:t>
      </w:r>
    </w:p>
    <w:p>
      <w:pPr>
        <w:pStyle w:val="P68B1DB1Normal84"/>
        <w:widowControl w:val="false"/>
        <w:spacing w:lineRule="auto" w:line="240"/>
        <w:ind w:left="283" w:right="416" w:hanging="0"/>
        <w:jc w:val="left"/>
        <w:rPr/>
      </w:pPr>
      <w:r>
        <w:rPr>
          <w:color w:val="BD1271"/>
        </w:rPr>
        <w:t xml:space="preserve">3. </w:t>
      </w:r>
      <w:r>
        <w:rPr>
          <w:color w:val="000000"/>
        </w:rPr>
        <w:t>Jasne informovať občanov o svojich právach a príležitostiach a podporovať priamy prístup občanov k nim.</w:t>
      </w:r>
    </w:p>
    <w:p>
      <w:pPr>
        <w:pStyle w:val="P68B1DB1Normal91"/>
        <w:widowControl w:val="false"/>
        <w:spacing w:lineRule="auto" w:line="240"/>
        <w:ind w:left="0" w:right="0" w:hanging="0"/>
        <w:jc w:val="left"/>
        <w:rPr/>
      </w:pPr>
      <w:r>
        <w:rPr/>
        <w:t xml:space="preserve"> </w:t>
      </w:r>
    </w:p>
    <w:p>
      <w:pPr>
        <w:pStyle w:val="P68B1DB1Titre481"/>
        <w:numPr>
          <w:ilvl w:val="0"/>
          <w:numId w:val="2"/>
        </w:numPr>
        <w:rPr/>
      </w:pPr>
      <w:bookmarkStart w:id="227" w:name="__RefHeading___Toc300438_1346298689"/>
      <w:bookmarkEnd w:id="227"/>
      <w:r>
        <w:rPr/>
        <w:t xml:space="preserve">6. Zamestnanosť </w:t>
      </w:r>
    </w:p>
    <w:p>
      <w:pPr>
        <w:pStyle w:val="Normal"/>
        <w:widowControl w:val="false"/>
        <w:spacing w:lineRule="auto" w:line="240" w:before="97" w:after="0"/>
        <w:ind w:left="0" w:right="1" w:hanging="0"/>
        <w:jc w:val="both"/>
        <w:rPr/>
      </w:pPr>
      <w:r>
        <w:rPr>
          <w:color w:val="000000"/>
        </w:rPr>
        <w:t xml:space="preserve">Otázka zamestnanosti sa neustále objavuje ako prierezový prvok a priamy účinok schopnosti Európskej únie reagovať na jej odporúčania. Počas diskusie </w:t>
      </w:r>
      <w:r>
        <w:rPr>
          <w:color w:val="FF0000"/>
        </w:rPr>
        <w:t>medzi</w:t>
      </w:r>
      <w:r>
        <w:rPr>
          <w:color w:val="000000"/>
        </w:rPr>
        <w:t xml:space="preserve"> účastníkmi bolo jasné, že otázka zamestnanosti je stredobodom života občanov, ale že ide ruka v ruke s posilnením otázok hospodárskej a sociálnej spravodlivosti. Veľmi sa očakáva, že Európska únia, v ktorej budú aktívne politiky práce naďalej ústredné a čoraz koordinovanejšie, sa očakáva. </w:t>
      </w:r>
    </w:p>
    <w:p>
      <w:pPr>
        <w:pStyle w:val="P68B1DB1Normal34"/>
        <w:widowControl w:val="false"/>
        <w:spacing w:lineRule="auto" w:line="240" w:before="77"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ODPORÚČANIA V SKRATKE</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Podporovať obchod medzi pracovníkmi v Európe prostredníctvom Európskeho centra zamestnanosti.</w:t>
      </w:r>
    </w:p>
    <w:p>
      <w:pPr>
        <w:pStyle w:val="P68B1DB1Normal84"/>
        <w:widowControl w:val="false"/>
        <w:spacing w:lineRule="auto" w:line="240"/>
        <w:ind w:left="283" w:right="0" w:hanging="0"/>
        <w:jc w:val="left"/>
        <w:rPr/>
      </w:pPr>
      <w:r>
        <w:rPr>
          <w:color w:val="BD1271"/>
        </w:rPr>
        <w:t xml:space="preserve">2. </w:t>
      </w:r>
      <w:r>
        <w:rPr>
          <w:color w:val="000000"/>
        </w:rPr>
        <w:t>Integrovať politiky zamestnanosti na úrovni EÚ.</w:t>
      </w:r>
    </w:p>
    <w:p>
      <w:pPr>
        <w:pStyle w:val="P68B1DB1Normal84"/>
        <w:widowControl w:val="false"/>
        <w:spacing w:lineRule="auto" w:line="240"/>
        <w:ind w:left="283" w:right="0" w:hanging="0"/>
        <w:jc w:val="left"/>
        <w:rPr/>
      </w:pPr>
      <w:r>
        <w:rPr>
          <w:color w:val="BD1271"/>
        </w:rPr>
        <w:t xml:space="preserve">3. </w:t>
      </w:r>
      <w:r>
        <w:rPr>
          <w:color w:val="000000"/>
        </w:rPr>
        <w:t>Poskytovať stimuly pre podniky, ktoré ponúkajú pracovné miesta.</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pPr>
      <w:bookmarkStart w:id="228" w:name="__RefHeading___Toc300320_1346298689"/>
      <w:bookmarkEnd w:id="228"/>
      <w:r>
        <w:rPr/>
        <w:t xml:space="preserve"> </w:t>
      </w:r>
      <w:r>
        <w:rPr/>
        <w:t xml:space="preserve">Európa vo svete </w:t>
      </w:r>
    </w:p>
    <w:p>
      <w:pPr>
        <w:pStyle w:val="P68B1DB1Normal76"/>
        <w:widowControl w:val="false"/>
        <w:spacing w:lineRule="exact" w:line="380" w:before="143" w:after="0"/>
        <w:ind w:left="74" w:right="0" w:hanging="0"/>
        <w:jc w:val="both"/>
        <w:rPr/>
      </w:pPr>
      <w:r>
        <w:rPr/>
        <w:t xml:space="preserve">Nedávne medzinárodné udalosti a najmä vojna medzi Ruskom a Ukrajinou mali veľký vplyv na vnímanie úlohy, ktorú Európa bude musieť zohrávať na medzinárodnej úrovni. Zhromaždené odporúčania sa zameriavali najmä na posilnenie EÚ (z hľadiska identity aj hospodárskej sily) a jej postavenie ako referenčného modelu a modelu obnovy vo vzťahoch s inými krajinami.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7">
                <wp:simplePos x="0" y="0"/>
                <wp:positionH relativeFrom="column">
                  <wp:posOffset>-166370</wp:posOffset>
                </wp:positionH>
                <wp:positionV relativeFrom="paragraph">
                  <wp:posOffset>67945</wp:posOffset>
                </wp:positionV>
                <wp:extent cx="6453505" cy="904875"/>
                <wp:effectExtent l="0" t="0" r="0" b="0"/>
                <wp:wrapTopAndBottom/>
                <wp:docPr id="106" name="Formulár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09"/>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Posilnenie európskej identity</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Posilnenie hospodárstva a inštitúcií</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Spolupráca a partnerstvá</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Politický a kultúrny referenčný bod</w:t>
                              </w:r>
                            </w:p>
                          </w:txbxContent>
                        </wps:txbx>
                        <wps:bodyPr lIns="90000" rIns="90000" tIns="45000" bIns="45000">
                          <a:noAutofit/>
                        </wps:bodyPr>
                      </wps:wsp>
                    </wpg:wgp>
                  </a:graphicData>
                </a:graphic>
              </wp:anchor>
            </w:drawing>
          </mc:Choice>
          <mc:Fallback>
            <w:pict>
              <v:group id="shape_0" alt="Formulár7" style="position:absolute;margin-left:-13.1pt;margin-top:5.35pt;width:508.1pt;height:71.15pt" coordorigin="-262,107" coordsize="10162,1423">
                <v:shape id="shape_0" stroked="f" style="position:absolute;left:438;top:982;width:8699;height:548;rotation:180" type="shapetype_75">
                  <v:imagedata r:id="rId110" o:detectmouseclick="t"/>
                  <w10:wrap type="none"/>
                  <v:stroke color="#3465a4" joinstyle="round" endcap="flat"/>
                </v:shape>
                <v:rect id="shape_0" stroked="f" style="position:absolute;left:-262;top:293;width:2414;height:74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Posilnenie európskej identity</w:t>
                        </w:r>
                      </w:p>
                    </w:txbxContent>
                  </v:textbox>
                  <w10:wrap type="square"/>
                  <v:fill o:detectmouseclick="t" on="false"/>
                  <v:stroke color="#3465a4" joinstyle="round" endcap="flat"/>
                </v:rect>
                <v:rect id="shape_0" stroked="f" style="position:absolute;left:2065;top:240;width:2576;height:74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Posilnenie hospodárstva a inštitúcií</w:t>
                        </w:r>
                      </w:p>
                    </w:txbxContent>
                  </v:textbox>
                  <w10:wrap type="square"/>
                  <v:fill o:detectmouseclick="t" on="false"/>
                  <v:stroke color="#3465a4" joinstyle="round" endcap="flat"/>
                </v:rect>
                <v:rect id="shape_0" stroked="f" style="position:absolute;left:5069;top:107;width:2502;height:74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Spolupráca a partnerstvá</w:t>
                        </w:r>
                      </w:p>
                    </w:txbxContent>
                  </v:textbox>
                  <w10:wrap type="square"/>
                  <v:fill o:detectmouseclick="t" on="false"/>
                  <v:stroke color="#3465a4" joinstyle="round" endcap="flat"/>
                </v:rect>
                <v:rect id="shape_0" stroked="f" style="position:absolute;left:7369;top:120;width:2530;height:931">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Politický a kultúrny referenčný bod</w:t>
                        </w:r>
                      </w:p>
                    </w:txbxContent>
                  </v:textbox>
                  <w10:wrap type="square"/>
                  <v:fill o:detectmouseclick="t" on="false"/>
                  <v:stroke color="#3465a4" joinstyle="round" endcap="flat"/>
                </v:rect>
              </v:group>
            </w:pict>
          </mc:Fallback>
        </mc:AlternateContent>
      </w:r>
    </w:p>
    <w:p>
      <w:pPr>
        <w:pStyle w:val="P68B1DB1Titre481"/>
        <w:numPr>
          <w:ilvl w:val="0"/>
          <w:numId w:val="2"/>
        </w:numPr>
        <w:rPr/>
      </w:pPr>
      <w:bookmarkStart w:id="229" w:name="__RefHeading___Toc300440_1346298689"/>
      <w:bookmarkEnd w:id="229"/>
      <w:r>
        <w:rPr/>
        <w:t>1. Posilnenie európskej identity</w:t>
      </w:r>
    </w:p>
    <w:p>
      <w:pPr>
        <w:pStyle w:val="P68B1DB1Normal76"/>
        <w:widowControl w:val="false"/>
        <w:spacing w:lineRule="auto" w:line="240" w:before="106" w:after="0"/>
        <w:ind w:left="74" w:right="0" w:hanging="0"/>
        <w:jc w:val="both"/>
        <w:rPr/>
      </w:pPr>
      <w:r>
        <w:rPr/>
        <w:t xml:space="preserve">Aby Európska únia mohla byť uznaná za svojimi hranicami, musí najprv preukázať súdržnosť vnútorne, a to nielen ekonomicky a finančne, ale aj z hľadiska identity a hodnôt. Identita, ktorá nie je vytvorená schválením, ale zhodnocovaním miestnych špecifík v rámci spoločných základných hodnôt. </w:t>
      </w:r>
    </w:p>
    <w:p>
      <w:pPr>
        <w:pStyle w:val="P68B1DB1Normal76"/>
        <w:widowControl w:val="false"/>
        <w:spacing w:lineRule="auto" w:line="240" w:before="78" w:after="0"/>
        <w:ind w:left="74" w:right="1" w:hanging="0"/>
        <w:jc w:val="both"/>
        <w:rPr/>
      </w:pPr>
      <w:r>
        <w:rPr/>
        <w:t xml:space="preserve">Úvahy o možnom rozšírení rozsahu pôsobnosti Únie sa uskutočnili aj s ohľadom na tieto skutočnosti: podľa niektorých účastníkov panelu by sa nemalo konať nediferencovaným spôsobom, ale zamerať sa skôr na vzájomné uznávanie kultúry a hodnôt než na ekonomické normy. </w:t>
      </w:r>
    </w:p>
    <w:p>
      <w:pPr>
        <w:pStyle w:val="P68B1DB1Normal83"/>
        <w:widowControl w:val="false"/>
        <w:spacing w:lineRule="auto" w:line="240" w:before="74" w:after="0"/>
        <w:ind w:left="4894" w:right="0" w:hanging="0"/>
        <w:jc w:val="left"/>
        <w:rPr/>
      </w:pPr>
      <w:r>
        <w:rPr/>
        <w:t xml:space="preserve"> </w:t>
      </w:r>
    </w:p>
    <w:p>
      <w:pPr>
        <w:pStyle w:val="P68B1DB1Normal74"/>
        <w:widowControl w:val="false"/>
        <w:spacing w:lineRule="auto" w:line="240" w:before="33" w:after="0"/>
        <w:ind w:left="3074" w:right="0" w:hanging="0"/>
        <w:jc w:val="left"/>
        <w:rPr/>
      </w:pPr>
      <w:r>
        <w:rPr>
          <w:b/>
          <w:sz w:val="24"/>
        </w:rPr>
        <w:t>ODPORÚČANIA V SKRATKE</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Posilnenie európskych kultúrnych hodnôt a charakteristík, ako aj regionálnych špecifík.</w:t>
      </w:r>
    </w:p>
    <w:p>
      <w:pPr>
        <w:pStyle w:val="P68B1DB1Normal84"/>
        <w:widowControl w:val="false"/>
        <w:spacing w:lineRule="auto" w:line="240"/>
        <w:ind w:left="358" w:right="0" w:hanging="0"/>
        <w:jc w:val="left"/>
        <w:rPr/>
      </w:pPr>
      <w:r>
        <w:rPr>
          <w:color w:val="BD1271"/>
        </w:rPr>
        <w:t xml:space="preserve">2. </w:t>
      </w:r>
      <w:r>
        <w:rPr>
          <w:color w:val="000000"/>
        </w:rPr>
        <w:t>Vytvorenie inštitútu pre európsku kultúru na podporu kultúry rešpektu a vzájomného obohatenia medzi občanmi rôznych štátov.</w:t>
      </w:r>
    </w:p>
    <w:p>
      <w:pPr>
        <w:pStyle w:val="P68B1DB1Normal84"/>
        <w:widowControl w:val="false"/>
        <w:spacing w:lineRule="auto" w:line="240"/>
        <w:ind w:left="418" w:right="418" w:hanging="0"/>
        <w:jc w:val="both"/>
        <w:rPr/>
      </w:pPr>
      <w:r>
        <w:rPr>
          <w:color w:val="BD1271"/>
        </w:rPr>
        <w:t xml:space="preserve">3. </w:t>
      </w:r>
      <w:r>
        <w:rPr>
          <w:color w:val="000000"/>
        </w:rPr>
        <w:t>Nové vymedzenie princípov spolupatričnosti nových kandidátskych krajín s posilnením faktorov, ako je kultúrna identita a hodnoty.</w:t>
      </w:r>
    </w:p>
    <w:p>
      <w:pPr>
        <w:pStyle w:val="P68B1DB1Normal34"/>
        <w:widowControl w:val="false"/>
        <w:spacing w:lineRule="auto" w:line="240"/>
        <w:ind w:left="74" w:right="0" w:hanging="0"/>
        <w:jc w:val="left"/>
        <w:rPr/>
      </w:pPr>
      <w:r>
        <w:rPr/>
        <w:t xml:space="preserve"> </w:t>
      </w:r>
    </w:p>
    <w:p>
      <w:pPr>
        <w:pStyle w:val="P68B1DB1Titre481"/>
        <w:numPr>
          <w:ilvl w:val="0"/>
          <w:numId w:val="2"/>
        </w:numPr>
        <w:rPr/>
      </w:pPr>
      <w:bookmarkStart w:id="230" w:name="__RefHeading___Toc300442_1346298689"/>
      <w:bookmarkEnd w:id="230"/>
      <w:r>
        <w:rPr/>
        <w:t xml:space="preserve">2. Posilnenie hospodárstva a inštitúcií </w:t>
      </w:r>
    </w:p>
    <w:p>
      <w:pPr>
        <w:pStyle w:val="P68B1DB1Normal76"/>
        <w:widowControl w:val="false"/>
        <w:spacing w:lineRule="auto" w:line="240" w:before="109" w:after="0"/>
        <w:ind w:left="0" w:right="0" w:hanging="0"/>
        <w:jc w:val="both"/>
        <w:rPr/>
      </w:pPr>
      <w:r>
        <w:rPr/>
        <w:t xml:space="preserve">Očakáva sa, že zajtrajšia Európa bude zohrávať vedúcu úlohu na medzinárodnej úrovni, ktorú možno prevziať len so silnou a nezávislou Úniou od iných krajín. Všeobecne sa uznáva, že krajiny EÚ majú nedostatok surovín, ale zdá sa byť nevyhnutné, aby EÚ bola schopná zabezpečiť väčšiu nezávislosť, pokiaľ ide o dodávky energie, poľnohospodárstvo a technologické výrobky. </w:t>
      </w:r>
    </w:p>
    <w:p>
      <w:pPr>
        <w:pStyle w:val="P68B1DB1Normal76"/>
        <w:widowControl w:val="false"/>
        <w:spacing w:lineRule="auto" w:line="240" w:before="78" w:after="0"/>
        <w:ind w:left="0" w:right="1" w:hanging="0"/>
        <w:jc w:val="both"/>
        <w:rPr/>
      </w:pPr>
      <w:r>
        <w:rPr/>
        <w:t xml:space="preserve">To si vyžaduje osobitné investície na dobiehanie v oblastiach, ako sú technológie (v ktorých sa zdá, že Európska únia v súčasnosti nezohráva vedúcu úlohu), ale aj v odvetví potravinárstva a energetiky. </w:t>
      </w:r>
    </w:p>
    <w:p>
      <w:pPr>
        <w:pStyle w:val="P68B1DB1Normal76"/>
        <w:widowControl w:val="false"/>
        <w:spacing w:lineRule="auto" w:line="240" w:before="78" w:after="0"/>
        <w:ind w:left="0" w:right="2" w:hanging="0"/>
        <w:jc w:val="both"/>
        <w:rPr/>
      </w:pPr>
      <w:r>
        <w:rPr/>
        <w:t xml:space="preserve">Vojna medzi Ruskom a Ukrajinou tiež položila do centra diskusie dôležitosť integrovanej európskej obrannej politiky s osobitnou identitou a väčšou autonómiou od NATO bez toho, aby spochybnila jej členstvo. </w:t>
      </w:r>
    </w:p>
    <w:p>
      <w:pPr>
        <w:pStyle w:val="P68B1DB1Normal76"/>
        <w:widowControl w:val="false"/>
        <w:spacing w:lineRule="auto" w:line="240" w:before="78" w:after="0"/>
        <w:ind w:left="0" w:right="1" w:hanging="0"/>
        <w:jc w:val="left"/>
        <w:rPr/>
      </w:pPr>
      <w:r>
        <w:rPr/>
        <w:t xml:space="preserve">Na záver to znamená jasné rozhodnutia pre budúcnosť sprevádzané významnými investíciami do vedy a výskumu s cieľom zvýšiť zručnosti mladých Európanov. </w:t>
      </w:r>
    </w:p>
    <w:p>
      <w:pPr>
        <w:pStyle w:val="P68B1DB1Normal34"/>
        <w:widowControl w:val="false"/>
        <w:spacing w:lineRule="auto" w:line="240" w:before="78"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ODPORÚČANIA V SKRATKE</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Posilnenie vnútornej výrobnej kapacity: potravinový reťazec (najmä pšenica) a technológia (mikroprocesory). </w:t>
      </w:r>
    </w:p>
    <w:p>
      <w:pPr>
        <w:pStyle w:val="P68B1DB1Normal84"/>
        <w:widowControl w:val="false"/>
        <w:spacing w:lineRule="auto" w:line="240"/>
        <w:ind w:left="283" w:right="0" w:hanging="0"/>
        <w:jc w:val="left"/>
        <w:rPr/>
      </w:pPr>
      <w:r>
        <w:rPr>
          <w:color w:val="BD1271"/>
        </w:rPr>
        <w:t xml:space="preserve">2. </w:t>
      </w:r>
      <w:r>
        <w:rPr>
          <w:color w:val="000000"/>
        </w:rPr>
        <w:t>Podporovať typické regionálne a európske produkcie.</w:t>
      </w:r>
    </w:p>
    <w:p>
      <w:pPr>
        <w:pStyle w:val="P68B1DB1Normal84"/>
        <w:widowControl w:val="false"/>
        <w:spacing w:lineRule="auto" w:line="240"/>
        <w:ind w:left="283" w:right="0" w:hanging="0"/>
        <w:jc w:val="left"/>
        <w:rPr/>
      </w:pPr>
      <w:r>
        <w:rPr>
          <w:color w:val="BD1271"/>
        </w:rPr>
        <w:t xml:space="preserve">3. </w:t>
      </w:r>
      <w:r>
        <w:rPr>
          <w:color w:val="000000"/>
        </w:rPr>
        <w:t>Posilniť európske priemyselné zoskupenia (napr. oceľ).</w:t>
      </w:r>
    </w:p>
    <w:p>
      <w:pPr>
        <w:pStyle w:val="P68B1DB1Normal84"/>
        <w:widowControl w:val="false"/>
        <w:spacing w:lineRule="auto" w:line="240"/>
        <w:ind w:left="283" w:right="0" w:hanging="0"/>
        <w:jc w:val="left"/>
        <w:rPr/>
      </w:pPr>
      <w:r>
        <w:rPr>
          <w:color w:val="BD1271"/>
        </w:rPr>
        <w:t xml:space="preserve">4. </w:t>
      </w:r>
      <w:r>
        <w:rPr>
          <w:color w:val="000000"/>
        </w:rPr>
        <w:t>Posilniť miestnu výrobu energie z ekologického hľadiska (plyn, slnečná energia, vietor).</w:t>
      </w:r>
    </w:p>
    <w:p>
      <w:pPr>
        <w:pStyle w:val="P68B1DB1Normal84"/>
        <w:widowControl w:val="false"/>
        <w:spacing w:lineRule="auto" w:line="240"/>
        <w:ind w:left="283" w:right="0" w:hanging="0"/>
        <w:jc w:val="left"/>
        <w:rPr/>
      </w:pPr>
      <w:r>
        <w:rPr>
          <w:color w:val="BD1271"/>
        </w:rPr>
        <w:t xml:space="preserve">5. </w:t>
      </w:r>
      <w:r>
        <w:rPr>
          <w:color w:val="000000"/>
        </w:rPr>
        <w:t>Vývoj leteckých technológií.</w:t>
      </w:r>
    </w:p>
    <w:p>
      <w:pPr>
        <w:pStyle w:val="P68B1DB1Normal84"/>
        <w:widowControl w:val="false"/>
        <w:spacing w:lineRule="auto" w:line="240"/>
        <w:ind w:left="283" w:right="417" w:hanging="0"/>
        <w:jc w:val="left"/>
        <w:rPr/>
      </w:pPr>
      <w:r>
        <w:rPr>
          <w:color w:val="BD1271"/>
        </w:rPr>
        <w:t xml:space="preserve">6. </w:t>
      </w:r>
      <w:r>
        <w:rPr>
          <w:color w:val="000000"/>
        </w:rPr>
        <w:t>Zriadenie európskych vedeckých laboratórií (Európska vírusová banka).</w:t>
      </w:r>
    </w:p>
    <w:p>
      <w:pPr>
        <w:pStyle w:val="P68B1DB1Normal84"/>
        <w:widowControl w:val="false"/>
        <w:spacing w:lineRule="auto" w:line="240"/>
        <w:ind w:left="283" w:right="417" w:hanging="0"/>
        <w:jc w:val="left"/>
        <w:rPr/>
      </w:pPr>
      <w:r>
        <w:rPr>
          <w:color w:val="BD1271"/>
        </w:rPr>
        <w:t xml:space="preserve">7. </w:t>
      </w:r>
      <w:r>
        <w:rPr>
          <w:color w:val="000000"/>
        </w:rPr>
        <w:t>Vytvoriť spoločnú európsku armádu, ktorá bude konať v rámci NATO, ale tiež pomôže ísť ďalej.</w:t>
      </w:r>
    </w:p>
    <w:p>
      <w:pPr>
        <w:pStyle w:val="P68B1DB1Normal84"/>
        <w:widowControl w:val="false"/>
        <w:spacing w:lineRule="auto" w:line="240"/>
        <w:ind w:left="283" w:right="417" w:hanging="0"/>
        <w:jc w:val="left"/>
        <w:rPr/>
      </w:pPr>
      <w:r>
        <w:rPr>
          <w:color w:val="BD1271"/>
        </w:rPr>
        <w:t xml:space="preserve">8. </w:t>
      </w:r>
      <w:r>
        <w:rPr>
          <w:color w:val="000000"/>
        </w:rPr>
        <w:t>Investovať do odbornej prípravy školiteľov (európske výmeny učiteľov, Erasmus pre učiteľov).</w:t>
      </w:r>
    </w:p>
    <w:p>
      <w:pPr>
        <w:pStyle w:val="P68B1DB1Normal84"/>
        <w:widowControl w:val="false"/>
        <w:spacing w:lineRule="auto" w:line="240"/>
        <w:ind w:left="283" w:right="416" w:hanging="0"/>
        <w:jc w:val="left"/>
        <w:rPr/>
      </w:pPr>
      <w:r>
        <w:rPr>
          <w:color w:val="BD1271"/>
        </w:rPr>
        <w:t xml:space="preserve">9. </w:t>
      </w:r>
      <w:r>
        <w:rPr>
          <w:color w:val="000000"/>
        </w:rPr>
        <w:t>Zvýšiť mobilitu európskych výskumných pracovníkov rozvojom nových európskych vedeckých inštitúcií</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Podporovať vznik inovatívnych začínajúcich podnikov.</w:t>
      </w:r>
    </w:p>
    <w:p>
      <w:pPr>
        <w:pStyle w:val="P68B1DB1Normal19"/>
        <w:widowControl w:val="false"/>
        <w:spacing w:lineRule="auto" w:line="240"/>
        <w:ind w:left="0" w:right="0" w:hanging="0"/>
        <w:jc w:val="left"/>
        <w:rPr/>
      </w:pPr>
      <w:r>
        <w:rPr/>
        <w:t xml:space="preserve"> </w:t>
      </w:r>
    </w:p>
    <w:p>
      <w:pPr>
        <w:pStyle w:val="P68B1DB1Titre481"/>
        <w:numPr>
          <w:ilvl w:val="0"/>
          <w:numId w:val="2"/>
        </w:numPr>
        <w:rPr/>
      </w:pPr>
      <w:bookmarkStart w:id="231" w:name="__RefHeading___Toc300444_1346298689"/>
      <w:bookmarkEnd w:id="231"/>
      <w:r>
        <w:rPr/>
        <w:t xml:space="preserve">3. Spolupráca a partnerstvá </w:t>
      </w:r>
    </w:p>
    <w:p>
      <w:pPr>
        <w:pStyle w:val="P68B1DB1Normal76"/>
        <w:widowControl w:val="false"/>
        <w:spacing w:lineRule="auto" w:line="240" w:before="109" w:after="0"/>
        <w:ind w:left="0" w:right="2" w:hanging="0"/>
        <w:jc w:val="both"/>
        <w:rPr/>
      </w:pPr>
      <w:r>
        <w:rPr/>
        <w:t xml:space="preserve">Víziou Európy zajtrajška nie je pevnosť, ktorá chráni svoje bohatstvo, ale protagonista na medzinárodnej scéne schopný dialógu so všetkými krajinami sveta. Dialóg, ktorý sa začína od obchodnej veľmoci a mal by sa zameriavať na vedúce postavenie v oblasti hospodárstva a ktorý sa môže konsolidovať vytvorením rozsiahlych medzinárodných partnerstiev a projektov. </w:t>
      </w:r>
    </w:p>
    <w:p>
      <w:pPr>
        <w:pStyle w:val="P68B1DB1Normal76"/>
        <w:widowControl w:val="false"/>
        <w:spacing w:lineRule="auto" w:line="240" w:before="78" w:after="0"/>
        <w:ind w:left="0" w:right="0" w:hanging="0"/>
        <w:jc w:val="both"/>
        <w:rPr/>
      </w:pPr>
      <w:r>
        <w:rPr/>
        <w:t xml:space="preserve">To všetko s cieľom spolupráce a pozornosti najzraniteľnejším regiónom sveta s projektmi ad hoc zameranými na zvýraznenie najchudobnejších krajín, ako aj na kultúrne a hospodárske výmeny s východnými krajinami. </w:t>
      </w:r>
    </w:p>
    <w:p>
      <w:pPr>
        <w:pStyle w:val="P68B1DB1Normal76"/>
        <w:widowControl w:val="false"/>
        <w:spacing w:lineRule="auto" w:line="240" w:before="78" w:after="0"/>
        <w:ind w:left="0" w:right="3" w:hanging="0"/>
        <w:jc w:val="both"/>
        <w:rPr/>
      </w:pPr>
      <w:r>
        <w:rPr/>
        <w:t xml:space="preserve">Osobitná pozornosť sa venuje aj téme migrácie, s lepšou koordináciou medzi krajinami a využívaním spoločných postupov na riadenie žiadostí a jednotlivcov. </w:t>
      </w:r>
    </w:p>
    <w:p>
      <w:pPr>
        <w:pStyle w:val="P68B1DB1Normal34"/>
        <w:widowControl w:val="false"/>
        <w:spacing w:lineRule="auto" w:line="240" w:before="78"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ODPORÚČANIA V SKRATKE</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Zvýšenie exportu.</w:t>
      </w:r>
    </w:p>
    <w:p>
      <w:pPr>
        <w:pStyle w:val="P68B1DB1Normal84"/>
        <w:widowControl w:val="false"/>
        <w:spacing w:lineRule="auto" w:line="240"/>
        <w:ind w:left="283" w:right="0" w:hanging="0"/>
        <w:jc w:val="left"/>
        <w:rPr/>
      </w:pPr>
      <w:r>
        <w:rPr>
          <w:color w:val="BD1271"/>
        </w:rPr>
        <w:t xml:space="preserve">2. </w:t>
      </w:r>
      <w:r>
        <w:rPr>
          <w:color w:val="000000"/>
        </w:rPr>
        <w:t>Podporovať nadnárodné európske turistické trasy.</w:t>
      </w:r>
    </w:p>
    <w:p>
      <w:pPr>
        <w:pStyle w:val="P68B1DB1Normal84"/>
        <w:widowControl w:val="false"/>
        <w:spacing w:lineRule="auto" w:line="240"/>
        <w:ind w:left="283" w:right="0" w:hanging="0"/>
        <w:jc w:val="left"/>
        <w:rPr/>
      </w:pPr>
      <w:r>
        <w:rPr>
          <w:color w:val="BD1271"/>
        </w:rPr>
        <w:t xml:space="preserve">3. </w:t>
      </w:r>
      <w:r>
        <w:rPr>
          <w:color w:val="000000"/>
        </w:rPr>
        <w:t>Vytvoriť obchodný systém rokovaní na európskej úrovni (nie jednotlivo ako štáty alebo spoločnosti, ale ako Únia) s cieľom mať väčšiu vyjednávaciu silu, ale s obmedzeniami súvisiacimi s dodržiavaním ľudských práv.</w:t>
      </w:r>
    </w:p>
    <w:p>
      <w:pPr>
        <w:pStyle w:val="P68B1DB1Normal84"/>
        <w:widowControl w:val="false"/>
        <w:spacing w:lineRule="auto" w:line="240"/>
        <w:ind w:left="283" w:right="417" w:hanging="0"/>
        <w:jc w:val="left"/>
        <w:rPr/>
      </w:pPr>
      <w:r>
        <w:rPr>
          <w:color w:val="BD1271"/>
        </w:rPr>
        <w:t xml:space="preserve">4. </w:t>
      </w:r>
      <w:r>
        <w:rPr>
          <w:color w:val="000000"/>
        </w:rPr>
        <w:t>Vedú veľké medzinárodné projekty, ako je Medzinárodná vesmírna stanica.</w:t>
      </w:r>
    </w:p>
    <w:p>
      <w:pPr>
        <w:pStyle w:val="P68B1DB1Normal84"/>
        <w:widowControl w:val="false"/>
        <w:spacing w:lineRule="auto" w:line="240"/>
        <w:ind w:left="283" w:right="417" w:hanging="0"/>
        <w:jc w:val="left"/>
        <w:rPr/>
      </w:pPr>
      <w:r>
        <w:rPr>
          <w:color w:val="BD1271"/>
        </w:rPr>
        <w:t xml:space="preserve">5. </w:t>
      </w:r>
      <w:r>
        <w:rPr>
          <w:color w:val="000000"/>
        </w:rPr>
        <w:t>Financovať projekty v Afrike zamerané na budovanie škôl a nemocníc bez toho, aby zaujali postoj koloniálneho štýlu, ale zamerali sa na rešpektovanie európskych hodnôt a práv.</w:t>
      </w:r>
    </w:p>
    <w:p>
      <w:pPr>
        <w:pStyle w:val="P68B1DB1Normal84"/>
        <w:widowControl w:val="false"/>
        <w:spacing w:lineRule="auto" w:line="240"/>
        <w:ind w:left="283" w:right="417" w:hanging="0"/>
        <w:jc w:val="left"/>
        <w:rPr/>
      </w:pPr>
      <w:r>
        <w:rPr>
          <w:color w:val="BD1271"/>
        </w:rPr>
        <w:t xml:space="preserve">6. </w:t>
      </w:r>
      <w:r>
        <w:rPr>
          <w:color w:val="000000"/>
        </w:rPr>
        <w:t>Investovať do odbornej prípravy na mieste (najmä pre ženy) v najchudobnejších krajinách.</w:t>
      </w:r>
    </w:p>
    <w:p>
      <w:pPr>
        <w:pStyle w:val="P68B1DB1Normal84"/>
        <w:widowControl w:val="false"/>
        <w:spacing w:lineRule="auto" w:line="240"/>
        <w:ind w:left="283" w:right="0" w:hanging="0"/>
        <w:jc w:val="left"/>
        <w:rPr/>
      </w:pPr>
      <w:r>
        <w:rPr>
          <w:color w:val="BD1271"/>
        </w:rPr>
        <w:t xml:space="preserve">7. </w:t>
      </w:r>
      <w:r>
        <w:rPr>
          <w:color w:val="000000"/>
        </w:rPr>
        <w:t>Podporovať výmenu technikov a školiteľov.</w:t>
      </w:r>
    </w:p>
    <w:p>
      <w:pPr>
        <w:pStyle w:val="P68B1DB1Normal84"/>
        <w:widowControl w:val="false"/>
        <w:spacing w:lineRule="auto" w:line="240"/>
        <w:ind w:left="283" w:right="0" w:hanging="0"/>
        <w:jc w:val="left"/>
        <w:rPr/>
      </w:pPr>
      <w:r>
        <w:rPr>
          <w:color w:val="BD1271"/>
        </w:rPr>
        <w:t xml:space="preserve">8. </w:t>
      </w:r>
      <w:r>
        <w:rPr>
          <w:color w:val="000000"/>
        </w:rPr>
        <w:t>Vytvoriť systém spoločných pravidiel prístupu migrantov s rôznymi procesmi medzi humanitárnou a ekonomickou migráciou a so spravodlivým rozdelením medzi jednotlivé štáty, ale so spoločnými pravidlami (cenzus a kontrola správania a zamestnanosti).</w:t>
      </w:r>
    </w:p>
    <w:p>
      <w:pPr>
        <w:pStyle w:val="P68B1DB1Normal19"/>
        <w:widowControl w:val="false"/>
        <w:spacing w:lineRule="auto" w:line="240"/>
        <w:ind w:left="0" w:right="0" w:hanging="0"/>
        <w:jc w:val="left"/>
        <w:rPr/>
      </w:pPr>
      <w:r>
        <w:rPr/>
        <w:t xml:space="preserve"> </w:t>
      </w:r>
    </w:p>
    <w:p>
      <w:pPr>
        <w:pStyle w:val="P68B1DB1Titre481"/>
        <w:numPr>
          <w:ilvl w:val="0"/>
          <w:numId w:val="2"/>
        </w:numPr>
        <w:rPr/>
      </w:pPr>
      <w:bookmarkStart w:id="232" w:name="__RefHeading___Toc300446_1346298689"/>
      <w:bookmarkEnd w:id="232"/>
      <w:r>
        <w:rPr/>
        <w:t xml:space="preserve">4. Politické a kultúrne referencie </w:t>
      </w:r>
    </w:p>
    <w:p>
      <w:pPr>
        <w:pStyle w:val="P68B1DB1Normal76"/>
        <w:widowControl w:val="false"/>
        <w:spacing w:lineRule="auto" w:line="240" w:before="106" w:after="0"/>
        <w:ind w:left="0" w:right="145" w:hanging="0"/>
        <w:jc w:val="both"/>
        <w:rPr/>
      </w:pPr>
      <w:r>
        <w:rPr/>
        <w:t xml:space="preserve">V uvedenom scenári sa očakáva, že Európa poskytne jasnú politickú a kultúrnu referenciu na celosvetovej úrovni z hľadiska práv a etiky, pričom bude príkladom prostredníctvom rozhodovania s cieľom zabezpečiť zdravé životné prostredie, rešpektovanie práv ľudí a dialóg medzi Východom a Západom. </w:t>
      </w:r>
    </w:p>
    <w:p>
      <w:pPr>
        <w:pStyle w:val="P68B1DB1Normal83"/>
        <w:widowControl w:val="false"/>
        <w:spacing w:lineRule="auto" w:line="240" w:before="73" w:after="0"/>
        <w:ind w:left="4819" w:right="0" w:hanging="0"/>
        <w:jc w:val="left"/>
        <w:rPr/>
      </w:pPr>
      <w:r>
        <w:rPr/>
        <w:t xml:space="preserve"> </w:t>
      </w:r>
    </w:p>
    <w:p>
      <w:pPr>
        <w:pStyle w:val="P68B1DB1Normal75"/>
        <w:widowControl w:val="false"/>
        <w:spacing w:lineRule="auto" w:line="240" w:before="72" w:after="0"/>
        <w:ind w:left="3000" w:right="0" w:hanging="0"/>
        <w:jc w:val="left"/>
        <w:rPr/>
      </w:pPr>
      <w:r>
        <w:rPr>
          <w:b/>
          <w:color w:val="2E74B5"/>
        </w:rPr>
        <w:t>ODPORÚČANIA V SKRATKE</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Viesť cestu ako zelený kontinent, dosiahnuť nulové emisie pred ostatnými a zvýšiť výrobu čistej energie (veterná a solárna energia).</w:t>
      </w:r>
    </w:p>
    <w:p>
      <w:pPr>
        <w:pStyle w:val="P68B1DB1Normal84"/>
        <w:widowControl w:val="false"/>
        <w:spacing w:lineRule="auto" w:line="240"/>
        <w:ind w:left="283" w:right="0" w:hanging="0"/>
        <w:jc w:val="left"/>
        <w:rPr/>
      </w:pPr>
      <w:r>
        <w:rPr>
          <w:color w:val="BD1271"/>
        </w:rPr>
        <w:t xml:space="preserve">2. </w:t>
      </w:r>
      <w:r>
        <w:rPr>
          <w:color w:val="000000"/>
        </w:rPr>
        <w:t>Export technológií na výrobu tovaru s nulovým vplyvom.</w:t>
      </w:r>
    </w:p>
    <w:p>
      <w:pPr>
        <w:pStyle w:val="P68B1DB1Normal84"/>
        <w:widowControl w:val="false"/>
        <w:spacing w:lineRule="auto" w:line="240"/>
        <w:ind w:left="283" w:right="0" w:hanging="0"/>
        <w:jc w:val="left"/>
        <w:rPr/>
      </w:pPr>
      <w:r>
        <w:rPr>
          <w:color w:val="BD1271"/>
        </w:rPr>
        <w:t xml:space="preserve">3. </w:t>
      </w:r>
      <w:r>
        <w:rPr>
          <w:color w:val="000000"/>
        </w:rPr>
        <w:t>Slúžiť ako sútok (verejné miesto, agora) medzi Východom a Západom, podporovať kultúrne výmeny a spoločné kultúrne iniciatívy (ako sú Svetové dni umenia, ktoré sa zasa organizujú v rôznych európskych hlavných mestách s umeleckým programom zahŕňajúcim západných a východných umelcov).</w:t>
      </w:r>
    </w:p>
    <w:p>
      <w:pPr>
        <w:pStyle w:val="P68B1DB1Normal84"/>
        <w:widowControl w:val="false"/>
        <w:spacing w:lineRule="auto" w:line="240"/>
        <w:ind w:left="283" w:right="560" w:hanging="0"/>
        <w:jc w:val="left"/>
        <w:rPr/>
      </w:pPr>
      <w:r>
        <w:rPr>
          <w:color w:val="BD1271"/>
        </w:rPr>
        <w:t xml:space="preserve">4. </w:t>
      </w:r>
      <w:r>
        <w:rPr>
          <w:color w:val="000000"/>
        </w:rPr>
        <w:t>Vytvoriť európsky etický model riadenia migračných procesov, ktorý možno zdieľať na medzinárodnej úrovni.</w:t>
      </w:r>
    </w:p>
    <w:p>
      <w:pPr>
        <w:pStyle w:val="P68B1DB1Normal32"/>
        <w:widowControl w:val="false"/>
        <w:spacing w:lineRule="auto" w:line="240"/>
        <w:ind w:left="283" w:right="0" w:hanging="0"/>
        <w:jc w:val="left"/>
        <w:rPr/>
      </w:pPr>
      <w:r>
        <w:rPr/>
        <w:t xml:space="preserve"> </w:t>
      </w:r>
    </w:p>
    <w:p>
      <w:pPr>
        <w:pStyle w:val="Titre2"/>
        <w:numPr>
          <w:ilvl w:val="1"/>
          <w:numId w:val="2"/>
        </w:numPr>
        <w:rPr/>
      </w:pPr>
      <w:bookmarkStart w:id="233" w:name="__RefHeading___Toc300322_1346298689"/>
      <w:bookmarkEnd w:id="233"/>
      <w:r>
        <w:rPr/>
        <w:t xml:space="preserve">6. Záverečné hodnotenie účastníkmi </w:t>
      </w:r>
    </w:p>
    <w:p>
      <w:pPr>
        <w:pStyle w:val="P68B1DB1Normal76"/>
        <w:widowControl w:val="false"/>
        <w:spacing w:lineRule="auto" w:line="240" w:before="106" w:after="0"/>
        <w:ind w:left="0" w:right="0" w:hanging="0"/>
        <w:jc w:val="both"/>
        <w:rPr/>
      </w:pPr>
      <w:r>
        <w:rPr/>
        <w:t xml:space="preserve">Na konci dvoch pracovných dní boli všetci účastníci požiadaní, aby vyplnili krátky dotazník s cieľom posúdiť svoje skúsenosti. Hodnotiaci dotazník bol zaslaný dva dni po skončení panelu s cieľom poskytnúť všetkým účastníkom čas na to, aby urobili krok späť od skúseností a boli schopní reagovať objektívnejšie. </w:t>
      </w:r>
    </w:p>
    <w:p>
      <w:pPr>
        <w:pStyle w:val="Normal"/>
        <w:widowControl w:val="false"/>
        <w:spacing w:lineRule="auto" w:line="240" w:before="78" w:after="0"/>
        <w:ind w:left="0" w:right="2" w:hanging="0"/>
        <w:jc w:val="left"/>
        <w:rPr>
          <w:color w:val="000000"/>
        </w:rPr>
      </w:pPr>
      <w:r>
        <w:rPr>
          <w:color w:val="000000"/>
        </w:rPr>
        <w:t xml:space="preserve">Získané výsledky odhaľujú mimoriadne vysokú úroveň spokojnosti, pokiaľ ide o záujem a jednoduchosť účasti, ako aj zmysel pre počúvanie a inklúziu.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8">
                <wp:simplePos x="0" y="0"/>
                <wp:positionH relativeFrom="column">
                  <wp:posOffset>635</wp:posOffset>
                </wp:positionH>
                <wp:positionV relativeFrom="paragraph">
                  <wp:posOffset>50165</wp:posOffset>
                </wp:positionV>
                <wp:extent cx="5996305" cy="3025775"/>
                <wp:effectExtent l="0" t="0" r="0" b="0"/>
                <wp:wrapTopAndBottom/>
                <wp:docPr id="107" name="Formulár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1"/>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Spokojnosť s účasťou v paneli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Celková spokojnosť so skúsenosťami</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Kvalita príspevkov účastníkov</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Súlad medzi predloženými odporúčaniami a diskusiou</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Jednoduché používanie platformy</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Rešpektovanie rôznorodosti názorov</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Schopnosť moderátorov dať účastníkom hlas a počúvať ich zásahy</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Záujem o riešené témy</w:t>
                              </w:r>
                            </w:p>
                          </w:txbxContent>
                        </wps:txbx>
                        <wps:bodyPr lIns="90000" rIns="90000" tIns="45000" bIns="45000">
                          <a:noAutofit/>
                        </wps:bodyPr>
                      </wps:wsp>
                    </wpg:wgp>
                  </a:graphicData>
                </a:graphic>
              </wp:anchor>
            </w:drawing>
          </mc:Choice>
          <mc:Fallback>
            <w:pict>
              <v:group id="shape_0" alt="Formulár8" style="position:absolute;margin-left:0.05pt;margin-top:3.95pt;width:472.1pt;height:238.2pt" coordorigin="1,79" coordsize="9442,4764">
                <v:shape id="shape_0" stroked="f" style="position:absolute;left:3991;top:846;width:5321;height:3996" type="shapetype_75">
                  <v:imagedata r:id="rId111" o:detectmouseclick="t"/>
                  <w10:wrap type="none"/>
                  <v:stroke color="#3465a4" joinstyle="round" endcap="flat"/>
                </v:shape>
                <v:rect id="shape_0" stroked="f" style="position:absolute;left:332;top:79;width:9110;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Spokojnosť s účasťou v paneli </w:t>
                        </w:r>
                      </w:p>
                    </w:txbxContent>
                  </v:textbox>
                  <w10:wrap type="square"/>
                  <v:fill o:detectmouseclick="t" on="false"/>
                  <v:stroke color="#3465a4" joinstyle="round" endcap="flat"/>
                </v:rect>
                <v:rect id="shape_0" stroked="f" style="position:absolute;left:96;top:1088;width:3901;height:590">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Celková spokojnosť so skúsenosťami</w:t>
                        </w:r>
                      </w:p>
                    </w:txbxContent>
                  </v:textbox>
                  <w10:wrap type="square"/>
                  <v:fill o:detectmouseclick="t" on="false"/>
                  <v:stroke color="#3465a4" joinstyle="round" endcap="flat"/>
                </v:rect>
                <v:rect id="shape_0" stroked="f" style="position:absolute;left:110;top:1944;width:3902;height:60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Kvalita príspevkov účastníkov</w:t>
                        </w:r>
                      </w:p>
                    </w:txbxContent>
                  </v:textbox>
                  <w10:wrap type="square"/>
                  <v:fill o:detectmouseclick="t" on="false"/>
                  <v:stroke color="#3465a4" joinstyle="round" endcap="flat"/>
                </v:rect>
                <v:rect id="shape_0" stroked="f" style="position:absolute;left:97;top:2393;width:3902;height:60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Súlad medzi predloženými odporúčaniami a diskusiou</w:t>
                        </w:r>
                      </w:p>
                    </w:txbxContent>
                  </v:textbox>
                  <w10:wrap type="square"/>
                  <v:fill o:detectmouseclick="t" on="false"/>
                  <v:stroke color="#3465a4" joinstyle="round" endcap="flat"/>
                </v:rect>
                <v:rect id="shape_0" stroked="f" style="position:absolute;left:98;top:3010;width:3902;height:37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Jednoduché používanie platformy</w:t>
                        </w:r>
                      </w:p>
                    </w:txbxContent>
                  </v:textbox>
                  <w10:wrap type="square"/>
                  <v:fill o:detectmouseclick="t" on="false"/>
                  <v:stroke color="#3465a4" joinstyle="round" endcap="flat"/>
                </v:rect>
                <v:rect id="shape_0" stroked="f" style="position:absolute;left:1;top:3431;width:3902;height:372">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Rešpektovanie rôznorodosti názorov</w:t>
                        </w:r>
                      </w:p>
                    </w:txbxContent>
                  </v:textbox>
                  <w10:wrap type="square"/>
                  <v:fill o:detectmouseclick="t" on="false"/>
                  <v:stroke color="#3465a4" joinstyle="round" endcap="flat"/>
                </v:rect>
                <v:rect id="shape_0" stroked="f" style="position:absolute;left:71;top:3769;width:3901;height:83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Schopnosť moderátorov dať účastníkom hlas a počúvať ich zásahy</w:t>
                        </w:r>
                      </w:p>
                    </w:txbxContent>
                  </v:textbox>
                  <w10:wrap type="square"/>
                  <v:fill o:detectmouseclick="t" on="false"/>
                  <v:stroke color="#3465a4" joinstyle="round" endcap="flat"/>
                </v:rect>
                <v:rect id="shape_0" stroked="f" style="position:absolute;left:44;top:4470;width:3901;height:37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Záujem o riešené témy</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Hoci mali spočiatku rôzne skúsenosti, zručnosti a motiváciu, účastníci sa cítili výrazne zapojení: 98 % respondentov v hodnotiacom dotazníku sa domnievalo, že sa aktívne zúčastnili a pozitívne prispeli do diskusie.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Vo všeobecnosti bola veľmi silno pociťovaná užitočnosť tejto skúsenosti, ktorá bola vnímaná predovšetkým ako príležitosť aktívne sa zúčastňovať a ktorá dala pocit väčšej blízkosti európskym inštitúciám. To viedlo takmer všetkých respondentov k požiadavke, aby sa tento typ iniciatívy v priebehu času opakoval. </w:t>
      </w:r>
    </w:p>
    <w:p>
      <w:pPr>
        <w:pStyle w:val="Normal"/>
        <w:widowControl w:val="false"/>
        <w:spacing w:lineRule="exact" w:line="202" w:before="4966" w:after="0"/>
        <w:ind w:left="0" w:right="0" w:hanging="0"/>
        <w:jc w:val="both"/>
        <w:rPr>
          <w:color w:val="000000"/>
        </w:rPr>
      </w:pPr>
      <w:r>
        <mc:AlternateContent>
          <mc:Choice Requires="wpg">
            <w:drawing>
              <wp:anchor behindDoc="0" distT="0" distB="0" distL="0" distR="0" simplePos="0" locked="0" layoutInCell="1" allowOverlap="1" relativeHeight="69">
                <wp:simplePos x="0" y="0"/>
                <wp:positionH relativeFrom="column">
                  <wp:posOffset>0</wp:posOffset>
                </wp:positionH>
                <wp:positionV relativeFrom="paragraph">
                  <wp:posOffset>71120</wp:posOffset>
                </wp:positionV>
                <wp:extent cx="6047740" cy="3154045"/>
                <wp:effectExtent l="0" t="0" r="0" b="0"/>
                <wp:wrapTopAndBottom/>
                <wp:docPr id="108" name="Formulár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2"/>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HODNOTENIE ZÁUJMU „TALIANSKEHO PANELU PRE KONFERENCIU O BUDÚCNOSTI EURÓPY“</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Mali by sa konať častejšie</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 užitočný na to, aby bol hlas občanov vypočutý v európskych inštitúciách</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Môže pozitívne prispieť k zlepšeniu budúcnosti Európy</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Priblíženie európskych inštitúcií občanom</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Bola to strata času</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Úplne súhlasím</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Radšej by som súhlasila.</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Žiadna dohoda a žiadna dohoda</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Nesúhlasím.</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Vôbec s tým nesúhlasím.</w:t>
                              </w:r>
                            </w:p>
                          </w:txbxContent>
                        </wps:txbx>
                        <wps:bodyPr lIns="90000" rIns="90000" tIns="45000" bIns="45000">
                          <a:noAutofit/>
                        </wps:bodyPr>
                      </wps:wsp>
                    </wpg:wgp>
                  </a:graphicData>
                </a:graphic>
              </wp:anchor>
            </w:drawing>
          </mc:Choice>
          <mc:Fallback>
            <w:pict>
              <v:group id="shape_0" alt="Formulár9" style="position:absolute;margin-left:0pt;margin-top:5.6pt;width:476.15pt;height:248.3pt" coordorigin="0,112" coordsize="9523,4966">
                <v:shape id="shape_0" stroked="f" style="position:absolute;left:430;top:675;width:9092;height:4095" type="shapetype_75">
                  <v:imagedata r:id="rId112" o:detectmouseclick="t"/>
                  <w10:wrap type="none"/>
                  <v:stroke color="#3465a4" joinstyle="round" endcap="flat"/>
                </v:shape>
                <v:rect id="shape_0" stroked="f" style="position:absolute;left:637;top:112;width:8841;height:126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HODNOTENIE ZÁUJMU „TALIANSKEHO PANELU PRE KONFERENCIU O BUDÚCNOSTI EURÓPY“</w:t>
                        </w:r>
                      </w:p>
                    </w:txbxContent>
                  </v:textbox>
                  <w10:wrap type="square"/>
                  <v:fill o:detectmouseclick="t" on="false"/>
                  <v:stroke color="#3465a4" joinstyle="round" endcap="flat"/>
                </v:rect>
                <v:rect id="shape_0" stroked="f" style="position:absolute;left:74;top:895;width:3476;height:432">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Mali by sa konať častejšie</w:t>
                        </w:r>
                      </w:p>
                    </w:txbxContent>
                  </v:textbox>
                  <w10:wrap type="square"/>
                  <v:fill o:detectmouseclick="t" on="false"/>
                  <v:stroke color="#3465a4" joinstyle="round" endcap="flat"/>
                </v:rect>
                <v:rect id="shape_0" stroked="f" style="position:absolute;left:74;top:1666;width:3476;height:762">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 užitočný na to, aby bol hlas občanov vypočutý v európskych inštitúciách</w:t>
                        </w:r>
                      </w:p>
                    </w:txbxContent>
                  </v:textbox>
                  <w10:wrap type="square"/>
                  <v:fill o:detectmouseclick="t" on="false"/>
                  <v:stroke color="#3465a4" joinstyle="round" endcap="flat"/>
                </v:rect>
                <v:rect id="shape_0" stroked="f" style="position:absolute;left:74;top:2463;width:3476;height:555">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Môže pozitívne prispieť k zlepšeniu budúcnosti Európy</w:t>
                        </w:r>
                      </w:p>
                    </w:txbxContent>
                  </v:textbox>
                  <w10:wrap type="square"/>
                  <v:fill o:detectmouseclick="t" on="false"/>
                  <v:stroke color="#3465a4" joinstyle="round" endcap="flat"/>
                </v:rect>
                <v:rect id="shape_0" stroked="f" style="position:absolute;left:0;top:3219;width:3477;height:555">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Priblíženie európskych inštitúcií občanom</w:t>
                        </w:r>
                      </w:p>
                    </w:txbxContent>
                  </v:textbox>
                  <w10:wrap type="square"/>
                  <v:fill o:detectmouseclick="t" on="false"/>
                  <v:stroke color="#3465a4" joinstyle="round" endcap="flat"/>
                </v:rect>
                <v:rect id="shape_0" stroked="f" style="position:absolute;left:0;top:3906;width:3477;height:1159">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Bola to strata času</w:t>
                        </w:r>
                      </w:p>
                    </w:txbxContent>
                  </v:textbox>
                  <w10:wrap type="square"/>
                  <v:fill o:detectmouseclick="t" on="false"/>
                  <v:stroke color="#3465a4" joinstyle="round" endcap="flat"/>
                </v:rect>
                <v:rect id="shape_0" stroked="f" style="position:absolute;left:831;top:4424;width:1353;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Úplne súhlasím</w:t>
                        </w:r>
                      </w:p>
                    </w:txbxContent>
                  </v:textbox>
                  <w10:wrap type="square"/>
                  <v:fill o:detectmouseclick="t" on="false"/>
                  <v:stroke color="#3465a4" joinstyle="round" endcap="flat"/>
                </v:rect>
                <v:rect id="shape_0" stroked="f" style="position:absolute;left:2438;top:4382;width:1225;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Radšej by som súhlasila.</w:t>
                        </w:r>
                      </w:p>
                    </w:txbxContent>
                  </v:textbox>
                  <w10:wrap type="square"/>
                  <v:fill o:detectmouseclick="t" on="false"/>
                  <v:stroke color="#3465a4" joinstyle="round" endcap="flat"/>
                </v:rect>
                <v:rect id="shape_0" stroked="f" style="position:absolute;left:3944;top:4452;width:2028;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Žiadna dohoda a žiadna dohoda</w:t>
                        </w:r>
                      </w:p>
                    </w:txbxContent>
                  </v:textbox>
                  <w10:wrap type="square"/>
                  <v:fill o:detectmouseclick="t" on="false"/>
                  <v:stroke color="#3465a4" joinstyle="round" endcap="flat"/>
                </v:rect>
                <v:rect id="shape_0" stroked="f" style="position:absolute;left:6197;top:4411;width:1353;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Nesúhlasím.</w:t>
                        </w:r>
                      </w:p>
                    </w:txbxContent>
                  </v:textbox>
                  <w10:wrap type="square"/>
                  <v:fill o:detectmouseclick="t" on="false"/>
                  <v:stroke color="#3465a4" joinstyle="round" endcap="flat"/>
                </v:rect>
                <v:rect id="shape_0" stroked="f" style="position:absolute;left:7944;top:4522;width:1353;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Vôbec s tým nesúhlasím.</w:t>
                        </w:r>
                      </w:p>
                    </w:txbxContent>
                  </v:textbox>
                  <w10:wrap type="square"/>
                  <v:fill o:detectmouseclick="t" on="false"/>
                  <v:stroke color="#3465a4" joinstyle="round" endcap="flat"/>
                </v:rect>
              </v:group>
            </w:pict>
          </mc:Fallback>
        </mc:AlternateContent>
      </w:r>
      <w:r>
        <w:rPr>
          <w:color w:val="000000"/>
        </w:rPr>
        <w:t>Všetci účastníci uviedli, že ak by sa takáto iniciatíva opäť zorganizovala, boli by nielen ochotní zúčastniť sa, ale odporučili by aj svojim priateľom, aby sa na nich zúčastnili.</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Národné panely: Litva</w:t>
      </w:r>
    </w:p>
    <w:p>
      <w:pPr>
        <w:pStyle w:val="P68B1DB1Normal95"/>
        <w:widowControl w:val="false"/>
        <w:spacing w:lineRule="exact" w:line="393"/>
        <w:ind w:left="0" w:right="0" w:hanging="0"/>
        <w:jc w:val="left"/>
        <w:rPr/>
      </w:pPr>
      <w:r>
        <w:rPr/>
        <w:t xml:space="preserve">Litovský panel občanov o budúcnosti Európy </w:t>
      </w:r>
    </w:p>
    <w:p>
      <w:pPr>
        <w:pStyle w:val="P68B1DB1Normal95"/>
        <w:widowControl w:val="false"/>
        <w:spacing w:lineRule="exact" w:line="460"/>
        <w:ind w:left="4320" w:right="0" w:hanging="0"/>
        <w:jc w:val="left"/>
        <w:rPr/>
      </w:pPr>
      <w:r>
        <w:rPr/>
        <w:t xml:space="preserve">Správa </w:t>
      </w:r>
    </w:p>
    <w:p>
      <w:pPr>
        <w:pStyle w:val="P68B1DB1Normal76"/>
        <w:widowControl w:val="false"/>
        <w:spacing w:lineRule="exact" w:line="227" w:before="87" w:after="0"/>
        <w:ind w:left="0" w:right="2" w:hanging="0"/>
        <w:jc w:val="both"/>
        <w:rPr/>
      </w:pPr>
      <w:r>
        <w:rPr/>
        <w:t xml:space="preserve">Táto správa pozostáva zo štyroch častí. Prvý stručne predstavuje priebeh podujatia. V druhom sú načrtnuté odporúčania účastníkov panelu občanov pre politiku EÚ a litovskú politiku. Tretí poskytuje stručnú analýzu diskusií v skupinách a hlavných výsledkov fóra. Štvrtý porovnáva výsledky panelu občanov s výsledkami prieskumov litovských občanov o stave a budúcnosti Európy.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Vedenie Národného panelu občanov</w:t>
      </w:r>
    </w:p>
    <w:p>
      <w:pPr>
        <w:pStyle w:val="Normal"/>
        <w:widowControl w:val="false"/>
        <w:spacing w:lineRule="exact" w:line="253" w:before="95" w:after="0"/>
        <w:ind w:left="0" w:right="0" w:hanging="0"/>
        <w:jc w:val="both"/>
        <w:rPr/>
      </w:pPr>
      <w:r>
        <w:rPr>
          <w:color w:val="000000"/>
        </w:rPr>
        <w:t>V súlade s usmerneniami pre organizáciu národných panelov občanov v rámci Konferencie o budúcnosti Európy vypracoval v decembri 2021 inštitút pre prieskum Kantar TNS LT na žiadosť ministerstva zahraničných vecí (MAE) stratifikovanú metodiku náhodného výberu reprezentatívnej vzorky litovského obyvateľstva, na základe ktorej Kantar TNS vybral 25 litovských občanov vo veku 18 až 65 rokov zastupujúcich rôzne sociálno-ekonomické skupiny a všetky geografické regióny Litvy</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Vybraní občania boli 4. januára pozvaní na virtuálnu úvodnú schôdzu, počas ktorej sa predstavila myšlienka národného panelu občanov a uskutočnila sa výmena názorov na témy, ktoré sú pre budúcnosť Európy najrelevantnejšie. Na konci podujatia dostali účastníci podkladový dokument s podrobným opisom diskutovaných tém a zdrojov informácií. </w:t>
      </w:r>
    </w:p>
    <w:p>
      <w:pPr>
        <w:pStyle w:val="P68B1DB1Normal76"/>
        <w:widowControl w:val="false"/>
        <w:spacing w:lineRule="exact" w:line="253"/>
        <w:ind w:left="0" w:right="2" w:hanging="0"/>
        <w:jc w:val="both"/>
        <w:rPr/>
      </w:pPr>
      <w:r>
        <w:rPr/>
        <w:t xml:space="preserve">Dňa 15. januára sa v rámci európskeho zatykača, ktorý zorganizovalo Študijné centrum pre východnú Európu (RESC) a volebný inštitút Kantar TNS LT, na ktorom sa priamo zúčastnilo 25 vybraných občanov, uskutočnila panel národných občanov o budúcnosti Európy. </w:t>
      </w:r>
    </w:p>
    <w:p>
      <w:pPr>
        <w:pStyle w:val="P68B1DB1Normal76"/>
        <w:widowControl w:val="false"/>
        <w:spacing w:lineRule="exact" w:line="362"/>
        <w:ind w:left="0" w:right="0" w:hanging="0"/>
        <w:jc w:val="left"/>
        <w:rPr/>
      </w:pPr>
      <w:r>
        <w:rPr/>
        <w:t xml:space="preserve"> </w:t>
      </w:r>
    </w:p>
    <w:p>
      <w:pPr>
        <w:pStyle w:val="P68B1DB1Normal76"/>
        <w:widowControl w:val="false"/>
        <w:spacing w:lineRule="exact" w:line="253"/>
        <w:ind w:left="0" w:right="0" w:hanging="0"/>
        <w:jc w:val="both"/>
        <w:rPr/>
      </w:pPr>
      <w:r>
        <w:rPr/>
        <w:t xml:space="preserve">Účastníci diskutovali o dvoch otázkach týkajúcich sa politík EÚ: </w:t>
      </w:r>
      <w:r>
        <w:rPr>
          <w:b/>
        </w:rPr>
        <w:t>úloha a právomoci, ktoré by EÚ mohla mať v zahraničnej politike</w:t>
      </w:r>
      <w:r>
        <w:rPr/>
        <w:t xml:space="preserve">, ako aj </w:t>
      </w:r>
      <w:r>
        <w:rPr>
          <w:b/>
        </w:rPr>
        <w:t>hospodárska úloha EÚ</w:t>
      </w:r>
      <w:r>
        <w:rPr/>
        <w:t>.</w:t>
      </w:r>
      <w:r>
        <w:rPr>
          <w:b/>
        </w:rPr>
        <w:t xml:space="preserve"> </w:t>
      </w:r>
      <w:r>
        <w:rPr/>
        <w:t xml:space="preserve">Na tomto podujatí bola každá z týchto otázok predmetom samostatného zasadnutia na začiatku ktorého experti na politiku EÚ Linas Kojala (RESC) a Ramūnas Vilpišauskas (profesor na univerzite vo Vilniuse) stručne predstavili občanom aktuálnosť a otázky témy zasadnutia. Počas diskusie sa občania mohli pýtať a podeliť sa o svoje názory. Po odborných prezentáciách boli účastníci rozdelení do troch menších reprezentatívnych skupín, z ktorých každá sa zamyslela nad inou otázkou týkajúcou sa témy zasadnutia. O otázkach zahraničnej politiky sa diskutovalo takto: </w:t>
      </w:r>
    </w:p>
    <w:p>
      <w:pPr>
        <w:pStyle w:val="P68B1DB1Normal76"/>
        <w:widowControl w:val="false"/>
        <w:spacing w:lineRule="exact" w:line="253"/>
        <w:ind w:left="720" w:right="1" w:hanging="0"/>
        <w:jc w:val="left"/>
        <w:rPr/>
      </w:pPr>
      <w:r>
        <w:rPr>
          <w:b/>
        </w:rPr>
        <w:t>1.1.</w:t>
      </w:r>
      <w:r>
        <w:rPr/>
        <w:t xml:space="preserve"> Je potrebná autonómna obranná a zahraničná politika EÚ?</w:t>
      </w:r>
    </w:p>
    <w:p>
      <w:pPr>
        <w:pStyle w:val="P68B1DB1Normal76"/>
        <w:widowControl w:val="false"/>
        <w:spacing w:lineRule="exact" w:line="253"/>
        <w:ind w:left="720" w:right="1" w:hanging="0"/>
        <w:jc w:val="left"/>
        <w:rPr/>
      </w:pPr>
      <w:r>
        <w:rPr>
          <w:b/>
        </w:rPr>
        <w:t>1.2.</w:t>
      </w:r>
      <w:r>
        <w:rPr/>
        <w:t xml:space="preserve"> Aké by mali byť vzťahy EÚ s východoeurópskymi susedmi, Severnou Afrikou a Tureckom? </w:t>
      </w:r>
    </w:p>
    <w:p>
      <w:pPr>
        <w:pStyle w:val="P68B1DB1Normal76"/>
        <w:widowControl w:val="false"/>
        <w:spacing w:lineRule="exact" w:line="379"/>
        <w:ind w:left="720" w:right="0" w:hanging="0"/>
        <w:jc w:val="left"/>
        <w:rPr/>
      </w:pPr>
      <w:r>
        <w:rPr>
          <w:b/>
        </w:rPr>
        <w:t>1.3.</w:t>
      </w:r>
      <w:r>
        <w:rPr/>
        <w:t xml:space="preserve"> Aká by mala byť migračná politika EÚ? </w:t>
      </w:r>
    </w:p>
    <w:p>
      <w:pPr>
        <w:pStyle w:val="P68B1DB1Normal76"/>
        <w:widowControl w:val="false"/>
        <w:spacing w:lineRule="exact" w:line="254"/>
        <w:ind w:left="0" w:right="0" w:hanging="0"/>
        <w:jc w:val="left"/>
        <w:rPr/>
      </w:pPr>
      <w:r>
        <w:rPr/>
        <w:t xml:space="preserve">Zasadnutie o hospodárskej úlohe EÚ viedlo k úvahám o týchto otázkach: </w:t>
      </w:r>
    </w:p>
    <w:p>
      <w:pPr>
        <w:pStyle w:val="P68B1DB1Normal76"/>
        <w:widowControl w:val="false"/>
        <w:spacing w:lineRule="exact" w:line="254"/>
        <w:ind w:left="720" w:right="0" w:hanging="0"/>
        <w:jc w:val="left"/>
        <w:rPr/>
      </w:pPr>
      <w:r>
        <w:rPr>
          <w:b/>
        </w:rPr>
        <w:t xml:space="preserve">2.1. </w:t>
      </w:r>
      <w:r>
        <w:rPr/>
        <w:t xml:space="preserve">Je potrebné väčšie prerozdelenie finančných prostriedkov z rozpočtu EÚ, zo spoločného dlhu EÚ? </w:t>
      </w:r>
    </w:p>
    <w:p>
      <w:pPr>
        <w:pStyle w:val="P68B1DB1Normal76"/>
        <w:widowControl w:val="false"/>
        <w:spacing w:lineRule="exact" w:line="379"/>
        <w:ind w:left="720" w:right="0" w:hanging="0"/>
        <w:jc w:val="left"/>
        <w:rPr/>
      </w:pPr>
      <w:r>
        <w:rPr>
          <w:b/>
        </w:rPr>
        <w:t xml:space="preserve">2.2. </w:t>
      </w:r>
      <w:r>
        <w:rPr/>
        <w:t>Mali by sa sociálne normy regulovať na úrovni EÚ?</w:t>
      </w:r>
      <w:r>
        <w:rPr>
          <w:b/>
        </w:rPr>
        <w:t xml:space="preserve"> </w:t>
      </w:r>
    </w:p>
    <w:p>
      <w:pPr>
        <w:pStyle w:val="P68B1DB1Normal76"/>
        <w:widowControl w:val="false"/>
        <w:spacing w:lineRule="exact" w:line="379"/>
        <w:ind w:left="720" w:right="0" w:hanging="0"/>
        <w:jc w:val="left"/>
        <w:rPr/>
      </w:pPr>
      <w:r>
        <w:rPr>
          <w:b/>
        </w:rPr>
        <w:t>2.3.</w:t>
      </w:r>
      <w:r>
        <w:rPr/>
        <w:t xml:space="preserve"> Ako posilniť hospodárstvo EÚ? </w:t>
      </w:r>
    </w:p>
    <w:p>
      <w:pPr>
        <w:pStyle w:val="P68B1DB1Normal76"/>
        <w:widowControl w:val="false"/>
        <w:spacing w:lineRule="auto" w:line="240"/>
        <w:ind w:left="0" w:right="0" w:hanging="0"/>
        <w:jc w:val="both"/>
        <w:rPr/>
      </w:pPr>
      <w:r>
        <w:rPr/>
        <w:t xml:space="preserve">Na konci zasadnutia musela každá skupina formulovať hlavné závery diskusie, predložiť zásadné vyhlásenia alebo konkrétne návrhy týkajúce sa politických otázok EÚ. Počas diskusie s celým panelom zástupca každej skupiny prezentoval tieto zistenia ostatným účastníkom. Tí, ktorí boli v iných skupinách, boli schopní klásť otázky a doplniť návrhy svojimi nápadmi. Po prezentáciách a rozpravách občania hlasovali medzi týmito závermi dva, pričom hlasovali za najdôležitejší návrh alebo vyhlásenie o úlohe Litvy pri posilňovaní EÚ a úspechu EÚ dokonca v celej Európe; a druhé hlasovanie za vyhlásenie alebo návrh, ktoré sa zdajú byť najdôležitejšie vo svojej osobnej spôsobilosti, v ich záujme ako obyvateľ EÚ. Po tomto hlasovaní sa v paneli uskutočnila rozprava a diskutovalo sa o hlavných myšlienkach, ktoré vyplynuli z diskusií. </w:t>
      </w:r>
    </w:p>
    <w:p>
      <w:pPr>
        <w:pStyle w:val="P68B1DB1Normal76"/>
        <w:widowControl w:val="false"/>
        <w:spacing w:lineRule="auto" w:line="240"/>
        <w:ind w:left="0" w:right="0" w:hanging="0"/>
        <w:jc w:val="both"/>
        <w:rPr/>
      </w:pPr>
      <w:r>
        <w:rPr/>
        <w:t xml:space="preserve">V týždni po podujatí odborníci preskúmali obsah diskusií a odhalili podstatu myšlienok navrhnutých občanmi. 25. januára sa uskutočnilo virtuálne rekapitulačné zasadnutie a s občanmi sa podelili o odporúčania z obsahu ich diskusií. Občania dostali možnosť vyjadriť sa, či schválili odporúčania, doplniť ich o podstatu a vyhodnotiť ich. Všetci účastníci mali túto príležitosť opäť týždeň po rekapitulácii, pričom organizátorom panelu zaslali svoje názory a pripomienky v písomnej forme. </w:t>
      </w:r>
    </w:p>
    <w:p>
      <w:pPr>
        <w:pStyle w:val="P68B1DB1Normal97"/>
        <w:widowControl w:val="false"/>
        <w:spacing w:lineRule="auto" w:line="240"/>
        <w:ind w:left="0" w:right="0" w:hanging="0"/>
        <w:jc w:val="left"/>
        <w:rPr/>
      </w:pPr>
      <w:r>
        <w:rPr/>
        <w:t xml:space="preserve"> </w:t>
      </w:r>
    </w:p>
    <w:p>
      <w:pPr>
        <w:pStyle w:val="P68B1DB1Normal98"/>
        <w:widowControl w:val="false"/>
        <w:spacing w:lineRule="auto" w:line="240" w:before="82" w:after="0"/>
        <w:ind w:left="0" w:right="0" w:hanging="0"/>
        <w:jc w:val="left"/>
        <w:rPr/>
      </w:pPr>
      <w:r>
        <w:rPr/>
        <w:t xml:space="preserve">2. </w:t>
      </w:r>
      <w:r>
        <w:rPr>
          <w:i/>
        </w:rPr>
        <w:t>Výsledky Národného panelu občanov</w:t>
      </w:r>
      <w:r>
        <w:rPr/>
        <w:t xml:space="preserve"> </w:t>
      </w:r>
    </w:p>
    <w:p>
      <w:pPr>
        <w:pStyle w:val="P68B1DB1Normal76"/>
        <w:widowControl w:val="false"/>
        <w:spacing w:lineRule="auto" w:line="240" w:before="70" w:after="0"/>
        <w:ind w:left="0" w:right="1" w:hanging="0"/>
        <w:jc w:val="both"/>
        <w:rPr/>
      </w:pPr>
      <w:r>
        <w:rPr/>
        <w:t xml:space="preserve">V tejto časti správy sú uvedené výsledky panelu občanov s odporúčaniami účastníkov pracovných skupín a ich postojmi k úlohe EÚ v zahraničnej politike a hospodárstve.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left"/>
        <w:rPr/>
      </w:pPr>
      <w:r>
        <w:rPr>
          <w:b/>
        </w:rPr>
        <w:t>Prvé zasadnutie:</w:t>
      </w:r>
      <w:r>
        <w:rPr/>
        <w:t xml:space="preserve"> </w:t>
      </w:r>
      <w:r>
        <w:rPr>
          <w:b/>
        </w:rPr>
        <w:t>úloha a právomoci EÚ v zahraničnej politike</w:t>
      </w:r>
    </w:p>
    <w:p>
      <w:pPr>
        <w:pStyle w:val="P68B1DB1Normal99"/>
        <w:widowControl w:val="false"/>
        <w:spacing w:lineRule="auto" w:line="240" w:before="39" w:after="0"/>
        <w:ind w:left="468" w:right="0" w:hanging="0"/>
        <w:jc w:val="left"/>
        <w:rPr/>
      </w:pPr>
      <w:r>
        <w:rPr/>
        <w:t xml:space="preserve">1. Vyzývame EÚ, aby vypracovala účinnejšiu politiku voči Číne. Litve treba rozhodnejšie podporovať, ale mala by tiež lepšie zosúladiť svoju pozíciu s pozíciou partnerov EÚ. S cieľom zabezpečiť, aby boli záujmy v rámci EÚ lepšie vyvážené a aby existovala len jedna politika voči Číne, ako aj v iných otázkach zahraničnej politiky, odporúčame zvážiť možnosť zriadenia ministra zahraničných vecí EÚ. </w:t>
      </w:r>
    </w:p>
    <w:p>
      <w:pPr>
        <w:pStyle w:val="P68B1DB1Normal99"/>
        <w:widowControl w:val="false"/>
        <w:spacing w:lineRule="auto" w:line="240" w:before="78" w:after="0"/>
        <w:ind w:left="468" w:right="341" w:hanging="0"/>
        <w:jc w:val="left"/>
        <w:rPr/>
      </w:pPr>
      <w:r>
        <w:rPr/>
        <w:t xml:space="preserve">2. Odporúčame zaradiť do programu otázku kvót migrantov na úrovni EÚ. </w:t>
      </w:r>
    </w:p>
    <w:p>
      <w:pPr>
        <w:pStyle w:val="P68B1DB1Normal99"/>
        <w:widowControl w:val="false"/>
        <w:spacing w:lineRule="auto" w:line="240" w:before="78" w:after="0"/>
        <w:ind w:left="468" w:right="0" w:hanging="0"/>
        <w:jc w:val="left"/>
        <w:rPr/>
      </w:pPr>
      <w:r>
        <w:rPr/>
        <w:t>3. Odporúčame zriadiť osobitný výbor na úrovni EÚ na riešenie otázok migrácie, ktorý by zabezpečil rýchlejšiu reakciu na migračné krízy a právo členských štátov vysvetľovať a obhajovať svoje národné záujmy a vypracovať a vykonávať spoločné usmernenia pre riadenie migrácie.</w:t>
      </w:r>
    </w:p>
    <w:p>
      <w:pPr>
        <w:pStyle w:val="P68B1DB1Normal99"/>
        <w:widowControl w:val="false"/>
        <w:spacing w:lineRule="auto" w:line="240" w:before="78" w:after="0"/>
        <w:ind w:left="468" w:right="0" w:hanging="0"/>
        <w:jc w:val="left"/>
        <w:rPr/>
      </w:pPr>
      <w:r>
        <w:rPr/>
        <w:t xml:space="preserve">4. Odporúčame posilniť hospodárske a humanitárne vzťahy s krajinami severnej Afriky bez toho, aby sme stratili zo zreteľa politickú realitu, najmä s cieľom znížiť vplyv Číny, Ruska a ďalších štátov v regióne. </w:t>
      </w:r>
    </w:p>
    <w:p>
      <w:pPr>
        <w:pStyle w:val="P68B1DB1Normal99"/>
        <w:widowControl w:val="false"/>
        <w:spacing w:lineRule="auto" w:line="240" w:before="78" w:after="0"/>
        <w:ind w:left="468" w:right="466" w:hanging="0"/>
        <w:jc w:val="left"/>
        <w:rPr/>
      </w:pPr>
      <w:r>
        <w:rPr/>
        <w:t xml:space="preserve">5. Odporúčame posilniť vzťahy s východnou Európou a podporiť ekonomické opatrenia na osobnej úrovni. </w:t>
      </w:r>
    </w:p>
    <w:p>
      <w:pPr>
        <w:pStyle w:val="P68B1DB1Normal99"/>
        <w:widowControl w:val="false"/>
        <w:spacing w:lineRule="auto" w:line="240" w:before="78" w:after="0"/>
        <w:ind w:left="468" w:right="286" w:hanging="0"/>
        <w:jc w:val="left"/>
        <w:rPr/>
      </w:pPr>
      <w:r>
        <w:rPr/>
        <w:t xml:space="preserve">6. Trváme na tom, aby sankcie, ktoré EÚ uložila zahraničným aktérom, boli prísnejšie, cielenejšie a týkali sa dôležitých osôb sankcionovaného štátu (napr. politických lídrov). </w:t>
      </w:r>
    </w:p>
    <w:p>
      <w:pPr>
        <w:pStyle w:val="P68B1DB1Normal99"/>
        <w:widowControl w:val="false"/>
        <w:spacing w:lineRule="auto" w:line="240" w:before="78" w:after="0"/>
        <w:ind w:left="466" w:right="295" w:hanging="0"/>
        <w:jc w:val="left"/>
        <w:rPr/>
      </w:pPr>
      <w:r>
        <w:rPr/>
        <w:t>7. Trváme na tom, že spoločná zahraničná a bezpečnostná politika EÚ je založená na základnej zásade solidarity medzi rôznymi členskými štátmi EÚ a rôznymi európskymi regiónmi a spoločnosťami.</w:t>
      </w:r>
    </w:p>
    <w:p>
      <w:pPr>
        <w:pStyle w:val="P68B1DB1Normal99"/>
        <w:widowControl w:val="false"/>
        <w:spacing w:lineRule="auto" w:line="240" w:before="78" w:after="0"/>
        <w:ind w:left="466" w:right="295" w:hanging="0"/>
        <w:jc w:val="left"/>
        <w:rPr/>
      </w:pPr>
      <w:r>
        <w:rPr/>
        <w:t xml:space="preserve">8. Odporúčame, aby EÚ prehodnotila doterajšiu politiku otvorenosti v oblasti migrácie, ktorá spôsobuje bezpečnostné problémy, nárast kriminality a vytvorenie komunitarizmu v spoločnosti. </w:t>
      </w:r>
    </w:p>
    <w:p>
      <w:pPr>
        <w:pStyle w:val="P68B1DB1Normal99"/>
        <w:widowControl w:val="false"/>
        <w:spacing w:lineRule="auto" w:line="240" w:before="78" w:after="0"/>
        <w:ind w:left="468" w:right="0" w:hanging="0"/>
        <w:jc w:val="left"/>
        <w:rPr/>
      </w:pPr>
      <w:r>
        <w:rPr/>
        <w:t xml:space="preserve">9. Vyzývame Litvu, aby aktívnejšie hovorila o otázkach migračnej politiky a aby začala diskusie o otázkach súvisiacich s migráciou. </w:t>
      </w:r>
    </w:p>
    <w:p>
      <w:pPr>
        <w:pStyle w:val="P68B1DB1Normal99"/>
        <w:widowControl w:val="false"/>
        <w:spacing w:lineRule="auto" w:line="240" w:before="78" w:after="0"/>
        <w:ind w:left="468" w:right="0" w:hanging="0"/>
        <w:jc w:val="left"/>
        <w:rPr/>
      </w:pPr>
      <w:r>
        <w:rPr/>
        <w:t xml:space="preserve">10. Odporúčame, aby EÚ uplatňovala aktívnu a prísnu politiku voči štátom, ktoré používajú migračné toky ako zbraň pri hybridných útokoch: na jednej strane uplatnením prísnejších sankcií a na druhej strane dialógom s nimi s cieľom zmierniť eskaláciu. </w:t>
      </w:r>
    </w:p>
    <w:p>
      <w:pPr>
        <w:pStyle w:val="P68B1DB1Normal100"/>
        <w:widowControl w:val="false"/>
        <w:spacing w:lineRule="auto" w:line="240" w:before="111" w:after="0"/>
        <w:ind w:left="0" w:right="0" w:hanging="0"/>
        <w:jc w:val="left"/>
        <w:rPr/>
      </w:pPr>
      <w:r>
        <w:rPr/>
        <w:t xml:space="preserve"> </w:t>
      </w:r>
    </w:p>
    <w:p>
      <w:pPr>
        <w:pStyle w:val="P68B1DB1Normal100"/>
        <w:widowControl w:val="false"/>
        <w:spacing w:lineRule="auto" w:line="240"/>
        <w:ind w:left="0" w:right="0" w:hanging="0"/>
        <w:jc w:val="left"/>
        <w:rPr/>
      </w:pPr>
      <w:r>
        <w:rPr/>
        <w:t xml:space="preserve">Druhé zasadnutie: hospodárska úloha EÚ </w:t>
      </w:r>
    </w:p>
    <w:p>
      <w:pPr>
        <w:pStyle w:val="P68B1DB1Normal99"/>
        <w:widowControl w:val="false"/>
        <w:spacing w:lineRule="auto" w:line="240"/>
        <w:ind w:left="828" w:right="142" w:hanging="359"/>
        <w:jc w:val="both"/>
        <w:rPr/>
      </w:pPr>
      <w:r>
        <w:rPr/>
        <w:t xml:space="preserve">1. Odporúčame, aby EÚ posilnila bezpečnosť dodávok základného tovaru rôznymi spôsobmi: uprednostňovanie vnútorného obchodu EÚ, podpora výroby pokročilých technológií a ďalšia diverzifikácia zdrojov dovozu. Odporúčame tiež preskúmať nové exportné trhy. </w:t>
      </w:r>
    </w:p>
    <w:p>
      <w:pPr>
        <w:pStyle w:val="P68B1DB1Normal99"/>
        <w:widowControl w:val="false"/>
        <w:spacing w:lineRule="auto" w:line="240" w:before="83" w:after="0"/>
        <w:ind w:left="828" w:right="143" w:hanging="359"/>
        <w:jc w:val="both"/>
        <w:rPr/>
      </w:pPr>
      <w:r>
        <w:rPr/>
        <w:t xml:space="preserve">2. Odporúčame preskúmať postupy rokovaní o zmluvách o zemnom plyne s ohľadom na krátkodobé aj dlhodobé zmluvy. Odporúčame ďalšiu diverzifikáciu zdrojov dodávok energie. </w:t>
      </w:r>
    </w:p>
    <w:p>
      <w:pPr>
        <w:pStyle w:val="P68B1DB1Normal99"/>
        <w:widowControl w:val="false"/>
        <w:spacing w:lineRule="auto" w:line="240" w:before="83" w:after="0"/>
        <w:ind w:left="828" w:right="143" w:hanging="359"/>
        <w:jc w:val="both"/>
        <w:rPr/>
      </w:pPr>
      <w:r>
        <w:rPr/>
        <w:t xml:space="preserve">3. Odporúčame, aby sa opatrenia zelenej dohody a ich vykonávanie posudzovali s prihliadnutím na potenciálne negatívne sociálno-ekonomické vplyvy. V záujme plnenia cieľov zelenej dohody odporúčame, aby sa popri využívaní obnoviteľných zdrojov energie využívala aj jadrová energia a zemný plyn. </w:t>
      </w:r>
    </w:p>
    <w:p>
      <w:pPr>
        <w:pStyle w:val="P68B1DB1Normal99"/>
        <w:widowControl w:val="false"/>
        <w:spacing w:lineRule="auto" w:line="240" w:before="83" w:after="0"/>
        <w:ind w:left="828" w:right="143" w:hanging="359"/>
        <w:jc w:val="both"/>
        <w:rPr/>
      </w:pPr>
      <w:r>
        <w:rPr/>
        <w:t xml:space="preserve">4. Zdôrazňujeme, že je obzvlášť dôležité, aby všetky členské štáty dodržiavali zásadu prednosti práva EÚ. S inštanciou žiadame, aby Litva zaujala k tejto otázke jasné principiálne stanovisko. </w:t>
      </w:r>
    </w:p>
    <w:p>
      <w:pPr>
        <w:pStyle w:val="P68B1DB1Normal99"/>
        <w:widowControl w:val="false"/>
        <w:spacing w:lineRule="auto" w:line="240" w:before="83" w:after="0"/>
        <w:ind w:left="828" w:right="142" w:hanging="359"/>
        <w:jc w:val="both"/>
        <w:rPr/>
      </w:pPr>
      <w:r>
        <w:rPr/>
        <w:t>5. Odporúčame Litve aktívnejšie využívať osvedčené postupy z krajín EÚ s cieľom zvýšiť sociálne normy, hospodársku expanziu a vyvážený a udržateľný rozvoj.</w:t>
      </w:r>
    </w:p>
    <w:p>
      <w:pPr>
        <w:pStyle w:val="P68B1DB1Normal99"/>
        <w:widowControl w:val="false"/>
        <w:spacing w:lineRule="auto" w:line="240" w:before="83" w:after="0"/>
        <w:ind w:left="828" w:right="142" w:hanging="359"/>
        <w:jc w:val="both"/>
        <w:rPr/>
      </w:pPr>
      <w:r>
        <w:rPr/>
        <w:t xml:space="preserve">6. Odporúčame venovať väčšiu pozornosť posilneniu kybernetickej bezpečnosti, ako aj ochrane údajov a infraštruktúry. </w:t>
      </w:r>
    </w:p>
    <w:p>
      <w:pPr>
        <w:pStyle w:val="P68B1DB1Normal99"/>
        <w:widowControl w:val="false"/>
        <w:spacing w:lineRule="auto" w:line="240" w:before="83" w:after="0"/>
        <w:ind w:left="821" w:right="143" w:hanging="354"/>
        <w:jc w:val="both"/>
        <w:rPr/>
      </w:pPr>
      <w:r>
        <w:rPr/>
        <w:t xml:space="preserve">7. Odporúčame, aby EÚ a členské štáty uprednostňovali rozvoj základných ekonomických poznatkov medzi občanmi, vzdelávanie a šírenie informácií. </w:t>
      </w:r>
    </w:p>
    <w:p>
      <w:pPr>
        <w:pStyle w:val="P68B1DB1Normal99"/>
        <w:widowControl w:val="false"/>
        <w:spacing w:lineRule="auto" w:line="240" w:before="45" w:after="0"/>
        <w:ind w:left="821" w:right="143" w:hanging="354"/>
        <w:jc w:val="both"/>
        <w:rPr/>
      </w:pPr>
      <w:r>
        <w:rPr/>
        <w:t xml:space="preserve">8. Odporúčame, aby nové obchodné dohody EÚ zahŕňali ambiciózne sociálne, pracovné a zdravotné normy. Odporúčame, aby sa na úrovni EÚ stanovili usmernenia o tom, čo robiť a nemajú právo robiť platformy sociálnych médií, ktoré spravujú osobné údaje spotrebiteľov a informácie o nich. </w:t>
      </w:r>
    </w:p>
    <w:p>
      <w:pPr>
        <w:pStyle w:val="P68B1DB1Normal99"/>
        <w:widowControl w:val="false"/>
        <w:spacing w:lineRule="auto" w:line="240" w:before="42" w:after="0"/>
        <w:ind w:left="821" w:right="143" w:hanging="354"/>
        <w:jc w:val="both"/>
        <w:rPr/>
      </w:pPr>
      <w:r>
        <w:rPr/>
        <w:t>9. Odporúčame ďalej uvažovať o možnosti spoločného požičiavania na úrovni EÚ s cieľom získať čo najlepšie podmienky prijímania úverov. Odporúčame tiež vypracovať finančne spoľahlivú a zodpovednú politiku s cieľom znížiť potrebu zadlženia členských štátov.</w:t>
      </w:r>
    </w:p>
    <w:p>
      <w:pPr>
        <w:pStyle w:val="P68B1DB1Normal99"/>
        <w:widowControl w:val="false"/>
        <w:spacing w:lineRule="auto" w:line="240" w:before="42" w:after="0"/>
        <w:ind w:left="821" w:right="143" w:hanging="354"/>
        <w:jc w:val="both"/>
        <w:rPr/>
      </w:pPr>
      <w:r>
        <w:rPr/>
        <w:t>10. Odporúčame posilniť monitorovanie čerpania a využívania finančných prostriedkov EÚ a pomôcť miestnym orgánom zaviesť skutočnú prax pri úprave využívania finančných prostriedkov. Keďže objektívna situácia príjemcov finančných prostriedkov EÚ sa môže zmeniť, osobitný význam má prepojenie medzi požiadavkami na transparentnosť a flexibilitu.</w:t>
      </w:r>
    </w:p>
    <w:p>
      <w:pPr>
        <w:pStyle w:val="P68B1DB1Normal99"/>
        <w:widowControl w:val="false"/>
        <w:spacing w:lineRule="auto" w:line="240" w:before="42" w:after="0"/>
        <w:ind w:left="821" w:right="143" w:hanging="354"/>
        <w:jc w:val="both"/>
        <w:rPr/>
      </w:pPr>
      <w:r>
        <w:rPr/>
        <w:t xml:space="preserve">11. Odporúčame, aby Litva naďalej aktívne podporovala hospodársky rozvoj a investície v regiónoch krajiny. </w:t>
      </w:r>
    </w:p>
    <w:p>
      <w:pPr>
        <w:pStyle w:val="P68B1DB1Normal35"/>
        <w:widowControl w:val="false"/>
        <w:spacing w:lineRule="auto" w:line="240" w:before="62" w:after="0"/>
        <w:ind w:left="0" w:right="0" w:hanging="0"/>
        <w:jc w:val="left"/>
        <w:rPr/>
      </w:pPr>
      <w:r>
        <w:rPr/>
        <w:t xml:space="preserve"> </w:t>
      </w:r>
    </w:p>
    <w:p>
      <w:pPr>
        <w:pStyle w:val="P68B1DB1Normal96"/>
        <w:widowControl w:val="false"/>
        <w:spacing w:lineRule="auto" w:line="240" w:before="16" w:after="0"/>
        <w:ind w:left="720" w:right="0" w:hanging="0"/>
        <w:jc w:val="left"/>
        <w:rPr/>
      </w:pPr>
      <w:r>
        <w:rPr/>
        <w:t xml:space="preserve">3. Diskusie v národnom paneli občanov a analýza výsledkov </w:t>
      </w:r>
    </w:p>
    <w:p>
      <w:pPr>
        <w:pStyle w:val="P68B1DB1Normal76"/>
        <w:widowControl w:val="false"/>
        <w:spacing w:lineRule="auto" w:line="240" w:before="46" w:after="0"/>
        <w:ind w:left="0" w:right="29" w:hanging="0"/>
        <w:jc w:val="both"/>
        <w:rPr/>
      </w:pPr>
      <w:r>
        <w:rPr/>
        <w:t xml:space="preserve">Účastníci Národného panelu občanov diskutovali o najdôležitejších aktuálnych otázkach pre Litvu (väčšinou sa o nich diskutovalo na vnútroštátnej úrovni na politickej a mediálnej scéne) a o tom, ako ich riešiť. Všeobecné hlasovanie o hlavných záveroch panelu ukázalo, že takmer 45 % všetkých hlasov odovzdaných počas týchto dvoch zasadnutí bolo venovaných návrhom na dve témy: vzťahy s Čínou a kontrola migračných tokov (pozri tabuľku nižšie). Téma energetickej politiky si tiež získala veľkú pozornosť. Bol predmetom len jedného návrhu, ale získal hlasy takmer 10 % účastníkov. Výsledok týchto hlasovaní naznačuje, že vnímanie budúcnosti Európy občanmi by mohlo byť rozhodujúce pre dnešné politické otázky a správy (na vnútroštátnej úrovni). </w:t>
      </w:r>
    </w:p>
    <w:p>
      <w:pPr>
        <w:pStyle w:val="P68B1DB1Normal76"/>
        <w:widowControl w:val="false"/>
        <w:spacing w:lineRule="auto" w:line="240"/>
        <w:ind w:left="0" w:right="0" w:hanging="0"/>
        <w:jc w:val="left"/>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pPr>
            <w:r>
              <w:rPr/>
              <w:t>Odporúčanie</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pPr>
            <w:r>
              <w:rPr/>
              <w:t>Hlasovanie</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pPr>
            <w:r>
              <w:rPr/>
              <w:t>Prvé zasadnutie: úloha a právomoci EÚ v zahraničnej politike</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1. Vyzývame EÚ, aby vypracovala účinnejšiu politiku voči Číne. Súčasná podpora pre Litvu nie je dostatočná, ale Litva tiež dostatočne nezosúladila svoju pozíciu s pozíciou partnerov EÚ. S cieľom zabezpečiť, aby boli záujmy v rámci EÚ lepšie vyvážené a aby existovala len jedna politika voči Číne, ako aj v iných otázkach zahraničnej politiky, odporúčame zvážiť možnosť zriadenia ministra zahraničných vecí EÚ.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11 (22,9 %) dôležité pre celú Európu: 8; z osobnej spôsobilosti: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2. Odporúčame zaradiť do programu otázku kvót migrantov na úrovni EÚ.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9 (18,8 %) dôležité pre celú Európu: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pPr>
            <w:r>
              <w:rPr/>
              <w:t xml:space="preserve">3. Odporúčame zriadiť osobitný výbor na úrovni EÚ na riešenie otázok migrácie, ktorý by zabezpečil rýchlejšiu reakciu na migračné krízy a právo členských štátov vysvetľovať a obhajovať svoje národné záujmy a vypracovať a vykonávať spoločné usmernenia pre riadenie migrácie.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7 (14,6 %) dôležitého pre celú Európu: 3; z osobnej spôsobilosti: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4. Odporúčame posilniť hospodárske a humanitárne vzťahy s krajinami severnej Afriky bez toho, aby sme stratili zo zreteľa politickú realitu, najmä s cieľom znížiť vplyv Číny, Ruska a ďalších štátov v regióne.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6 (12,5 %) dôležité z hľadiska osobnej spôsobilosti: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5. Odporúčame posilniť vzťahy s východnou Európou a uplatňovať ekonomické opatrenia na úrovni ľudí.</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5 (10,4 %) osobne dôležité: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pPr>
            <w:r>
              <w:rPr/>
              <w:t xml:space="preserve">Druhé zasadnutie: hospodárska úloha EÚ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1. Odporúčame, aby EÚ podnikla rôzne kroky na zvýšenie bezpečnosti dodávok základného tovaru: uprednostňovanie obchodu v rámci EÚ, podpora výroby pokročilých technológií v rámci EÚ a ďalšia diverzifikácia zdrojov dovozu. Odporúčame tiež preskúmať nové exportné trhy.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9 (19,6 %) dôležité pre celú Európu: 3; osobne: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2. Odporúčame preskúmať postupy rokovaní o zmluvách o zemnom plyne s ohľadom na krátkodobé aj dlhodobé zmluvy. Odporúčame ďalšiu diverzifikáciu zdrojov dodávok energie.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9 (19,6 %) dôležité pre celú Európu: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3. Odporúčame, aby sa opatrenia zelenej dohody a ich vykonávanie posudzovali s prihliadnutím na potenciálne negatívne sociálno-ekonomické vplyvy. V záujme plnenia cieľov zelenej dohody odporúčame, aby sa popri využívaní obnoviteľných zdrojov energie využívala aj jadrová energia a zemný plyn.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6 (13 %) dôležitých z hľadiska osobnej spôsobilosti: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4. Zdôrazňujeme, že je dôležité, aby všetky členské štáty dodržiavali zásadu prednosti práva EÚ. S inštanciou žiadame, aby Litva zaujala k tejto otázke jasné principiálne stanovisko.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4 (8,7 %) dôležité pre celú Európu: 2; z osobnej spôsobilosti: 2</w:t>
            </w:r>
          </w:p>
        </w:tc>
      </w:tr>
    </w:tbl>
    <w:p>
      <w:pPr>
        <w:pStyle w:val="P68B1DB1Normal97"/>
        <w:spacing w:lineRule="auto" w:line="240"/>
        <w:rPr/>
      </w:pPr>
      <w:r>
        <w:rPr/>
        <w:t xml:space="preserve"> </w:t>
      </w:r>
    </w:p>
    <w:p>
      <w:pPr>
        <w:pStyle w:val="P68B1DB1Normal76"/>
        <w:widowControl w:val="false"/>
        <w:spacing w:lineRule="auto" w:line="240" w:before="48" w:after="0"/>
        <w:ind w:left="0" w:right="0" w:hanging="0"/>
        <w:jc w:val="both"/>
        <w:rPr/>
      </w:pPr>
      <w:r>
        <w:rPr/>
        <w:t xml:space="preserve">Okrem toho najdôležitejšie otázky pre občanov, konkrétne vzťahy s Čínou, migrácia alebo energetika, sú dočasné: ich uznesenie bude mať zásadný vplyv na dlhodobú budúcnosť Európy. Preto pravdepodobnosť, že občania, ktorí uvažujú o budúcnosti, budú uprednostňovať to, čo je v súčasnosti dôležité, nie je problematická. Keďže budovanie budúcnosti sa dnes začína množstvom malých krokov, vnímanie očakávaní občanov v krátkodobom horizonte je základnou podmienkou na zabezpečenie silnej dlhodobej kontroly procesov a riešenia problémov. Nižšie uvedená analýza hlavných výsledkov panelu národných občanov je založená na tomto pozorovaní. </w:t>
      </w:r>
    </w:p>
    <w:p>
      <w:pPr>
        <w:pStyle w:val="P68B1DB1Normal76"/>
        <w:widowControl w:val="false"/>
        <w:spacing w:lineRule="auto" w:line="240"/>
        <w:ind w:left="0" w:right="0" w:hanging="0"/>
        <w:jc w:val="left"/>
        <w:rPr/>
      </w:pPr>
      <w:r>
        <w:rPr/>
        <w:t xml:space="preserve"> </w:t>
      </w:r>
    </w:p>
    <w:p>
      <w:pPr>
        <w:pStyle w:val="P68B1DB1Normal76"/>
        <w:spacing w:lineRule="auto" w:line="240"/>
        <w:rPr/>
      </w:pPr>
      <w:r>
        <w:rPr/>
        <w:t>Rezolúcia, ktorá získala najvyšší počet hlasov (11 alebo takmer 12 %) je taká</w:t>
      </w:r>
      <w:r>
        <w:rPr>
          <w:b/>
        </w:rPr>
        <w:t>, že EÚ potrebuje účinnejšiu politiku voči Číne</w:t>
      </w:r>
      <w:r>
        <w:rPr/>
        <w:t xml:space="preserve">. Tento všeobecný záver sa týkal niekoľkých konkrétnejších vyhlásení. Po prvé, účastníci zdôraznili, že v tejto fáze nebola podpora EÚ Litve vzhľadom na hospodársky tlak zo strany Číny dostatočná. Po druhé, zástupcovia skupiny, ktorí oznámili záver, zdôraznili, že samotná Litva by mala vyvinúť väčšie úsilie na harmonizáciu svojej politiky voči Číne s politikou partnerov EÚ, najmä preto, že je dôležité, aby sa EÚ ako celok naďalej zapájala do obchodu s Čínou. Po tretie, občania vyjadrili myšlienku, že koordinácia pozícií a rozvoj spoločnej politiky týkajúcej sa najmä Číny by mohli byť účinnejšie, ak by sa vytvoril minister zahraničných vecí EÚ. Osem účastníkov vyhlásilo tento záver za mimoriadne dôležitý pre celú Európu a traja ďalší vyhlásili, že je pre nich osobne dôležitý.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Otázka vzťahov s Čínou je úzko spojená s dvoma ďalšími návrhmi s veľkým počtom hlasov občanov. Deväť účastníkov hlasovalo za záver, ku ktorému sa dospelo na druhom zasadnutí, že </w:t>
      </w:r>
      <w:r>
        <w:rPr>
          <w:b/>
        </w:rPr>
        <w:t>EÚ potrebuje posilniť bezpečnosť dodávok</w:t>
      </w:r>
      <w:r>
        <w:rPr/>
        <w:t xml:space="preserve"> (tri účastníci uviedli, že je to mimoriadne dôležité pre celú Európu a šesť ďalších, že je to pre nich osobne). Tento záver zahŕňal aj niekoľko aspektov. Po prvé, občania zdôraznili potrebu uprednostniť trhy EÚ charakterizované spoľahlivými dodávateľmi a výrobkami, ktoré spĺňajú náročné normy. Po druhé, účastníci zdôraznili potrebu podporovať výrobné kapacity v oblasti špičkových technológií v samotnej Európe. Po tretie, občania vyjadrili podporu väčšej diverzifikácii zdrojov dovozu. Pri formulovaní týchto odporúčaní účastníci diskusie dôsledne poukazovali na čínsky faktor: bezpečnostné hrozby súvisiace s čínskym tovarom, závislosť na čínskych surovinách potrebných na výrobu pokročilých technológií, ako aj čínske praktiky kopírovania a kradnutia technológií od západných spoločností pôsobiacich na jej trhu. Návrh na</w:t>
      </w:r>
      <w:r>
        <w:rPr>
          <w:b/>
        </w:rPr>
        <w:t xml:space="preserve"> rozvoj hospodárskej a humanitárnej spolupráce EÚ s krajinami severnej Afriky</w:t>
      </w:r>
      <w:r>
        <w:rPr/>
        <w:t xml:space="preserve"> získal aj šesť hlasov (dôležité z osobnej spôsobilosti) z dôvodu, že v tomto regióne je dôležité znížiť vplyv Číny, ako aj Ruska a iných priateľských štátov.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Výsledky hlasovania tiež odzrkadľovali obavy občanov týkajúce sa otázok migrácie. Dva z troch najhlasnejších zistení v zahraničnej politike boli venované migrácii. Deväť účastníkov hlasovalo za návrh, </w:t>
      </w:r>
      <w:r>
        <w:rPr>
          <w:b/>
        </w:rPr>
        <w:t>aby sa EÚ vrátila k vytvoreniu systému povinných kvót na prijímanie migrantov pre členské štáty</w:t>
      </w:r>
      <w:r>
        <w:rPr/>
        <w:t xml:space="preserve"> (všetky zdôraznili, že tento návrh má osobitný význam pre celú Európu). Účastníci, ktorí dospeli k tomuto záveru, vyjadrili podporu vnútroštátnym kvótam, ktoré sa majú stanoviť podľa počtu obyvateľov, a spolufinancovania EÚ s cieľom uspokojiť potreby migrantov podľa týchto kvót. Sedem účastníkov stále hlasovalo za návrh </w:t>
      </w:r>
      <w:r>
        <w:rPr>
          <w:b/>
        </w:rPr>
        <w:t>zriadiť stálu technickú komisiu na úrovni EÚ na riešenie otázok migrácie, do ktorej by boli vyslaní zástupcovia členských štátov</w:t>
      </w:r>
      <w:r>
        <w:rPr/>
        <w:t xml:space="preserve"> (tri účastníci považujú tento návrh za mimoriadne dôležitý pre Európu ako celok, štyria považujú pre nich osobne za dôležité). Účastníci zdôraznili, že takýto orgán by mohol EÚ umožniť rýchlejšie reagovať na migračné krízy a zároveň zabezpečiť rovnováhu medzi primeraným dodržiavaním všeobecných zásad EÚ a právom členských štátov brániť svoje národné záujmy a bezpečnosť.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Počas diskusie o migračnej politike účastníci diskutovali o dvoch rozdielnych krízach v riadení migračných tokov: v roku 2016 migračná kríza v Stredozemnom mori a hybridný útok Bieloruska na Litvu, Lotyšsko a Poľsko v roku 2012, počas ktorého Minsk využíval migrantov z tokov z Blízkeho východu a Afriky. Viacerí účastníci panelu uviedli, že kríza v roku 2016 sa zdala byť vzdialená a irelevantná, a to tak pre Litvu ako celok, ako aj pre ňu osobne, a návrh na vytvorenie systému kvót pre migrantov sa im nezdá byť primeraný. Skúsenosti z hybridného útoku priblížili otázku migrácie vo východnej Európe a prinútili pristupovať ku kvótam ako k prispôsobenému, účinnému a solidárnemu nástroju migračnej politiky. Niektorí účastníci poukázali na to, že uprostred krízy v roku 2021 bolo ťažké rozlišovať medzi tými na území krajiny, utečencami, migrantmi a tými, ktorí predstavujú hrozbu. Všetci účastníci diskusie sa zhodli na tom, že súčasná „otvorená“ migračná politika EÚ dostatočne nezohľadňuje hrozby, ktoré predstavuje migrácia, národné záujmy členských štátov, ich schopnosť integrovať migrantov atď. Občania tiež kritizovali EÚ za jej pomalosť alebo nedostatočnú reakciu na potreby Litvy, ako aj za to, že odmietla financovať výstavbu múru na vonkajších hraniciach. </w:t>
      </w:r>
    </w:p>
    <w:p>
      <w:pPr>
        <w:pStyle w:val="P68B1DB1Normal76"/>
        <w:widowControl w:val="false"/>
        <w:spacing w:lineRule="auto" w:line="240"/>
        <w:ind w:left="0" w:right="0" w:hanging="0"/>
        <w:jc w:val="left"/>
        <w:rPr/>
      </w:pPr>
      <w:r>
        <w:rPr/>
        <w:t xml:space="preserve"> </w:t>
      </w:r>
    </w:p>
    <w:p>
      <w:pPr>
        <w:pStyle w:val="P68B1DB1Normal76"/>
        <w:spacing w:lineRule="auto" w:line="240"/>
        <w:jc w:val="both"/>
        <w:rPr/>
      </w:pPr>
      <w:r>
        <w:rPr/>
        <w:t xml:space="preserve">Stručne povedané, možno povedať, že dva prvky najhorúcejších správ Litvy v roku 2021 – vzťahy s Čínou a riadenie migračných tokov – povzbudzujú litovských občanov, aby požadovali, aby EÚ zasiahla viac a aby mala účinnejšiu spoločnú politiku. Občania sú znepokojení politikou Číny a jej rastúcim vplyvom v Európe a susedstve EÚ. Treba uznať, že ekonomický vplyv Číny núti Európu k tomu, aby hľadala vhodné a vyvážené politické opatrenia. Podľa názoru občanov je hlavným riešením posilnenie nástrojov spoločnej zahraničnej politiky EÚ, priemyselnej politiky a spolupráce so susedmi. Podobne sa občania domnievajú, že jednotné opatrenie na úrovni EÚ, ako aj možný nový systém migračných kvót sú pravdepodobne najvhodnejším spôsobom, ako uniknúť bezpečnostným hrozbám, ktoré predstavuje migrácia, a rýchlo a efektívne kontrolovať migračné toky do Európy. Podľa názoru panelu by najlepšou reakciou na rastúce tlaky Číny a na hybridný útok Bieloruska bola hlboká a posilnená spoločná politika EÚ. </w:t>
      </w:r>
    </w:p>
    <w:p>
      <w:pPr>
        <w:pStyle w:val="P68B1DB1Normal76"/>
        <w:widowControl w:val="false"/>
        <w:spacing w:lineRule="auto" w:line="240"/>
        <w:ind w:left="0" w:right="0" w:hanging="0"/>
        <w:jc w:val="both"/>
        <w:rPr/>
      </w:pPr>
      <w:r>
        <w:rPr/>
        <w:t xml:space="preserve"> </w:t>
      </w:r>
    </w:p>
    <w:p>
      <w:pPr>
        <w:pStyle w:val="P68B1DB1Normal76"/>
        <w:widowControl w:val="false"/>
        <w:spacing w:lineRule="auto" w:line="240"/>
        <w:ind w:left="0" w:right="0" w:hanging="0"/>
        <w:jc w:val="both"/>
        <w:rPr/>
      </w:pPr>
      <w:r>
        <w:rPr/>
        <w:t>Toto stanovisko o krízach, o ktorých sa diskutuje, možno porovnať s návrhmi účastníkov panelu pre otázky energetiky a klímy. Koncom roka 2021 sa mnohí litovskí občania museli priamo zaoberať rastúcimi cenami vykurovania a kríza cien energií sa rýchlo ukázala ako jedna z najdôležitejších správ pre Litvu. Obavy týkajúce sa cien energií sa odrážajú aj v hlasovaní účastníkov: deväť občanov dokonca hlasovalo za záver, že táto otázka je pre celú Európu najdôležitejšia. Hlavným odporúčaním účastníkov bolo</w:t>
      </w:r>
      <w:r>
        <w:rPr>
          <w:b/>
        </w:rPr>
        <w:t xml:space="preserve"> preskúmať súčasnú prax členských štátov uzavretím zmlúv o dodávkach energie s rôznymi dodávateľmi a snahou o ich uzavretie v krátkodobom aj dlhodobom horizonte.</w:t>
      </w:r>
      <w:r>
        <w:rPr/>
        <w:t xml:space="preserve"> Inými slovami, občania podporili politiku diverzifikácie zdrojov dodávok energie, ale neposkytli žiadne odporúčania týkajúce sa všeobecných politík EÚ a neodporúčali ďalšiu integráciu energetických politík. </w:t>
      </w:r>
    </w:p>
    <w:p>
      <w:pPr>
        <w:pStyle w:val="P68B1DB1Normal76"/>
        <w:widowControl w:val="false"/>
        <w:spacing w:lineRule="auto" w:line="240"/>
        <w:ind w:left="0" w:right="0" w:hanging="0"/>
        <w:jc w:val="both"/>
        <w:rPr/>
      </w:pPr>
      <w:r>
        <w:rPr/>
        <w:t xml:space="preserve"> </w:t>
      </w:r>
    </w:p>
    <w:p>
      <w:pPr>
        <w:pStyle w:val="P68B1DB1Normal76"/>
        <w:widowControl w:val="false"/>
        <w:spacing w:lineRule="auto" w:line="240"/>
        <w:ind w:left="0" w:right="0" w:hanging="0"/>
        <w:jc w:val="both"/>
        <w:rPr/>
      </w:pPr>
      <w:r>
        <w:rPr/>
        <w:t xml:space="preserve">Pokiaľ ide o politiku v oblasti klímy, občania odporučili </w:t>
      </w:r>
      <w:r>
        <w:rPr>
          <w:b/>
        </w:rPr>
        <w:t>posúdiť opatrenia zelenej dohody s prihliadnutím na očakávaný sociálno-ekonomický vplyv a ambície.</w:t>
      </w:r>
      <w:r>
        <w:rPr/>
        <w:t xml:space="preserve"> Tento návrh získal hlas šiestich účastníkov, z ktorých každý ho osobne považoval za dôležitý. Niektorí účastníci vyjadrili znepokojenie nad príliš rýchlym tempom tzv. „zelenej transformácie“ a uviedli, že Litva by mala dôkladnejšie posúdiť, či by takáto politika ohrozovala záujmy krajiny a jej občanov. Niektorí účastníci tiež oživili potrebu využívať nielen energiu z obnoviteľných zdrojov, ale aj jadrovú energiu a zemný plyn. Na podporu tohto stanoviska poukázali na rozhodnutie Nemecka pokračovať v používaní zemného plynu, ako aj na potenciál „modulárnych“ jadrových reaktorov novej generácie. Pokiaľ ide o politiku v oblasti klímy, skupina preto uprednostnila politiky členských štátov v súlade s vnútroštátnymi potrebami, a nie ambicióznu spoločnú politiku EÚ v oblasti správy klímy. </w:t>
      </w:r>
    </w:p>
    <w:p>
      <w:pPr>
        <w:pStyle w:val="P68B1DB1Normal76"/>
        <w:widowControl w:val="false"/>
        <w:spacing w:lineRule="auto" w:line="240"/>
        <w:ind w:left="0" w:right="0" w:hanging="0"/>
        <w:jc w:val="both"/>
        <w:rPr/>
      </w:pPr>
      <w:r>
        <w:rPr/>
        <w:t xml:space="preserve"> </w:t>
      </w:r>
    </w:p>
    <w:p>
      <w:pPr>
        <w:pStyle w:val="P68B1DB1Normal76"/>
        <w:widowControl w:val="false"/>
        <w:spacing w:lineRule="auto" w:line="240"/>
        <w:ind w:left="0" w:right="2" w:hanging="0"/>
        <w:jc w:val="both"/>
        <w:rPr/>
      </w:pPr>
      <w:r>
        <w:rPr/>
        <w:t xml:space="preserve">Vzhľadom na pomerne malý počet účastníkov panelu a rozdiely v odpovediach občanov (viac jednotnosti konania alebo väčšej flexibility) na rôzne krízy by bolo nesprávne zvážiť rekapitulačné a všeobecne uplatniteľné opatrenia. Táto dynamika vyjadrovania názorov však môže viesť k návrhu tém záujmu pre budúce prieskumy názorov litovských občanov o otázkach integrácie do EÚ, v ktorých by sa malo prihliadať na to, čo občania hovoria o autonómnych politikách EÚ, zmenách v inštitucionálnych usporiadaniach a rozdieloch. </w:t>
      </w:r>
    </w:p>
    <w:p>
      <w:pPr>
        <w:pStyle w:val="P68B1DB1Normal76"/>
        <w:widowControl w:val="false"/>
        <w:spacing w:lineRule="auto" w:line="240"/>
        <w:ind w:left="0" w:right="0" w:hanging="0"/>
        <w:jc w:val="both"/>
        <w:rPr/>
      </w:pPr>
      <w:r>
        <w:rPr/>
        <w:t xml:space="preserve"> </w:t>
      </w:r>
    </w:p>
    <w:p>
      <w:pPr>
        <w:pStyle w:val="P68B1DB1Normal96"/>
        <w:spacing w:lineRule="auto" w:line="240"/>
        <w:jc w:val="both"/>
        <w:rPr/>
      </w:pPr>
      <w:r>
        <w:rPr/>
        <w:t xml:space="preserve">4. Výsledky panelovej diskusie občanov v širšom kontexte verejnej mienky v Litve </w:t>
      </w:r>
    </w:p>
    <w:p>
      <w:pPr>
        <w:pStyle w:val="Normal"/>
        <w:widowControl w:val="false"/>
        <w:spacing w:lineRule="auto" w:line="240"/>
        <w:ind w:left="0" w:right="1" w:hanging="0"/>
        <w:jc w:val="both"/>
        <w:rPr/>
      </w:pPr>
      <w:r>
        <w:rPr>
          <w:color w:val="000000"/>
        </w:rPr>
        <w:t xml:space="preserve">V záujme kontextualizácie výsledkov národného panelu občanov sa tieto výsledky v poslednej časti stručne porovnajú s výsledkami dvoch súčasných prieskumov verejnej mienky, ako aj s priebežnými výsledkami ďalších prípravných prác Konferencie o budúcnosti Európy. Prvá časť tejto správy sa týka prieskumu obarometra </w:t>
      </w:r>
      <w:hyperlink r:id="rId113">
        <w:r>
          <w:rPr>
            <w:rStyle w:val="LienInternet"/>
            <w:color w:val="0563C1"/>
          </w:rPr>
          <w:t>medzi</w:t>
        </w:r>
      </w:hyperlink>
      <w:r>
        <w:rPr>
          <w:color w:val="000000"/>
        </w:rPr>
        <w:t xml:space="preserve"> </w:t>
      </w:r>
      <w:hyperlink r:id="rId114">
        <w:r>
          <w:rPr>
            <w:rStyle w:val="LienInternet"/>
            <w:color w:val="0563C1"/>
          </w:rPr>
          <w:t>občanmi</w:t>
        </w:r>
      </w:hyperlink>
      <w:r>
        <w:rPr>
          <w:color w:val="000000"/>
        </w:rPr>
        <w:t xml:space="preserve">, ktorý sa uskutočnil v októbri a novembri 2020 o Konferencii o budúcnosti Európy; druhý o najnovšom </w:t>
      </w:r>
      <w:hyperlink r:id="rId115">
        <w:r>
          <w:rPr>
            <w:rStyle w:val="LienInternet"/>
            <w:color w:val="0563C1"/>
          </w:rPr>
          <w:t>štandardnom prieskume Eurobarometra</w:t>
        </w:r>
      </w:hyperlink>
      <w:r>
        <w:rPr>
          <w:color w:val="000000"/>
        </w:rPr>
        <w:t xml:space="preserve">, ktorý sa uskutočnil v lete 2021. V rozsahu, v akom sa niektoré otázky v týchto štúdiách zameriavali na iné politické témy a očakávania občanov v súvislosti so samotnou konferenciou, je uvedené porovnanie s otázkami, ktoré sa skutočne riešili v paneli. Preskúmanie výsledkov prípravných prác na Konferencii o budúcnosti Európy vychádzalo z predbežnej správy o tejto práci, ktorú pripravil výbor RESC a ktorá obsahovala vyhlásenia občanov, ktorí sa podieľali na práci na rôznych politických otázkach EÚ.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Z výsledkov prieskumov Eurobarometra vyplýva, že diskusie a hlasy účastníkov panelovej diskusie občanov celkom dobre odrážajú prevládajúce názory v litovskej spoločnosti. Odporúčania účastníkov panelu na posilnenie spoločnej zahraničnej a migračnej politiky prostredníctvom účasti na rozhodnutiach na úrovni EÚ zodpovedajú zisteniam širších prieskumov verejnej mienky: </w:t>
      </w:r>
    </w:p>
    <w:p>
      <w:pPr>
        <w:pStyle w:val="P68B1DB1Normal76"/>
        <w:widowControl w:val="false"/>
        <w:spacing w:lineRule="auto" w:line="240"/>
        <w:ind w:left="361" w:right="1" w:hanging="0"/>
        <w:jc w:val="left"/>
        <w:rPr/>
      </w:pPr>
      <w:r>
        <w:rPr>
          <w:rFonts w:ascii="Garamond" w:hAnsi="Garamond"/>
        </w:rPr>
        <w:t>Litovskí</w:t>
      </w:r>
      <w:r>
        <w:rPr/>
        <w:t xml:space="preserve"> občania podporujú spoločnú obrannú politiku EÚ viac ako priemer EÚ (90 % oproti 78 %); </w:t>
      </w:r>
    </w:p>
    <w:p>
      <w:pPr>
        <w:pStyle w:val="P68B1DB1Normal76"/>
        <w:widowControl w:val="false"/>
        <w:spacing w:lineRule="auto" w:line="240"/>
        <w:ind w:left="361" w:right="3" w:hanging="0"/>
        <w:jc w:val="left"/>
        <w:rPr/>
      </w:pPr>
      <w:r>
        <w:rPr>
          <w:rFonts w:ascii="Garamond" w:hAnsi="Garamond"/>
        </w:rPr>
        <w:t>Litovskí</w:t>
      </w:r>
      <w:r>
        <w:rPr/>
        <w:t xml:space="preserve"> občania podporujú spoločnú migračnú politiku EÚ viac ako priemer EÚ (76 % oproti 71 %; tento rozdiel je v rámci miery chybovosti); </w:t>
      </w:r>
    </w:p>
    <w:p>
      <w:pPr>
        <w:pStyle w:val="P68B1DB1Normal76"/>
        <w:widowControl w:val="false"/>
        <w:spacing w:lineRule="auto" w:line="240"/>
        <w:ind w:left="360" w:right="2" w:hanging="0"/>
        <w:jc w:val="left"/>
        <w:rPr/>
      </w:pPr>
      <w:r>
        <w:rPr>
          <w:rFonts w:ascii="Garamond" w:hAnsi="Garamond"/>
        </w:rPr>
        <w:t>-</w:t>
      </w:r>
      <w:r>
        <w:rPr/>
        <w:t xml:space="preserve"> Litovskí občania považujú migráciu za jeden z dvoch hlavných problémov EÚ; </w:t>
      </w:r>
    </w:p>
    <w:p>
      <w:pPr>
        <w:pStyle w:val="P68B1DB1Normal76"/>
        <w:widowControl w:val="false"/>
        <w:spacing w:lineRule="auto" w:line="240"/>
        <w:ind w:left="360" w:right="3" w:hanging="0"/>
        <w:jc w:val="left"/>
        <w:rPr/>
      </w:pPr>
      <w:r>
        <w:rPr>
          <w:rFonts w:ascii="Garamond" w:hAnsi="Garamond"/>
        </w:rPr>
        <w:t>Litovskí</w:t>
      </w:r>
      <w:r>
        <w:rPr/>
        <w:t xml:space="preserve"> občania chcú, aby sa na úrovni EÚ vyriešilo viac problémov (49 % oproti 42 %). </w:t>
      </w:r>
    </w:p>
    <w:p>
      <w:pPr>
        <w:pStyle w:val="P68B1DB1Normal76"/>
        <w:widowControl w:val="false"/>
        <w:spacing w:lineRule="auto" w:line="240" w:before="83" w:after="0"/>
        <w:ind w:left="0" w:right="3" w:hanging="0"/>
        <w:jc w:val="both"/>
        <w:rPr/>
      </w:pPr>
      <w:r>
        <w:rPr/>
        <w:t xml:space="preserve">Litovskí občania, ktorí sa zúčastnili na prípravných podujatiach Konferencie o budúcnosti Európy, tiež zdôraznili význam spolupráce v oblasti obrany a že spoločná migračná politika EÚ a zahraničná politika EÚ sú oblasti, v ktorých by Litva mala prospech zo silnejšej intervencie EÚ.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1" w:hanging="0"/>
        <w:jc w:val="both"/>
        <w:rPr/>
      </w:pPr>
      <w:r>
        <w:rPr/>
        <w:t xml:space="preserve">Údaje Eurobarometra by mohli objasniť názory účastníkov panelu na vzťahy s Čínou a ceny energií: Litovčania sú viac znepokojení ako priemer EÚ v súvislosti s rozpadom vzťahov medzi krajinami na celom svete a následným rastúcim geopolitickým napätím (33 % oproti 18 %). Závery panelu o potrebe ambicióznejšej politiky voči Číne sa takisto prekrývajú s týmito údajmi, ako aj uvedené stanovisko v prospech rozhodovacieho procesu na úrovni EÚ a spoločnej obrannej politiky EÚ. Na druhej strane obavy účastníkov panelu týkajúce sa rôznych rozhodnutí o znížení cien energií môžu súvisieť so skutočnosťou, že Litovčania sú oveľa viac znepokojení rastúcou infláciou a rastúcimi cenami než priemer EÚ (53 % oproti 23 %). Citlivosť na rastúcu infláciu je spôsobená skutočnosťou, že kontrola zvyšovania cien sa zdá byť dôležitejšia ako všeobecná tvorba politík EÚ alebo iné politické ciele.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1" w:hanging="0"/>
        <w:jc w:val="both"/>
        <w:rPr/>
      </w:pPr>
      <w:r>
        <w:rPr/>
        <w:t xml:space="preserve">Údaje Eurobarometra tiež naznačujú zaujímavý vývoj toho, ako Litovčania vnímajú otázku migrácie z politického hľadiska. V prieskume z roku 2020 Litovčania uviedli migráciu ako dôležitú výzvu pre budúcnosť EÚ (16 % oproti 27 %) než priemer EÚ; V prieskume z roku 2021 32 % litovských respondentov považovalo migráciu za jeden z hlavných problémov v EÚ (v priemere 25 % v EÚ ako celku). Hoci táto zmena pohľadu môže byť spôsobená rozdielmi vo formulácii tejto otázky, prekrýva sa s tým, čo účastníci panelu povedali v diskusiách o vývoji svojich názorov na otázky migrácie.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before="220" w:after="0"/>
        <w:ind w:left="0" w:right="0" w:hanging="0"/>
        <w:jc w:val="both"/>
        <w:rPr/>
      </w:pPr>
      <w:r>
        <w:rPr/>
        <w:t xml:space="preserve">Okrem toho porovnanie výsledkov občianskeho panelu s údajmi Eurobarometra ukazuje rozdiel medzi pomerne opatrným pohľadom účastníkov panelu na politiku EÚ na jednej strane a obavami litovských občanov v otázkach zmeny klímy na strane druhej. Hoci účastníci panelu vyzvali, aby posúdili, či zelená dohoda nie je príliš ambiciózna a nepoškodí záujmy Litvy, podľa štúdií Eurobarometra Litovčania dôsledne označili zmenu klímy za jednu z hlavných výziev pre EÚ. V prieskume z roku 2020 47 % litovských respondentov považovalo klímu za jednu z najdôležitejších výziev pre budúcnosť Európy (v porovnaní s priemerom 45 % v EÚ ako celku); V prieskume z roku 2021 to bolo prípad 28 % litovských respondentov (nárast z priemeru 25 % v EÚ ako celku). Treba poznamenať, že občania, ktorí sa zúčastnili na ďalších prípravných podujatiach Konferencie o budúcnosti Európy, tiež označili politiku v oblasti klímy za jednu z oblastí, v ktorých by Litva mala najväčší záujem na silnejšej intervencii EÚ. Tento rozpor možno vysvetliť motiváciou hlasovania účastníkov panelu: všetci tí, ktorí hlasovali za odporúčanie opätovne posúdiť opatrenia zelenej dohody, označili to z osobného hľadiska za dôležité. Inými slovami, osobná opozícia by nebola v rozpore so zistením, že zmena klímy je jednou z najdôležitejších výziev pre politiku EÚ. </w:t>
      </w:r>
    </w:p>
    <w:p>
      <w:pPr>
        <w:pStyle w:val="P68B1DB1Normal97"/>
        <w:widowControl w:val="false"/>
        <w:spacing w:lineRule="auto" w:line="240"/>
        <w:ind w:left="0" w:right="0" w:hanging="0"/>
        <w:jc w:val="left"/>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Národné panely: Holandsko</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098800" cy="3129280"/>
            <wp:effectExtent l="0" t="0" r="0" b="0"/>
            <wp:wrapTopAndBottom/>
            <wp:docPr id="109" name="Obrázok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ázok46" descr=""/>
                    <pic:cNvPicPr>
                      <a:picLocks noChangeAspect="1" noChangeArrowheads="1"/>
                    </pic:cNvPicPr>
                  </pic:nvPicPr>
                  <pic:blipFill>
                    <a:blip r:embed="rId116"/>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N</w:t>
      </w:r>
      <w:r>
        <w:rPr>
          <w:rFonts w:ascii="Calibri" w:hAnsi="Calibri"/>
          <w:b/>
          <w:i/>
          <w:color w:val="000000"/>
          <w:sz w:val="48"/>
        </w:rPr>
        <w:t>aša vízia Európy</w:t>
      </w:r>
    </w:p>
    <w:p>
      <w:pPr>
        <w:pStyle w:val="P68B1DB1Normal103"/>
        <w:widowControl w:val="false"/>
        <w:spacing w:lineRule="exact" w:line="499" w:before="100" w:after="0"/>
        <w:ind w:left="0" w:right="0" w:hanging="0"/>
        <w:jc w:val="left"/>
        <w:rPr/>
      </w:pPr>
      <w:r>
        <w:rPr/>
        <w:t xml:space="preserve">Názory, nápady a odporúčania </w:t>
      </w:r>
    </w:p>
    <w:p>
      <w:pPr>
        <w:pStyle w:val="P68B1DB1Normal104"/>
        <w:widowControl w:val="false"/>
        <w:spacing w:lineRule="exact" w:line="339" w:before="101" w:after="0"/>
        <w:ind w:left="0" w:right="0" w:hanging="0"/>
        <w:jc w:val="left"/>
        <w:rPr/>
      </w:pPr>
      <w:r>
        <w:rPr/>
        <w:t xml:space="preserve">Témy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Hodnoty a práva, právny štát a bezpečnosť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Silnejšie hospodárstvo, sociálna spravodlivosť a zamestnanosť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Európska demokracia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Digitálna transformácia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Vzdelávanie, kultúra, mládež a šport </w:t>
      </w:r>
    </w:p>
    <w:p>
      <w:pPr>
        <w:pStyle w:val="P68B1DB1Normal104"/>
        <w:widowControl w:val="false"/>
        <w:spacing w:lineRule="exact" w:line="339"/>
        <w:ind w:left="0" w:right="0" w:hanging="0"/>
        <w:jc w:val="left"/>
        <w:rPr/>
      </w:pPr>
      <w:r>
        <w:rPr/>
        <w:t xml:space="preserve"> </w:t>
      </w:r>
    </w:p>
    <w:p>
      <w:pPr>
        <w:pStyle w:val="Titre4"/>
        <w:numPr>
          <w:ilvl w:val="3"/>
          <w:numId w:val="2"/>
        </w:numPr>
        <w:rPr/>
      </w:pPr>
      <w:bookmarkStart w:id="236" w:name="__RefHeading___Toc298384_1346298689"/>
      <w:bookmarkEnd w:id="236"/>
      <w:r>
        <w:rPr/>
        <w:t xml:space="preserve">3. decembra 2021 </w:t>
      </w:r>
    </w:p>
    <w:p>
      <w:pPr>
        <w:pStyle w:val="Normal"/>
        <w:widowControl w:val="false"/>
        <w:spacing w:lineRule="exact" w:line="282" w:before="1" w:after="0"/>
        <w:ind w:left="0" w:right="37" w:hanging="0"/>
        <w:jc w:val="left"/>
        <w:rPr/>
      </w:pPr>
      <w:r>
        <w:rPr>
          <w:rFonts w:ascii="Calibri" w:hAnsi="Calibri"/>
          <w:color w:val="000000"/>
          <w:sz w:val="21"/>
        </w:rPr>
        <w:t xml:space="preserve">Tento dokument je prekladom správy s názvom „Eleven kijk op Europa; Meningen, ideeën en Aanbevelingen (Naša vízia Európy: stanoviská, nápady a odporúčania“, ktoré bolo uverejnené v holandskom jazyku 3. decembra 2021 na www.kijkopeuropa.nl. Tento preklad je zjednodušenou verziou správy, v ktorej bola na účely prekladu upravená pôvodná prezentácia (ilustrácie a iné grafické prvky). </w:t>
      </w:r>
      <w:r>
        <w:rPr>
          <w:rFonts w:ascii="Times New Roman" w:hAnsi="Times New Roman"/>
          <w:color w:val="000000"/>
          <w:sz w:val="24"/>
        </w:rPr>
        <w:t xml:space="preserve"> </w:t>
      </w:r>
      <w:r>
        <w:br w:type="page"/>
      </w:r>
    </w:p>
    <w:p>
      <w:pPr>
        <w:pStyle w:val="P68B1DB1Normal106"/>
        <w:rPr/>
      </w:pPr>
      <w:r>
        <w:rPr/>
        <w:t xml:space="preserve">Naša vízia... </w:t>
      </w:r>
    </w:p>
    <w:p>
      <w:pPr>
        <w:pStyle w:val="P68B1DB1Normal107"/>
        <w:widowControl w:val="false"/>
        <w:spacing w:lineRule="exact" w:line="375" w:before="248" w:after="0"/>
        <w:ind w:left="0" w:right="0" w:hanging="0"/>
        <w:jc w:val="left"/>
        <w:rPr/>
      </w:pPr>
      <w:r>
        <w:rPr/>
        <w:t xml:space="preserve">Zhrnutie správy: všetky odporúčania v skratke </w:t>
      </w:r>
    </w:p>
    <w:p>
      <w:pPr>
        <w:pStyle w:val="P68B1DB1Normal104"/>
        <w:widowControl w:val="false"/>
        <w:spacing w:lineRule="exact" w:line="282" w:before="185" w:after="0"/>
        <w:ind w:left="0" w:right="25" w:hanging="0"/>
        <w:jc w:val="left"/>
        <w:rPr/>
      </w:pPr>
      <w:r>
        <w:rPr/>
        <w:t xml:space="preserve">Prostredníctvom dialógu s občanmi organizovaného na tému „Vízia Európy“ sme zhromaždili názory a myšlienky holandských občanov na budúcnosť Európy. To viedlo k nasledujúcim odporúčaniam pre Európsku úniu pre prvých päť tém. </w:t>
      </w:r>
    </w:p>
    <w:p>
      <w:pPr>
        <w:pStyle w:val="P68B1DB1Normal108"/>
        <w:widowControl w:val="false"/>
        <w:spacing w:lineRule="exact" w:line="387" w:before="59" w:after="0"/>
        <w:ind w:left="0" w:right="0" w:hanging="0"/>
        <w:jc w:val="left"/>
        <w:rPr/>
      </w:pPr>
      <w:r>
        <w:rPr/>
        <w:t xml:space="preserve">Hodnoty a práva, právny štát a bezpečnosť </w:t>
      </w:r>
    </w:p>
    <w:p>
      <w:pPr>
        <w:pStyle w:val="P68B1DB1Normal104"/>
        <w:widowControl w:val="false"/>
        <w:spacing w:lineRule="exact" w:line="282" w:before="178" w:after="0"/>
        <w:ind w:left="0" w:right="105" w:hanging="0"/>
        <w:jc w:val="left"/>
        <w:rPr/>
      </w:pPr>
      <w:r>
        <w:rPr/>
        <w:t xml:space="preserve">Je dôležité, aby EÚ chránila právny štát. Holanďania sa zároveň domnievajú, že by sa mala venovať pozornosť rôznorodosti tradícií a kultúr, ktoré existujú v Európe. Spolupráca v rámci EÚ môže mať mnoho výhod v rôznych formách, ale musí priniesť pridanú hodnotu všetkým zainteresovaným stranám. To platí aj pre zdieľanie bezpečnostných informácií. Zdieľanie všetkých informácií rýchlo spôsobuje, že spolupráca je neúčinná. </w:t>
      </w:r>
    </w:p>
    <w:p>
      <w:pPr>
        <w:pStyle w:val="P68B1DB1Normal19"/>
        <w:widowControl w:val="false"/>
        <w:spacing w:lineRule="exact" w:line="388" w:before="47" w:after="0"/>
        <w:ind w:left="0" w:right="0" w:hanging="0"/>
        <w:jc w:val="left"/>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Uistite sa, že každý sa môže cítiť slobodne a bezpečne</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Rozšírenie EÚ len vtedy, ak prináša pridanú hodnotu</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Spolupráca najmä v boji proti medzinárodnej trestnej činnosti a terorizmu</w:t>
      </w:r>
    </w:p>
    <w:p>
      <w:pPr>
        <w:pStyle w:val="P68B1DB1Normal104"/>
        <w:widowControl w:val="false"/>
        <w:spacing w:lineRule="exact" w:line="339"/>
        <w:ind w:left="283" w:right="0" w:hanging="0"/>
        <w:jc w:val="left"/>
        <w:rPr/>
      </w:pPr>
      <w:r>
        <w:rPr/>
        <w:t xml:space="preserve"> </w:t>
      </w:r>
    </w:p>
    <w:p>
      <w:pPr>
        <w:pStyle w:val="P68B1DB1Normal108"/>
        <w:widowControl w:val="false"/>
        <w:spacing w:lineRule="exact" w:line="387" w:before="59" w:after="0"/>
        <w:ind w:left="0" w:right="0" w:hanging="0"/>
        <w:jc w:val="left"/>
        <w:rPr/>
      </w:pPr>
      <w:r>
        <w:rPr/>
        <w:t xml:space="preserve">Silnejšie hospodárstvo, sociálna spravodlivosť a zamestnanosť </w:t>
      </w:r>
    </w:p>
    <w:p>
      <w:pPr>
        <w:pStyle w:val="P68B1DB1Normal104"/>
        <w:widowControl w:val="false"/>
        <w:spacing w:lineRule="exact" w:line="282" w:before="178" w:after="0"/>
        <w:ind w:left="0" w:right="18" w:hanging="0"/>
        <w:jc w:val="left"/>
        <w:rPr/>
      </w:pPr>
      <w:r>
        <w:rPr/>
        <w:t xml:space="preserve">Holanďania sa domnievajú, že existuje veľa príležitostí na posilnenie európskeho hospodárstva. Krajiny sa však nemôžu vždy navzájom porovnávať. Najmä daňový systém by mal byť spravodlivejší a jasnejší. A v Európe by sme sa mali viac zamerať na naše silné stránky, ako je kvalita a rozmanitosť. Okrem toho môžu krajiny EÚ spolupracovať s cieľom zabezpečiť rovnaké príležitosti na európskom trhu práce. </w:t>
      </w:r>
    </w:p>
    <w:p>
      <w:pPr>
        <w:pStyle w:val="P68B1DB1Normal104"/>
        <w:widowControl w:val="false"/>
        <w:spacing w:lineRule="exact" w:line="339" w:before="58" w:after="0"/>
        <w:ind w:left="0" w:right="0" w:hanging="0"/>
        <w:jc w:val="left"/>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Berte do úvahy spoločné aspekty a rozdiely</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Intenzívnejšie využívanie silných stránok Európy</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Vytvorenie spravodlivého a jasného daňového systému</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Zabezpečiť, aby sa do</w:t>
      </w:r>
      <w:r>
        <w:rPr>
          <w:rFonts w:ascii="Calibri" w:hAnsi="Calibri"/>
          <w:b/>
          <w:i/>
          <w:sz w:val="24"/>
        </w:rPr>
        <w:t xml:space="preserve">európskej demokracie </w:t>
      </w:r>
      <w:r>
        <w:rPr>
          <w:rFonts w:ascii="Calibri" w:hAnsi="Calibri"/>
          <w:sz w:val="21"/>
        </w:rPr>
        <w:t xml:space="preserve">mohol zapojiť </w:t>
      </w:r>
      <w:r>
        <w:rPr>
          <w:sz w:val="21"/>
        </w:rPr>
        <w:t>každý</w:t>
      </w:r>
    </w:p>
    <w:p>
      <w:pPr>
        <w:pStyle w:val="P68B1DB1Normal104"/>
        <w:widowControl w:val="false"/>
        <w:spacing w:lineRule="exact" w:line="282" w:before="178" w:after="0"/>
        <w:ind w:left="0" w:right="323" w:hanging="0"/>
        <w:jc w:val="both"/>
        <w:rPr/>
      </w:pPr>
      <w:r>
        <w:rPr/>
        <w:t xml:space="preserve">Holanďania nemusia vedieť všetko o Európskej únii, ale chcú väčšiu transparentnosť a viac informácií. Napríklad znalosť názorov iných krajín EÚ môže prispieť k lepšiemu prehľadu. Okrem toho sa Holandsko domnieva, že EÚ by sa mala s občanmi častejšie a pokiaľ možno trvalo angažovať. V tejto súvislosti je dôležité nielen zohľadniť rôzne záujmy, ale aj prijímať rozhodnutia rýchlejšie ako v súčasnosti.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Poskytnutie lepšieho prehľadu o Európe</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Nájsť nové spôsoby, ako neustále počúvať občanov</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Väčšia transparentnosť a zrozumiteľnosť prijatých rozhodnutí</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Zabezpečenie rýchlejšieho riešenia tŕnistých problémov</w:t>
      </w:r>
    </w:p>
    <w:p>
      <w:pPr>
        <w:pStyle w:val="P68B1DB1Normal104"/>
        <w:widowControl w:val="false"/>
        <w:spacing w:lineRule="exact" w:line="339" w:before="60" w:after="0"/>
        <w:ind w:left="0" w:right="0" w:hanging="0"/>
        <w:jc w:val="left"/>
        <w:rPr/>
      </w:pPr>
      <w:r>
        <w:rPr/>
        <w:t xml:space="preserve"> </w:t>
      </w:r>
    </w:p>
    <w:p>
      <w:pPr>
        <w:pStyle w:val="P68B1DB1Normal108"/>
        <w:widowControl w:val="false"/>
        <w:spacing w:lineRule="exact" w:line="387" w:before="59" w:after="0"/>
        <w:ind w:left="0" w:right="0" w:hanging="0"/>
        <w:jc w:val="left"/>
        <w:rPr/>
      </w:pPr>
      <w:r>
        <w:rPr/>
        <w:t xml:space="preserve">Digitálna transformácia </w:t>
      </w:r>
    </w:p>
    <w:p>
      <w:pPr>
        <w:pStyle w:val="P68B1DB1Normal104"/>
        <w:widowControl w:val="false"/>
        <w:spacing w:lineRule="exact" w:line="282" w:before="178" w:after="0"/>
        <w:ind w:left="0" w:right="54" w:hanging="0"/>
        <w:jc w:val="left"/>
        <w:rPr/>
      </w:pPr>
      <w:r>
        <w:rPr/>
        <w:t xml:space="preserve">Spoločnosť je čoraz viac závislá od internetu a veľké technologické spoločnosti sú čoraz silnejšie. To je niekedy veľmi znepokojujúce Holanďanov. Preto je užitočné, aby EÚ vypracovala európske pravidlá a normy (súkromie). Je však dôležité, aby každý mohol pochopiť a uplatňovať tieto pravidlá a normy. Holanďania radšej dostávajú podporu a informácie od vnútroštátnych orgánov vo svojom vlastnom jazyku. </w:t>
      </w:r>
    </w:p>
    <w:p>
      <w:pPr>
        <w:pStyle w:val="P68B1DB1Normal104"/>
        <w:widowControl w:val="false"/>
        <w:spacing w:lineRule="exact" w:line="339" w:before="61" w:after="0"/>
        <w:ind w:left="0" w:right="0" w:hanging="0"/>
        <w:jc w:val="left"/>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Zabezpečenie rýchleho, bezpečného a stabilného internetu všade</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Stanovenie jasných pravidiel a noriem pre internetové spoločnosti</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Pridávanie implementačných a praktických vysvetlení k pravidlám ochrany súkromia</w:t>
      </w:r>
    </w:p>
    <w:p>
      <w:pPr>
        <w:pStyle w:val="P68B1DB1Normal19"/>
        <w:widowControl w:val="false"/>
        <w:spacing w:lineRule="exact" w:line="388"/>
        <w:ind w:left="284" w:right="0" w:hanging="0"/>
        <w:jc w:val="left"/>
        <w:rPr/>
      </w:pPr>
      <w:r>
        <w:rPr/>
        <w:t xml:space="preserve"> </w:t>
      </w:r>
    </w:p>
    <w:p>
      <w:pPr>
        <w:pStyle w:val="P68B1DB1Normal108"/>
        <w:widowControl w:val="false"/>
        <w:spacing w:lineRule="exact" w:line="387" w:before="30" w:after="0"/>
        <w:ind w:left="0" w:right="0" w:hanging="0"/>
        <w:jc w:val="left"/>
        <w:rPr/>
      </w:pPr>
      <w:r>
        <w:rPr/>
        <w:t xml:space="preserve">Vzdelávanie, kultúra, mládež a šport </w:t>
      </w:r>
    </w:p>
    <w:p>
      <w:pPr>
        <w:pStyle w:val="P68B1DB1Normal104"/>
        <w:widowControl w:val="false"/>
        <w:spacing w:lineRule="exact" w:line="282" w:before="178" w:after="0"/>
        <w:ind w:left="0" w:right="166" w:hanging="0"/>
        <w:jc w:val="left"/>
        <w:rPr/>
      </w:pPr>
      <w:r>
        <w:rPr/>
        <w:t>Mladí ľudia študujúci v zahraničí by mali mať možnosť učiť sa od hostiteľskej krajiny viac ako</w:t>
      </w:r>
      <w:r>
        <w:rPr/>
        <w:commentReference w:id="21"/>
      </w:r>
      <w:r>
        <w:rPr/>
        <w:t xml:space="preserve"> dnes. A krajiny s nižšou úrovňou vedomostí by nemali stratiť všetky svoje talenty, ktoré idú do zahraničia. Holanďania sa domnievajú, že témy ako kultúra a zneužívanie v športe sú otázky, za ktoré by skôr mali niesť zodpovednosť samotné členské štáty. A považujú za veľmi dôležité mať vlastný národný jazyk. Vo všeobecnosti sa v Európe musí každý človek predovšetkým cítiť slobodne a byť schopný byť sám sebou. </w:t>
      </w:r>
    </w:p>
    <w:p>
      <w:pPr>
        <w:pStyle w:val="P68B1DB1Normal104"/>
        <w:widowControl w:val="false"/>
        <w:spacing w:lineRule="exact" w:line="339" w:before="61" w:after="0"/>
        <w:ind w:left="0" w:right="0" w:hanging="0"/>
        <w:jc w:val="left"/>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Povzbudzovanie študentov k inteligentnému štúdiu v zahraničí</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Umožniť členským štátom zamerať sa na témy ako kultúra a šport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Zabezpečiť, aby sa Európania lepšie spoznali a rešpektovali </w:t>
      </w:r>
      <w:r>
        <w:br w:type="page"/>
      </w:r>
    </w:p>
    <w:p>
      <w:pPr>
        <w:pStyle w:val="P68B1DB1Normal109"/>
        <w:rPr/>
      </w:pPr>
      <w:r>
        <w:rPr/>
        <w:t xml:space="preserve">Úvod </w:t>
      </w:r>
    </w:p>
    <w:p>
      <w:pPr>
        <w:pStyle w:val="P68B1DB1Normal110"/>
        <w:widowControl w:val="false"/>
        <w:spacing w:lineRule="exact" w:line="274" w:before="31" w:after="0"/>
        <w:ind w:left="0" w:right="113" w:hanging="0"/>
        <w:jc w:val="left"/>
        <w:rPr/>
      </w:pPr>
      <w:r>
        <w:rPr>
          <w:sz w:val="21"/>
        </w:rPr>
        <w:t xml:space="preserve">Dialóg s občanmi „Vízia Európy“, ktorý sa konal od 1. septembra do polovice novembra, umožnil všetkým Holanďanom vyjadriť svoje názory a myšlienky o budúcnosti Európy. Holandsko predloží Európskej únii (EÚ) odporúčania, ku ktorým dialóg viedol, ako aj vyjadrené myšlienky a názory. V tejto správe sa zameriavame na prvých päť tém. Ďalšie štyri témy sa budú riešiť v nadchádzajúcej správe začiatkom roka 2022. </w:t>
      </w:r>
      <w:r>
        <w:rPr>
          <w:b/>
          <w:i/>
          <w:sz w:val="24"/>
        </w:rPr>
        <w:t>O vízii Európy</w:t>
      </w:r>
    </w:p>
    <w:p>
      <w:pPr>
        <w:pStyle w:val="P68B1DB1Normal104"/>
        <w:widowControl w:val="false"/>
        <w:spacing w:lineRule="exact" w:line="257" w:before="34" w:after="0"/>
        <w:ind w:left="0" w:right="200" w:hanging="0"/>
        <w:jc w:val="left"/>
        <w:rPr/>
      </w:pPr>
      <w:r>
        <w:rPr/>
        <w:t xml:space="preserve">Európska únia chce, aby sa jej občania podelili o to, čo si myslia o Európe. Preto EÚ organizuje Konferenciu o budúcnosti Európy. Názory a myšlienky občanov v celej Európskej únii sa potom premietnu do plánov pre budúcnosť Európy. V rámci konferencie Holandsko zorganizovalo dialóg s občanmi „Vízia Európy“ na vnútroštátnej úrovni. </w:t>
      </w:r>
    </w:p>
    <w:p>
      <w:pPr>
        <w:pStyle w:val="P68B1DB1Normal104"/>
        <w:widowControl w:val="false"/>
        <w:spacing w:lineRule="exact" w:line="339" w:before="34" w:after="0"/>
        <w:ind w:left="0" w:right="0" w:hanging="0"/>
        <w:jc w:val="left"/>
        <w:rPr/>
      </w:pPr>
      <w:r>
        <w:rPr/>
        <w:t xml:space="preserve"> </w:t>
      </w:r>
    </w:p>
    <w:p>
      <w:pPr>
        <w:pStyle w:val="P68B1DB1Normal104"/>
        <w:widowControl w:val="false"/>
        <w:spacing w:lineRule="exact" w:line="257" w:before="32" w:after="0"/>
        <w:ind w:left="0" w:right="109" w:hanging="0"/>
        <w:jc w:val="left"/>
        <w:rPr/>
      </w:pPr>
      <w:r>
        <w:rPr/>
        <w:t xml:space="preserve">Dialóg o vízii Európy sa začal 1. septembra online zhromažďovaním názorov a nápadov prostredníctvom prieskumu reprezentatívnej skupiny. S cieľom prehĺbiť počiatočné výsledky panelového prieskumu a vypracovať konkrétne odporúčania sme zorganizovali tematické online dialógy. Zúčastniť sa môže každý, kto sa chce zúčastniť. Taktiež sme cestovali po krajine, aby sme viedli diskusie s mladými ľuďmi a inými skupinami (ťažké na dosah). </w:t>
      </w:r>
    </w:p>
    <w:p>
      <w:pPr>
        <w:pStyle w:val="P68B1DB1Normal111"/>
        <w:widowControl w:val="false"/>
        <w:spacing w:lineRule="exact" w:line="269" w:before="28" w:after="0"/>
        <w:ind w:left="0" w:right="113" w:hanging="0"/>
        <w:jc w:val="left"/>
        <w:rPr/>
      </w:pPr>
      <w:r>
        <w:rPr/>
        <w:t xml:space="preserve">Od školákov, žiakov stredných škôl a študentov až po ministra, poľnohospodárov a migrantov </w:t>
      </w:r>
    </w:p>
    <w:p>
      <w:pPr>
        <w:pStyle w:val="P68B1DB1Normal104"/>
        <w:widowControl w:val="false"/>
        <w:spacing w:lineRule="exact" w:line="257" w:before="26" w:after="0"/>
        <w:ind w:left="0" w:right="44" w:hanging="0"/>
        <w:jc w:val="left"/>
        <w:rPr/>
      </w:pPr>
      <w:r>
        <w:rPr/>
        <w:t xml:space="preserve">V októbri a novembri sa uskutočnilo celkovo osem online tematických dialógov, na ktorých sa zúčastnilo v priemere 30 účastníkov. Zorganizovali sme aj online tematický dialóg a sedem tematických dialógov na mieste s rôznymi skupinami holandských občanov. Hovorili sme s tureckou komunitou v Schiedam a boli pozvaní dobrovoľníkmi Nadácie Piëzo do Zoetermeera. Pri druhej príležitosti bol na konci dialógu prítomný aj minister zahraničných vecí Ben Knapen. Minister diskutoval s účastníkmi o dialógu a vyjadrených názoroch na budúcnosť Európy. Nakoniec sme zorganizovali šesť stretnutí s rôznymi skupinami mladých ľudí. Napríklad, boli sme vítaní na strednej škole v Helmonde, odbornej strednej škole v Doetincheme a na Univerzite v Leidene. </w:t>
      </w:r>
    </w:p>
    <w:p>
      <w:pPr>
        <w:pStyle w:val="P68B1DB1Normal112"/>
        <w:widowControl w:val="false"/>
        <w:spacing w:lineRule="exact" w:line="260" w:before="31" w:after="0"/>
        <w:ind w:left="0" w:right="0" w:hanging="0"/>
        <w:jc w:val="left"/>
        <w:rPr/>
      </w:pPr>
      <w:r>
        <w:rPr/>
        <w:t xml:space="preserve"> </w:t>
      </w:r>
    </w:p>
    <w:p>
      <w:pPr>
        <w:pStyle w:val="P68B1DB1Normal113"/>
        <w:widowControl w:val="false"/>
        <w:spacing w:lineRule="exact" w:line="319" w:before="28" w:after="0"/>
        <w:ind w:left="883" w:right="888" w:hanging="0"/>
        <w:jc w:val="center"/>
        <w:rPr/>
      </w:pPr>
      <w:r>
        <w:rPr/>
        <w:t xml:space="preserve">Vždy chcem vyjadriť svoj názor pred kávovarom. Preto som si myslel, že sa musím zúčastniť. </w:t>
      </w:r>
    </w:p>
    <w:p>
      <w:pPr>
        <w:pStyle w:val="P68B1DB1Normal110"/>
        <w:widowControl w:val="false"/>
        <w:spacing w:lineRule="exact" w:line="346" w:before="41" w:after="0"/>
        <w:ind w:left="0" w:right="6639" w:hanging="0"/>
        <w:jc w:val="left"/>
        <w:rPr/>
      </w:pPr>
      <w:r>
        <w:rPr>
          <w:sz w:val="21"/>
        </w:rPr>
        <w:t xml:space="preserve">Účastník tematického </w:t>
      </w:r>
      <w:r>
        <w:rPr>
          <w:b/>
          <w:i/>
          <w:sz w:val="24"/>
        </w:rPr>
        <w:t xml:space="preserve">dialógu o tejto správe </w:t>
      </w:r>
    </w:p>
    <w:p>
      <w:pPr>
        <w:pStyle w:val="P68B1DB1Normal104"/>
        <w:widowControl w:val="false"/>
        <w:spacing w:lineRule="exact" w:line="257" w:before="178" w:after="0"/>
        <w:ind w:left="0" w:right="56" w:hanging="0"/>
        <w:jc w:val="left"/>
        <w:rPr/>
      </w:pPr>
      <w:r>
        <w:rPr/>
        <w:t xml:space="preserve">Na základe myšlienok a názorov, ktoré sme zhromaždili v posledných mesiacoch, sme vypracovali sériu odporúčaní, ktoré holandskí občania predkladajú Európskej únii. Počas diskusií medzi holandskými občanmi sa uskutočnili zaujímavé výmeny názorov a predložili sa inovatívne nápady. Návrhy boli predložené aj prostredníctvom poroty a verejného vyšetrovania. Niektoré z týchto myšlienok boli začlenené do tejto správy. Obsah tejto správy je preto hlasom Holandska: naša vízia Európy. </w:t>
      </w:r>
    </w:p>
    <w:p>
      <w:pPr>
        <w:pStyle w:val="P68B1DB1Normal104"/>
        <w:widowControl w:val="false"/>
        <w:spacing w:lineRule="exact" w:line="339" w:before="34" w:after="0"/>
        <w:ind w:left="0" w:right="0" w:hanging="0"/>
        <w:jc w:val="left"/>
        <w:rPr/>
      </w:pPr>
      <w:r>
        <w:rPr/>
        <w:t xml:space="preserve"> </w:t>
      </w:r>
    </w:p>
    <w:p>
      <w:pPr>
        <w:pStyle w:val="Normal"/>
        <w:widowControl w:val="false"/>
        <w:spacing w:lineRule="exact" w:line="256" w:before="32" w:after="0"/>
        <w:ind w:left="0" w:right="16" w:hanging="0"/>
        <w:jc w:val="left"/>
        <w:rPr>
          <w:rFonts w:ascii="Calibri" w:hAnsi="Calibri"/>
          <w:color w:val="000000"/>
          <w:sz w:val="21"/>
        </w:rPr>
      </w:pPr>
      <w:r>
        <w:rPr>
          <w:rFonts w:ascii="Calibri" w:hAnsi="Calibri"/>
          <w:color w:val="000000"/>
          <w:sz w:val="21"/>
        </w:rPr>
        <w:t xml:space="preserve">Rovnako ako existujú rozdiely v názoroch medzi krajinami a európskymi občanmi, nie vždy medzi sebou súhlasíme v Holandsku. Práve tieto rozdiely v názoroch sú cenné: sú dôležitou črtou demokracie. Odporúčania vychádzajú z najčastejšie vyjadrených myšlienok a názorov účastníkov prieskumu Vízia Európy. Opisujeme aj obavy, myšlienky a pocity, ktoré môžu byť menej rozšírené, ale ktoré pritiahli našu pozornosť počas dialógov a online prieskumu. </w:t>
      </w:r>
      <w:r>
        <w:br w:type="page"/>
      </w:r>
    </w:p>
    <w:p>
      <w:pPr>
        <w:pStyle w:val="P68B1DB1Normal113"/>
        <w:spacing w:lineRule="auto" w:line="240"/>
        <w:rPr/>
      </w:pPr>
      <w:r>
        <w:rPr/>
        <w:t xml:space="preserve">Bolo pekné hovoriť v malých skupinách s priaznivcami a súpermi. Je to veľmi odlišné od toho, ako zvyčajne prebiehajú diskusie na sociálnych sieťach. </w:t>
      </w:r>
    </w:p>
    <w:p>
      <w:pPr>
        <w:pStyle w:val="P68B1DB1Normal76"/>
        <w:widowControl w:val="false"/>
        <w:spacing w:lineRule="auto" w:line="240" w:before="267" w:after="0"/>
        <w:ind w:left="0" w:right="0" w:hanging="0"/>
        <w:jc w:val="left"/>
        <w:rPr/>
      </w:pPr>
      <w:r>
        <w:rPr>
          <w:rFonts w:ascii="Calibri" w:hAnsi="Calibri"/>
          <w:sz w:val="21"/>
        </w:rPr>
        <w:t>Účastník tematického dialógu</w:t>
      </w:r>
      <w:r>
        <w:rPr>
          <w:rFonts w:ascii="Times New Roman" w:hAnsi="Times New Roman"/>
          <w:sz w:val="24"/>
        </w:rPr>
        <w:t xml:space="preserve"> </w:t>
      </w:r>
    </w:p>
    <w:p>
      <w:pPr>
        <w:pStyle w:val="P68B1DB1Normal19"/>
        <w:widowControl w:val="false"/>
        <w:spacing w:lineRule="auto" w:line="240"/>
        <w:ind w:left="0" w:right="0" w:hanging="0"/>
        <w:jc w:val="left"/>
        <w:rPr/>
      </w:pPr>
      <w:r>
        <w:rPr/>
        <w:t xml:space="preserve"> </w:t>
      </w:r>
    </w:p>
    <w:p>
      <w:pPr>
        <w:pStyle w:val="P68B1DB1Normal104"/>
        <w:widowControl w:val="false"/>
        <w:spacing w:lineRule="auto" w:line="240"/>
        <w:ind w:left="0" w:right="54" w:hanging="0"/>
        <w:jc w:val="left"/>
        <w:rPr/>
      </w:pPr>
      <w:r>
        <w:rPr/>
        <w:t xml:space="preserve">Pre Konferenciu o budúcnosti Európy bolo určených deväť tém. Tieto témy sú tiež jadrom dialógu o vízii Európy s holandskými občanmi. V októbri sme uverejnili priebežnú správu obsahujúcu počiatočný prehľad výsledkov a doplňujúce otázky založené na panelovom prieskume. V tejto druhej správe uvádzame stanoviská, nápady a odporúčania týkajúce sa prvých piatich tém pre plenárne zasadnutie Konferencie o budúcnosti Európy v decembri. Nasledujúca správa, ktorá sa bude zaoberať štyrmi zostávajúcimi témami, bude uverejnená v polovici januára. </w:t>
      </w:r>
    </w:p>
    <w:p>
      <w:pPr>
        <w:pStyle w:val="Normal"/>
        <w:rPr/>
      </w:pPr>
      <w:r>
        <w:rPr/>
        <w:t xml:space="preserve">Súčasná správa – december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Hodnoty a práva, právny štát a bezpečnosť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Silnejšie hospodárstvo, sociálna spravodlivosť a zamestnanosť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Európska demokracia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Digitálna transformácia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Vzdelávanie, kultúra, mládež a šport </w:t>
      </w:r>
    </w:p>
    <w:p>
      <w:pPr>
        <w:pStyle w:val="P68B1DB1Normal19"/>
        <w:widowControl w:val="false"/>
        <w:spacing w:lineRule="auto" w:line="240"/>
        <w:ind w:left="0" w:right="0" w:hanging="0"/>
        <w:jc w:val="left"/>
        <w:rPr/>
      </w:pPr>
      <w:r>
        <w:rPr/>
        <w:t xml:space="preserve"> </w:t>
      </w:r>
    </w:p>
    <w:p>
      <w:pPr>
        <w:pStyle w:val="P68B1DB1Normal69"/>
        <w:widowControl w:val="false"/>
        <w:spacing w:lineRule="auto" w:line="240"/>
        <w:ind w:left="0" w:right="0" w:hanging="0"/>
        <w:jc w:val="left"/>
        <w:rPr/>
      </w:pPr>
      <w:r>
        <w:rPr/>
        <w:t xml:space="preserve">Nasledujúca správa – január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Zmena klímy a životné prostredie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Migrácia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Zdravie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EÚ vo svete </w:t>
      </w:r>
    </w:p>
    <w:p>
      <w:pPr>
        <w:pStyle w:val="P68B1DB1Normal108"/>
        <w:widowControl w:val="false"/>
        <w:spacing w:lineRule="auto" w:line="240" w:before="35" w:after="0"/>
        <w:ind w:left="0" w:right="0" w:hanging="0"/>
        <w:jc w:val="left"/>
        <w:rPr/>
      </w:pPr>
      <w:r>
        <w:rPr/>
        <w:t xml:space="preserve">Ďalšie kroky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Konferencia o budúcnosti Európy spája myšlienky, stanoviská a odporúčania všetkých občanov EÚ. Stretnutia budú venované nielen výsledkom všetkých dialógov s občanmi na vnútroštátnej úrovni, ale aj výsledkom iných iniciatív, ktoré sa začali v kontexte konferencie. Existujú napríklad panely európskych občanov a všetci občania EÚ (vrátane holandských občanov) majú prístup k európskej digitálnej platforme. </w:t>
      </w:r>
    </w:p>
    <w:p>
      <w:pPr>
        <w:pStyle w:val="P68B1DB1Normal113"/>
        <w:widowControl w:val="false"/>
        <w:spacing w:lineRule="auto" w:line="240" w:before="203" w:after="0"/>
        <w:ind w:left="1080" w:right="1083" w:hanging="0"/>
        <w:jc w:val="center"/>
        <w:rPr/>
      </w:pPr>
      <w:r>
        <w:rPr/>
        <w:t>„</w:t>
      </w:r>
      <w:r>
        <w:rPr/>
        <w:t xml:space="preserve">Je dobré, že EÚ túto iniciatívu preberá. Dúfam, že sa skutočne zohľadnia výsledky. </w:t>
      </w:r>
    </w:p>
    <w:p>
      <w:pPr>
        <w:pStyle w:val="P68B1DB1Normal104"/>
        <w:widowControl w:val="false"/>
        <w:spacing w:lineRule="auto" w:line="240" w:before="307" w:after="0"/>
        <w:ind w:left="0" w:right="0" w:hanging="0"/>
        <w:jc w:val="left"/>
        <w:rPr/>
      </w:pPr>
      <w:r>
        <w:rPr/>
        <w:t xml:space="preserve">Účastník tematického dialógu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Konferencia sa skončí na jar 2022. Holandsko potom vypracuje záverečnú správu o dialógu s občanmi: zostavenie tejto správy a nasledujúcej správy (vrátane iných tém). V nadväznosti na konferenciu sa predsedovi konferencie predložia odporúčania: predsedovia Európskeho parlamentu, Rady ministrov a Európskej komisie. Zaviazali sa preskúmať spôsoby a prostriedky vykonávania odporúčaní. Pre holandskú vládu sú výsledky tiež cenným príspevkom k rozvoju holandských európskych politík.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V súhrne sa proces do jari 2022 zorganizuje takto: </w:t>
      </w:r>
      <w:r>
        <w:br w:type="page"/>
      </w:r>
    </w:p>
    <w:p>
      <w:pPr>
        <w:pStyle w:val="P68B1DB1Normal107"/>
        <w:spacing w:lineRule="auto" w:line="240"/>
        <w:rPr/>
      </w:pPr>
      <w:r>
        <w:rPr/>
        <w:t xml:space="preserve">Chronológia </w:t>
      </w:r>
    </w:p>
    <w:p>
      <w:pPr>
        <w:pStyle w:val="P68B1DB1Normal114"/>
        <w:spacing w:lineRule="auto" w:line="240"/>
        <w:rPr/>
      </w:pPr>
      <w:r>
        <w:rPr/>
        <w:t xml:space="preserve">Vízia Európy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1"/>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Prvých sedem.</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12. októbra</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22. a 23. októbra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15. novembra.</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17.18. december</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21/22 januára</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22/24 Apríl</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Zbieranie nápadov online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Tematické dialógy</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Priebežné výsledky (prostredná správa)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Predbežná správa o „hospodárstve“ a „Demokracii“</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Predbežná správa o klíme a EÚ vo svete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Záverečná správa „Naša vízia pre Európu“</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ZOBRAZIŤ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ZOBRAZIŤ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ZOBRAZIŤ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ZOBRAZIŤ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Stretnutie konferencie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Stretnutie konferencie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Stretnutie konferencie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Ukončenie konferencie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 xml:space="preserve">Odporúčania pre predsedov </w:t>
              <w:br/>
              <w:t xml:space="preserve">• Európsky parlament </w:t>
              <w:br/>
              <w:t xml:space="preserve">• Európska komisia </w:t>
              <w:br/>
              <w:t>• Rada ministrov</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3"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Viac názorov a nápadov na budúcnosť Európy:</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Dialógy s občanmi</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Európske panelové diskusie občanov</w:t>
            </w:r>
          </w:p>
        </w:tc>
        <w:tc>
          <w:tcPr>
            <w:tcW w:w="384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Európska digitálna platforma (aj pre holandských občanov)</w:t>
            </w:r>
          </w:p>
        </w:tc>
      </w:tr>
    </w:tbl>
    <w:p>
      <w:pPr>
        <w:pStyle w:val="Normal"/>
        <w:spacing w:lineRule="auto" w:line="240"/>
        <w:rPr/>
      </w:pPr>
      <w:r>
        <w:rPr/>
      </w:r>
    </w:p>
    <w:p>
      <w:pPr>
        <w:pStyle w:val="P68B1DB1Normal107"/>
        <w:spacing w:lineRule="auto" w:line="240"/>
        <w:ind w:left="0" w:right="0" w:hanging="0"/>
        <w:rPr/>
      </w:pPr>
      <w:r>
        <w:rPr/>
        <w:t xml:space="preserve">Vysvetlenie na uľahčenie čítania </w:t>
      </w:r>
    </w:p>
    <w:p>
      <w:pPr>
        <w:pStyle w:val="P68B1DB1Normal104"/>
        <w:widowControl w:val="false"/>
        <w:spacing w:lineRule="auto" w:line="240" w:before="125" w:after="0"/>
        <w:ind w:left="0" w:right="0" w:hanging="0"/>
        <w:jc w:val="left"/>
        <w:rPr/>
      </w:pPr>
      <w:r>
        <w:rPr/>
        <w:t xml:space="preserve">V tejto správe sme diskutovali o piatich témach. Pre každú tému sme postupne zahrnuli: </w:t>
      </w:r>
    </w:p>
    <w:p>
      <w:pPr>
        <w:pStyle w:val="P68B1DB1Normal104"/>
        <w:widowControl w:val="false"/>
        <w:spacing w:lineRule="auto" w:line="240"/>
        <w:ind w:left="0" w:right="0" w:hanging="0"/>
        <w:jc w:val="left"/>
        <w:rPr/>
      </w:pPr>
      <w:r>
        <w:rPr/>
        <w:t xml:space="preserve">odporúčania založené na všetkých aspektoch dialógu s občanmi; </w:t>
      </w:r>
    </w:p>
    <w:p>
      <w:pPr>
        <w:pStyle w:val="P68B1DB1Normal104"/>
        <w:widowControl w:val="false"/>
        <w:spacing w:lineRule="auto" w:line="240" w:before="1" w:after="0"/>
        <w:ind w:left="0" w:right="0" w:hanging="0"/>
        <w:jc w:val="left"/>
        <w:rPr/>
      </w:pPr>
      <w:r>
        <w:rPr/>
        <w:t xml:space="preserve">prehľad názorov, myšlienok a názorov vymenených (online a s fyzickou prítomnosťou) počas tematických dialógov a návrhov z online prieskumu slovami a obrázkami.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Opis metodiky použitej v prieskume možno nájsť na konci tejto správy. </w:t>
      </w:r>
    </w:p>
    <w:p>
      <w:pPr>
        <w:pStyle w:val="P68B1DB1Normal19"/>
        <w:widowControl w:val="false"/>
        <w:spacing w:lineRule="exact" w:line="388"/>
        <w:ind w:left="0" w:right="0" w:hanging="0"/>
        <w:jc w:val="left"/>
        <w:rPr/>
      </w:pPr>
      <w:r>
        <w:rPr/>
        <w:t xml:space="preserve"> </w:t>
      </w:r>
    </w:p>
    <w:p>
      <w:pPr>
        <w:pStyle w:val="Normal"/>
        <w:spacing w:lineRule="auto" w:line="240"/>
        <w:rPr/>
      </w:pPr>
      <w:r>
        <w:rPr/>
      </w:r>
      <w:r>
        <w:br w:type="page"/>
      </w:r>
    </w:p>
    <w:p>
      <w:pPr>
        <w:pStyle w:val="P68B1DB1Normal117"/>
        <w:spacing w:lineRule="auto" w:line="240"/>
        <w:ind w:left="0" w:right="0" w:hanging="0"/>
        <w:rPr/>
      </w:pPr>
      <w:r>
        <w:rPr/>
        <w:t xml:space="preserve">Hodnoty a práva, právny štát a bezpečnosť </w:t>
      </w:r>
    </w:p>
    <w:p>
      <w:pPr>
        <w:pStyle w:val="P68B1DB1Normal104"/>
        <w:widowControl w:val="false"/>
        <w:spacing w:lineRule="auto" w:line="240" w:before="36" w:after="0"/>
        <w:ind w:left="0" w:right="0" w:hanging="0"/>
        <w:jc w:val="both"/>
        <w:rPr/>
      </w:pPr>
      <w:r>
        <w:rPr/>
        <w:t xml:space="preserve">EÚ monitoruje právny štát vo všetkých krajinách EÚ a snaží sa znížiť nerovnosti v rámci EÚ. EÚ chce tiež chrániť všetkých Európanov pred terorizmom a kriminalitou. Na dosiahnutie tohto cieľa EÚ zavádza opatrenia a pravidlá a krajiny EÚ intenzívne spolupracujú. </w:t>
      </w:r>
    </w:p>
    <w:p>
      <w:pPr>
        <w:pStyle w:val="P68B1DB1Normal104"/>
        <w:widowControl w:val="false"/>
        <w:spacing w:lineRule="auto" w:line="240" w:before="32" w:after="0"/>
        <w:ind w:left="0" w:right="0" w:hanging="0"/>
        <w:jc w:val="left"/>
        <w:rPr/>
      </w:pPr>
      <w:r>
        <w:rPr/>
        <w:t xml:space="preserve"> </w:t>
      </w:r>
      <w:r>
        <w:rPr/>
        <w:t xml:space="preserve">Aká je vízia Holandska? </w:t>
      </w:r>
    </w:p>
    <w:p>
      <w:pPr>
        <w:pStyle w:val="P68B1DB1Normal19"/>
        <w:widowControl w:val="false"/>
        <w:spacing w:lineRule="auto" w:line="240" w:before="23" w:after="0"/>
        <w:ind w:left="0" w:right="0" w:hanging="0"/>
        <w:jc w:val="left"/>
        <w:rPr/>
      </w:pPr>
      <w:r>
        <w:rPr/>
        <w:t xml:space="preserve"> </w:t>
      </w:r>
    </w:p>
    <w:p>
      <w:pPr>
        <w:pStyle w:val="P68B1DB1Normal108"/>
        <w:widowControl w:val="false"/>
        <w:spacing w:lineRule="auto" w:line="240" w:before="18" w:after="0"/>
        <w:ind w:left="0" w:right="0" w:hanging="0"/>
        <w:jc w:val="left"/>
        <w:rPr/>
      </w:pPr>
      <w:r>
        <w:rPr/>
        <w:t xml:space="preserve">Odporúčania – Naša vízia bezpečnosti a právneho štátu </w:t>
      </w:r>
    </w:p>
    <w:p>
      <w:pPr>
        <w:pStyle w:val="P68B1DB1Normal69"/>
        <w:widowControl w:val="false"/>
        <w:spacing w:lineRule="auto" w:line="240" w:before="41" w:after="0"/>
        <w:ind w:left="0" w:right="0" w:hanging="0"/>
        <w:jc w:val="left"/>
        <w:rPr/>
      </w:pPr>
      <w:r>
        <w:rPr/>
        <w:t xml:space="preserve">68 % Holanďanov sa domnieva, že bezpečnosť a právny štát sú dôležitou otázkou a že EÚ musí v tejto oblasti zasiahnuť. </w:t>
      </w:r>
    </w:p>
    <w:p>
      <w:pPr>
        <w:pStyle w:val="P68B1DB1Normal111"/>
        <w:widowControl w:val="false"/>
        <w:spacing w:lineRule="auto" w:line="240" w:before="16" w:after="0"/>
        <w:ind w:left="0" w:right="0" w:hanging="0"/>
        <w:jc w:val="left"/>
        <w:rPr/>
      </w:pPr>
      <w:r>
        <w:rPr/>
        <w:t xml:space="preserve">1. Uistite sa, že každý sa môže cítiť slobodne a bezpečne </w:t>
      </w:r>
    </w:p>
    <w:p>
      <w:pPr>
        <w:pStyle w:val="P68B1DB1Normal104"/>
        <w:widowControl w:val="false"/>
        <w:spacing w:lineRule="auto" w:line="240" w:before="25" w:after="0"/>
        <w:ind w:left="0" w:right="0" w:hanging="0"/>
        <w:jc w:val="left"/>
        <w:rPr/>
      </w:pPr>
      <w:r>
        <w:rPr/>
        <w:t xml:space="preserve">78 % Holanďanov sa domnieva, že je dôležité, aby EÚ chránila právny štát a naše základné práva a slobody. A tiež kladieme dôraz na ochranu práv spotrebiteľov: prevažná väčšina občanov sa domnieva, že je dobré, že EÚ vyžaduje, aby výrobcovia uviedli rovnaké informácie na etiketách vo všetkých krajinách. Veľký počet Holanďanov sa však domnieva, že EÚ musí venovať pozornosť rozdielom v tradíciách a kultúrach (riadenia) v Európe. A to, okrem iného, pretože inak by bolo ťažké efektívne spolupracovať. Domnievame sa, že je obzvlášť dôležité, aby sa každý cítil v Európe slobodný a bezpečný. To zahŕňa strechu nad hlavou, ale aj vzdelávanie a starostlivosť. A to sa týka aj skutočnosti, že výrobky nájdené v európskych obchodoch sú </w:t>
      </w:r>
    </w:p>
    <w:p>
      <w:pPr>
        <w:pStyle w:val="P68B1DB1Normal104"/>
        <w:widowControl w:val="false"/>
        <w:spacing w:lineRule="auto" w:line="240"/>
        <w:ind w:left="0" w:right="0" w:hanging="0"/>
        <w:jc w:val="left"/>
        <w:rPr/>
      </w:pPr>
      <w:r>
        <w:rPr/>
        <w:t xml:space="preserve">vždy som si istý. </w:t>
      </w:r>
    </w:p>
    <w:p>
      <w:pPr>
        <w:pStyle w:val="P68B1DB1Normal111"/>
        <w:widowControl w:val="false"/>
        <w:spacing w:lineRule="auto" w:line="240" w:before="29" w:after="0"/>
        <w:ind w:left="0" w:right="0" w:hanging="0"/>
        <w:jc w:val="left"/>
        <w:rPr/>
      </w:pPr>
      <w:r>
        <w:rPr/>
        <w:t xml:space="preserve">2. Rozšírenie EÚ len vtedy, ak prináša pridanú hodnotu </w:t>
      </w:r>
    </w:p>
    <w:p>
      <w:pPr>
        <w:pStyle w:val="P68B1DB1Normal104"/>
        <w:widowControl w:val="false"/>
        <w:spacing w:lineRule="auto" w:line="240" w:before="25" w:after="0"/>
        <w:ind w:left="0" w:right="0" w:hanging="0"/>
        <w:jc w:val="left"/>
        <w:rPr/>
      </w:pPr>
      <w:r>
        <w:rPr/>
        <w:t xml:space="preserve">44 % Holanďanov si nemyslí, že EÚ by sa mala rozšíriť do viacerých krajín. Na druhej strane 25 % je za rozšírenie. Poznamenávame, že medzi súčasnými členskými štátmi je už veľa diskusií. Mnohí Holanďania si myslia, že sa musíme najprv zamerať na túto otázku. A ak sa nové krajiny pripoja k Únii, musia byť skutočne schopné splniť naše podmienky. Dnes a v budúcnosti. Mnohí Holanďania sa domnievajú, že súčasné členské štáty musia vnímať aj pridanú hodnotu rozšírenia. Veríme tiež, že existujú aj ďalšie príležitosti na spoluprácu ako krajina pre bezpečnosť a stabilitu. Napríklad nás niekedy znepokojuje vplyv Ruska na krajiny na východnej hranici EÚ. Je dôležité, aby EÚ venovala pozornosť. </w:t>
      </w:r>
    </w:p>
    <w:p>
      <w:pPr>
        <w:pStyle w:val="P68B1DB1Normal19"/>
        <w:widowControl w:val="false"/>
        <w:spacing w:lineRule="auto" w:line="240" w:before="21" w:after="0"/>
        <w:ind w:left="0" w:right="0" w:hanging="0"/>
        <w:jc w:val="left"/>
        <w:rPr/>
      </w:pPr>
      <w:r>
        <w:rPr/>
        <w:t xml:space="preserve"> </w:t>
      </w:r>
    </w:p>
    <w:p>
      <w:pPr>
        <w:pStyle w:val="P68B1DB1Normal113"/>
        <w:widowControl w:val="false"/>
        <w:spacing w:lineRule="auto" w:line="240" w:before="28" w:after="0"/>
        <w:ind w:left="0" w:right="0" w:hanging="0"/>
        <w:jc w:val="center"/>
        <w:rPr/>
      </w:pPr>
      <w:r>
        <w:rPr/>
        <w:t>„</w:t>
      </w:r>
      <w:r>
        <w:rPr/>
        <w:t xml:space="preserve">Rozšírenie by sa nemalo zameriavať na náklady a prínosy, ale na víziu stability.“ </w:t>
      </w:r>
    </w:p>
    <w:p>
      <w:pPr>
        <w:pStyle w:val="P68B1DB1Normal111"/>
        <w:widowControl w:val="false"/>
        <w:spacing w:lineRule="auto" w:line="240" w:before="40" w:after="0"/>
        <w:ind w:left="0" w:right="0" w:hanging="0"/>
        <w:jc w:val="left"/>
        <w:rPr/>
      </w:pPr>
      <w:r>
        <w:rPr/>
        <w:t xml:space="preserve">3. Spolupráca najmä v boji proti medzinárodnej trestnej činnosti a terorizmu </w:t>
      </w:r>
    </w:p>
    <w:p>
      <w:pPr>
        <w:pStyle w:val="P68B1DB1Normal104"/>
        <w:widowControl w:val="false"/>
        <w:spacing w:lineRule="auto" w:line="240" w:before="26" w:after="0"/>
        <w:ind w:left="0" w:right="0" w:hanging="0"/>
        <w:jc w:val="left"/>
        <w:rPr/>
      </w:pPr>
      <w:r>
        <w:rPr/>
        <w:t xml:space="preserve">68 % holandských občanov sa domnieva, že bezpečnostné služby EÚ by mali zdieľať svoje informácie. Domnievame sa však, že je dôležité, aby krajiny mohli sčasti aj naďalej rozhodovať o tom, aké informácie chcú alebo nechcú poskytnúť. Zdieľanie všetkých informácií rýchlo spôsobuje, že spolupráca je neúčinná. EÚ je dnes taká veľká, že musíme naďalej kriticky skúmať, kde prichádzajú alebo sa pravdepodobne stanú citlivé informácie. Chceme aj naďalej veriť, že naše súkromie je chránené. Domnievame sa, že predovšetkým má zmysel spolupracovať v boji proti závažnej medzinárodnej trestnej činnosti, ako je počítačová kriminalita, obchodovanie s drogami a terorizmus. </w:t>
      </w:r>
    </w:p>
    <w:p>
      <w:pPr>
        <w:pStyle w:val="P68B1DB1Normal113"/>
        <w:widowControl w:val="false"/>
        <w:spacing w:lineRule="auto" w:line="240" w:before="28" w:after="0"/>
        <w:ind w:left="0" w:right="0" w:hanging="0"/>
        <w:jc w:val="center"/>
        <w:rPr/>
      </w:pPr>
      <w:r>
        <w:rPr/>
        <w:t xml:space="preserve">Ak raz spálite červené svetlo v Holandsku, naozaj nie je dôvod na to, aby to bolo známe v Španielsku. </w:t>
      </w:r>
    </w:p>
    <w:p>
      <w:pPr>
        <w:pStyle w:val="P68B1DB1Normal19"/>
        <w:widowControl w:val="false"/>
        <w:spacing w:lineRule="auto" w:line="240" w:before="44" w:after="0"/>
        <w:ind w:left="0" w:right="0" w:hanging="0"/>
        <w:jc w:val="left"/>
        <w:rPr/>
      </w:pPr>
      <w:r>
        <w:rPr/>
        <w:t xml:space="preserve"> </w:t>
      </w:r>
    </w:p>
    <w:p>
      <w:pPr>
        <w:pStyle w:val="P68B1DB1Normal108"/>
        <w:spacing w:lineRule="auto" w:line="240"/>
        <w:ind w:left="0" w:right="0" w:hanging="0"/>
        <w:rPr/>
      </w:pPr>
      <w:r>
        <w:rPr/>
        <w:t xml:space="preserve">Online diskusie a nápady na mieste </w:t>
      </w:r>
    </w:p>
    <w:p>
      <w:pPr>
        <w:pStyle w:val="P68B1DB1Normal118"/>
        <w:widowControl w:val="false"/>
        <w:spacing w:lineRule="auto" w:line="240" w:before="118" w:after="0"/>
        <w:ind w:left="0" w:right="0" w:hanging="0"/>
        <w:jc w:val="left"/>
        <w:rPr/>
      </w:pPr>
      <w:r>
        <w:rPr/>
        <w:t xml:space="preserve">Ak trestáte krajinu, ktorá nedodržiava pravidlá, sú to najchudobnejší obyvatelia tejto krajiny, ktorí sú prvými obeťami. To je dôvod, prečo si myslím, že je lepšie hovoriť ako sankcionovať. </w:t>
      </w:r>
    </w:p>
    <w:p>
      <w:pPr>
        <w:pStyle w:val="P68B1DB1Normal118"/>
        <w:widowControl w:val="false"/>
        <w:spacing w:lineRule="auto" w:line="240" w:before="87" w:after="0"/>
        <w:ind w:left="0" w:right="0" w:hanging="0"/>
        <w:jc w:val="left"/>
        <w:rPr/>
      </w:pPr>
      <w:r>
        <w:rPr/>
        <w:t xml:space="preserve">V prvom rade musíme zabezpečiť stabilitu v súčasnom klube. A potom len premýšľajte o rozširovaní. </w:t>
      </w:r>
    </w:p>
    <w:p>
      <w:pPr>
        <w:pStyle w:val="P68B1DB1Normal118"/>
        <w:widowControl w:val="false"/>
        <w:spacing w:lineRule="auto" w:line="240" w:before="85" w:after="0"/>
        <w:ind w:left="0" w:right="392" w:hanging="0"/>
        <w:jc w:val="left"/>
        <w:rPr/>
      </w:pPr>
      <w:r>
        <w:rPr/>
        <w:t xml:space="preserve">Musíme tiež kriticky preskúmať náš vlastný právny štát. Určite existuje jedna alebo druhá porucha. </w:t>
      </w:r>
    </w:p>
    <w:p>
      <w:pPr>
        <w:pStyle w:val="P68B1DB1Normal118"/>
        <w:widowControl w:val="false"/>
        <w:spacing w:lineRule="auto" w:line="240" w:before="85" w:after="0"/>
        <w:ind w:left="0" w:right="244" w:hanging="0"/>
        <w:jc w:val="left"/>
        <w:rPr/>
      </w:pPr>
      <w:r>
        <w:rPr/>
        <w:t xml:space="preserve">NÁPAD: „Stanoviť prísne pravidlá bezúhonnosti pre politikov v celej Európe, aby sa zabránilo ich príliš ľahkému ovplyvňovaniu.“ </w:t>
      </w:r>
    </w:p>
    <w:p>
      <w:pPr>
        <w:pStyle w:val="P68B1DB1Normal118"/>
        <w:widowControl w:val="false"/>
        <w:spacing w:lineRule="auto" w:line="240" w:before="85" w:after="0"/>
        <w:ind w:left="0" w:right="0" w:hanging="0"/>
        <w:jc w:val="left"/>
        <w:rPr/>
      </w:pPr>
      <w:r>
        <w:rPr/>
        <w:t xml:space="preserve">NÁPAD: „Posilniť spoluprácu medzi políciou a súdnictvom v krajinách EÚ.“ </w:t>
      </w:r>
    </w:p>
    <w:p>
      <w:pPr>
        <w:pStyle w:val="P68B1DB1Normal111"/>
        <w:widowControl w:val="false"/>
        <w:spacing w:lineRule="auto" w:line="240" w:before="84" w:after="0"/>
        <w:ind w:left="0" w:right="67" w:hanging="0"/>
        <w:jc w:val="left"/>
        <w:rPr/>
      </w:pPr>
      <w:r>
        <w:rPr/>
        <w:t xml:space="preserve">Doetinchem Odborná stredná škola Študenti: Tí, ktorí chcú byť súčasťou EÚ, musia dodržiavať pravidlá. </w:t>
      </w:r>
    </w:p>
    <w:p>
      <w:pPr>
        <w:pStyle w:val="P68B1DB1Normal104"/>
        <w:widowControl w:val="false"/>
        <w:spacing w:lineRule="auto" w:line="240" w:before="100" w:after="0"/>
        <w:ind w:left="0" w:right="0" w:hanging="0"/>
        <w:jc w:val="left"/>
        <w:rPr/>
      </w:pPr>
      <w:r>
        <w:rPr/>
        <w:t xml:space="preserve">Na Graafschap College v Doetincheme asi 20 študentov ošetrovateľstva diskutovalo o otázke, aké sú podľa ich názoru najväčšie výhody EÚ: voľný trh, euro ako spoločná mena a skutočnosť, že ako Európan sa môže ľahko usadiť a pracovať v iných krajinách EÚ. A skutočnosť, že krajiny EÚ sa môžu navzájom podporovať. Únia je silná," povedal jeden z prítomných študentov. Diskutovalo sa aj o dôležitosti pravidiel. Ak ich krajiny nerešpektujú, často je ťažké ich tvrdo potrestať. Podľa študentov by mohlo byť užitočné, aby sa to stalo trochu jednoduchším. Jeden z nich tiež spomenul odstrašujúci účinok. Ak uložíte prísne sankcie, iné krajiny vidia, čo sa môže stať, keď nedodržiavate pravidlá. </w:t>
      </w:r>
    </w:p>
    <w:p>
      <w:pPr>
        <w:pStyle w:val="P68B1DB1Normal111"/>
        <w:widowControl w:val="false"/>
        <w:spacing w:lineRule="auto" w:line="240" w:before="88" w:after="0"/>
        <w:ind w:left="0" w:right="0" w:hanging="0"/>
        <w:jc w:val="left"/>
        <w:rPr/>
      </w:pPr>
      <w:r>
        <w:rPr/>
        <w:t xml:space="preserve">Hinduisti zo Surinamu do Utrechtu: Niekedy chýba dôvera v právny štát </w:t>
      </w:r>
    </w:p>
    <w:p>
      <w:pPr>
        <w:pStyle w:val="Normal"/>
        <w:widowControl w:val="false"/>
        <w:spacing w:lineRule="auto" w:line="240" w:before="97" w:after="0"/>
        <w:ind w:left="0" w:right="34" w:hanging="0"/>
        <w:jc w:val="left"/>
        <w:rPr>
          <w:rFonts w:ascii="Calibri" w:hAnsi="Calibri"/>
          <w:color w:val="000000"/>
          <w:sz w:val="21"/>
        </w:rPr>
      </w:pPr>
      <w:r>
        <w:rPr>
          <w:rFonts w:ascii="Calibri" w:hAnsi="Calibri"/>
          <w:color w:val="000000"/>
          <w:sz w:val="21"/>
        </w:rPr>
        <w:t xml:space="preserve">Nadácia Asha je organizácia hinduistických dobrovoľníkov zo Surinamu v obci Utrecht. Účastníci tematického dialógu diskutovali najmä o význame práv občanov: právo mať strechu nad hlavou, ale napríklad aj právo na nediskrimináciu. Podľa prítomných dobrovoľníkov musia existovať pravidlá, ktoré chránia tieto práva pre všetkých európskych občanov. Nie je vždy známe, čo je v súčasnosti regulované v Holandsku a čo je v súčasnosti regulované na európskej úrovni. V dôsledku toho je niekedy ťažké získať dôveru vo verejné orgány. Najmä preto, že niekedy dochádza k určitým poruchám v rámci verejných orgánov. „Môžete povedať, že úrady ma musia brániť, ale niekedy sa im podarí zasiať pádlo, ako to bolo v prípade príspevku,“ povedal jeden z účastníkov. „EÚ by mala zabezpečiť, aby sa pravidlá skutočne dodržiavali,“ uviedol ďalší účastník. </w:t>
      </w:r>
      <w:r>
        <w:br w:type="page"/>
      </w:r>
    </w:p>
    <w:p>
      <w:pPr>
        <w:pStyle w:val="P68B1DB1Normal117"/>
        <w:spacing w:lineRule="auto" w:line="240"/>
        <w:ind w:left="0" w:right="0" w:hanging="0"/>
        <w:rPr/>
      </w:pPr>
      <w:r>
        <w:rPr/>
        <w:t xml:space="preserve">Silnejšie hospodárstvo, sociálna spravodlivosť a zamestnanosť </w:t>
      </w:r>
    </w:p>
    <w:p>
      <w:pPr>
        <w:pStyle w:val="P68B1DB1Normal104"/>
        <w:widowControl w:val="false"/>
        <w:spacing w:lineRule="auto" w:line="240" w:before="139" w:after="0"/>
        <w:ind w:left="0" w:right="0" w:hanging="0"/>
        <w:jc w:val="left"/>
        <w:rPr/>
      </w:pPr>
      <w:r>
        <w:rPr/>
        <w:t xml:space="preserve">Malé a stredné podniky sú oporou európskeho hospodárstva. EÚ preto chce, aby krajiny EÚ spolupracovali na plánoch obnovy s cieľom vyjsť z krízy spôsobenej ochorením COVID-19 hospodársky silnejším. Z dlhodobého hľadiska je cieľom EÚ urobiť európske hospodárstvo zdravším, ekologickejším a digitálnym. Aká je vízia Holandska? </w:t>
      </w:r>
    </w:p>
    <w:p>
      <w:pPr>
        <w:pStyle w:val="P68B1DB1Normal19"/>
        <w:widowControl w:val="false"/>
        <w:spacing w:lineRule="auto" w:line="240"/>
        <w:ind w:left="0" w:right="0" w:hanging="0"/>
        <w:jc w:val="left"/>
        <w:rPr/>
      </w:pPr>
      <w:r>
        <w:rPr/>
        <w:t xml:space="preserve"> </w:t>
      </w:r>
    </w:p>
    <w:p>
      <w:pPr>
        <w:pStyle w:val="P68B1DB1Normal108"/>
        <w:widowControl w:val="false"/>
        <w:spacing w:lineRule="auto" w:line="240" w:before="18" w:after="0"/>
        <w:ind w:left="0" w:right="0" w:hanging="0"/>
        <w:jc w:val="left"/>
        <w:rPr/>
      </w:pPr>
      <w:r>
        <w:rPr/>
        <w:t xml:space="preserve">Odporúčania – Naša vízia hospodárstva a zamestnanosti </w:t>
      </w:r>
    </w:p>
    <w:p>
      <w:pPr>
        <w:pStyle w:val="P68B1DB1Normal35"/>
        <w:widowControl w:val="false"/>
        <w:spacing w:lineRule="auto" w:line="240" w:before="123" w:after="0"/>
        <w:ind w:left="0" w:right="0" w:hanging="0"/>
        <w:jc w:val="left"/>
        <w:rPr/>
      </w:pPr>
      <w:r>
        <w:rPr>
          <w:rFonts w:ascii="Calibri" w:hAnsi="Calibri"/>
          <w:sz w:val="20"/>
        </w:rPr>
        <w:t>61 % Holanďanov sa domnieva, že hospodárstvo a zamestnanosť sú dôležitou témou a že EÚ musí v tejto oblasti zasiahnuť.</w:t>
      </w:r>
      <w:r>
        <w:rPr>
          <w:rFonts w:ascii="Times New Roman" w:hAnsi="Times New Roman"/>
          <w:sz w:val="24"/>
        </w:rPr>
        <w:t xml:space="preserve"> </w:t>
      </w:r>
    </w:p>
    <w:p>
      <w:pPr>
        <w:pStyle w:val="P68B1DB1Normal111"/>
        <w:widowControl w:val="false"/>
        <w:spacing w:lineRule="auto" w:line="240" w:before="6" w:after="0"/>
        <w:ind w:left="0" w:right="0" w:hanging="0"/>
        <w:jc w:val="left"/>
        <w:rPr/>
      </w:pPr>
      <w:r>
        <w:rPr/>
        <w:t xml:space="preserve">1. Berte do úvahy spoločné aspekty a rozdiely </w:t>
      </w:r>
    </w:p>
    <w:p>
      <w:pPr>
        <w:pStyle w:val="P68B1DB1Normal104"/>
        <w:widowControl w:val="false"/>
        <w:spacing w:lineRule="auto" w:line="240" w:before="97" w:after="0"/>
        <w:ind w:left="0" w:right="0" w:hanging="0"/>
        <w:jc w:val="left"/>
        <w:rPr/>
      </w:pPr>
      <w:r>
        <w:rPr/>
        <w:t xml:space="preserve">71 % Holanďanov sa domnieva, že EÚ by mala zabezpečiť väčšiu spoluprácu podnikov, a tým posilniť európske hospodárstvo. Z týchto ľudí si však len malá časť myslí, že EÚ musí podnikom platiť viac peňazí. Predovšetkým sa domnievame, že spolupráca môže byť účinnejšia. Dnes vidíme, že rôzne spoločnosti investujú do tej istej novej technológie, niekedy dokonca aj z verejných zdrojov. Ak by sme mali európsku víziu hospodárstva, mohli by sme tieto peniaze využívať efektívnejšie. Pri tom by sa však mala venovať osobitná pozornosť rozdielom medzi jednotlivými krajinami. </w:t>
      </w:r>
    </w:p>
    <w:p>
      <w:pPr>
        <w:pStyle w:val="P68B1DB1Normal113"/>
        <w:widowControl w:val="false"/>
        <w:spacing w:lineRule="auto" w:line="240" w:before="306" w:after="0"/>
        <w:ind w:left="0" w:right="0" w:hanging="0"/>
        <w:jc w:val="center"/>
        <w:rPr/>
      </w:pPr>
      <w:r>
        <w:rPr/>
        <w:t xml:space="preserve">Poľnohospodársky sektor v Holandsku je taký moderný. Nie vždy je možné ho porovnávať s inými krajinami. </w:t>
      </w:r>
    </w:p>
    <w:p>
      <w:pPr>
        <w:pStyle w:val="P68B1DB1Normal111"/>
        <w:widowControl w:val="false"/>
        <w:spacing w:lineRule="auto" w:line="240" w:before="297" w:after="0"/>
        <w:ind w:left="0" w:right="0" w:hanging="0"/>
        <w:jc w:val="left"/>
        <w:rPr/>
      </w:pPr>
      <w:r>
        <w:rPr/>
        <w:t xml:space="preserve">2. Intenzívnejšie využívanie silných stránok Európy </w:t>
      </w:r>
    </w:p>
    <w:p>
      <w:pPr>
        <w:pStyle w:val="P68B1DB1Normal104"/>
        <w:widowControl w:val="false"/>
        <w:spacing w:lineRule="auto" w:line="240" w:before="97" w:after="0"/>
        <w:ind w:left="0" w:right="0" w:hanging="0"/>
        <w:jc w:val="left"/>
        <w:rPr/>
      </w:pPr>
      <w:r>
        <w:rPr/>
        <w:t>Holanďania sa domnievajú, že existuje veľa príležitostí na posilnenie európskeho hospodárstva, ale že je potrebné prijať rozhodnutia. Preto sa domnievame, že EÚ by sa mala zamerať predovšetkým na svoje silné stránky. Napríklad si myslíme, že Európa je dobrá v</w:t>
      </w:r>
    </w:p>
    <w:p>
      <w:pPr>
        <w:pStyle w:val="P68B1DB1Normal104"/>
        <w:widowControl w:val="false"/>
        <w:spacing w:lineRule="auto" w:line="240"/>
        <w:ind w:left="0" w:right="0" w:hanging="0"/>
        <w:jc w:val="left"/>
        <w:rPr/>
      </w:pPr>
      <w:r>
        <w:rPr/>
        <w:t xml:space="preserve"> </w:t>
      </w:r>
      <w:r>
        <w:rPr/>
        <w:t xml:space="preserve">oblasti, ako je digitálna transformácia, udržateľnosť a infraštruktúra. A čo je možno dôležitejšie: obhajujeme kvalitu a rozmanitosť. Práve rozmanitosť nášho kontinentu s rôznymi názormi a myšlienkami musíme využívať oveľa viac ako hospodársku výhodu. To môže Európe umožniť odlíšiť sa napríklad od čínskeho hospodárstva. </w:t>
      </w:r>
    </w:p>
    <w:p>
      <w:pPr>
        <w:pStyle w:val="P68B1DB1Normal111"/>
        <w:widowControl w:val="false"/>
        <w:spacing w:lineRule="auto" w:line="240" w:before="40" w:after="0"/>
        <w:ind w:left="0" w:right="0" w:hanging="0"/>
        <w:jc w:val="left"/>
        <w:rPr/>
      </w:pPr>
      <w:r>
        <w:rPr/>
        <w:t xml:space="preserve">3. Vytvorenie spravodlivého a jasného daňového systému </w:t>
      </w:r>
    </w:p>
    <w:p>
      <w:pPr>
        <w:pStyle w:val="P68B1DB1Normal104"/>
        <w:widowControl w:val="false"/>
        <w:spacing w:lineRule="auto" w:line="240" w:before="95" w:after="0"/>
        <w:ind w:left="0" w:right="0" w:hanging="0"/>
        <w:jc w:val="left"/>
        <w:rPr/>
      </w:pPr>
      <w:r>
        <w:rPr/>
        <w:t xml:space="preserve">82 % holandských občanov sa domnieva, že krajiny EÚ musia spoločne zabezpečiť, aby všetky spoločnosti EÚ platili spravodlivé dane. Týka sa to veľmi veľkých spoločností. Dnes sa niekedy usadzujú v iných krajinách z jednoduchého dôvodu, že platia menej daní. EÚ by mala bojovať proti tomuto javu, napríklad stanovením minimálnej sadzby pre všetky krajiny. Na druhej strane sa domnievame, že zdaňovanie je právomocou, ktorá patrí do krajín, ktoré majú svoje vlastné ciele a kontext. Domnievame sa, že zdaňovanie je vo všeobecnosti zložitá otázka. Práve z tohto dôvodu by sme chceli lepší daňový systém, ktorý je spravodlivý a jasný pre všetkých v Európe. </w:t>
      </w:r>
    </w:p>
    <w:p>
      <w:pPr>
        <w:pStyle w:val="P68B1DB1Normal113"/>
        <w:widowControl w:val="false"/>
        <w:spacing w:lineRule="auto" w:line="240" w:before="256" w:after="0"/>
        <w:ind w:left="0" w:right="0" w:hanging="0"/>
        <w:jc w:val="center"/>
        <w:rPr/>
      </w:pPr>
      <w:r>
        <w:rPr/>
        <w:t xml:space="preserve">Uhorky musia mať všade rovnaký tvar, ale daňové pravidlá sú odlišné. Je to šialené, však? </w:t>
      </w:r>
    </w:p>
    <w:p>
      <w:pPr>
        <w:pStyle w:val="P68B1DB1Normal111"/>
        <w:widowControl w:val="false"/>
        <w:spacing w:lineRule="auto" w:line="240" w:before="297" w:after="0"/>
        <w:ind w:left="0" w:right="0" w:hanging="0"/>
        <w:jc w:val="left"/>
        <w:rPr/>
      </w:pPr>
      <w:r>
        <w:rPr/>
        <w:t xml:space="preserve">4. Zabezpečiť, aby sa každý mohol zúčastniť </w:t>
      </w:r>
    </w:p>
    <w:p>
      <w:pPr>
        <w:pStyle w:val="P68B1DB1Normal104"/>
        <w:widowControl w:val="false"/>
        <w:spacing w:lineRule="auto" w:line="240" w:before="97" w:after="0"/>
        <w:ind w:left="0" w:right="0" w:hanging="0"/>
        <w:jc w:val="left"/>
        <w:rPr/>
      </w:pPr>
      <w:r>
        <w:rPr/>
        <w:t xml:space="preserve">71 % Holanďanov sa domnieva, že EÚ by mala pomôcť zvýšiť zamestnanosť. V tejto súvislosti sa domnievame, že osobitná pozornosť by sa mala venovať určitým skupinám, ako sú mladí ľudia a ľudia mimo trhu práce. To možno dosiahnuť prostredníctvom pravidiel alebo dotácií pre podniky, ale aj prostredníctvom poskytovania osobitnej podpory zamestnávateľom a pracovníkom. Uvažujeme napríklad o aktivitách na zvyšovanie povedomia alebo o veľmi praktických otázkach. Je možné, že v niektorých prípadoch sa takáto podpora môže organizovať efektívnejšie na úrovni EÚ a v iných môže byť skôr úlohou než samotnými členskými štátmi. Krajiny EÚ by mali v konečnom dôsledku spolupracovať, aby zabezpečili rovnaké príležitosti na európskom trhu práce. </w:t>
      </w:r>
    </w:p>
    <w:p>
      <w:pPr>
        <w:pStyle w:val="P68B1DB1Normal108"/>
        <w:widowControl w:val="false"/>
        <w:spacing w:lineRule="auto" w:line="240" w:before="40" w:after="0"/>
        <w:ind w:left="0" w:right="0" w:hanging="0"/>
        <w:jc w:val="left"/>
        <w:rPr/>
      </w:pPr>
      <w:r>
        <w:rPr/>
        <w:t xml:space="preserve">Online diskusie a nápady na mieste </w:t>
      </w:r>
    </w:p>
    <w:p>
      <w:pPr>
        <w:pStyle w:val="P68B1DB1Normal118"/>
        <w:widowControl w:val="false"/>
        <w:spacing w:lineRule="auto" w:line="240" w:before="115" w:after="0"/>
        <w:ind w:left="0" w:right="0" w:hanging="0"/>
        <w:jc w:val="left"/>
        <w:rPr/>
      </w:pPr>
      <w:r>
        <w:rPr/>
        <w:t xml:space="preserve">Urýchliť automatizáciu v Európe tak, aby sa tu opäť vyrábali výrobky, ktoré v súčasnosti prichádzajú z Číny. </w:t>
      </w:r>
    </w:p>
    <w:p>
      <w:pPr>
        <w:pStyle w:val="P68B1DB1Normal118"/>
        <w:widowControl w:val="false"/>
        <w:spacing w:lineRule="auto" w:line="240" w:before="85" w:after="0"/>
        <w:ind w:left="0" w:right="0" w:hanging="0"/>
        <w:jc w:val="left"/>
        <w:rPr/>
      </w:pPr>
      <w:r>
        <w:rPr/>
        <w:t xml:space="preserve">Berte revolúciu Bitcoinov a iných kryptomien vážne. Ľudia, ktorí sa o ňu zaujímajú, sa považujú za daňových podvodníkov, zatiaľ čo tento typ blockchain technológie je budúcnosť. </w:t>
      </w:r>
    </w:p>
    <w:p>
      <w:pPr>
        <w:pStyle w:val="P68B1DB1Normal118"/>
        <w:widowControl w:val="false"/>
        <w:spacing w:lineRule="auto" w:line="240" w:before="87" w:after="0"/>
        <w:ind w:left="0" w:right="0" w:hanging="0"/>
        <w:jc w:val="left"/>
        <w:rPr/>
      </w:pPr>
      <w:r>
        <w:rPr/>
        <w:t xml:space="preserve">Akcionári nie sú jediní aktéri európskeho hospodárstva. Bez zamestnancov nie je možné nič.„Európa musí urobiť viac pre ľudí so zdravotným postihnutím. Je pre nich príliš ťažké nájsť si dnes vhodnú prácu. </w:t>
      </w:r>
    </w:p>
    <w:p>
      <w:pPr>
        <w:pStyle w:val="P68B1DB1Normal118"/>
        <w:widowControl w:val="false"/>
        <w:spacing w:lineRule="auto" w:line="240" w:before="85" w:after="0"/>
        <w:ind w:left="0" w:right="0" w:hanging="0"/>
        <w:jc w:val="left"/>
        <w:rPr/>
      </w:pPr>
      <w:r>
        <w:rPr/>
        <w:t xml:space="preserve">Mnohé európske pravidlá sú zložité a pravidelne sa menia. Pre podniky je preto ťažké inovovať. </w:t>
      </w:r>
    </w:p>
    <w:p>
      <w:pPr>
        <w:pStyle w:val="P68B1DB1Normal118"/>
        <w:widowControl w:val="false"/>
        <w:spacing w:lineRule="auto" w:line="240" w:before="85" w:after="0"/>
        <w:ind w:left="0" w:right="0" w:hanging="0"/>
        <w:jc w:val="both"/>
        <w:rPr/>
      </w:pPr>
      <w:r>
        <w:rPr/>
        <w:t xml:space="preserve">V prípade transformačných prác v rámci mojej spoločnosti mohol môj miestny dodávateľ začať už dávno. Najprv som však musela vyhlásiť európsku výzvu na predkladanie ponúk. Je to hanba. </w:t>
      </w:r>
    </w:p>
    <w:p>
      <w:pPr>
        <w:pStyle w:val="P68B1DB1Normal111"/>
        <w:widowControl w:val="false"/>
        <w:spacing w:lineRule="auto" w:line="240" w:before="85" w:after="0"/>
        <w:ind w:left="0" w:right="0" w:hanging="0"/>
        <w:jc w:val="both"/>
        <w:rPr/>
      </w:pPr>
      <w:r>
        <w:rPr/>
        <w:t xml:space="preserve">Účastníci online dialógu: „Spoločne premýšľať o otázke veľkých spoločností“ </w:t>
      </w:r>
    </w:p>
    <w:p>
      <w:pPr>
        <w:pStyle w:val="P68B1DB1Normal104"/>
        <w:widowControl w:val="false"/>
        <w:spacing w:lineRule="auto" w:line="240" w:before="97" w:after="0"/>
        <w:ind w:left="0" w:right="0" w:hanging="0"/>
        <w:jc w:val="left"/>
        <w:rPr/>
      </w:pPr>
      <w:r>
        <w:rPr/>
        <w:t>Počas jedného z on-line tematických dialógov vznikla diskusia o rastúcej sile veľkých spoločností. Niektorí účastníci by chceli,</w:t>
      </w:r>
      <w:r>
        <w:rPr/>
        <w:commentReference w:id="22"/>
      </w:r>
      <w:r>
        <w:rPr/>
        <w:t xml:space="preserve"> aby EÚ v tejto súvislosti prijala dôraznejšie opatrenia. Niektoré spoločnosti v skutočnosti niekedy dosahujú značné zisky, z ktorých platia nízke dane vďaka sofistikovaným úpravám. Ďalší účastníci vyzvali, aby sa pozreli na veci ako celok: tieto spoločnosti vytvárajú vysokú úroveň zamestnanosti a sú prínosom pre národné hospodárstvo. „Nemali by ste ich prenasledovať,“ povedal niekto. Ďalší účastník sa domnieval, že je v každom prípade dôležité, aby sa krajiny EÚ zaoberali touto otázkou spoločne. Veľké spoločnosti môžu v súčasnosti súťažiť medzi krajinami. To je dôvod, prečo musíme prezentovať jednotnejší front ako EÚ. </w:t>
      </w:r>
    </w:p>
    <w:p>
      <w:pPr>
        <w:pStyle w:val="P68B1DB1Normal111"/>
        <w:widowControl w:val="false"/>
        <w:spacing w:lineRule="auto" w:line="240" w:before="97" w:after="0"/>
        <w:ind w:left="0" w:right="0" w:hanging="0"/>
        <w:jc w:val="left"/>
        <w:rPr/>
      </w:pPr>
      <w:r>
        <w:rPr/>
        <w:t xml:space="preserve">Poľnohospodári, ktorí zohľadňujú prírodu: „Stanoviť ciele namiesto kvót“ </w:t>
      </w:r>
    </w:p>
    <w:p>
      <w:pPr>
        <w:pStyle w:val="P68B1DB1Normal104"/>
        <w:widowControl w:val="false"/>
        <w:spacing w:lineRule="auto" w:line="240" w:before="95" w:after="0"/>
        <w:ind w:left="0" w:right="0" w:hanging="0"/>
        <w:jc w:val="left"/>
        <w:rPr/>
      </w:pPr>
      <w:r>
        <w:rPr/>
        <w:t xml:space="preserve">BoerenNatuur je združenie poľnohospodárskych skupín. Malá skupina členov okrem iného diskutovala o pravidlách EÚ pre poľnohospodárov. Na jednej strane sa domnievajú, že EÚ prináša veľa pozitívnych vecí, ako je napríklad jednoduchý vývoz do iných krajín. Na druhej strane si myslia, že politiky by mohli byť často ešte explicitnejšie. „Ale každý už pracuje stále viac a viac rovnakým smerom,“ povedal o tom niekto. Možné sú najmä zlepšenia postupov: často sú veľmi administratívne a časovo náročné. Podľa názoru jedného účastníka by pravidlá nemali byť príliš podrobné. Dávam prednosť jasným cieľom, ako je čistá voda. Potom sa môžeme rozhodnúť sami v dôsledku šírky priekopy. </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pPr>
      <w:r>
        <w:rPr/>
        <w:t xml:space="preserve">Európska demokracia </w:t>
      </w:r>
    </w:p>
    <w:p>
      <w:pPr>
        <w:pStyle w:val="P68B1DB1Normal104"/>
        <w:widowControl w:val="false"/>
        <w:spacing w:lineRule="auto" w:line="240"/>
        <w:ind w:left="0" w:right="0" w:hanging="0"/>
        <w:jc w:val="left"/>
        <w:rPr/>
      </w:pPr>
      <w:r>
        <w:rPr/>
        <w:t xml:space="preserve">EÚ nabáda Európanov, aby hlasovali, a tiež ich chce zapojiť do európskeho rozhodovania a politík mimo volebného obdobia. EÚ takisto prijíma iniciatívy na posilnenie demokracie, napríklad vypracovaním akčného plánu zameraného na slobodné a spravodlivé voľby a slobodu tlače. Aká je vízia Holandska? </w:t>
      </w:r>
    </w:p>
    <w:p>
      <w:pPr>
        <w:pStyle w:val="P68B1DB1Normal19"/>
        <w:widowControl w:val="false"/>
        <w:spacing w:lineRule="auto" w:line="240"/>
        <w:ind w:left="0" w:right="0" w:hanging="0"/>
        <w:jc w:val="left"/>
        <w:rPr/>
      </w:pPr>
      <w:r>
        <w:rPr/>
        <w:t xml:space="preserve"> </w:t>
      </w:r>
    </w:p>
    <w:p>
      <w:pPr>
        <w:pStyle w:val="P68B1DB1Normal108"/>
        <w:widowControl w:val="false"/>
        <w:spacing w:lineRule="auto" w:line="240" w:before="15" w:after="0"/>
        <w:ind w:left="0" w:right="0" w:hanging="0"/>
        <w:jc w:val="left"/>
        <w:rPr/>
      </w:pPr>
      <w:r>
        <w:rPr/>
        <w:t xml:space="preserve">Odporúčania – Naša vízia pre európsku demokraciu </w:t>
      </w:r>
    </w:p>
    <w:p>
      <w:pPr>
        <w:pStyle w:val="P68B1DB1Normal69"/>
        <w:widowControl w:val="false"/>
        <w:spacing w:lineRule="auto" w:line="240"/>
        <w:ind w:left="0" w:right="0" w:hanging="0"/>
        <w:jc w:val="left"/>
        <w:rPr/>
      </w:pPr>
      <w:r>
        <w:rPr/>
        <w:t xml:space="preserve">60 % Holanďanov sa domnieva, že európska demokracia je dôležitou otázkou a že EÚ musí v tejto oblasti zasiahnuť. </w:t>
      </w:r>
    </w:p>
    <w:p>
      <w:pPr>
        <w:pStyle w:val="P68B1DB1Normal111"/>
        <w:widowControl w:val="false"/>
        <w:spacing w:lineRule="auto" w:line="240" w:before="13" w:after="0"/>
        <w:ind w:left="0" w:right="0" w:hanging="0"/>
        <w:jc w:val="left"/>
        <w:rPr/>
      </w:pPr>
      <w:r>
        <w:rPr/>
        <w:t xml:space="preserve">1. Poskytnutie lepšieho prehľadu o Európe </w:t>
      </w:r>
    </w:p>
    <w:p>
      <w:pPr>
        <w:pStyle w:val="P68B1DB1Normal104"/>
        <w:widowControl w:val="false"/>
        <w:spacing w:lineRule="auto" w:line="240"/>
        <w:ind w:left="0" w:right="0" w:hanging="0"/>
        <w:jc w:val="left"/>
        <w:rPr/>
      </w:pPr>
      <w:r>
        <w:rPr/>
        <w:t xml:space="preserve">Holanďania poukazujú na to, že Európa sa často objavuje v médiách v prípade krízy. Na druhej strane máme málo informácií o každodenných rozhodnutiach. Ako občania nemusíme vedieť všetko, ale aby sme si vytvorili dobrý názor, bolo by dobré mať lepší prehľad. Napríklad by bolo zaujímavé častejšie si vypočuť názory iných krajín na EÚ. Médiá a vzdelávanie môžu v tejto súvislosti zohrávať dôležitú úlohu. Médiá však musia byť schopné robiť vlastné rozhodnutia. Pretože Holanďania sa domnievajú, že sloboda tlače je v našej demokracii veľmi dôležitá. </w:t>
      </w:r>
    </w:p>
    <w:p>
      <w:pPr>
        <w:pStyle w:val="P68B1DB1Normal113"/>
        <w:widowControl w:val="false"/>
        <w:spacing w:lineRule="auto" w:line="240" w:before="184" w:after="0"/>
        <w:ind w:left="0" w:right="0" w:hanging="0"/>
        <w:jc w:val="center"/>
        <w:rPr/>
      </w:pPr>
      <w:r>
        <w:rPr/>
        <w:t>„</w:t>
      </w:r>
      <w:r>
        <w:rPr/>
        <w:t xml:space="preserve">Väčšinou počúvame o EÚ len v prípade krízy. Práve z tohto dôvodu zostáva nálada voči Európe negatívna. </w:t>
      </w:r>
    </w:p>
    <w:p>
      <w:pPr>
        <w:pStyle w:val="P68B1DB1Normal111"/>
        <w:widowControl w:val="false"/>
        <w:spacing w:lineRule="auto" w:line="240" w:before="153" w:after="0"/>
        <w:ind w:left="0" w:right="0" w:hanging="0"/>
        <w:jc w:val="left"/>
        <w:rPr/>
      </w:pPr>
      <w:r>
        <w:rPr/>
        <w:t xml:space="preserve">2. Nájsť nové spôsoby, ako neustále počúvať občanov </w:t>
      </w:r>
    </w:p>
    <w:p>
      <w:pPr>
        <w:pStyle w:val="P68B1DB1Normal104"/>
        <w:widowControl w:val="false"/>
        <w:spacing w:lineRule="auto" w:line="240"/>
        <w:ind w:left="0" w:right="0" w:hanging="0"/>
        <w:jc w:val="left"/>
        <w:rPr/>
      </w:pPr>
      <w:r>
        <w:rPr/>
        <w:t xml:space="preserve">51 % Holanďanov sa domnieva, že EÚ si nie je dostatočne vedomá toho, čo sa deje v spoločnosti. S cieľom zlepšiť túto situáciu by sa EÚ mala častejšie, a pokiaľ možno trvalo, zapájať do dialógu s občanmi. Mnohí Holanďania sa preto domnievajú, že Konferencia o budúcnosti Európy je dobrou iniciatívou. Referendá môžu byť tiež cenným nástrojom, ale Holanďania majú na to rozdielne názory. Pri niektorých témach je tiež niekedy potrebné mať odborné znalosti. V každom prípade by rozhovor s občanmi nemal byť len formalitou. Myslíme si, že je dôležité, aby sme sa brali vážne. </w:t>
      </w:r>
    </w:p>
    <w:p>
      <w:pPr>
        <w:pStyle w:val="P68B1DB1Normal111"/>
        <w:widowControl w:val="false"/>
        <w:spacing w:lineRule="auto" w:line="240" w:before="21" w:after="0"/>
        <w:ind w:left="0" w:right="0" w:hanging="0"/>
        <w:jc w:val="left"/>
        <w:rPr/>
      </w:pPr>
      <w:r>
        <w:rPr/>
        <w:t xml:space="preserve">3. Väčšia transparentnosť a zrozumiteľnosť prijatých rozhodnutí </w:t>
      </w:r>
    </w:p>
    <w:p>
      <w:pPr>
        <w:pStyle w:val="P68B1DB1Normal104"/>
        <w:widowControl w:val="false"/>
        <w:spacing w:lineRule="auto" w:line="240"/>
        <w:ind w:left="0" w:right="0" w:hanging="0"/>
        <w:jc w:val="left"/>
        <w:rPr/>
      </w:pPr>
      <w:r>
        <w:rPr/>
        <w:t xml:space="preserve">Holanďania niekedy považujú Európu za dosť komplikovanú. Nie každý má rovnakú úroveň základných vedomostí. EÚ to musí viac zohľadniť. Chceme, aby sa EÚ stala transparentnejšou a uľahčila jej aktualizáciu. V tejto súvislosti zohrávajú úlohu aj holandské orgány. Mnohí Holanďania sa zaujímajú o európske rozhodnutia, ale majú pocit, že oficiálne kanály sú príliš ťažké nájsť alebo príliš zložité. Okrem toho má každý iný záujem a potreby. Preto by bolo potrebné, aby sme si mohli vybrať témy, o ktorých by sme sa chceli dozvedieť viac. Mladí ľudia sa často zaujímajú o Európu, ale vidia o nej len málo informácií napríklad na svojich sociálnych sieťach. </w:t>
      </w:r>
    </w:p>
    <w:p>
      <w:pPr>
        <w:pStyle w:val="P68B1DB1Normal113"/>
        <w:widowControl w:val="false"/>
        <w:spacing w:lineRule="auto" w:line="240" w:before="184" w:after="0"/>
        <w:ind w:left="0" w:right="0" w:hanging="0"/>
        <w:jc w:val="center"/>
        <w:rPr/>
      </w:pPr>
      <w:r>
        <w:rPr/>
        <w:t xml:space="preserve">Keď som bol na dovolenke v Maďarsku, videl som veľké znamenie v blízkosti novej lesnej plantáže, ktoré hovorí: „Táto plantáž bola možná vďaka EÚ.“ Aj keď som skeptický voči Európe, stále som sa cítil hrdý. </w:t>
      </w:r>
    </w:p>
    <w:p>
      <w:pPr>
        <w:pStyle w:val="P68B1DB1Normal19"/>
        <w:widowControl w:val="false"/>
        <w:spacing w:lineRule="auto" w:line="240" w:before="155" w:after="0"/>
        <w:ind w:left="0" w:right="0" w:hanging="0"/>
        <w:jc w:val="left"/>
        <w:rPr/>
      </w:pPr>
      <w:r>
        <w:rPr/>
        <w:t xml:space="preserve"> </w:t>
      </w:r>
    </w:p>
    <w:p>
      <w:pPr>
        <w:pStyle w:val="P68B1DB1Normal111"/>
        <w:widowControl w:val="false"/>
        <w:spacing w:lineRule="auto" w:line="240" w:before="172" w:after="0"/>
        <w:ind w:left="0" w:right="0" w:hanging="0"/>
        <w:jc w:val="left"/>
        <w:rPr/>
      </w:pPr>
      <w:r>
        <w:rPr/>
        <w:t xml:space="preserve">4. Zabezpečenie rýchlejšieho riešenia tŕnistých problémov </w:t>
      </w:r>
    </w:p>
    <w:p>
      <w:pPr>
        <w:pStyle w:val="P68B1DB1Normal104"/>
        <w:widowControl w:val="false"/>
        <w:spacing w:lineRule="auto" w:line="240"/>
        <w:ind w:left="0" w:right="0" w:hanging="0"/>
        <w:jc w:val="left"/>
        <w:rPr/>
      </w:pPr>
      <w:r>
        <w:rPr/>
        <w:t>Pre Holanďanov je ťažké pochopiť, ako funguje európska demokracia, ale zdá sa im, že rozhodovanie v EÚ je často veľmi pomalé. Vo voľbách do Európskeho parlamentu vidíme predovšetkým spojenectvá medzi</w:t>
      </w:r>
      <w:r>
        <w:rPr/>
        <w:commentReference w:id="23"/>
      </w:r>
      <w:r>
        <w:rPr/>
        <w:t xml:space="preserve"> národnými stranami. Môžu existovať aj iné spôsoby riešenia európskych záujmov. Približne tretina Holanďanov sa domnieva, že vo voľbách do Európskeho parlamentu by malo byť možné voliť zahraničných kandidátov. Približne rovnaký počet občanov sa domnieva, že by to nemalo byť možné. Najdôležitejšie je, aby sa dostatočne zohľadnili rôzne záujmy, o ktoré ide. Zároveň je možné vyriešiť tŕnisté problémy rýchlejšie, ako je tomu dnes. </w:t>
      </w:r>
    </w:p>
    <w:p>
      <w:pPr>
        <w:pStyle w:val="P68B1DB1Normal113"/>
        <w:widowControl w:val="false"/>
        <w:spacing w:lineRule="auto" w:line="240" w:before="201" w:after="0"/>
        <w:ind w:left="0" w:right="0" w:hanging="0"/>
        <w:jc w:val="center"/>
        <w:rPr/>
      </w:pPr>
      <w:r>
        <w:rPr/>
        <w:t xml:space="preserve">Vo voľbách by som si prial, aby som sa s niekým stotožnil a vedel, čo on alebo ona obhajuje. Nemusí to byť nevyhnutne krajan. </w:t>
      </w:r>
    </w:p>
    <w:p>
      <w:pPr>
        <w:pStyle w:val="P68B1DB1Normal108"/>
        <w:widowControl w:val="false"/>
        <w:spacing w:lineRule="auto" w:line="240" w:before="171" w:after="0"/>
        <w:ind w:left="0" w:right="0" w:hanging="0"/>
        <w:jc w:val="left"/>
        <w:rPr/>
      </w:pPr>
      <w:r>
        <w:rPr/>
        <w:t xml:space="preserve">Online diskusie a nápady na mieste </w:t>
      </w:r>
    </w:p>
    <w:p>
      <w:pPr>
        <w:pStyle w:val="P68B1DB1Normal118"/>
        <w:widowControl w:val="false"/>
        <w:spacing w:lineRule="auto" w:line="240" w:before="3" w:after="0"/>
        <w:ind w:left="0" w:right="0" w:hanging="0"/>
        <w:jc w:val="left"/>
        <w:rPr/>
      </w:pPr>
      <w:r>
        <w:rPr/>
        <w:t xml:space="preserve">Odstráňte veto moc krajín. O tom musí rozhodnúť väčšina. </w:t>
      </w:r>
    </w:p>
    <w:p>
      <w:pPr>
        <w:pStyle w:val="Normal"/>
        <w:widowControl w:val="false"/>
        <w:spacing w:lineRule="auto" w:line="240" w:before="85" w:after="0"/>
        <w:ind w:left="0" w:right="0" w:hanging="0"/>
        <w:jc w:val="left"/>
        <w:rPr/>
      </w:pPr>
      <w:r>
        <w:rPr>
          <w:rFonts w:ascii="Calibri" w:hAnsi="Calibri"/>
          <w:i/>
          <w:color w:val="000000"/>
          <w:sz w:val="21"/>
        </w:rPr>
        <w:t xml:space="preserve">Pre dôležité rozhodnutia vytvorte diskusné skupiny </w:t>
      </w:r>
      <w:commentRangeStart w:id="24"/>
      <w:r>
        <w:rPr>
          <w:rFonts w:ascii="Calibri" w:hAnsi="Calibri"/>
          <w:i/>
          <w:color w:val="000000"/>
          <w:sz w:val="21"/>
        </w:rPr>
        <w:t xml:space="preserve">zložené </w:t>
      </w:r>
      <w:r>
        <w:rPr/>
      </w:r>
      <w:commentRangeEnd w:id="24"/>
      <w:r>
        <w:commentReference w:id="24"/>
      </w:r>
      <w:r>
        <w:rPr>
          <w:rFonts w:ascii="Calibri" w:hAnsi="Calibri"/>
          <w:i/>
          <w:color w:val="000000"/>
          <w:sz w:val="21"/>
        </w:rPr>
        <w:t>z občanov, možno na (polo) povinnom základe, ako je to v prípade poroty v Spojených štátoch.</w:t>
      </w:r>
    </w:p>
    <w:p>
      <w:pPr>
        <w:pStyle w:val="P68B1DB1Normal118"/>
        <w:widowControl w:val="false"/>
        <w:spacing w:lineRule="auto" w:line="240" w:before="85" w:after="0"/>
        <w:ind w:left="0" w:right="0" w:hanging="0"/>
        <w:jc w:val="left"/>
        <w:rPr/>
      </w:pPr>
      <w:r>
        <w:rPr/>
        <w:t>„</w:t>
      </w:r>
      <w:r>
        <w:rPr/>
        <w:t xml:space="preserve">Zabezpečiť, aby politici a úradníci EÚ pravidelne navštevovali vnútrozemie“ a nezostali úplne zasiahnutí v bruselskej bubline. </w:t>
      </w:r>
    </w:p>
    <w:p>
      <w:pPr>
        <w:pStyle w:val="P68B1DB1Normal118"/>
        <w:widowControl w:val="false"/>
        <w:spacing w:lineRule="auto" w:line="240" w:before="85" w:after="0"/>
        <w:ind w:left="0" w:right="0" w:hanging="0"/>
        <w:jc w:val="left"/>
        <w:rPr/>
      </w:pPr>
      <w:r>
        <w:rPr/>
        <w:t xml:space="preserve">NÁPAD: V skutočnosti by televízne správy mali Európe venovať niekoľko minút v každom z jej vydaní. Alebo by sme mohli spustiť denník alebo týždenník venovaný Európe. </w:t>
      </w:r>
    </w:p>
    <w:p>
      <w:pPr>
        <w:pStyle w:val="P68B1DB1Normal118"/>
        <w:widowControl w:val="false"/>
        <w:spacing w:lineRule="auto" w:line="240" w:before="85" w:after="0"/>
        <w:ind w:left="0" w:right="0" w:hanging="0"/>
        <w:jc w:val="left"/>
        <w:rPr/>
      </w:pPr>
      <w:r>
        <w:rPr/>
        <w:t xml:space="preserve">NÁPAD: Možno by sa európski politici mali častejšie zúčastňovať na televíznych programoch. </w:t>
      </w:r>
    </w:p>
    <w:p>
      <w:pPr>
        <w:pStyle w:val="P68B1DB1Normal118"/>
        <w:widowControl w:val="false"/>
        <w:spacing w:lineRule="auto" w:line="240" w:before="85" w:after="0"/>
        <w:ind w:left="0" w:right="0" w:hanging="0"/>
        <w:jc w:val="left"/>
        <w:rPr/>
      </w:pPr>
      <w:r>
        <w:rPr/>
        <w:t xml:space="preserve">Ako mladý človek som takmer nikdy nič nečítal o Európe. Som však zvedavý na viac informácií, ale bez toho, aby som musel vynaložiť príliš veľa úsilia na získanie informácií. </w:t>
      </w:r>
    </w:p>
    <w:p>
      <w:pPr>
        <w:pStyle w:val="P68B1DB1Normal111"/>
        <w:widowControl w:val="false"/>
        <w:spacing w:lineRule="auto" w:line="240" w:before="84" w:after="0"/>
        <w:ind w:left="0" w:right="0" w:hanging="0"/>
        <w:jc w:val="left"/>
        <w:rPr/>
      </w:pPr>
      <w:r>
        <w:rPr/>
        <w:t xml:space="preserve">Mladí členovia Coalitie-Y v Utrechte: diskusia o využívaní referend </w:t>
      </w:r>
    </w:p>
    <w:p>
      <w:pPr>
        <w:pStyle w:val="P68B1DB1Normal104"/>
        <w:widowControl w:val="false"/>
        <w:spacing w:lineRule="auto" w:line="240"/>
        <w:ind w:left="0" w:right="0" w:hanging="0"/>
        <w:jc w:val="left"/>
        <w:rPr/>
      </w:pPr>
      <w:r>
        <w:rPr/>
        <w:t xml:space="preserve">Členovia Coalitie-Y – spolupráca medzi rôznymi mládežníckymi organizáciami – viedli živú diskusiu o využívaní referend. Oponenti sa zmienili o riziku diskusií, kde je všetko čierne alebo biele, zatiaľ čo témy sú často oveľa zložitejšie. Jeden z účastníkov ďalej uviedol: Môžeme hlasovať za EÚ a kandidovať. Referendá v skutočnosti podkopávajú tento princíp." Podporovatelia referenda povedali, že pre tvorcov politík je užitočné vedieť, čo si občania myslia o konkrétnej téme: to by mohlo pomôcť poskytnúť usmernenie. Referendá by tiež mohli pomôcť zvýšiť informovanosť verejnosti o EÚ ako celku: aké sú témy programu a aké sú rozhodnutia? </w:t>
      </w:r>
    </w:p>
    <w:p>
      <w:pPr>
        <w:pStyle w:val="P68B1DB1Normal111"/>
        <w:widowControl w:val="false"/>
        <w:spacing w:lineRule="auto" w:line="240" w:before="38" w:after="0"/>
        <w:ind w:left="0" w:right="0" w:hanging="0"/>
        <w:jc w:val="left"/>
        <w:rPr/>
      </w:pPr>
      <w:r>
        <w:rPr/>
        <w:t xml:space="preserve">Sociálni dobrovoľníci: Musí existovať lepšie vzájomné porozumenie medzi krajinami.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Nadáciu Piëzo v Zoetermeer tvoria dobrovoľníci, ktorí pôsobia rôznymi spôsobmi v oblasti spoločenskej účasti. Účastníci tematického dialógu vyjadrili znepokojenie nad rastúcou priepasťou v Európe. Ide napríklad o názory krajín na komunitu LGBTIQ osôb. Ak krajiny nerozumejú svojim názorom, je ťažké spolupracovať. „Je to preto, že je dôležité sa lepšie spoznať,“ povedal jeden účastník. Dnes jednoducho nevieme, čo si ľudia myslia v iných krajinách. Dostatočne nerozumieme kultúre a kontextu našich krajín. Je to nevyhnutné, ak chceme spoločne robiť dobré rozhodnutia. </w:t>
      </w:r>
      <w:r>
        <w:br w:type="page"/>
      </w:r>
    </w:p>
    <w:p>
      <w:pPr>
        <w:pStyle w:val="P68B1DB1Normal117"/>
        <w:spacing w:lineRule="auto" w:line="240"/>
        <w:ind w:left="0" w:right="0" w:hanging="0"/>
        <w:rPr/>
      </w:pPr>
      <w:r>
        <w:rPr/>
        <w:t xml:space="preserve">Digitálna transformácia </w:t>
      </w:r>
    </w:p>
    <w:p>
      <w:pPr>
        <w:pStyle w:val="P68B1DB1Normal104"/>
        <w:widowControl w:val="false"/>
        <w:spacing w:lineRule="auto" w:line="240" w:before="62" w:after="0"/>
        <w:ind w:left="0" w:right="0" w:hanging="0"/>
        <w:jc w:val="left"/>
        <w:rPr/>
      </w:pPr>
      <w:r>
        <w:rPr/>
        <w:t xml:space="preserve">Vo virtuálnom svete sa zvyšujú požiadavky na pripojenie na internet, bezpečnosť a súkromie. EÚ sa v tejto súvislosti cíti zodpovedne a je odhodlaná zabezpečiť, aby sa v digitálnej spoločnosti na nikoho nezabudlo. EÚ okrem toho investuje do digitálnych riešení spoločenských výziev. Aká je vízia Holandska? </w:t>
      </w:r>
    </w:p>
    <w:p>
      <w:pPr>
        <w:pStyle w:val="P68B1DB1Normal108"/>
        <w:widowControl w:val="false"/>
        <w:spacing w:lineRule="auto" w:line="240" w:before="57" w:after="0"/>
        <w:ind w:left="0" w:right="0" w:hanging="0"/>
        <w:jc w:val="left"/>
        <w:rPr/>
      </w:pPr>
      <w:r>
        <w:rPr/>
        <w:t xml:space="preserve">Odporúčania – náš virtuálny svetonázor </w:t>
      </w:r>
    </w:p>
    <w:p>
      <w:pPr>
        <w:pStyle w:val="P68B1DB1Normal69"/>
        <w:widowControl w:val="false"/>
        <w:spacing w:lineRule="auto" w:line="240" w:before="65" w:after="0"/>
        <w:ind w:left="0" w:right="0" w:hanging="0"/>
        <w:jc w:val="left"/>
        <w:rPr/>
      </w:pPr>
      <w:r>
        <w:rPr/>
        <w:t xml:space="preserve">45 % Holanďanov sa domnieva, že virtuálny svet je dôležitou témou a že EÚ musí v tejto oblasti zasiahnuť. </w:t>
      </w:r>
    </w:p>
    <w:p>
      <w:pPr>
        <w:pStyle w:val="P68B1DB1Normal111"/>
        <w:widowControl w:val="false"/>
        <w:spacing w:lineRule="auto" w:line="240" w:before="47" w:after="0"/>
        <w:ind w:left="0" w:right="0" w:hanging="0"/>
        <w:jc w:val="left"/>
        <w:rPr/>
      </w:pPr>
      <w:r>
        <w:rPr/>
        <w:t xml:space="preserve">1. Zabezpečenie rýchleho, bezpečného a stabilného internetu všade </w:t>
      </w:r>
    </w:p>
    <w:p>
      <w:pPr>
        <w:pStyle w:val="P68B1DB1Normal104"/>
        <w:widowControl w:val="false"/>
        <w:spacing w:lineRule="auto" w:line="240" w:before="49" w:after="0"/>
        <w:ind w:left="0" w:right="0" w:hanging="0"/>
        <w:jc w:val="left"/>
        <w:rPr/>
      </w:pPr>
      <w:r>
        <w:rPr/>
        <w:t xml:space="preserve">61 % holandských občanov sa domnieva, že EÚ by mala zabezpečiť, aby každá osoba v Európe mala prístup k rýchlemu a stabilnému internetu. Všetci vidíme, že internet zohráva v našom živote čoraz dôležitejšiu úlohu. Deti vyrastajú s digitálnym vzdelávaním. Komunikácia sa čoraz viac šíri cez internet, a to na vnútroštátnej aj medzinárodnej úrovni. Niekedy nás znepokojuje vysoká závislosť na internete. Mnohí Holanďania sa preto domnievajú, že EÚ má najlepšie predpoklady na to, aby na ňu vyčlenila finančné prostriedky za predpokladu, že sa budú účinne využívať. Ochrana pred online kriminalitou je podľa nášho názoru najdôležitejšou otázkou, ktorú treba riešiť na európskej úrovni. Pozornosť by sa však mala venovať aj boju proti internetovej trestnej činnosti na vnútroštátnej úrovni. </w:t>
      </w:r>
    </w:p>
    <w:p>
      <w:pPr>
        <w:pStyle w:val="P68B1DB1Normal113"/>
        <w:widowControl w:val="false"/>
        <w:spacing w:lineRule="auto" w:line="240" w:before="54" w:after="0"/>
        <w:ind w:left="0" w:right="0" w:hanging="0"/>
        <w:jc w:val="center"/>
        <w:rPr/>
      </w:pPr>
      <w:r>
        <w:rPr/>
        <w:t xml:space="preserve">Myšlienka kybernetického útoku na náš systém ochrany vody ma robí zraniteľnou. </w:t>
      </w:r>
    </w:p>
    <w:p>
      <w:pPr>
        <w:pStyle w:val="P68B1DB1Normal111"/>
        <w:widowControl w:val="false"/>
        <w:spacing w:lineRule="auto" w:line="240" w:before="71" w:after="0"/>
        <w:ind w:left="0" w:right="0" w:hanging="0"/>
        <w:jc w:val="left"/>
        <w:rPr/>
      </w:pPr>
      <w:r>
        <w:rPr/>
        <w:t xml:space="preserve">2. Stanovenie jasných pravidiel a noriem pre internetové spoločnosti </w:t>
      </w:r>
    </w:p>
    <w:p>
      <w:pPr>
        <w:pStyle w:val="P68B1DB1Normal104"/>
        <w:widowControl w:val="false"/>
        <w:spacing w:lineRule="auto" w:line="240" w:before="49" w:after="0"/>
        <w:ind w:left="0" w:right="0" w:hanging="0"/>
        <w:jc w:val="left"/>
        <w:rPr/>
      </w:pPr>
      <w:r>
        <w:rPr/>
        <w:t xml:space="preserve">75 % Holanďanov sa domnieva, že EÚ by mala zabezpečiť, aby sa online nákupy mohli uskutočňovať s rovnakou úrovňou bezpečnosti vo všetkých krajinách EÚ. Všetci kupujeme čoraz viac v zahraničí a týmto spôsobom zdieľame citlivé osobné údaje. Niekedy sa to zdá byť nebezpečné. Je ťažké určiť, ktoré webové stránky sú dôveryhodné. Je dobré, že EÚ rozvíja európske pravidlá a normy v oblasti ochrany súkromia, ktorým môže rozumieť každý. Sila veľkých internetových spoločností je pre nás tiež pravidelným zdrojom obáv. Veríme, že je našou zodpovednosťou pri používaní našich údajov postupovať opatrne. Zároveň sa však domnievame, že EÚ môže v tejto súvislosti zohrávať úlohu. Krajiny EÚ musia spolupracovať, aby zabezpečili, že spoločnosti ako Google a Facebook nebudú mať príliš veľa moci. </w:t>
      </w:r>
    </w:p>
    <w:p>
      <w:pPr>
        <w:pStyle w:val="P68B1DB1Normal113"/>
        <w:widowControl w:val="false"/>
        <w:spacing w:lineRule="auto" w:line="240" w:before="54" w:after="0"/>
        <w:ind w:left="0" w:right="0" w:hanging="0"/>
        <w:jc w:val="center"/>
        <w:rPr/>
      </w:pPr>
      <w:r>
        <w:rPr/>
        <w:t xml:space="preserve">Tvárou v tvár globálnemu hráčovi, ako je Facebook, sme ako malá krajina relatívne chudobní. </w:t>
      </w:r>
    </w:p>
    <w:p>
      <w:pPr>
        <w:pStyle w:val="P68B1DB1Normal111"/>
        <w:widowControl w:val="false"/>
        <w:spacing w:lineRule="auto" w:line="240" w:before="71" w:after="0"/>
        <w:ind w:left="0" w:right="0" w:hanging="0"/>
        <w:jc w:val="left"/>
        <w:rPr/>
      </w:pPr>
      <w:r>
        <w:rPr/>
        <w:t xml:space="preserve">3. Pridávanie implementačných a praktických vysvetlení k pravidlám ochrany súkromia </w:t>
      </w:r>
    </w:p>
    <w:p>
      <w:pPr>
        <w:pStyle w:val="Normal"/>
        <w:widowControl w:val="false"/>
        <w:spacing w:lineRule="auto" w:line="240" w:before="49" w:after="0"/>
        <w:ind w:left="0" w:right="0" w:hanging="0"/>
        <w:jc w:val="left"/>
        <w:rPr>
          <w:rFonts w:ascii="Calibri" w:hAnsi="Calibri"/>
          <w:color w:val="000000"/>
          <w:sz w:val="21"/>
        </w:rPr>
      </w:pPr>
      <w:r>
        <w:rPr>
          <w:rFonts w:ascii="Calibri" w:hAnsi="Calibri"/>
          <w:color w:val="000000"/>
          <w:sz w:val="21"/>
        </w:rPr>
        <w:t xml:space="preserve">Po zavedení všeobecného nariadenia o ochrane údajov (GDPR) Holandsko vie, že všetky krajiny musia dodržiavať rovnaké zákony a predpisy o ochrane osobných údajov. Myslíme si, že je dobré sa na to spoľahnúť, pretože súkromie je dôležitou otázkou. Niektorí Holanďania sa však domnievajú, že pravidlá ochrany súkromia sú niekedy prehnané alebo nelogické. Okrem toho, tieto právne predpisy môžu priniesť veľa práce pre podnikateľov. Preto sa domnievame, že by sa mala venovať väčšia pozornosť praktickej implementácii právnych predpisov o ochrane súkromia: podpora a informovanie občanov aj podnikov. Domnievame sa najmä, že členské štáty zohrávajú svoju úlohu. Otázky alebo otázky týkajúce sa ochrany osobných údajov najlepšie riadia naše vnútroštátne orgány v našom vlastnom jazyku. </w:t>
      </w:r>
      <w:r>
        <w:br w:type="page"/>
      </w:r>
    </w:p>
    <w:p>
      <w:pPr>
        <w:pStyle w:val="P68B1DB1Normal108"/>
        <w:spacing w:lineRule="auto" w:line="240"/>
        <w:ind w:left="0" w:right="0" w:hanging="0"/>
        <w:rPr/>
      </w:pPr>
      <w:r>
        <w:rPr/>
        <w:t xml:space="preserve">Online diskusie a nápady na mieste </w:t>
      </w:r>
    </w:p>
    <w:p>
      <w:pPr>
        <w:pStyle w:val="P68B1DB1Normal118"/>
        <w:widowControl w:val="false"/>
        <w:spacing w:lineRule="auto" w:line="240" w:before="120" w:after="0"/>
        <w:ind w:left="0" w:right="889" w:hanging="0"/>
        <w:jc w:val="left"/>
        <w:rPr/>
      </w:pPr>
      <w:r>
        <w:rPr/>
        <w:t xml:space="preserve">NÁPAD: Stanoviť prísnejšie kritériá pre programátorov a podniky zákazom nebezpečných programovacích jazykov. </w:t>
      </w:r>
    </w:p>
    <w:p>
      <w:pPr>
        <w:pStyle w:val="P68B1DB1Normal118"/>
        <w:widowControl w:val="false"/>
        <w:spacing w:lineRule="auto" w:line="240" w:before="87" w:after="0"/>
        <w:ind w:left="0" w:right="0" w:hanging="0"/>
        <w:jc w:val="left"/>
        <w:rPr/>
      </w:pPr>
      <w:r>
        <w:rPr/>
        <w:t xml:space="preserve">Navrhnúť bezplatný európsky antivírusový softvér na vytvorenie európskeho firewallu. </w:t>
      </w:r>
    </w:p>
    <w:p>
      <w:pPr>
        <w:pStyle w:val="P68B1DB1Normal118"/>
        <w:widowControl w:val="false"/>
        <w:spacing w:lineRule="auto" w:line="240" w:before="85" w:after="0"/>
        <w:ind w:left="0" w:right="42" w:hanging="0"/>
        <w:jc w:val="left"/>
        <w:rPr/>
      </w:pPr>
      <w:r>
        <w:rPr/>
        <w:t xml:space="preserve">Keď prekročím hranice do Nemecka, zrazu už nemám sieť na svojom mobilnom telefóne. Už by sa to nemalo stať, však? </w:t>
      </w:r>
    </w:p>
    <w:p>
      <w:pPr>
        <w:pStyle w:val="P68B1DB1Normal118"/>
        <w:widowControl w:val="false"/>
        <w:spacing w:lineRule="auto" w:line="240" w:before="85" w:after="0"/>
        <w:ind w:left="0" w:right="959" w:hanging="0"/>
        <w:jc w:val="left"/>
        <w:rPr/>
      </w:pPr>
      <w:r>
        <w:rPr/>
        <w:t xml:space="preserve">Pomocou našich iPhonov môžeme sledovať všetky naše cesty. Aj my máme svoj podiel na zodpovednosti. </w:t>
      </w:r>
    </w:p>
    <w:p>
      <w:pPr>
        <w:pStyle w:val="P68B1DB1Normal118"/>
        <w:widowControl w:val="false"/>
        <w:spacing w:lineRule="auto" w:line="240" w:before="83" w:after="0"/>
        <w:ind w:left="0" w:right="0" w:hanging="0"/>
        <w:jc w:val="left"/>
        <w:rPr/>
      </w:pPr>
      <w:r>
        <w:rPr/>
        <w:t xml:space="preserve">Nie je vhodné vyplniť iný typ formulára na ochranu osobných údajov v každej krajine. </w:t>
      </w:r>
    </w:p>
    <w:p>
      <w:pPr>
        <w:pStyle w:val="P68B1DB1Normal118"/>
        <w:widowControl w:val="false"/>
        <w:spacing w:lineRule="auto" w:line="240" w:before="87" w:after="0"/>
        <w:ind w:left="0" w:right="0" w:hanging="0"/>
        <w:jc w:val="left"/>
        <w:rPr/>
      </w:pPr>
      <w:r>
        <w:rPr/>
        <w:t xml:space="preserve">NÁPAD: Mali by sme vytvoriť európsku kybernetickú políciu. Je to jednoznačne niečo pre Európsku úniu. </w:t>
      </w:r>
    </w:p>
    <w:p>
      <w:pPr>
        <w:pStyle w:val="P68B1DB1Normal111"/>
        <w:widowControl w:val="false"/>
        <w:spacing w:lineRule="auto" w:line="240" w:before="84" w:after="0"/>
        <w:ind w:left="0" w:right="823" w:hanging="0"/>
        <w:jc w:val="left"/>
        <w:rPr/>
      </w:pPr>
      <w:r>
        <w:rPr/>
        <w:t xml:space="preserve">Účastníci online dialógu: Mať všade kvalitný prístup na internet je tiež vo vlastnom záujme. </w:t>
      </w:r>
    </w:p>
    <w:p>
      <w:pPr>
        <w:pStyle w:val="P68B1DB1Normal104"/>
        <w:widowControl w:val="false"/>
        <w:spacing w:lineRule="auto" w:line="240" w:before="97" w:after="0"/>
        <w:ind w:left="0" w:right="236" w:hanging="0"/>
        <w:jc w:val="left"/>
        <w:rPr/>
      </w:pPr>
      <w:r>
        <w:rPr/>
        <w:t xml:space="preserve">Počas jedného z on-line tematických dialógov sa zrodila zaujímavá diskusia o úlohe EÚ vo virtuálnom svete. Všetci účastníci sa zhodli na tom, že je dobré a dôležité mať dobré internetové pripojenie v celej Európe. Je na Európskej únii, aby sa s tým vysporiadala? Viacerí účastníci uviedli, že ide predovšetkým o úlohu pre jednotlivé členské štáty. Ďalší účastník zdôraznil, že stabilný a kvalitný internet v zahraničí je tiež prínosom pre Holandsko: Z obchodu s inými krajinami EÚ zarábame miliardy dolárov. Preto je v našom záujme, aby tieto krajiny fungovali dobre. </w:t>
      </w:r>
    </w:p>
    <w:p>
      <w:pPr>
        <w:pStyle w:val="P68B1DB1Normal111"/>
        <w:widowControl w:val="false"/>
        <w:spacing w:lineRule="auto" w:line="240" w:before="40" w:after="0"/>
        <w:ind w:left="0" w:right="0" w:hanging="0"/>
        <w:jc w:val="left"/>
        <w:rPr/>
      </w:pPr>
      <w:r>
        <w:rPr/>
        <w:t xml:space="preserve">Žiaci v Helmonde: Rovnaké pravidlá a sankcie pre páchateľov počítačovej trestnej činnosti </w:t>
      </w:r>
    </w:p>
    <w:p>
      <w:pPr>
        <w:pStyle w:val="Normal"/>
        <w:widowControl w:val="false"/>
        <w:spacing w:lineRule="auto" w:line="240" w:before="95" w:after="0"/>
        <w:ind w:left="0" w:right="32" w:hanging="0"/>
        <w:jc w:val="left"/>
        <w:rPr>
          <w:rFonts w:ascii="Calibri" w:hAnsi="Calibri"/>
          <w:color w:val="000000"/>
          <w:sz w:val="21"/>
        </w:rPr>
      </w:pPr>
      <w:r>
        <w:rPr>
          <w:rFonts w:ascii="Calibri" w:hAnsi="Calibri"/>
          <w:color w:val="000000"/>
          <w:sz w:val="21"/>
        </w:rPr>
        <w:t xml:space="preserve">Na Dr. Knippenberg College v Helmonde študenti vo veku 15 a 16 rokov diskutovali o probléme internetovej kriminality. Pravidelne počúvajú správy. Napríklad, keď došlo k úniku údajov v spoločnosti. Alebo keď sa krajina ako Rusko alebo Čína snaží ukradnúť údaje. Keďže kybernetickí zločinci často pracujú cezhranične, pre európske krajiny je logické spolupracovať. V tejto súvislosti berú do úvahy vývoj pravidiel, ale aj vymedzenie sankcií. Ak sa ruské kyberšpiráty pokúsia vniknúť do našich domovov, EÚ musí prijať rozhodné opatrenia, aby im zabránila. </w:t>
      </w:r>
      <w:r>
        <w:br w:type="page"/>
      </w:r>
    </w:p>
    <w:p>
      <w:pPr>
        <w:pStyle w:val="P68B1DB1Normal117"/>
        <w:spacing w:lineRule="auto" w:line="240"/>
        <w:ind w:left="0" w:right="0" w:hanging="0"/>
        <w:rPr/>
      </w:pPr>
      <w:r>
        <w:rPr/>
        <w:t xml:space="preserve">Vzdelávanie, kultúra, mládež a šport </w:t>
      </w:r>
    </w:p>
    <w:p>
      <w:pPr>
        <w:pStyle w:val="P68B1DB1Normal104"/>
        <w:widowControl w:val="false"/>
        <w:spacing w:lineRule="auto" w:line="240" w:before="93" w:after="0"/>
        <w:ind w:left="0" w:right="0" w:hanging="0"/>
        <w:jc w:val="left"/>
        <w:rPr/>
      </w:pPr>
      <w:r>
        <w:rPr/>
        <w:t xml:space="preserve">Krajiny EÚ sú priamo zodpovedné za vzdelávanie, kultúru, mládež a šport. EÚ im môže a chcela by v tejto súvislosti pomôcť, napríklad podporou kvalitného vzdelávania, viacjazyčnosti, ochrany kultúrneho dedičstva a podpory kultúrneho a športového sektora. Aká je vízia Holandska? </w:t>
      </w:r>
    </w:p>
    <w:p>
      <w:pPr>
        <w:pStyle w:val="P68B1DB1Normal108"/>
        <w:widowControl w:val="false"/>
        <w:spacing w:lineRule="auto" w:line="240" w:before="90" w:after="0"/>
        <w:ind w:left="0" w:right="0" w:hanging="0"/>
        <w:jc w:val="left"/>
        <w:rPr/>
      </w:pPr>
      <w:r>
        <w:rPr/>
        <w:t xml:space="preserve">Odporúčania – Naša vízia vzdelávania, kultúry, mládeže a športu </w:t>
      </w:r>
    </w:p>
    <w:p>
      <w:pPr>
        <w:pStyle w:val="P68B1DB1Normal69"/>
        <w:widowControl w:val="false"/>
        <w:spacing w:lineRule="auto" w:line="240" w:before="123" w:after="0"/>
        <w:ind w:left="0" w:right="0" w:hanging="0"/>
        <w:jc w:val="left"/>
        <w:rPr/>
      </w:pPr>
      <w:r>
        <w:rPr/>
        <w:t xml:space="preserve">45 % Holanďanov sa domnieva, že vzdelávanie je dôležitou otázkou a že EÚ musí v tejto oblasti zasiahnuť. Pokiaľ ide o mládež, kultúru a šport, toto číslo predstavuje 39 %, 23 % a 19 %. </w:t>
      </w:r>
    </w:p>
    <w:p>
      <w:pPr>
        <w:pStyle w:val="P68B1DB1Normal69"/>
        <w:widowControl w:val="false"/>
        <w:spacing w:lineRule="auto" w:line="240"/>
        <w:ind w:left="0" w:right="0" w:hanging="0"/>
        <w:jc w:val="left"/>
        <w:rPr/>
      </w:pPr>
      <w:r>
        <w:rPr/>
        <w:t xml:space="preserve"> </w:t>
      </w:r>
    </w:p>
    <w:p>
      <w:pPr>
        <w:pStyle w:val="P68B1DB1Normal111"/>
        <w:widowControl w:val="false"/>
        <w:spacing w:lineRule="auto" w:line="240" w:before="28" w:after="0"/>
        <w:ind w:left="0" w:right="0" w:hanging="0"/>
        <w:jc w:val="left"/>
        <w:rPr/>
      </w:pPr>
      <w:r>
        <w:rPr/>
        <w:t xml:space="preserve">1. Povzbudzovanie študentov k inteligentnému štúdiu v zahraničí </w:t>
      </w:r>
    </w:p>
    <w:p>
      <w:pPr>
        <w:pStyle w:val="P68B1DB1Normal104"/>
        <w:widowControl w:val="false"/>
        <w:spacing w:lineRule="auto" w:line="240"/>
        <w:ind w:left="0" w:right="0" w:hanging="0"/>
        <w:jc w:val="left"/>
        <w:rPr/>
      </w:pPr>
      <w:r>
        <w:rPr/>
        <w:t xml:space="preserve">Mnohí Holanďania sa domnievajú, že štúdium v zahraničí má pozitívny vplyv na mladých ľudí. To prispieva k osobnému rozvoju. Okrem toho štúdium v zahraničí môže Európanom pomôcť lepšie si porozumieť. Môže tiež prispieť k lepšej integrácii. Mnohí Holanďania preto považujú za pozitívne, že existuje program Erasmus, ktorý podporuje štúdium v zahraničí. Domnievame sa však, že EÚ by mala aj naďalej kriticky riešiť túto otázku. V praxi sa napríklad zdá, že medzinárodní študenti väčšinou zostávajú medzi sebou a nie vždy sa veľa dozvedia o krajine, v ktorej sa nachádzajú. EÚ musí tiež zabrániť krajinám s nižšou úrovňou vedomostí, aby „prázdnili“, pretože všetky talenty budú študovať v zahraničí. </w:t>
      </w:r>
    </w:p>
    <w:p>
      <w:pPr>
        <w:pStyle w:val="P68B1DB1Normal113"/>
        <w:widowControl w:val="false"/>
        <w:spacing w:lineRule="auto" w:line="240" w:before="167" w:after="0"/>
        <w:ind w:left="0" w:right="0" w:hanging="0"/>
        <w:jc w:val="center"/>
        <w:rPr/>
      </w:pPr>
      <w:r>
        <w:rPr/>
        <w:t>„</w:t>
      </w:r>
      <w:r>
        <w:rPr/>
        <w:t xml:space="preserve">Rozvíjať výmenné programy aj na úrovni odborného stredoškolského vzdelávania.“ </w:t>
      </w:r>
    </w:p>
    <w:p>
      <w:pPr>
        <w:pStyle w:val="Normal"/>
        <w:widowControl w:val="false"/>
        <w:spacing w:lineRule="auto" w:line="240" w:before="136" w:after="0"/>
        <w:ind w:left="0" w:right="0" w:hanging="0"/>
        <w:jc w:val="left"/>
        <w:rPr/>
      </w:pPr>
      <w:r>
        <w:rPr>
          <w:rFonts w:ascii="Calibri" w:hAnsi="Calibri"/>
          <w:b/>
          <w:color w:val="000000"/>
        </w:rPr>
        <w:t>2. Umožniť členským štátom zamerať sa na témy ako kultúra a šport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Holanďanov sa domnieva, že EÚ by mala lepšie chrániť kultúrne dedičstvo v Európe. Myslíme si napríklad na chrámy v Grécku. Na druhej strane sa domnievame, že miestna kultúra je v prvom rade zodpovednosťou samotných krajín. To isté platí napríklad o zneužívaní v športe. Považujeme to za dôležitú otázku, ale nie za hlavnú misiu EÚ. Európa musí nevyhnutne stanoviť priority a na iné otázky sú potrebné značné finančné zdroje. Niekedy môžeme poskytnúť finančný príspevok, ale niekedy môžeme spolupracovať aj inými spôsobmi, napríklad výmenou poznatkov a nápadov. </w:t>
      </w:r>
    </w:p>
    <w:p>
      <w:pPr>
        <w:pStyle w:val="P68B1DB1Normal113"/>
        <w:widowControl w:val="false"/>
        <w:spacing w:lineRule="auto" w:line="240" w:before="167" w:after="0"/>
        <w:ind w:left="0" w:right="0" w:hanging="0"/>
        <w:jc w:val="center"/>
        <w:rPr/>
      </w:pPr>
      <w:r>
        <w:rPr/>
        <w:t xml:space="preserve">Ochrana kultúry spočíva na samotných krajinách. Ak sa však svetové dedičstvo zanedbáva, myslím si, že EÚ musí zasiahnuť. </w:t>
      </w:r>
    </w:p>
    <w:p>
      <w:pPr>
        <w:pStyle w:val="P68B1DB1Normal111"/>
        <w:widowControl w:val="false"/>
        <w:spacing w:lineRule="auto" w:line="240" w:before="136" w:after="0"/>
        <w:ind w:left="0" w:right="0" w:hanging="0"/>
        <w:jc w:val="left"/>
        <w:rPr/>
      </w:pPr>
      <w:r>
        <w:rPr/>
        <w:t xml:space="preserve">3. Zabezpečiť, aby sa Európania lepšie spoznali a rešpektovali </w:t>
      </w:r>
    </w:p>
    <w:p>
      <w:pPr>
        <w:pStyle w:val="P68B1DB1Normal104"/>
        <w:widowControl w:val="false"/>
        <w:spacing w:lineRule="auto" w:line="240"/>
        <w:ind w:left="0" w:right="0" w:hanging="0"/>
        <w:jc w:val="left"/>
        <w:rPr/>
      </w:pPr>
      <w:r>
        <w:rPr/>
        <w:t xml:space="preserve">Holanďania oceňujú, keď ostatní Európania hovoria po anglicky dobre. Zjednodušuje to veci, keď sme v zahraničí. A keď napríklad chceme komunikovať s migrujúcimi pracovníkmi v Holandsku. Zároveň mnohí Holanďania považujú za veľmi dôležité, aby sme naďalej hovorili a vážili si náš vlastný jazyk. Preto chceme, aby sa rešpektovali aj iné rozdiely v rámci Európy. Či už ide o kultúru, vzdelanie alebo šport, každý človek sa musí cítiť slobodne a byť schopný byť sám sebou. Rozdiely môžu niekedy spôsobiť napätie, ale aj obohatiť európsky kontinent. Mnohí Holanďania si myslia, že krajiny by mali dostať čas na oboznámenie sa so svojimi zvykmi a nápadmi. </w:t>
      </w:r>
    </w:p>
    <w:p>
      <w:pPr>
        <w:pStyle w:val="P68B1DB1Normal113"/>
        <w:widowControl w:val="false"/>
        <w:spacing w:lineRule="auto" w:line="240" w:before="167" w:after="0"/>
        <w:ind w:left="0" w:right="0" w:hanging="0"/>
        <w:jc w:val="center"/>
        <w:rPr/>
      </w:pPr>
      <w:r>
        <w:rPr/>
        <w:t xml:space="preserve">Pre mňa je EÚ ako skupina priateľov. Rešpektujeme naše rozdiely a môžem požiadať o pomoc, ak ich budem potrebovať. </w:t>
      </w:r>
    </w:p>
    <w:p>
      <w:pPr>
        <w:pStyle w:val="P68B1DB1Normal108"/>
        <w:widowControl w:val="false"/>
        <w:spacing w:lineRule="auto" w:line="240" w:before="135" w:after="0"/>
        <w:ind w:left="0" w:right="0" w:hanging="0"/>
        <w:jc w:val="left"/>
        <w:rPr/>
      </w:pPr>
      <w:r>
        <w:rPr/>
        <w:t xml:space="preserve">Online diskusie a nápady na mieste </w:t>
      </w:r>
    </w:p>
    <w:p>
      <w:pPr>
        <w:pStyle w:val="P68B1DB1Normal118"/>
        <w:widowControl w:val="false"/>
        <w:spacing w:lineRule="auto" w:line="240" w:before="120" w:after="0"/>
        <w:ind w:left="0" w:right="0" w:hanging="0"/>
        <w:jc w:val="left"/>
        <w:rPr/>
      </w:pPr>
      <w:r>
        <w:rPr/>
        <w:t xml:space="preserve">NÁPAD: Okrem miestnych učebných osnov by sa mali zaviesť spoločné európske učebné osnovy na všetkých úrovniach vzdelávania. </w:t>
      </w:r>
    </w:p>
    <w:p>
      <w:pPr>
        <w:pStyle w:val="P68B1DB1Normal118"/>
        <w:widowControl w:val="false"/>
        <w:spacing w:lineRule="auto" w:line="240" w:before="254" w:after="0"/>
        <w:ind w:left="0" w:right="0" w:hanging="0"/>
        <w:jc w:val="left"/>
        <w:rPr/>
      </w:pPr>
      <w:r>
        <w:rPr/>
        <w:t xml:space="preserve">NÁPAD: Okrem hlavného mesta kultúry by ste si mali každý rok vybrať hlavné mesto (alebo krajinu) v oblasti vzdelávania, mládeže a športu. </w:t>
      </w:r>
    </w:p>
    <w:p>
      <w:pPr>
        <w:pStyle w:val="P68B1DB1Normal118"/>
        <w:widowControl w:val="false"/>
        <w:spacing w:lineRule="auto" w:line="240" w:before="85" w:after="0"/>
        <w:ind w:left="0" w:right="0" w:hanging="0"/>
        <w:jc w:val="left"/>
        <w:rPr/>
      </w:pPr>
      <w:r>
        <w:rPr/>
        <w:t xml:space="preserve">To, čo nás spája v EÚ, je práve skutočnosť, že všetci máme vlastnú národnú kultúru. A preto nemôže byť zhromaždený pod zástavou jedinej kultúry. </w:t>
      </w:r>
    </w:p>
    <w:p>
      <w:pPr>
        <w:pStyle w:val="P68B1DB1Normal118"/>
        <w:widowControl w:val="false"/>
        <w:spacing w:lineRule="auto" w:line="240" w:before="87" w:after="0"/>
        <w:ind w:left="0" w:right="0" w:hanging="0"/>
        <w:jc w:val="left"/>
        <w:rPr/>
      </w:pPr>
      <w:r>
        <w:rPr/>
        <w:t xml:space="preserve">Namiesto zdôrazňovania negatívnych vecí je lepšie pokúsiť sa propagovať šport. </w:t>
      </w:r>
    </w:p>
    <w:p>
      <w:pPr>
        <w:pStyle w:val="P68B1DB1Normal118"/>
        <w:widowControl w:val="false"/>
        <w:spacing w:lineRule="auto" w:line="240" w:before="85" w:after="0"/>
        <w:ind w:left="0" w:right="0" w:hanging="0"/>
        <w:jc w:val="left"/>
        <w:rPr/>
      </w:pPr>
      <w:r>
        <w:rPr/>
        <w:t xml:space="preserve">Som tu integrovaný, platím dane, ale som a zostávam v Latinskej Amerike. Milujem svoj jazyk, hudbu a jedlo. Nie je to o Európe. </w:t>
      </w:r>
    </w:p>
    <w:p>
      <w:pPr>
        <w:pStyle w:val="P68B1DB1Normal118"/>
        <w:widowControl w:val="false"/>
        <w:spacing w:lineRule="auto" w:line="240" w:before="87" w:after="0"/>
        <w:ind w:left="0" w:right="0" w:hanging="0"/>
        <w:jc w:val="left"/>
        <w:rPr/>
      </w:pPr>
      <w:r>
        <w:rPr/>
        <w:t xml:space="preserve">Príliš veľa hovoríme o hospodárstve v Európe. A príliš málo pohody. </w:t>
      </w:r>
    </w:p>
    <w:p>
      <w:pPr>
        <w:pStyle w:val="P68B1DB1Normal111"/>
        <w:widowControl w:val="false"/>
        <w:spacing w:lineRule="auto" w:line="240" w:before="84" w:after="0"/>
        <w:ind w:left="0" w:right="0" w:hanging="0"/>
        <w:jc w:val="left"/>
        <w:rPr/>
      </w:pPr>
      <w:r>
        <w:rPr/>
        <w:t xml:space="preserve">Študenti z Univerzity v Leidene: Jazyk je dôležitý, ale musí zostať slobodnou voľbou </w:t>
      </w:r>
    </w:p>
    <w:p>
      <w:pPr>
        <w:pStyle w:val="P68B1DB1Normal104"/>
        <w:widowControl w:val="false"/>
        <w:spacing w:lineRule="auto" w:line="240" w:before="100" w:after="0"/>
        <w:ind w:left="0" w:right="0" w:hanging="0"/>
        <w:jc w:val="left"/>
        <w:rPr/>
      </w:pPr>
      <w:r>
        <w:rPr/>
        <w:t xml:space="preserve">Na Univerzite v Leidene sa študenti histórie rozprávali medzi sebou. Je dôležité, aby ľudia hovorili viacerými jazykmi. Sú presvedčení, že zvládnutie viacerých jazykov je skvelé pre jeho osobný rozvoj a dobré pre obchodné a politické vzťahy v rámci EÚ. Sú však presvedčení, že jazyky by sa mali ponúkať v škole a nemali by byť povinné. Takisto sa domnievajú, že druhý jazyk nemusí byť nevyhnutne európskym jazykom. „Ak žijete vo východnej Európe a rozhodnete sa učiť sa po rusky, je to vaše právo,“ povedal jeden z účastníkov. </w:t>
      </w:r>
    </w:p>
    <w:p>
      <w:pPr>
        <w:pStyle w:val="P68B1DB1Normal110"/>
        <w:widowControl w:val="false"/>
        <w:spacing w:lineRule="auto" w:line="240" w:before="223" w:after="0"/>
        <w:ind w:left="0" w:right="0" w:hanging="0"/>
        <w:jc w:val="left"/>
        <w:rPr/>
      </w:pPr>
      <w:r>
        <w:rPr>
          <w:b/>
        </w:rPr>
        <w:t xml:space="preserve">Turecká komunita Schiedam: </w:t>
      </w:r>
      <w:r>
        <w:rPr>
          <w:sz w:val="21"/>
        </w:rPr>
        <w:t xml:space="preserve">V nadácii Hakder v Schiedam, miestna turecká komunita diskutovala o dôležitosti spravodlivých pracovných príležitostí pre všetkých. Všetci účastníci sa zhodli na tom, že EÚ by mala podnikom uložiť povinnosť ponúkať stáže alebo pracovné miesta mladým ľuďom s obmedzenými vyhliadkami. Uviedli, že najmä mladým migrantom je ťažké nájsť si stáž alebo prácu. Niekedy sa ani neodvážia ísť na GP, pretože sa obávajú, že za návštevu budú musieť zaplatiť sami. Nehovoriac o odvahe požiadať o stáž alebo prácu," povedal jeden z účastníkov. „Podniky musia byť pozornejšie a EÚ ich môže povzbudzovať k tomu.“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Opis metodiky použitej v prieskume</w:t>
      </w:r>
      <w:r>
        <w:rPr>
          <w:color w:val="365F91"/>
        </w:rPr>
        <w:t xml:space="preserve"> </w:t>
      </w:r>
    </w:p>
    <w:p>
      <w:pPr>
        <w:pStyle w:val="P68B1DB1Normal104"/>
        <w:widowControl w:val="false"/>
        <w:spacing w:lineRule="auto" w:line="240" w:before="137" w:after="0"/>
        <w:ind w:left="0" w:right="0" w:hanging="0"/>
        <w:jc w:val="left"/>
        <w:rPr/>
      </w:pPr>
      <w:r>
        <w:rPr/>
        <w:t xml:space="preserve">Prieskum „Vízia Európy“ pozostáva z rôznych foriem súvisiaceho dialógu s cieľom zhromaždiť názory a myšlienky holandských občanov o budúcnosti Európy a EÚ. V tejto kapitole sa opisuje metodika použitá na zabezpečenie toho, aby súvisiace formy dialógu boli v súlade s usmerneniami pre vnútroštátne panelové diskusie občanov v kontexte Konferencie o budúcnosti Európy. </w:t>
      </w:r>
    </w:p>
    <w:p>
      <w:pPr>
        <w:pStyle w:val="P68B1DB1Normal110"/>
        <w:widowControl w:val="false"/>
        <w:spacing w:lineRule="auto" w:line="240" w:before="236" w:after="0"/>
        <w:ind w:left="0" w:right="0" w:hanging="0"/>
        <w:jc w:val="both"/>
        <w:rPr/>
      </w:pPr>
      <w:r>
        <w:rPr>
          <w:b/>
          <w:i/>
          <w:sz w:val="24"/>
        </w:rPr>
        <w:t xml:space="preserve">Návrh súvisiacich foriem dialógu </w:t>
      </w:r>
      <w:r>
        <w:rPr>
          <w:sz w:val="21"/>
        </w:rPr>
        <w:t xml:space="preserve">Používajú sa tieto formy dialógu: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Prieskum panelu</w:t>
      </w:r>
    </w:p>
    <w:p>
      <w:pPr>
        <w:pStyle w:val="P68B1DB1Normal104"/>
        <w:widowControl w:val="false"/>
        <w:spacing w:lineRule="auto" w:line="240"/>
        <w:ind w:left="0" w:right="0" w:hanging="0"/>
        <w:jc w:val="left"/>
        <w:rPr/>
      </w:pPr>
      <w:r>
        <w:rPr/>
        <w:t xml:space="preserve">Prieskum reprezentatívnej vzorky holandského obyvateľstva.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Online tematické dialógy na prehĺbenie</w:t>
      </w:r>
    </w:p>
    <w:p>
      <w:pPr>
        <w:pStyle w:val="P68B1DB1Normal104"/>
        <w:widowControl w:val="false"/>
        <w:spacing w:lineRule="auto" w:line="240"/>
        <w:ind w:left="0" w:right="0" w:hanging="0"/>
        <w:jc w:val="left"/>
        <w:rPr/>
      </w:pPr>
      <w:r>
        <w:rPr/>
        <w:t xml:space="preserve">Dialógy organizované zakaždým so skupinou Holanďanov s cieľom prehĺbiť závery prvej predbežnej správy s názvom Naša vízia pre Európu (8. októbra 2021), v ktorej sa uvádza počiatočný prehľad výsledkov a doplňujúce otázky.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Dialógy s konkrétnymi skupinami</w:t>
      </w:r>
    </w:p>
    <w:p>
      <w:pPr>
        <w:pStyle w:val="P68B1DB1Normal104"/>
        <w:widowControl w:val="false"/>
        <w:spacing w:lineRule="auto" w:line="240"/>
        <w:ind w:left="0" w:right="0" w:hanging="0"/>
        <w:jc w:val="left"/>
        <w:rPr/>
      </w:pPr>
      <w:r>
        <w:rPr/>
        <w:t xml:space="preserve">Stretnutia s Holanďanmi, ktorí nie sú zvyknutí na účasť na prieskumoch a paneloch (online).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Dialógy s mladými ľuďmi</w:t>
      </w:r>
    </w:p>
    <w:p>
      <w:pPr>
        <w:pStyle w:val="P68B1DB1Normal104"/>
        <w:widowControl w:val="false"/>
        <w:spacing w:lineRule="auto" w:line="240"/>
        <w:ind w:left="0" w:right="0" w:hanging="0"/>
        <w:jc w:val="left"/>
        <w:rPr/>
      </w:pPr>
      <w:r>
        <w:rPr/>
        <w:t xml:space="preserve">Stretnutia zamerané na najdôležitejšie európske témy pre mladých ľudí.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Online verejný prieskum: Dotazník a „Swipen naar de toekomst“ (</w:t>
      </w:r>
      <w:commentRangeStart w:id="25"/>
      <w:r>
        <w:rPr>
          <w:rFonts w:ascii="Calibri" w:hAnsi="Calibri"/>
          <w:b/>
          <w:color w:val="000000"/>
          <w:sz w:val="21"/>
        </w:rPr>
        <w:t xml:space="preserve">Swiper </w:t>
      </w:r>
      <w:r>
        <w:rPr/>
      </w:r>
      <w:commentRangeEnd w:id="25"/>
      <w:r>
        <w:commentReference w:id="25"/>
      </w:r>
      <w:r>
        <w:rPr>
          <w:rFonts w:ascii="Calibri" w:hAnsi="Calibri"/>
          <w:b/>
          <w:color w:val="000000"/>
          <w:sz w:val="21"/>
        </w:rPr>
        <w:t xml:space="preserve">to the future) </w:t>
      </w:r>
    </w:p>
    <w:p>
      <w:pPr>
        <w:pStyle w:val="P68B1DB1Normal104"/>
        <w:widowControl w:val="false"/>
        <w:spacing w:lineRule="auto" w:line="240"/>
        <w:ind w:left="0" w:right="0" w:hanging="0"/>
        <w:jc w:val="left"/>
        <w:rPr/>
      </w:pPr>
      <w:r>
        <w:rPr/>
        <w:t xml:space="preserve">Dotazník panelového prieskumu by mohli vyplniť aj všetci Holanďania vrátane tých, ktorí majú bydlisko v zahraničí. Tento dotazník bol k dispozícii od 1. septembra 2021 do 14. novembra 2021. Okrem toho sa v tom istom období každý Holanďan mohol zúčastniť na akcii „Swipen naar de toekomst“ (Swiper to the future), online nástroji s 20 nárokmi. </w:t>
      </w:r>
    </w:p>
    <w:p>
      <w:pPr>
        <w:pStyle w:val="P68B1DB1Normal108"/>
        <w:widowControl w:val="false"/>
        <w:spacing w:lineRule="auto" w:line="240" w:before="229" w:after="0"/>
        <w:ind w:left="0" w:right="0" w:hanging="0"/>
        <w:jc w:val="left"/>
        <w:rPr/>
      </w:pPr>
      <w:r>
        <w:rPr/>
        <w:t xml:space="preserve">1. Prieskum panelu </w:t>
      </w:r>
    </w:p>
    <w:p>
      <w:pPr>
        <w:pStyle w:val="P68B1DB1Normal104"/>
        <w:widowControl w:val="false"/>
        <w:spacing w:lineRule="auto" w:line="240" w:before="118" w:after="0"/>
        <w:ind w:left="0" w:right="0" w:hanging="0"/>
        <w:jc w:val="left"/>
        <w:rPr/>
      </w:pPr>
      <w:r>
        <w:rPr/>
        <w:t xml:space="preserve">Holandský dialóg s občanmi „Vízia Európy“ sa začal 1. septembra panelovým prieskumom. V tomto popise metodiky prieskumu stručne vysvetľujeme návrh a realizáciu tohto prieskumu panelu. </w:t>
      </w:r>
    </w:p>
    <w:p>
      <w:pPr>
        <w:pStyle w:val="P68B1DB1Normal107"/>
        <w:widowControl w:val="false"/>
        <w:spacing w:lineRule="auto" w:line="240" w:before="43" w:after="0"/>
        <w:ind w:left="0" w:right="0" w:hanging="0"/>
        <w:jc w:val="left"/>
        <w:rPr/>
      </w:pPr>
      <w:r>
        <w:rPr/>
        <w:t xml:space="preserve">Cieľová a cieľová populácia </w:t>
      </w:r>
    </w:p>
    <w:p>
      <w:pPr>
        <w:pStyle w:val="Normal"/>
        <w:widowControl w:val="false"/>
        <w:spacing w:lineRule="auto" w:line="240" w:before="123" w:after="0"/>
        <w:ind w:left="0" w:right="0" w:hanging="0"/>
        <w:jc w:val="left"/>
        <w:rPr/>
      </w:pPr>
      <w:r>
        <w:rPr>
          <w:rFonts w:ascii="Calibri" w:hAnsi="Calibri"/>
          <w:color w:val="000000"/>
          <w:sz w:val="21"/>
        </w:rPr>
        <w:t>Prieskum „Vízia Európy“ sa začal online dotazníkom o tom, ako Holanďania vnímajú budúcnosť Európy. Tento dotazník bol predložený reprezentatívnej komisii a je otvorený aj pre všetkých Holanďanov (vrátane tých, ktorí majú bydlisko v zahraničí). Okrem toho sa každá osoba mohla zúčastniť na akcii „Swipen naar de toekomst“</w:t>
      </w:r>
      <w:commentRangeStart w:id="26"/>
      <w:r>
        <w:rPr>
          <w:rFonts w:ascii="Calibri" w:hAnsi="Calibri"/>
          <w:color w:val="000000"/>
          <w:sz w:val="21"/>
        </w:rPr>
        <w:t>(</w:t>
      </w:r>
      <w:r>
        <w:rPr/>
      </w:r>
      <w:commentRangeEnd w:id="26"/>
      <w:r>
        <w:commentReference w:id="26"/>
      </w:r>
      <w:r>
        <w:rPr>
          <w:rFonts w:ascii="Calibri" w:hAnsi="Calibri"/>
          <w:color w:val="000000"/>
          <w:sz w:val="21"/>
        </w:rPr>
        <w:t xml:space="preserve"> Swiper to the future), online nástroji s 20 nárokmi. Výsledky panelového prieskumu boli podkladom niekoľkých tematických dialógov organizovaných v nadväznosti na proces dialógu s občanmi „Vízia Európy“.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Cieľová populácia panelového prieskumu zahŕňa všetkých holandských ľudí vo veku 18 rokov a starších, ktorí boli v čase začatia práce v teréne registrovaní ako obyvatelia v registri obyvateľstva. Podľa holandského národného štatistického úradu (Centraal Bureau voor de Statistiek – CBS) mala táto cieľová skupina k 1. januáru 2021 14 190 874 osôb. Dolná hranica 18 rokov zodpovedá volebnej väčšine. Nazývame to populácia panelového prieskumu.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pPr>
      <w:r>
        <w:rPr/>
        <w:t xml:space="preserve">Práca v teréne </w:t>
      </w:r>
    </w:p>
    <w:p>
      <w:pPr>
        <w:pStyle w:val="P68B1DB1Normal104"/>
        <w:widowControl w:val="false"/>
        <w:spacing w:lineRule="auto" w:line="240" w:before="127" w:after="0"/>
        <w:ind w:left="0" w:right="0" w:hanging="0"/>
        <w:jc w:val="left"/>
        <w:rPr/>
      </w:pPr>
      <w:r>
        <w:rPr/>
        <w:t xml:space="preserve">Panel viac ako 100 000 účastníkov z celej krajiny (certifikovaný ISO, Research Keurmerk groep, Nederlandse marktonderzoek Associatie) bol použitý na získanie digitálneho obrazu „Medium Dutch“. Títo účastníci sa zapísali do panelu prieskumu, aby pravidelne poskytovali svoje názory na širokú škálu tém. Okrem svojej vnútornej motivácie prispievať sa im platí aj za vyplnenie dotazníkov. Z viacerých vedeckých štúdií vyplýva, že respondenti, ktorí dostávajú kompenzáciu za vyplnenie dotazníka, neposkytujú výrazne odlišné odpovede (zdroj: Znižuje využívanie stimulov na prieskum kvalitu údajov?Cole, J. S., Sarraf, S.A., Wang, X., 2015).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Práca v teréne sa začala 11. augusta 2021 a skončila 19. septembra 2021. Na implementáciu sa použila len jedna metóda zberu údajov, t. j. internetový prieskum. Členovia panelu prieskumu dostali e-mail s osobným odkazom na online dotazník. Po dvoch týždňoch účastníci panelu dostali pripomienku. Pozvánky na účasť boli zaslané v dávkach a stratifikované (zabezpečením rovnakého rozdelenia podskupín), až kým sa nedosiahne požadovaný počet respondentov. </w:t>
      </w:r>
    </w:p>
    <w:p>
      <w:pPr>
        <w:pStyle w:val="P68B1DB1Normal107"/>
        <w:widowControl w:val="false"/>
        <w:spacing w:lineRule="auto" w:line="240" w:before="42" w:after="0"/>
        <w:ind w:left="0" w:right="0" w:hanging="0"/>
        <w:jc w:val="left"/>
        <w:rPr/>
      </w:pPr>
      <w:r>
        <w:rPr/>
        <w:t xml:space="preserve">Odber vzoriek a distribúcia </w:t>
      </w:r>
    </w:p>
    <w:p>
      <w:pPr>
        <w:pStyle w:val="P68B1DB1Normal104"/>
        <w:widowControl w:val="false"/>
        <w:spacing w:lineRule="auto" w:line="240" w:before="123" w:after="0"/>
        <w:ind w:left="0" w:right="0" w:hanging="0"/>
        <w:jc w:val="left"/>
        <w:rPr/>
      </w:pPr>
      <w:r>
        <w:rPr/>
        <w:t xml:space="preserve">Koncepcia prieskumu je založená na zásade, že sa na prieskume musí zúčastniť minimálne 3 600 respondentov, aby sa zabezpečila dobrá štatistická spoľahlivosť. Okrem toho toto číslo umožňuje dobré rozdelenie medzi rôznymi všeobecnými charakteristikami populácie. Nie je tu len jeden typ Holanďanov. Preto sme vopred zabezpečili, že vzorka je rozložená vo viacerých charakteristikách. Holandsko je relatívne malá krajina, ale názory sa môžu v jednotlivých regiónoch líšiť. Umiestnenie a dôležitosť tém môže byť (čiastočne) určená regiónom, v ktorom žijete. Napríklad ľudia žijúci vo vidieckych oblastiach môžu chápať tému, ako je bezpečnosť, inak ako v mestských oblastiach. Z výskumu holandského Úradu pre sociálne a kultúrne plánovanie tiež vyplýva, že ľudia s vyššou úrovňou štúdia sú častejšie priaznivcami EÚ ako tí, ktorí majú nižšiu úroveň štúdia, a že mladí ľudia viac podporujú EÚ ako starší ľudia (zdroj: Wat willen Nederlanders van de Europese Unie?Holandský sociálny a kultúrny úrad, Haag, 2019).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To je dôvod, prečo sme predtým rozdelili tieto tri charakteristiky úmerne s cieľom zabezpečiť reprezentatívnosť vzorky: (1) pobyt prostredníctvom regiónov COROP, (2) vek a (3) úroveň vzdelania. Rozdelenie vzorky bolo prezentované aj podľa týchto všeobecných charakteristík: pohlavie, pôvod, hlavné povolanie, politická orientácia.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Regióny COROP boli vyvinuté na základe princípu uzlov (srdce s atrakciou alebo regionálnou funkciou) na základe prílivu ľudí, ktorí dochádzajú. Pripustilo sa niekoľko porušení zásady uzlov, aby regióny nasledovali hranice provincií. Po reorganizácii obcí mimo hraníc COROP sa rozdelenie upravilo (zdroj: Holandský národný štatistický úrad). V rámci regiónov COROP sme zabezpečili dobré rozdelenie medzi vekové skupiny s týmto rozdelením: vek 18 – 34, 35 – 54, 55 – 75 rokov a viac ako 75 rokov.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Nakoniec sme zabezpečili reprezentatívne rozdelenie úrovní vzdelávania. Rozdelenie respondentov vo vzorke zodpovedá rozdeleniu najvyššej úrovne vzdelania na vnútroštátnej úrovni, ktoré je takéto: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pPr>
      <w:r>
        <w:rPr/>
        <w:t xml:space="preserve">Najvyššia úroveň vzdelania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1"/>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Nízka: základné vzdelávanie, prípravné odborné vzdelávanie, 1. až 3. stupeň všeobecného vyššieho sekundárneho/preduniverzitného vzdelávania, stredoškolské odborné vzdelávanie 1</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Medziprodukt: všeobecné vyššie stredoškolské/preduniverzitné vzdelávanie, stredoškolské odborné vzdelávanie 2 až 4</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Vysoká: vysokoškolské alebo vysokoškolské vzdelávanie</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Neznámy</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0,4 %</w:t>
            </w:r>
          </w:p>
        </w:tc>
      </w:tr>
    </w:tbl>
    <w:p>
      <w:pPr>
        <w:pStyle w:val="Normal"/>
        <w:spacing w:lineRule="auto" w:line="240"/>
        <w:ind w:left="0" w:right="0" w:hanging="0"/>
        <w:rPr/>
      </w:pPr>
      <w:r>
        <w:rPr/>
      </w:r>
    </w:p>
    <w:p>
      <w:pPr>
        <w:pStyle w:val="P68B1DB1Normal107"/>
        <w:spacing w:lineRule="auto" w:line="240"/>
        <w:ind w:left="0" w:right="0" w:hanging="0"/>
        <w:rPr/>
      </w:pPr>
      <w:r>
        <w:rPr/>
        <w:t xml:space="preserve">Rýchlosť odozvy </w:t>
      </w:r>
    </w:p>
    <w:p>
      <w:pPr>
        <w:pStyle w:val="P68B1DB1Normal104"/>
        <w:widowControl w:val="false"/>
        <w:spacing w:lineRule="exact" w:line="283" w:before="87" w:after="0"/>
        <w:ind w:left="0" w:right="368" w:hanging="0"/>
        <w:jc w:val="left"/>
        <w:rPr/>
      </w:pPr>
      <w:r>
        <w:rPr/>
        <w:t xml:space="preserve">Na prieskume sa zúčastnilo celkovo 4 086 ľudí. Cieľ 3 600 plne vyplnených dotazníkov sa preto dosiahol.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pPr>
            <w:r>
              <w:rPr/>
              <w:t>Odpovede regiónov a veku COROP</w:t>
            </w:r>
          </w:p>
        </w:tc>
        <w:tc>
          <w:tcPr>
            <w:tcW w:w="1348" w:type="dxa"/>
            <w:tcBorders/>
            <w:shd w:fill="auto" w:val="clear"/>
            <w:vAlign w:val="bottom"/>
          </w:tcPr>
          <w:p>
            <w:pPr>
              <w:pStyle w:val="P68B1DB1Contenudetableau122"/>
              <w:spacing w:before="57" w:after="57"/>
              <w:jc w:val="left"/>
              <w:rPr/>
            </w:pPr>
            <w:r>
              <w:rPr/>
              <w:t>18 až 34 rokov</w:t>
            </w:r>
          </w:p>
        </w:tc>
        <w:tc>
          <w:tcPr>
            <w:tcW w:w="1348" w:type="dxa"/>
            <w:tcBorders/>
            <w:shd w:fill="auto" w:val="clear"/>
            <w:vAlign w:val="bottom"/>
          </w:tcPr>
          <w:p>
            <w:pPr>
              <w:pStyle w:val="P68B1DB1Contenudetableau122"/>
              <w:spacing w:before="57" w:after="57"/>
              <w:jc w:val="left"/>
              <w:rPr/>
            </w:pPr>
            <w:r>
              <w:rPr/>
              <w:t>35 až 54 rokov</w:t>
            </w:r>
          </w:p>
        </w:tc>
        <w:tc>
          <w:tcPr>
            <w:tcW w:w="1574" w:type="dxa"/>
            <w:tcBorders/>
            <w:shd w:fill="auto" w:val="clear"/>
            <w:vAlign w:val="bottom"/>
          </w:tcPr>
          <w:p>
            <w:pPr>
              <w:pStyle w:val="P68B1DB1Contenudetableau122"/>
              <w:spacing w:before="57" w:after="57"/>
              <w:jc w:val="left"/>
              <w:rPr/>
            </w:pPr>
            <w:r>
              <w:rPr/>
              <w:t>55 až 75 rokov</w:t>
            </w:r>
          </w:p>
        </w:tc>
        <w:tc>
          <w:tcPr>
            <w:tcW w:w="1352" w:type="dxa"/>
            <w:tcBorders/>
            <w:shd w:fill="auto" w:val="clear"/>
            <w:vAlign w:val="bottom"/>
          </w:tcPr>
          <w:p>
            <w:pPr>
              <w:pStyle w:val="P68B1DB1Contenudetableau122"/>
              <w:spacing w:before="57" w:after="57"/>
              <w:jc w:val="left"/>
              <w:rPr/>
            </w:pPr>
            <w:r>
              <w:rPr/>
              <w:t xml:space="preserve"> </w:t>
            </w:r>
            <w:r>
              <w:rPr/>
              <w:t>viac ako 75 rokov</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Severný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Juhovýchod od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Juhozápadne od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Severné Frízsko</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Juhovýchod od Frieslandu</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Juhozápadne od Frieslandu</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Juhozápadne od Gelderlandu</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Veľký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Východný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Zvyšok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Hlavné mesto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Severný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Južný 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Preskúmať mesto North Brabant</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pPr>
            <w:r>
              <w:rPr/>
              <w:t xml:space="preserve">Odpovede regiónov a veku COROP </w:t>
            </w:r>
          </w:p>
        </w:tc>
        <w:tc>
          <w:tcPr>
            <w:tcW w:w="1393" w:type="dxa"/>
            <w:tcBorders/>
            <w:shd w:fill="auto" w:val="clear"/>
            <w:vAlign w:val="bottom"/>
          </w:tcPr>
          <w:p>
            <w:pPr>
              <w:pStyle w:val="P68B1DB1Contenudetableau122"/>
              <w:spacing w:before="57" w:after="57"/>
              <w:jc w:val="left"/>
              <w:rPr/>
            </w:pPr>
            <w:r>
              <w:rPr/>
              <w:t>18 až 34 rokov</w:t>
            </w:r>
          </w:p>
        </w:tc>
        <w:tc>
          <w:tcPr>
            <w:tcW w:w="1393" w:type="dxa"/>
            <w:tcBorders/>
            <w:shd w:fill="auto" w:val="clear"/>
            <w:vAlign w:val="bottom"/>
          </w:tcPr>
          <w:p>
            <w:pPr>
              <w:pStyle w:val="P68B1DB1Contenudetableau122"/>
              <w:spacing w:before="57" w:after="57"/>
              <w:jc w:val="left"/>
              <w:rPr/>
            </w:pPr>
            <w:r>
              <w:rPr/>
              <w:t>35 až 54 rokov</w:t>
            </w:r>
          </w:p>
        </w:tc>
        <w:tc>
          <w:tcPr>
            <w:tcW w:w="1370" w:type="dxa"/>
            <w:tcBorders/>
            <w:shd w:fill="auto" w:val="clear"/>
            <w:vAlign w:val="bottom"/>
          </w:tcPr>
          <w:p>
            <w:pPr>
              <w:pStyle w:val="P68B1DB1Contenudetableau122"/>
              <w:spacing w:before="57" w:after="57"/>
              <w:jc w:val="left"/>
              <w:rPr/>
            </w:pPr>
            <w:r>
              <w:rPr/>
              <w:t>55 až 75 rokov</w:t>
            </w:r>
          </w:p>
        </w:tc>
        <w:tc>
          <w:tcPr>
            <w:tcW w:w="1376" w:type="dxa"/>
            <w:tcBorders/>
            <w:shd w:fill="auto" w:val="clear"/>
            <w:vAlign w:val="bottom"/>
          </w:tcPr>
          <w:p>
            <w:pPr>
              <w:pStyle w:val="P68B1DB1Contenudetableau122"/>
              <w:spacing w:before="57" w:after="57"/>
              <w:jc w:val="left"/>
              <w:rPr/>
            </w:pPr>
            <w:r>
              <w:rPr/>
              <w:t>viac ako 75 rokov</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Severovýchodne od severného Brabantu</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Západ od North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Juhovýchod od North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Aglomerácia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Alkmaar a jeho okolie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Veľký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Gooi a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Tip severného Holandska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Región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Severné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Juhozápadne od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Zvyšok Zeelandu</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Zeeland Flámsko</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Aglomerácia Leiden a oblasť žiaroviek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Aglomerácia Haagu</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Delft a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Veľký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Východ od južného Holandska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Juhovýchodne od južného Holandska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w:t>
            </w:r>
          </w:p>
        </w:tc>
      </w:tr>
    </w:tbl>
    <w:p>
      <w:pPr>
        <w:pStyle w:val="Normal"/>
        <w:spacing w:lineRule="auto" w:line="240"/>
        <w:ind w:left="0" w:right="0" w:hanging="0"/>
        <w:rPr/>
      </w:pPr>
      <w:r>
        <w:rPr/>
      </w:r>
    </w:p>
    <w:p>
      <w:pPr>
        <w:pStyle w:val="P68B1DB1Normal120"/>
        <w:spacing w:lineRule="auto" w:line="240"/>
        <w:ind w:left="0" w:right="0" w:hanging="0"/>
        <w:rPr/>
      </w:pPr>
      <w:r>
        <w:rPr/>
        <w:t xml:space="preserve">Odpovede podľa úrovne vzdelania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Nízka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Sprostredkovateľ</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Vysoká</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Neznámy</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107"/>
        <w:spacing w:lineRule="auto" w:line="240"/>
        <w:ind w:left="0" w:right="0" w:hanging="0"/>
        <w:rPr/>
      </w:pPr>
      <w:r>
        <w:rPr/>
        <w:t xml:space="preserve">Spoľahlivosť a reprezentatívnosť </w:t>
      </w:r>
    </w:p>
    <w:p>
      <w:pPr>
        <w:pStyle w:val="P68B1DB1Normal104"/>
        <w:widowControl w:val="false"/>
        <w:spacing w:lineRule="auto" w:line="240" w:before="87" w:after="0"/>
        <w:ind w:left="0" w:right="0" w:hanging="0"/>
        <w:jc w:val="left"/>
        <w:rPr/>
      </w:pPr>
      <w:r>
        <w:rPr/>
        <w:t xml:space="preserve">Počet respondentov vo výške 4 086 umožňuje vykonať pripomienky k súboru ako celku s úrovňou spoľahlivosti 95 % a chybovou rezervou 1,53 %. Úroveň spoľahlivosti a miera chybovosti výsledkov sa určujú veľkosťou vzorky. Čím väčšia je vzorka, tým spoľahlivejšie a presnejšie výsledky možno extrapolovať na celú populáciu.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Úroveň spoľahlivosti je definovaná ako 1 (100 %) mínus úroveň významu. Je bežné, že je založený na úrovni 5 % význam. Hovoríme o 95 % úrovni dôvery. Inými slovami, ak by sa prieskum zopakoval rovnakým spôsobom a za rovnakých podmienok, výsledky by boli rovnaké v 95 % prípadov. </w:t>
      </w:r>
    </w:p>
    <w:p>
      <w:pPr>
        <w:pStyle w:val="P68B1DB1Normal104"/>
        <w:widowControl w:val="false"/>
        <w:spacing w:lineRule="auto" w:line="240"/>
        <w:ind w:left="0" w:right="0" w:hanging="0"/>
        <w:jc w:val="left"/>
        <w:rPr/>
      </w:pPr>
      <w:r>
        <w:rPr/>
        <w:t xml:space="preserve">Presnosť (vyjadrená medzerou chyby) označuje rozsah hodnôt, v rámci ktorých sa nachádza skutočná hodnota v súbore. Inými slovami: aký by bol maximálny rozdiel medzi výsledkami vzorky a výsledkami, ktoré by sa dosiahli z celkového súboru? Miera chybovosti 1,53 % znamená, že skutočná hodnota v rámci celkového súboru môže byť 1,53 % vyššia alebo nižšia ako hodnota vzorky. Napríklad, ak prieskum vzorky ľudí ukazuje, že 50 % respondentov považuje konkrétnu tému za dôležitú, skutočné percento je 1,53 % vyššie alebo nižšie ako 50 %, t. j. medzi 48,47 a 51,53 %. Maximálna chybovosť 5 % je bežná a všeobecne akceptovaná v kvantitatívnych štúdiách (štatistikách). </w:t>
      </w:r>
    </w:p>
    <w:p>
      <w:pPr>
        <w:pStyle w:val="P68B1DB1Normal104"/>
        <w:widowControl w:val="false"/>
        <w:spacing w:lineRule="auto" w:line="240"/>
        <w:ind w:left="0" w:right="0" w:hanging="0"/>
        <w:jc w:val="left"/>
        <w:rPr/>
      </w:pPr>
      <w:r>
        <w:rPr/>
        <w:t xml:space="preserve">Okrem spoľahlivosti je dôležitá aj reprezentatívnosť vzorky. Keďže pozvánky na účasť boli zaslané v dávkach a stratifikované, výsledky sú reprezentatívne z hľadiska charakteristík regiónu COROP a vekových skupín regiónu COROP. Odpovede sú reprezentatívne aj z hľadiska úrovne vzdelania v porovnaní s najvyššou úrovňou vzdelania dosiahnutou na vnútroštátnej úrovni. </w:t>
      </w:r>
    </w:p>
    <w:p>
      <w:pPr>
        <w:pStyle w:val="P68B1DB1Normal107"/>
        <w:widowControl w:val="false"/>
        <w:spacing w:lineRule="auto" w:line="240"/>
        <w:ind w:left="0" w:right="0" w:hanging="0"/>
        <w:jc w:val="left"/>
        <w:rPr/>
      </w:pPr>
      <w:r>
        <w:rPr/>
        <w:t xml:space="preserve">Ostatné všeobecné charakteristiky </w:t>
      </w:r>
    </w:p>
    <w:p>
      <w:pPr>
        <w:pStyle w:val="P68B1DB1Normal104"/>
        <w:widowControl w:val="false"/>
        <w:spacing w:lineRule="auto" w:line="240" w:before="5" w:after="0"/>
        <w:ind w:left="0" w:right="0" w:hanging="0"/>
        <w:jc w:val="left"/>
        <w:rPr/>
      </w:pPr>
      <w:r>
        <w:rPr/>
        <w:t xml:space="preserve">Účastníkom prieskumu boli položené viaceré ďalšie kontextové otázky podľa panelu. Patrí medzi ne rod, pozícia EÚ, pôvod, hlavná okupácia a politická strana, za ktorú by osoba hlasovala v prípade volieb. </w:t>
      </w:r>
    </w:p>
    <w:p>
      <w:pPr>
        <w:pStyle w:val="P68B1DB1Normal104"/>
        <w:widowControl w:val="false"/>
        <w:spacing w:lineRule="auto" w:line="240"/>
        <w:ind w:left="0" w:right="0" w:hanging="0"/>
        <w:jc w:val="left"/>
        <w:rPr/>
      </w:pPr>
      <w:r>
        <w:rPr/>
        <w:t xml:space="preserve">49 % respondentov sú muži, 50 % ženy a 1 % radšej neodpovedá na túto otázku.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51 % respondentov si myslí, že pre Holandsko je dobré byť členom EÚ, 13 % si myslí, že je to zlá vec a 36 % je neutrálnych alebo nemá názor. </w:t>
      </w:r>
      <w:r>
        <w:br w:type="page"/>
      </w:r>
    </w:p>
    <w:p>
      <w:pPr>
        <w:pStyle w:val="P68B1DB1Normal104"/>
        <w:spacing w:lineRule="auto" w:line="240"/>
        <w:ind w:left="0" w:right="0" w:hanging="0"/>
        <w:rPr/>
      </w:pPr>
      <w:r>
        <w:rPr/>
        <w:t xml:space="preserve">95 % respondentov sa narodilo v Holandsku. 89 % respondentov uviedlo, že obaja rodičia sa narodili v Holandsku. Päť percent sa narodilo dvom rodičom narodeným v zahraničí. </w:t>
      </w:r>
    </w:p>
    <w:p>
      <w:pPr>
        <w:pStyle w:val="P68B1DB1Normal104"/>
        <w:widowControl w:val="false"/>
        <w:spacing w:lineRule="exact" w:line="339"/>
        <w:ind w:left="0" w:right="0" w:hanging="0"/>
        <w:jc w:val="left"/>
        <w:rPr/>
      </w:pPr>
      <w:r>
        <w:rPr/>
        <w:t xml:space="preserve"> </w:t>
      </w:r>
    </w:p>
    <w:p>
      <w:pPr>
        <w:pStyle w:val="P68B1DB1Normal107"/>
        <w:widowControl w:val="false"/>
        <w:spacing w:lineRule="exact" w:line="375" w:before="33" w:after="0"/>
        <w:ind w:left="1" w:right="0" w:hanging="0"/>
        <w:jc w:val="left"/>
        <w:rPr/>
      </w:pPr>
      <w:r>
        <w:rPr/>
        <w:t xml:space="preserve">Súčasná politická orientácia respondentov </w:t>
      </w:r>
    </w:p>
    <w:p>
      <w:pPr>
        <w:pStyle w:val="P68B1DB1Normal120"/>
        <w:widowControl w:val="false"/>
        <w:spacing w:lineRule="exact" w:line="352" w:before="34" w:after="0"/>
        <w:ind w:left="63" w:right="0" w:hanging="0"/>
        <w:jc w:val="left"/>
        <w:rPr/>
      </w:pPr>
      <w:r>
        <w:rPr/>
        <w:t xml:space="preserve">Večierok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9"/>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VVD (Ľudová strana za slobodu a demokraciu)</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PVV (strana pre slobodu)</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SP (Socialistická strana)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D66 (Demokrati 66)</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CDA (kresťanská demokratická výzva)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PvdA (Pracovná strana)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Partij voor de Dieren (Zvieratá)</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GroenLinks (Zelená ľavica)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ChristenUnie (Kresťanská únia)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JA21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BoerBurgerBeweging (Farmerovo-občianske hnutie)</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Fórum voor Democratie (Fórum pre demokraciu)</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GSP (reformovaná politická strana)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Volt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PRIHLÁSIŤ SA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Groep Van Haga – reštaurácie v okolí</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BIJ1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Fractie Den Haan – reštaurácie v okolí</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Ostatné</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Biely hlas</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Radšej neodpoviem</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 nehlasujem</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bl>
    <w:p>
      <w:pPr>
        <w:pStyle w:val="P68B1DB1Normal107"/>
        <w:spacing w:lineRule="auto" w:line="240"/>
        <w:ind w:left="0" w:right="0" w:hanging="0"/>
        <w:rPr/>
      </w:pPr>
      <w:r>
        <w:rPr/>
        <w:t xml:space="preserve">Aké je v súčasnosti vaše hlavné povolanie?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5"/>
      </w:tblGrid>
      <w:tr>
        <w:trPr>
          <w:trHeight w:val="356" w:hRule="atLeast"/>
        </w:trPr>
        <w:tc>
          <w:tcPr>
            <w:tcW w:w="6123" w:type="dxa"/>
            <w:tcBorders/>
            <w:shd w:fill="auto" w:val="clear"/>
            <w:vAlign w:val="bottom"/>
          </w:tcPr>
          <w:p>
            <w:pPr>
              <w:pStyle w:val="P68B1DB1Contenudetableau122"/>
              <w:spacing w:before="57" w:after="57"/>
              <w:jc w:val="left"/>
              <w:rPr/>
            </w:pPr>
            <w:r>
              <w:rPr/>
              <w:t xml:space="preserve">Okupácia </w:t>
            </w:r>
          </w:p>
        </w:tc>
        <w:tc>
          <w:tcPr>
            <w:tcW w:w="3515" w:type="dxa"/>
            <w:tcBorders/>
            <w:shd w:fill="auto" w:val="clear"/>
            <w:vAlign w:val="bottom"/>
          </w:tcPr>
          <w:p>
            <w:pPr>
              <w:pStyle w:val="P68B1DB1Contenudetableau122"/>
              <w:spacing w:before="57" w:after="57"/>
              <w:jc w:val="left"/>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Študent/študent</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Zamestnanec na čiastočný úväzok</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Zamestnanec na plný úväzok</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Nezávislý dodávateľ</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Osoba doma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Uchádzač o zamestnanie</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Dobrovoľník</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Práceneschopnosť</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Dôchodca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Ostatné</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Radšej neodpoviem</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Dotazník</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Dotazník a túto správu vypracovala nezávislá externá organizácia na žiadosť ministerstva zahraničných vecí. Dotazník predstavuje modulárnu štruktúru a obsahuje tieto bloky otázok v súlade s témami určenými pre Konferenciu o budúcnosti Európy: Dôležité témy a úloha Európy </w:t>
      </w:r>
    </w:p>
    <w:p>
      <w:pPr>
        <w:pStyle w:val="P68B1DB1Normal104"/>
        <w:widowControl w:val="false"/>
        <w:spacing w:lineRule="auto" w:line="240" w:before="1" w:after="0"/>
        <w:ind w:left="0" w:right="0" w:hanging="0"/>
        <w:jc w:val="left"/>
        <w:rPr/>
      </w:pPr>
      <w:r>
        <w:rPr/>
        <w:t xml:space="preserve">Zmena klímy a životné prostredie </w:t>
      </w:r>
    </w:p>
    <w:p>
      <w:pPr>
        <w:pStyle w:val="P68B1DB1Normal104"/>
        <w:widowControl w:val="false"/>
        <w:spacing w:lineRule="auto" w:line="240"/>
        <w:ind w:left="0" w:right="0" w:hanging="0"/>
        <w:jc w:val="left"/>
        <w:rPr/>
      </w:pPr>
      <w:r>
        <w:rPr/>
        <w:t xml:space="preserve">Zdravie </w:t>
      </w:r>
    </w:p>
    <w:p>
      <w:pPr>
        <w:pStyle w:val="P68B1DB1Normal104"/>
        <w:widowControl w:val="false"/>
        <w:spacing w:lineRule="auto" w:line="240" w:before="1" w:after="0"/>
        <w:ind w:left="0" w:right="0" w:hanging="0"/>
        <w:jc w:val="left"/>
        <w:rPr/>
      </w:pPr>
      <w:r>
        <w:rPr/>
        <w:t xml:space="preserve">Hospodárstvo a zamestnanosť </w:t>
      </w:r>
    </w:p>
    <w:p>
      <w:pPr>
        <w:pStyle w:val="P68B1DB1Normal104"/>
        <w:widowControl w:val="false"/>
        <w:spacing w:lineRule="auto" w:line="240"/>
        <w:ind w:left="0" w:right="0" w:hanging="0"/>
        <w:jc w:val="left"/>
        <w:rPr/>
      </w:pPr>
      <w:r>
        <w:rPr/>
        <w:t xml:space="preserve">Úloha Európskej únie vo svete </w:t>
      </w:r>
    </w:p>
    <w:p>
      <w:pPr>
        <w:pStyle w:val="P68B1DB1Normal104"/>
        <w:widowControl w:val="false"/>
        <w:spacing w:lineRule="auto" w:line="240" w:before="1" w:after="0"/>
        <w:ind w:left="0" w:right="0" w:hanging="0"/>
        <w:jc w:val="left"/>
        <w:rPr/>
      </w:pPr>
      <w:r>
        <w:rPr/>
        <w:t xml:space="preserve">Bezpečnosť a právny štát </w:t>
      </w:r>
    </w:p>
    <w:p>
      <w:pPr>
        <w:pStyle w:val="P68B1DB1Normal104"/>
        <w:widowControl w:val="false"/>
        <w:spacing w:lineRule="auto" w:line="240"/>
        <w:ind w:left="0" w:right="0" w:hanging="0"/>
        <w:jc w:val="left"/>
        <w:rPr/>
      </w:pPr>
      <w:r>
        <w:rPr/>
        <w:t xml:space="preserve">Virtuálny svet </w:t>
      </w:r>
    </w:p>
    <w:p>
      <w:pPr>
        <w:pStyle w:val="P68B1DB1Normal104"/>
        <w:widowControl w:val="false"/>
        <w:spacing w:lineRule="auto" w:line="240" w:before="1" w:after="0"/>
        <w:ind w:left="0" w:right="0" w:hanging="0"/>
        <w:jc w:val="left"/>
        <w:rPr/>
      </w:pPr>
      <w:r>
        <w:rPr/>
        <w:t xml:space="preserve">Európska demokracia </w:t>
      </w:r>
    </w:p>
    <w:p>
      <w:pPr>
        <w:pStyle w:val="P68B1DB1Normal104"/>
        <w:widowControl w:val="false"/>
        <w:spacing w:lineRule="auto" w:line="240"/>
        <w:ind w:left="0" w:right="0" w:hanging="0"/>
        <w:jc w:val="left"/>
        <w:rPr/>
      </w:pPr>
      <w:r>
        <w:rPr/>
        <w:t xml:space="preserve">Migrácia a utečenci </w:t>
      </w:r>
    </w:p>
    <w:p>
      <w:pPr>
        <w:pStyle w:val="P68B1DB1Normal104"/>
        <w:widowControl w:val="false"/>
        <w:spacing w:lineRule="auto" w:line="240" w:before="1" w:after="0"/>
        <w:ind w:left="0" w:right="0" w:hanging="0"/>
        <w:jc w:val="left"/>
        <w:rPr/>
      </w:pPr>
      <w:r>
        <w:rPr/>
        <w:t xml:space="preserve">Vzdelávanie/kultúra/mládež/šport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Počas prípravy dotazníka bola veľká pozornosť venovaná kvalite, spoľahlivosti a platnosti otázok. Z tohto dôvodu sa hľadala neutrálna, neriadená formulácia otázok, tvrdení a možností odpovede a overilo sa, že otázky boli formulované v zrozumiteľnom jazyku (úroveň B1).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Dotazník bol podrobený testom kvality prostredníctvom osobných rozhovorov s účastníkmi testu patriacimi do cieľovej skupiny. To nám umožnilo študovať, ako sú otázky chápané rôznymi typmi respondentov. Ak sa zdá, že otázka predstavuje príliš veľké (príliš zložité) kognitívne zaťaženie, bolo to vhodné. </w:t>
      </w:r>
      <w:r>
        <w:br w:type="page"/>
      </w:r>
    </w:p>
    <w:p>
      <w:pPr>
        <w:pStyle w:val="P68B1DB1Normal107"/>
        <w:spacing w:lineRule="auto" w:line="240"/>
        <w:ind w:left="0" w:right="0" w:hanging="0"/>
        <w:rPr/>
      </w:pPr>
      <w:r>
        <w:rPr/>
        <w:t xml:space="preserve">Metódy analýzy </w:t>
      </w:r>
    </w:p>
    <w:p>
      <w:pPr>
        <w:pStyle w:val="P68B1DB1Normal104"/>
        <w:widowControl w:val="false"/>
        <w:spacing w:lineRule="auto" w:line="240" w:before="127" w:after="0"/>
        <w:ind w:left="0" w:right="0" w:hanging="0"/>
        <w:jc w:val="left"/>
        <w:rPr/>
      </w:pPr>
      <w:r>
        <w:rPr/>
        <w:t xml:space="preserve">V tomto prieskume sa použili dve metódy analýzy: </w:t>
      </w:r>
    </w:p>
    <w:p>
      <w:pPr>
        <w:pStyle w:val="P68B1DB1Normal111"/>
        <w:widowControl w:val="false"/>
        <w:spacing w:lineRule="auto" w:line="240" w:before="38" w:after="0"/>
        <w:ind w:left="0" w:right="0" w:hanging="0"/>
        <w:jc w:val="left"/>
        <w:rPr/>
      </w:pPr>
      <w:r>
        <w:rPr/>
        <w:t xml:space="preserve">Univariatové analýzy </w:t>
      </w:r>
    </w:p>
    <w:p>
      <w:pPr>
        <w:pStyle w:val="P68B1DB1Normal104"/>
        <w:widowControl w:val="false"/>
        <w:spacing w:lineRule="auto" w:line="240" w:before="97" w:after="0"/>
        <w:ind w:left="0" w:right="0" w:hanging="0"/>
        <w:jc w:val="left"/>
        <w:rPr/>
      </w:pPr>
      <w:r>
        <w:rPr/>
        <w:t xml:space="preserve">Opisné štatistiky sa používajú na opis premenných prieskumu. V tomto prieskume sa používajú frekvencie a priemery. </w:t>
      </w:r>
    </w:p>
    <w:p>
      <w:pPr>
        <w:pStyle w:val="P68B1DB1Normal111"/>
        <w:widowControl w:val="false"/>
        <w:spacing w:lineRule="auto" w:line="240" w:before="41" w:after="0"/>
        <w:ind w:left="0" w:right="0" w:hanging="0"/>
        <w:jc w:val="left"/>
        <w:rPr/>
      </w:pPr>
      <w:r>
        <w:rPr/>
        <w:t xml:space="preserve">Bivariátové analýzy </w:t>
      </w:r>
    </w:p>
    <w:p>
      <w:pPr>
        <w:pStyle w:val="P68B1DB1Normal104"/>
        <w:widowControl w:val="false"/>
        <w:spacing w:lineRule="auto" w:line="240" w:before="95" w:after="0"/>
        <w:ind w:left="0" w:right="0" w:hanging="0"/>
        <w:jc w:val="left"/>
        <w:rPr/>
      </w:pPr>
      <w:r>
        <w:rPr/>
        <w:t xml:space="preserve">Dvojrozmerné analýzy umožňujú preskúmať vzťah medzi dvoma premennými, v tomto prípade vzťahom medzi významom rôznych tém a otázkou, či má EÚ zasiahnuť v tejto oblasti, a všeobecnou charakteristikou veku. Vykonalo sa preskúmanie s cieľom určiť, či rôzne vekové skupiny pripisujú určitej téme odlišný význam a či existujú rozdielne názory na rozsah, do ktorého by sa EÚ mala zapojiť. </w:t>
      </w:r>
    </w:p>
    <w:p>
      <w:pPr>
        <w:pStyle w:val="P68B1DB1Normal107"/>
        <w:widowControl w:val="false"/>
        <w:spacing w:lineRule="auto" w:line="240" w:before="43" w:after="0"/>
        <w:ind w:left="0" w:right="0" w:hanging="0"/>
        <w:jc w:val="left"/>
        <w:rPr/>
      </w:pPr>
      <w:r>
        <w:rPr/>
        <w:t xml:space="preserve">Zverejňovanie informácií a úplnosť </w:t>
      </w:r>
    </w:p>
    <w:p>
      <w:pPr>
        <w:pStyle w:val="P68B1DB1Normal104"/>
        <w:widowControl w:val="false"/>
        <w:spacing w:lineRule="auto" w:line="240" w:before="123" w:after="0"/>
        <w:ind w:left="0" w:right="0" w:hanging="0"/>
        <w:jc w:val="left"/>
        <w:rPr/>
      </w:pPr>
      <w:r>
        <w:rPr/>
        <w:t xml:space="preserve">Táto správa obsahuje (vizuálne) zobrazenie výsledkov všetkých otázok položených respondentom panelu prieskumu. V prípade niektorých otázok mal respondent možnosť poskytnúť „otvorené“ (t. j. nie vopred určené) odpovede. Otvorené odpovede boli potom kategorizované a zahrnuté v publikácii. Myšlienky, ktoré respondenti zdieľajú vo bezplatných pripomienkach, sa používajú ako podklad pre rôzne tematické dialógy organizované v nadväznosti na proces dialógu s občanmi „Vízia Európy“. </w:t>
      </w:r>
    </w:p>
    <w:p>
      <w:pPr>
        <w:pStyle w:val="P68B1DB1Normal108"/>
        <w:widowControl w:val="false"/>
        <w:spacing w:lineRule="auto" w:line="240" w:before="35" w:after="0"/>
        <w:ind w:left="0" w:right="0" w:hanging="0"/>
        <w:jc w:val="left"/>
        <w:rPr/>
      </w:pPr>
      <w:r>
        <w:rPr/>
        <w:t xml:space="preserve">2. Online tematické dialógy na prehĺbenie </w:t>
      </w:r>
    </w:p>
    <w:p>
      <w:pPr>
        <w:pStyle w:val="P68B1DB1Normal104"/>
        <w:widowControl w:val="false"/>
        <w:spacing w:lineRule="auto" w:line="240" w:before="17" w:after="0"/>
        <w:ind w:left="0" w:right="0" w:hanging="0"/>
        <w:jc w:val="left"/>
        <w:rPr/>
      </w:pPr>
      <w:r>
        <w:rPr/>
        <w:t xml:space="preserve">Témy, ktoré sú stredobodom Konferencie o budúcnosti Európy, sa prehĺbili prostredníctvom ôsmich online tematických dialógov. Účelom týchto dialógov bolo zistiť dôvody vyjadrených názorov, ako aj motiváciu a pocity, ktoré sú za nimi. Aké sú vnímané obavy a príležitosti? Diskusné stretnutia tiež umožnili účastníkom formulovať návrhy a nápady na tieto témy, ako aj nastoliť otázky, ktoré nie sú súčasťou konferencie, ale zostávajú pre nich dôležité. </w:t>
      </w:r>
    </w:p>
    <w:p>
      <w:pPr>
        <w:pStyle w:val="P68B1DB1Normal24"/>
        <w:widowControl w:val="false"/>
        <w:spacing w:lineRule="auto" w:line="240" w:before="2" w:after="0"/>
        <w:ind w:left="0" w:right="0" w:hanging="0"/>
        <w:jc w:val="left"/>
        <w:rPr/>
      </w:pPr>
      <w:r>
        <w:rPr/>
        <w:t xml:space="preserve"> </w:t>
      </w:r>
    </w:p>
    <w:p>
      <w:pPr>
        <w:pStyle w:val="P68B1DB1Normal104"/>
        <w:widowControl w:val="false"/>
        <w:spacing w:lineRule="auto" w:line="240" w:before="8" w:after="0"/>
        <w:ind w:left="0" w:right="0" w:hanging="0"/>
        <w:jc w:val="left"/>
        <w:rPr/>
      </w:pPr>
      <w:r>
        <w:rPr/>
        <w:t xml:space="preserve">Tematické dialógy sa uskutočnili 12. – 14. októbra a 9. – 11. novembra. V októbri sa zorganizovali štyri online tematické dialógy o témach „Hospodárstvo“ a „Demokracia“. V novembri sa uskutočnili štyri online tematické dialógy o témach „Klíma“ a „EÚ vo svete“. V priemere sa na každom diskusnom zasadnutí zúčastnilo 29 ľudí (spolu 231). Účastníci boli prijatí spomedzi členov panelu (pozri bod 1) a prostredníctvom sociálnych médií. </w:t>
      </w:r>
    </w:p>
    <w:p>
      <w:pPr>
        <w:pStyle w:val="P68B1DB1Normal19"/>
        <w:widowControl w:val="false"/>
        <w:spacing w:lineRule="auto" w:line="240" w:before="1" w:after="0"/>
        <w:ind w:left="0" w:right="0" w:hanging="0"/>
        <w:jc w:val="left"/>
        <w:rPr/>
      </w:pPr>
      <w:r>
        <w:rPr/>
        <w:t xml:space="preserve"> </w:t>
      </w:r>
    </w:p>
    <w:p>
      <w:pPr>
        <w:pStyle w:val="P68B1DB1Normal108"/>
        <w:widowControl w:val="false"/>
        <w:spacing w:lineRule="auto" w:line="240" w:before="3" w:after="0"/>
        <w:ind w:left="0" w:right="0" w:hanging="0"/>
        <w:jc w:val="left"/>
        <w:rPr/>
      </w:pPr>
      <w:r>
        <w:rPr/>
        <w:t xml:space="preserve">3. Dialógy s konkrétnymi skupinami </w:t>
      </w:r>
    </w:p>
    <w:p>
      <w:pPr>
        <w:pStyle w:val="P68B1DB1Normal104"/>
        <w:widowControl w:val="false"/>
        <w:spacing w:lineRule="auto" w:line="240" w:before="12" w:after="0"/>
        <w:ind w:left="0" w:right="0" w:hanging="0"/>
        <w:jc w:val="left"/>
        <w:rPr/>
      </w:pPr>
      <w:r>
        <w:rPr/>
        <w:t xml:space="preserve">Je známe, že niektoré holandské skupiny sú menej zvyknuté zúčastňovať sa na prieskumoch a paneloch (online). S cieľom získať reprezentatívny obraz o „hlase Holandska“ bolo dôležité, aby títo občania mohli vyjadriť svoje myšlienky a názory. Preto sme zorganizovali aj niekoľko dialógov na mieste pre prieskum „Vízia Európy“. Názory a myšlienky, ktoré sme dokázali zhromaždiť, boli použité ako základ (okrem iného) na formulovanie odporúčaní. </w:t>
      </w:r>
    </w:p>
    <w:p>
      <w:pPr>
        <w:pStyle w:val="P68B1DB1Normal24"/>
        <w:widowControl w:val="false"/>
        <w:spacing w:lineRule="auto" w:line="240" w:before="4" w:after="0"/>
        <w:ind w:left="0" w:right="0" w:hanging="0"/>
        <w:jc w:val="left"/>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pPr>
      <w:r>
        <w:rPr/>
        <w:t xml:space="preserve">Cieľové skupiny </w:t>
      </w:r>
    </w:p>
    <w:p>
      <w:pPr>
        <w:pStyle w:val="P68B1DB1Normal110"/>
        <w:widowControl w:val="false"/>
        <w:spacing w:lineRule="auto" w:line="240" w:before="22" w:after="0"/>
        <w:ind w:left="0" w:right="0" w:hanging="0"/>
        <w:jc w:val="left"/>
        <w:rPr/>
      </w:pPr>
      <w:r>
        <w:rPr>
          <w:sz w:val="21"/>
        </w:rPr>
        <w:t xml:space="preserve">Ťažko dostupné cieľové skupiny nie je možné jednoznačne definovať. Štúdie a skúsenosti nám umožňujú vedieť, že Holanďania s </w:t>
      </w:r>
      <w:r>
        <w:rPr>
          <w:b/>
          <w:sz w:val="21"/>
        </w:rPr>
        <w:t>iným ako západným pôvodom</w:t>
      </w:r>
      <w:r>
        <w:rPr>
          <w:sz w:val="21"/>
        </w:rPr>
        <w:t>sa na vyšetrovaniach a diskusiách zúčastňujú podstatne menej. Keďže ide o veľkú skupinu (14 % holandského</w:t>
      </w:r>
      <w:r>
        <w:rPr>
          <w:position w:val="6"/>
          <w:sz w:val="14"/>
        </w:rPr>
        <w:t>1</w:t>
      </w:r>
      <w:r>
        <w:rPr>
          <w:sz w:val="21"/>
        </w:rPr>
        <w:t xml:space="preserve">), boli vybraní, aby sa zapojili do dialógu o vízii Európy. Rovnaká úvaha sa uplatnila aj v prípade </w:t>
      </w:r>
      <w:r>
        <w:rPr>
          <w:b/>
          <w:sz w:val="21"/>
        </w:rPr>
        <w:t>osôb s malým vzdelaním</w:t>
      </w:r>
      <w:r>
        <w:rPr>
          <w:sz w:val="21"/>
        </w:rPr>
        <w:t>. Je to tiež veľká skupina (2,5 milióna holandských</w:t>
      </w:r>
      <w:r>
        <w:rPr>
          <w:position w:val="6"/>
          <w:sz w:val="14"/>
        </w:rPr>
        <w:t>2</w:t>
      </w:r>
      <w:r>
        <w:rPr>
          <w:sz w:val="21"/>
        </w:rPr>
        <w:t xml:space="preserve">), ktorá sa čiastočne prekrýva so skupinou migrantov (39 %). Napokon sa uskutočnil dialóg so skupinou ľudí, ktorí sa zriedka nachádzajú v prieskumoch a diskusiách, </w:t>
      </w:r>
      <w:r>
        <w:rPr>
          <w:b/>
          <w:sz w:val="21"/>
        </w:rPr>
        <w:t>ktorí sú kritickí voči Európe, ale pre ktorých Európa zohráva dôležitú úlohu v profesionálnej sfére.</w:t>
      </w:r>
      <w:r>
        <w:rPr>
          <w:sz w:val="21"/>
        </w:rPr>
        <w:t xml:space="preserve"> Vybraní boli podnikatelia z poľnohospodárskeho sektora.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5" w:after="0"/>
        <w:ind w:left="0" w:right="0" w:hanging="0"/>
        <w:jc w:val="left"/>
        <w:rPr/>
      </w:pPr>
      <w:r>
        <w:rPr/>
        <w:t xml:space="preserve">Uvedené skupiny boli oslovené prostredníctvom organizácií, ktorých sú členmi, ako sú migračné organizácie, združenia advokácie a profesijné organizácie. Keďže sme obmedzili počet dialógov na osem, nemohli sme byť úplne „úplní“. Výber účastníkov je preto trochu svojvoľný. Pri tejto voľbe sme brali do úvahy aj nadšenie účasti a pomoc pri mobilizácii ich základne, ako aj praktické otázky, ako je dostupnosť podľa dátumov a miesta.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5" w:after="0"/>
        <w:ind w:left="0" w:right="0" w:hanging="0"/>
        <w:jc w:val="left"/>
        <w:rPr/>
      </w:pPr>
      <w:r>
        <w:rPr/>
        <w:t xml:space="preserve">Uskutočnili sa dialógy na mieste s členmi týchto organizácií: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Hakder Foundation, Alevi komunita,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Nadácia Asha, hinduistická komunita, Utrecht (dve diskusné stretnutia)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organizácia občianskej spoločnosti,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organizácia pre ľudí s nízkym vzdelaním,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združenie poľnohospodárskych skupín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marocká komunita,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Ženy za slobodu, organizácia na podporu žien s migrantským pôvodom, Haag </w:t>
      </w:r>
    </w:p>
    <w:p>
      <w:pPr>
        <w:pStyle w:val="P68B1DB1Normal104"/>
        <w:widowControl w:val="false"/>
        <w:spacing w:lineRule="auto" w:line="240" w:before="12" w:after="0"/>
        <w:ind w:left="0" w:right="0" w:hanging="0"/>
        <w:jc w:val="left"/>
        <w:rPr/>
      </w:pPr>
      <w:r>
        <w:rPr/>
        <w:t xml:space="preserve"> </w:t>
      </w:r>
    </w:p>
    <w:p>
      <w:pPr>
        <w:pStyle w:val="P68B1DB1Normal104"/>
        <w:widowControl w:val="false"/>
        <w:spacing w:lineRule="auto" w:line="240" w:before="101" w:after="0"/>
        <w:ind w:left="0" w:right="0" w:hanging="0"/>
        <w:jc w:val="left"/>
        <w:rPr/>
      </w:pPr>
      <w:r>
        <w:rPr/>
        <w:t xml:space="preserve">Na týchto diskusných stretnutiach sa zúčastnilo celkovo 110 ľudí. </w:t>
      </w:r>
    </w:p>
    <w:p>
      <w:pPr>
        <w:pStyle w:val="P68B1DB1Normal19"/>
        <w:widowControl w:val="false"/>
        <w:spacing w:lineRule="auto" w:line="240" w:before="90" w:after="0"/>
        <w:ind w:left="0" w:right="0" w:hanging="0"/>
        <w:jc w:val="left"/>
        <w:rPr/>
      </w:pPr>
      <w:r>
        <w:rPr/>
        <w:t xml:space="preserve"> </w:t>
      </w:r>
    </w:p>
    <w:p>
      <w:pPr>
        <w:pStyle w:val="P68B1DB1Normal108"/>
        <w:widowControl w:val="false"/>
        <w:spacing w:lineRule="auto" w:line="240" w:before="339" w:after="0"/>
        <w:ind w:left="0" w:right="0" w:hanging="0"/>
        <w:jc w:val="left"/>
        <w:rPr/>
      </w:pPr>
      <w:r>
        <w:rPr/>
        <w:t xml:space="preserve">4. Dialógy s mladými ľuďmi </w:t>
      </w:r>
    </w:p>
    <w:p>
      <w:pPr>
        <w:pStyle w:val="P68B1DB1Normal104"/>
        <w:widowControl w:val="false"/>
        <w:spacing w:lineRule="auto" w:line="240" w:before="118" w:after="0"/>
        <w:ind w:left="0" w:right="0" w:hanging="0"/>
        <w:jc w:val="both"/>
        <w:rPr/>
      </w:pPr>
      <w:r>
        <w:rPr/>
        <w:t xml:space="preserve">Mladí ľudia sú prioritnou cieľovou skupinou Konferencie o budúcnosti Európy. S cieľom aktívne podporovať ich účasť na dialógu s občanmi „Vision of Europe“ a aby boli názory a myšlienky tejto skupiny dobre vypočuté, zorganizovalo sa päť fyzických diskusných stretnutí osobitne pre mladých ľudí. Šieste plánované stretnutie s mladými ľuďmi sa nemohlo uskutočniť z dôvodu reštriktívnych opatrení súvisiacich s koronavírusom.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both"/>
        <w:rPr/>
      </w:pPr>
      <w:r>
        <w:rPr/>
        <w:t xml:space="preserve">Stretnutia sa konali v týchto inštitúciách: </w:t>
      </w:r>
    </w:p>
    <w:p>
      <w:pPr>
        <w:pStyle w:val="P68B1DB1Normal104"/>
        <w:widowControl w:val="false"/>
        <w:spacing w:lineRule="auto" w:line="240"/>
        <w:ind w:left="0" w:right="0" w:hanging="0"/>
        <w:jc w:val="both"/>
        <w:rPr/>
      </w:pPr>
      <w:r>
        <w:rPr/>
        <w:t xml:space="preserve">Asociácia študentov histórie, Univerzita v Leidene </w:t>
      </w:r>
    </w:p>
    <w:p>
      <w:pPr>
        <w:pStyle w:val="P68B1DB1Normal104"/>
        <w:widowControl w:val="false"/>
        <w:spacing w:lineRule="auto" w:line="240"/>
        <w:ind w:left="0" w:right="0" w:hanging="0"/>
        <w:jc w:val="both"/>
        <w:rPr/>
      </w:pPr>
      <w:r>
        <w:rPr/>
        <w:t xml:space="preserve">Dr. Knippenberg College, stredná škola, Helmond </w:t>
      </w:r>
    </w:p>
    <w:p>
      <w:pPr>
        <w:pStyle w:val="P68B1DB1Normal104"/>
        <w:widowControl w:val="false"/>
        <w:spacing w:lineRule="auto" w:line="240" w:before="1" w:after="0"/>
        <w:ind w:left="0" w:right="0" w:hanging="0"/>
        <w:jc w:val="left"/>
        <w:rPr/>
      </w:pPr>
      <w:r>
        <w:rPr/>
        <w:t xml:space="preserve">Coalitie-Y, mládežnícka platforma Hospodárskej a sociálnej rady </w:t>
      </w:r>
    </w:p>
    <w:p>
      <w:pPr>
        <w:pStyle w:val="P68B1DB1Normal104"/>
        <w:widowControl w:val="false"/>
        <w:spacing w:lineRule="auto" w:line="240"/>
        <w:ind w:left="0" w:right="0" w:hanging="0"/>
        <w:jc w:val="left"/>
        <w:rPr/>
      </w:pPr>
      <w:r>
        <w:rPr/>
        <w:t xml:space="preserve">Graafschap College, Odborné stredoškolské vzdelávanie, Doetinchem </w:t>
      </w:r>
    </w:p>
    <w:p>
      <w:pPr>
        <w:pStyle w:val="P68B1DB1Normal104"/>
        <w:widowControl w:val="false"/>
        <w:spacing w:lineRule="auto" w:line="240" w:before="1" w:after="0"/>
        <w:ind w:left="0" w:right="0" w:hanging="0"/>
        <w:jc w:val="left"/>
        <w:rPr/>
      </w:pPr>
      <w:r>
        <w:rPr/>
        <w:t xml:space="preserve">CSG Jan Arentsz, stredoškolské vzdelávanie zamerané na technologické predmety, Alkmaar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Na diskusných stretnutiach sa zúčastnilo celkom 95 mladých ľudí. </w:t>
      </w:r>
      <w:r>
        <w:br w:type="page"/>
      </w:r>
    </w:p>
    <w:p>
      <w:pPr>
        <w:pStyle w:val="P68B1DB1Normal107"/>
        <w:spacing w:lineRule="auto" w:line="240"/>
        <w:ind w:left="0" w:right="0" w:hanging="0"/>
        <w:rPr/>
      </w:pPr>
      <w:r>
        <w:rPr/>
        <w:t xml:space="preserve">Použité techniky údržby </w:t>
      </w:r>
    </w:p>
    <w:p>
      <w:pPr>
        <w:pStyle w:val="P68B1DB1Normal104"/>
        <w:widowControl w:val="false"/>
        <w:spacing w:lineRule="auto" w:line="240" w:before="10" w:after="0"/>
        <w:ind w:left="0" w:right="0" w:hanging="0"/>
        <w:jc w:val="left"/>
        <w:rPr/>
      </w:pPr>
      <w:r>
        <w:rPr/>
        <w:t xml:space="preserve">Online tematické dialógy, dialógy s konkrétnymi skupinami a dialógy s mladými ľuďmi sa uskutočnili pomocou tzv. „sokratickej“ metódy pohovoru. Táto metóda sa používa už mnoho rokov v deň dialógu, kde ľudia v Holandsku komunikujú v otázkach, ktoré sa ich týkajú. V súvislosti so Sokratickou metódou údržby musí moderátor zohľadniť tieto zásady: </w:t>
      </w:r>
    </w:p>
    <w:p>
      <w:pPr>
        <w:pStyle w:val="P68B1DB1Normal104"/>
        <w:widowControl w:val="false"/>
        <w:spacing w:lineRule="auto" w:line="240"/>
        <w:ind w:left="0" w:right="0" w:hanging="0"/>
        <w:jc w:val="left"/>
        <w:rPr/>
      </w:pPr>
      <w:r>
        <w:rPr/>
        <w:t xml:space="preserve"> </w:t>
      </w:r>
    </w:p>
    <w:p>
      <w:pPr>
        <w:pStyle w:val="P68B1DB1Normal105"/>
        <w:widowControl w:val="false"/>
        <w:spacing w:lineRule="auto" w:line="240" w:before="7" w:after="0"/>
        <w:ind w:left="0" w:right="0" w:hanging="0"/>
        <w:jc w:val="left"/>
        <w:rPr/>
      </w:pPr>
      <w:r>
        <w:rPr>
          <w:rFonts w:ascii="Verdana" w:hAnsi="Verdana"/>
        </w:rPr>
        <w:t>•</w:t>
      </w:r>
      <w:r>
        <w:rPr/>
        <w:t xml:space="preserve"> </w:t>
      </w:r>
      <w:r>
        <w:rPr/>
        <w:t xml:space="preserve">Nech druhý rozpráva svoj príbeh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Neodpovedajte</w:t>
      </w:r>
      <w:r>
        <w:rPr/>
        <w:t xml:space="preserve"> </w:t>
      </w:r>
      <w:r>
        <w:rPr>
          <w:rFonts w:ascii="Calibri" w:hAnsi="Calibri"/>
        </w:rPr>
        <w:t xml:space="preserve">okamžite iným príbehom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Správajte sa s rešpektom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Hovorte o vlastnom pohľade („nájdem“ skôr ako „hovoria“)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Požiadať o ďalšie vysvetlenia, ak sú vyjadrené názory obmedzené na všeobecné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Vyhnúť sa úsudkom a analyzovať ich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Udeľte chvíľky ticha, ak ľudia potrebujú na chvíľu premýšľať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Počas dialógov sa používa tento rytmus: divergencia – konvergencia – rozdiely. Princíp spočíva v tom, že najprv sa musíte odchýliť (priamo vyjadriť individuálne pocity a názory), než sa môžete zblížiť (hovoriť možné cesty) a potom sa nakoniec opäť odchýliť (napríklad zbierať individuálne odporúčania). Skúsenosti a teória ukazujú, že tento rytmus zabezpečuje optimálny tok dialógu.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Všetky dialógy viedli profesionálni sprostredkovatelia. </w:t>
      </w:r>
    </w:p>
    <w:p>
      <w:pPr>
        <w:pStyle w:val="P68B1DB1Normal19"/>
        <w:widowControl w:val="false"/>
        <w:spacing w:lineRule="auto" w:line="240"/>
        <w:ind w:left="0" w:right="0" w:hanging="0"/>
        <w:jc w:val="left"/>
        <w:rPr/>
      </w:pPr>
      <w:r>
        <w:rPr/>
        <w:t xml:space="preserve"> </w:t>
      </w:r>
    </w:p>
    <w:p>
      <w:pPr>
        <w:pStyle w:val="P68B1DB1Normal108"/>
        <w:widowControl w:val="false"/>
        <w:spacing w:lineRule="auto" w:line="240" w:before="229" w:after="0"/>
        <w:ind w:left="0" w:right="0" w:hanging="0"/>
        <w:jc w:val="both"/>
        <w:rPr/>
      </w:pPr>
      <w:r>
        <w:rPr/>
        <w:t>5. Online verejný prieskum: Dotazník a „Swipen naar de toekomst“ (Swiper to the future)</w:t>
      </w:r>
    </w:p>
    <w:p>
      <w:pPr>
        <w:pStyle w:val="P68B1DB1Normal104"/>
        <w:widowControl w:val="false"/>
        <w:spacing w:lineRule="auto" w:line="240" w:before="229" w:after="0"/>
        <w:ind w:left="0" w:right="0" w:hanging="0"/>
        <w:jc w:val="both"/>
        <w:rPr/>
      </w:pPr>
      <w:r>
        <w:rPr/>
        <w:t xml:space="preserve">Dotazník panelového prieskumu bol otvorený aj pre všetkých Holanďanov vrátane tých, ktorí majú bydlisko v zahraničí. Tento dotazník bol k dispozícii od 1. septembra 2021 do 14. novembra 2021. Okrem toho sa v tom istom období každý Holanďan mohol zúčastniť na akcii „Swipen naar de toekomst“ (Swiper to the future), online nástroji s 20 nárokmi. </w:t>
      </w:r>
    </w:p>
    <w:p>
      <w:pPr>
        <w:pStyle w:val="P68B1DB1Normal107"/>
        <w:widowControl w:val="false"/>
        <w:spacing w:lineRule="auto" w:line="240" w:before="41" w:after="0"/>
        <w:ind w:left="0" w:right="0" w:hanging="0"/>
        <w:jc w:val="left"/>
        <w:rPr/>
      </w:pPr>
      <w:r>
        <w:rPr/>
        <w:t xml:space="preserve">Odpovede a použitie </w:t>
      </w:r>
    </w:p>
    <w:p>
      <w:pPr>
        <w:pStyle w:val="P68B1DB1Normal104"/>
        <w:widowControl w:val="false"/>
        <w:spacing w:lineRule="auto" w:line="240" w:before="7" w:after="0"/>
        <w:ind w:left="0" w:right="0" w:hanging="0"/>
        <w:jc w:val="left"/>
        <w:rPr/>
      </w:pPr>
      <w:r>
        <w:rPr/>
        <w:t xml:space="preserve">Dotazník vyplnilo spolu 1 967 účastníkov a 6 968 účastníkov bolo na konci nástroja na skenovanie obrazovky. Dotazník aj nástroj na skenovanie obrazovky boli otvorené pre všetkých: neexistovali žiadne predpoklady ani podmienky účasti. V dotazníku bolo možné odpovedať na otázky (neboli žiadne povinné otázky) s cieľom maximalizovať mieru odpovedí. Účastníci si vybrali „Nechcem odpovedať“ oveľa častejšie ako v reprezentatívnom panelovom prieskume. </w:t>
      </w:r>
    </w:p>
    <w:p>
      <w:pPr>
        <w:pStyle w:val="P68B1DB1Normal104"/>
        <w:widowControl w:val="false"/>
        <w:spacing w:lineRule="auto" w:line="240"/>
        <w:ind w:left="0" w:right="0" w:hanging="0"/>
        <w:jc w:val="left"/>
        <w:rPr/>
      </w:pPr>
      <w:r>
        <w:rPr/>
        <w:t xml:space="preserve">Všeobecné charakteristiky účastníkov otvoreného dotazníka a nástroja na skenovanie obrazovky sa v niekoľkých ohľadoch líšia od charakteristík účastníkov reprezentatívneho panelu. Na rozdiel od panelového prieskumu nie sú výsledky otvoreného dotazníka a nástroja na skenovanie obrazovky reprezentatívne. Výsledky otvoreného online prieskumu sa použili na doplnenie panelového prieskumu. Poskytujú prehľad o pocitoch a myšlienkach cirkulujúcich v Holandsku. Návrhy na zlepšenie uvedené v vstupných poliach boli použité v časti „Diskusia a nápady online a na mieste“. Nástroj na skenovanie obrazovky bol použitý na lepšie pochopenie niektorých pocitov cirkulujúcich v Holandsku. Tieto výsledky sa zohľadnili pri príprave odporúčaní. Vzhľadom na požiadavku reprezentatívnosti boli výsledky vyšetrovania začatého online v obmedzenej miere zohľadnené v tejto správe. </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Túto správu uverejňuje ministerstvo zahraničných vecí. </w:t>
      </w:r>
      <w:hyperlink r:id="rId117">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52">
            <wp:simplePos x="0" y="0"/>
            <wp:positionH relativeFrom="column">
              <wp:align>center</wp:align>
            </wp:positionH>
            <wp:positionV relativeFrom="paragraph">
              <wp:posOffset>635</wp:posOffset>
            </wp:positionV>
            <wp:extent cx="3114040" cy="2009775"/>
            <wp:effectExtent l="0" t="0" r="0" b="0"/>
            <wp:wrapTopAndBottom/>
            <wp:docPr id="110" name="Obrázok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ázok47" descr=""/>
                    <pic:cNvPicPr>
                      <a:picLocks noChangeAspect="1" noChangeArrowheads="1"/>
                    </pic:cNvPicPr>
                  </pic:nvPicPr>
                  <pic:blipFill>
                    <a:blip r:embed="rId118"/>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pPr>
      <w:r>
        <w:rPr/>
        <w:t xml:space="preserve">Národná vláda Holandska </w:t>
      </w:r>
    </w:p>
    <w:p>
      <w:pPr>
        <w:pStyle w:val="P68B1DB1Normal124"/>
        <w:widowControl w:val="false"/>
        <w:spacing w:lineRule="exact" w:line="1199" w:before="278" w:after="0"/>
        <w:ind w:left="0" w:right="0" w:hanging="0"/>
        <w:jc w:val="left"/>
        <w:rPr/>
      </w:pPr>
      <w:r>
        <w:rPr/>
        <w:t xml:space="preserve">Naša vízia Európy </w:t>
      </w:r>
    </w:p>
    <w:p>
      <w:pPr>
        <w:pStyle w:val="Titre4"/>
        <w:numPr>
          <w:ilvl w:val="3"/>
          <w:numId w:val="2"/>
        </w:numPr>
        <w:rPr/>
      </w:pPr>
      <w:bookmarkStart w:id="237" w:name="__RefHeading___Toc298386_1346298689"/>
      <w:bookmarkEnd w:id="237"/>
      <w:r>
        <w:rPr/>
        <w:t>Správa z januára 2022</w:t>
      </w:r>
    </w:p>
    <w:p>
      <w:pPr>
        <w:pStyle w:val="P68B1DB1Normal20"/>
        <w:widowControl w:val="false"/>
        <w:spacing w:lineRule="auto" w:line="240" w:before="105" w:after="0"/>
        <w:ind w:left="0" w:right="0" w:hanging="0"/>
        <w:jc w:val="left"/>
        <w:rPr/>
      </w:pPr>
      <w:r>
        <w:rPr/>
        <w:t xml:space="preserve">Názory, nápady a odporúčania </w:t>
      </w:r>
    </w:p>
    <w:p>
      <w:pPr>
        <w:pStyle w:val="P68B1DB1Normal104"/>
        <w:widowControl w:val="false"/>
        <w:spacing w:lineRule="auto" w:line="240" w:before="116" w:after="0"/>
        <w:ind w:left="0" w:right="0" w:hanging="0"/>
        <w:jc w:val="left"/>
        <w:rPr/>
      </w:pPr>
      <w:r>
        <w:rPr/>
        <w:t xml:space="preserve">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 </w:t>
      </w:r>
    </w:p>
    <w:p>
      <w:pPr>
        <w:pStyle w:val="P68B1DB1Normal120"/>
        <w:widowControl w:val="false"/>
        <w:spacing w:lineRule="auto" w:line="240"/>
        <w:ind w:left="0" w:right="0" w:hanging="0"/>
        <w:jc w:val="left"/>
        <w:rPr/>
      </w:pPr>
      <w:r>
        <w:rPr/>
        <w:t xml:space="preserve">Témy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Zmena klímy a životné prostredie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Migrácia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Zdravie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EÚ vo svete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januára 2022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Tento dokument je prekladom správy s názvom „Elze kijk op Europa; Meningen, ideeën en Aanbevelingen (Naša vízia Európy: stanoviská, nápady a odporúčania“, ktoré bolo uverejnené 14. januára 2022 v holandskom jazyku na www.kijkopeuropa.nl. Tento preklad je zjednodušenou verziou správy, v ktorej bola na účely prekladu upravená pôvodná prezentácia (ilustrácie a iné grafické prvky). </w:t>
      </w:r>
    </w:p>
    <w:p>
      <w:pPr>
        <w:pStyle w:val="P68B1DB1Normal19"/>
        <w:widowControl w:val="false"/>
        <w:spacing w:lineRule="auto" w:line="240"/>
        <w:ind w:left="0" w:right="0" w:hanging="0"/>
        <w:jc w:val="left"/>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pPr>
      <w:r>
        <w:rPr/>
        <w:t xml:space="preserve">Naša vízia... </w:t>
      </w:r>
    </w:p>
    <w:p>
      <w:pPr>
        <w:pStyle w:val="P68B1DB1Normal126"/>
        <w:widowControl w:val="false"/>
        <w:spacing w:lineRule="auto" w:line="240" w:before="101" w:after="0"/>
        <w:ind w:left="0" w:right="0" w:hanging="0"/>
        <w:jc w:val="left"/>
        <w:rPr/>
      </w:pPr>
      <w:r>
        <w:rPr/>
        <w:t xml:space="preserve">Zhrnutie správy: všetky odporúčania v skratke </w:t>
      </w:r>
    </w:p>
    <w:p>
      <w:pPr>
        <w:pStyle w:val="P68B1DB1Normal104"/>
        <w:widowControl w:val="false"/>
        <w:spacing w:lineRule="auto" w:line="240" w:before="109" w:after="0"/>
        <w:ind w:left="0" w:right="0" w:hanging="0"/>
        <w:jc w:val="both"/>
        <w:rPr/>
      </w:pPr>
      <w:r>
        <w:rPr/>
        <w:t xml:space="preserve">Prostredníctvom dialógu s občanmi organizovaného na tému „Vízia Európy“ sme zhromaždili názory a myšlienky holandských občanov na budúcnosť Európy. Výsledkom boli nasledujúce odporúčania pre Európsku úniu pre posledné štyri témy (z celkového počtu deviatich tém). </w:t>
      </w:r>
    </w:p>
    <w:p>
      <w:pPr>
        <w:pStyle w:val="P68B1DB1Normal126"/>
        <w:widowControl w:val="false"/>
        <w:spacing w:lineRule="auto" w:line="240" w:before="108" w:after="0"/>
        <w:ind w:left="0" w:right="0" w:hanging="0"/>
        <w:jc w:val="left"/>
        <w:rPr/>
      </w:pPr>
      <w:r>
        <w:rPr/>
        <w:t xml:space="preserve">Zmena klímy a životné prostredie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Vyberte si jasné smerovanie európskeho prístupu k zmene klímy</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Zabezpečiť, aby krajiny a podniky užšie spolupracovali pri hľadaní cielených riešení 3.</w:t>
      </w:r>
      <w:r>
        <w:rPr/>
        <w:t xml:space="preserve"> </w:t>
      </w:r>
      <w:r>
        <w:rPr>
          <w:rFonts w:ascii="Calibri" w:hAnsi="Calibri"/>
        </w:rPr>
        <w:t>Vytvoriť systém CO2, ktorý je spravodlivý a realizovateľný v praxi</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Jasnejšie a pozitívnejšie komunikovať o klimatickom prístupe</w:t>
      </w:r>
    </w:p>
    <w:p>
      <w:pPr>
        <w:pStyle w:val="P68B1DB1Normal104"/>
        <w:widowControl w:val="false"/>
        <w:spacing w:lineRule="auto" w:line="240" w:before="93" w:after="0"/>
        <w:ind w:left="0" w:right="0" w:hanging="0"/>
        <w:jc w:val="left"/>
        <w:rPr/>
      </w:pPr>
      <w:r>
        <w:rPr/>
        <w:t xml:space="preserve">Holanďania sa domnievajú, že EÚ musí zohrávať vedúcu úlohu v boji proti zmene klímy. Členské štáty musia mať možnosť vlastného výberu, ale napriek tomu musia spolupracovať, aby dosiahli rovnaké ciele. Namiesto vzájomného upozorňovania by krajiny EÚ mali venovať viac energie na výmenu poznatkov a hľadanie spoločných riešení. Systém zdaňovania emisií CO2 môže byť účinný, ale musí byť spravodlivý, praktický a jasný. Holanďania sa vo všeobecnosti domnievajú, že EÚ by mala účinnejšie a pozitívnejšie komunikovať o otázkach klímy. </w:t>
      </w:r>
    </w:p>
    <w:p>
      <w:pPr>
        <w:pStyle w:val="P68B1DB1Normal126"/>
        <w:widowControl w:val="false"/>
        <w:spacing w:lineRule="auto" w:line="240" w:before="108" w:after="0"/>
        <w:ind w:left="0" w:right="0" w:hanging="0"/>
        <w:jc w:val="left"/>
        <w:rPr/>
      </w:pPr>
      <w:r>
        <w:rPr/>
        <w:t xml:space="preserve">Migrácia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Zabrániť tomu, aby sa diskusie o otázke utečencov stali menej diferencovanými</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Definovanie toho, čo je spravodlivé a praktické rozdelenie utečencov</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Využívanie poznatkov a skúseností získaných na pomoc regiónom, z ktorých utečenci pochádzajú</w:t>
      </w:r>
    </w:p>
    <w:p>
      <w:pPr>
        <w:pStyle w:val="P68B1DB1Normal104"/>
        <w:widowControl w:val="false"/>
        <w:spacing w:lineRule="auto" w:line="240"/>
        <w:ind w:left="0" w:right="0" w:hanging="0"/>
        <w:jc w:val="left"/>
        <w:rPr/>
      </w:pPr>
      <w:r>
        <w:rPr/>
        <w:t xml:space="preserve">Holanďania sa domnievajú, že je dôležité rozlišovať medzi ľuďmi, ktorí utekajú pred nebezpečnými oblasťami a ekonomickými utečencami. Diskusiám o migrácii a integrácii často chýba nuansa. Ak sa má dosiahnuť spravodlivé rozdelenie utečencov v Európe, je potrebné dohodnúť sa v rámci EÚ na jasných kritériách, ktoré zohľadňujú tak členské štáty, ako aj tie, ktoré utiekli. Holandsko napokon navrhuje, aby EÚ podporovala regióny, z ktorých utečenci prichádzajú nielen finančne, ale aj prostredníctvom znalostí. </w:t>
      </w:r>
    </w:p>
    <w:p>
      <w:pPr>
        <w:pStyle w:val="P68B1DB1Normal126"/>
        <w:widowControl w:val="false"/>
        <w:spacing w:lineRule="auto" w:line="240" w:before="108" w:after="0"/>
        <w:ind w:left="0" w:right="0" w:hanging="0"/>
        <w:jc w:val="left"/>
        <w:rPr/>
      </w:pPr>
      <w:r>
        <w:rPr/>
        <w:t xml:space="preserve">Zdravie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Mať lepšiu kontrolu nad riadením pandémie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Zabezpečiť dostupnosť cenovo dostupných a spoľahlivých liekov pre všetkých</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Krajiny sa musia zamerať na zlepšenie svojich systémov zdravotnej starostlivosti a na to, aby boli spravodlivejšie.</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both"/>
        <w:rPr/>
      </w:pPr>
      <w:r>
        <w:rPr/>
        <w:t>Holandsko</w:t>
      </w:r>
      <w:r>
        <w:rPr>
          <w:rFonts w:ascii="Calibri" w:hAnsi="Calibri"/>
          <w:color w:val="000000"/>
          <w:sz w:val="21"/>
        </w:rPr>
        <w:t xml:space="preserve">sa domnieva, že krajiny EÚ musia v boji proti pandémii viac spolupracovať. Spôsob, akým sa rieši kríza spôsobená koronavírusom, niekedy spôsobuje zmätok. Pravidlá by mali byť navzájom konzistentnejšie bez toho, aby museli byť všade rovnaké. Pokiaľ ide o vakcíny alebo lieky, Holanďania chcú, aby ceny zostali čo najnižšie, ale chcú sa spoľahnúť na kvalitu a zodpovednú výrobu. Okrem toho sa domnievame, že je dôležité, aby veľké spoločnosti nezneužívali svoju moc a veríme, že zdravotná starostlivosť musí byť aj naďalej na vnútroštátnej úrovni. </w:t>
      </w:r>
      <w:r>
        <w:br w:type="page"/>
      </w:r>
    </w:p>
    <w:p>
      <w:pPr>
        <w:pStyle w:val="P68B1DB1Normal126"/>
        <w:widowControl w:val="false"/>
        <w:spacing w:lineRule="auto" w:line="240"/>
        <w:ind w:left="0" w:right="0" w:hanging="0"/>
        <w:jc w:val="left"/>
        <w:rPr/>
      </w:pPr>
      <w:r>
        <w:rPr/>
        <w:t xml:space="preserve">Úloha EÚ vo svete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Využitie sily EÚ najmä v kľúčových medzinárodných témach</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V rámci Európy aj mimo nej si radšej vyberte spoluprácu ako boj</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Ponúknutie pomoci v prípade konfliktu premysleným spôsobom</w:t>
      </w:r>
    </w:p>
    <w:p>
      <w:pPr>
        <w:pStyle w:val="P68B1DB1Normal104"/>
        <w:widowControl w:val="false"/>
        <w:spacing w:lineRule="auto" w:line="240" w:before="84" w:after="0"/>
        <w:ind w:left="0" w:right="0" w:hanging="0"/>
        <w:jc w:val="left"/>
        <w:rPr/>
      </w:pPr>
      <w:r>
        <w:rPr/>
        <w:t xml:space="preserve">Holanďania sa domnievajú, že európska spolupráca by sa mala zamerať predovšetkým na hlavné spoločné záujmy. Súčasťou tohto prístupu musí byť aj spolupráca EÚ s tretími krajinami. Okrem zmeny klímy a pandémie koronavírusu zahŕňajú napríklad medzinárodnú bezpečnosť a ochranu európskeho hospodárstva pred nekalými obchodnými praktikami. V rámci Európy aj mimo nej, Holanďania uprednostňujú spoluprácu pred bojom. Pokiaľ ide o prístup ku konfliktom, vždy je vhodnejšie ich vyriešiť bez toho, aby sme sa uchýlili k násiliu. </w:t>
      </w:r>
    </w:p>
    <w:p>
      <w:pPr>
        <w:pStyle w:val="P68B1DB1Normal125"/>
        <w:widowControl w:val="false"/>
        <w:spacing w:lineRule="auto" w:line="240" w:before="96" w:after="0"/>
        <w:ind w:left="0" w:right="0" w:hanging="0"/>
        <w:jc w:val="left"/>
        <w:rPr/>
      </w:pPr>
      <w:r>
        <w:rPr/>
        <w:t xml:space="preserve">Úvod </w:t>
      </w:r>
    </w:p>
    <w:p>
      <w:pPr>
        <w:pStyle w:val="P68B1DB1Normal104"/>
        <w:widowControl w:val="false"/>
        <w:spacing w:lineRule="auto" w:line="240" w:before="183" w:after="0"/>
        <w:ind w:left="0" w:right="0" w:hanging="0"/>
        <w:jc w:val="left"/>
        <w:rPr/>
      </w:pPr>
      <w:r>
        <w:rPr/>
        <w:t xml:space="preserve">Dialóg s občanmi „Vízia Európy“, ktorý sa konal od 1. septembra do polovice novembra, umožnil všetkým Holanďanom vyjadriť svoje názory a myšlienky o budúcnosti Európy. Holandsko predloží Európskej únii (EÚ) odporúčania, ku ktorým dialóg viedol, ako aj vyjadrené myšlienky a názory. V tejto správe sa zaoberáme poslednými štyrmi témami (z celkového počtu deviatich tém). Prvých päť tém sa už riešilo v správe uverejnenej 3. decembra 2021. </w:t>
      </w:r>
    </w:p>
    <w:p>
      <w:pPr>
        <w:pStyle w:val="P68B1DB1Normal126"/>
        <w:widowControl w:val="false"/>
        <w:spacing w:lineRule="auto" w:line="240" w:before="79" w:after="0"/>
        <w:ind w:left="0" w:right="0" w:hanging="0"/>
        <w:jc w:val="left"/>
        <w:rPr/>
      </w:pPr>
      <w:r>
        <w:rPr/>
        <w:t xml:space="preserve">O vízii Európy </w:t>
      </w:r>
    </w:p>
    <w:p>
      <w:pPr>
        <w:pStyle w:val="P68B1DB1Normal104"/>
        <w:widowControl w:val="false"/>
        <w:spacing w:lineRule="auto" w:line="240" w:before="78" w:after="0"/>
        <w:ind w:left="0" w:right="0" w:hanging="0"/>
        <w:jc w:val="left"/>
        <w:rPr/>
      </w:pPr>
      <w:r>
        <w:rPr/>
        <w:t xml:space="preserve">Európska únia chce, aby sa jej občania podelili o to, čo si myslia o Európe. Preto EÚ organizuje Konferenciu o budúcnosti Európy. Názory a myšlienky občanov v celej Európskej únii sa potom premietnu do plánov pre budúcnosť Európy. V rámci konferencie Holandsko zorganizovalo dialóg s občanmi „Vízia Európy“ na vnútroštátnej úrovni. </w:t>
      </w:r>
    </w:p>
    <w:p>
      <w:pPr>
        <w:pStyle w:val="P68B1DB1Normal104"/>
        <w:widowControl w:val="false"/>
        <w:spacing w:lineRule="auto" w:line="240"/>
        <w:ind w:left="0" w:right="0" w:hanging="0"/>
        <w:jc w:val="left"/>
        <w:rPr/>
      </w:pPr>
      <w:r>
        <w:rPr/>
        <w:t xml:space="preserve">Dialóg o vízii Európy sa začal 1. septembra online zhromažďovaním názorov a nápadov prostredníctvom prieskumu reprezentatívnej skupiny. S cieľom prehĺbiť prvé výsledky panelového prieskumu a vypracovať konkrétne odporúčania sme zorganizovali online tematické dialógy. Zúčastniť sa môže každý, kto sa chce zúčastniť. Taktiež sme cestovali po krajine, aby sme viedli diskusie s mladými ľuďmi a inými skupinami (ťažké na dosah). </w:t>
      </w:r>
    </w:p>
    <w:p>
      <w:pPr>
        <w:pStyle w:val="P68B1DB1Normal104"/>
        <w:widowControl w:val="false"/>
        <w:spacing w:lineRule="auto" w:line="240"/>
        <w:ind w:left="0" w:right="0" w:hanging="0"/>
        <w:jc w:val="left"/>
        <w:rPr/>
      </w:pPr>
      <w:r>
        <w:rPr/>
        <w:t xml:space="preserve"> </w:t>
      </w:r>
    </w:p>
    <w:p>
      <w:pPr>
        <w:pStyle w:val="P68B1DB1Normal111"/>
        <w:widowControl w:val="false"/>
        <w:spacing w:lineRule="auto" w:line="240"/>
        <w:ind w:left="0" w:right="0" w:hanging="0"/>
        <w:jc w:val="left"/>
        <w:rPr/>
      </w:pPr>
      <w:r>
        <w:rPr/>
        <w:t xml:space="preserve">Od školákov, žiakov stredných škôl a študentov až po ministra, poľnohospodárov a migrantov </w:t>
      </w:r>
    </w:p>
    <w:p>
      <w:pPr>
        <w:pStyle w:val="P68B1DB1Normal104"/>
        <w:widowControl w:val="false"/>
        <w:spacing w:lineRule="auto" w:line="240" w:before="91" w:after="0"/>
        <w:ind w:left="0" w:right="0" w:hanging="0"/>
        <w:jc w:val="both"/>
        <w:rPr/>
      </w:pPr>
      <w:r>
        <w:rPr/>
        <w:t xml:space="preserve">V októbri a novembri sa uskutočnilo celkovo osem online tematických dialógov, na ktorých sa zúčastnilo v priemere 30 účastníkov. Zorganizovali sme aj online tematický dialóg a sedem tematických dialógov na mieste s rôznymi skupinami holandských občanov. Hovorili sme s tureckou komunitou v Schiedam a boli pozvaní dobrovoľníkmi Nadácie Piëzo do Zoetermeera. Pri druhej príležitosti bol na konci dialógu prítomný aj minister zahraničných vecí Ben Knapen. Minister diskutoval s účastníkmi o dialógu a vyjadrených názoroch na budúcnosť Európy. Nakoniec sme zorganizovali šesť stretnutí s rôznymi skupinami mladých ľudí. Napríklad, boli sme vítaní na strednej škole v Helmonde, odbornej strednej škole v Doetincheme a na Univerzite v Leidene. </w:t>
      </w:r>
    </w:p>
    <w:p>
      <w:pPr>
        <w:pStyle w:val="P68B1DB1Normal113"/>
        <w:widowControl w:val="false"/>
        <w:spacing w:lineRule="auto" w:line="240" w:before="160" w:after="0"/>
        <w:ind w:left="0" w:right="0" w:hanging="0"/>
        <w:jc w:val="center"/>
        <w:rPr/>
      </w:pPr>
      <w:r>
        <w:rPr/>
        <w:t xml:space="preserve">Toto je budúcnosť našich detí. Preto si myslím, že je dôležité zúčastniť sa. </w:t>
      </w:r>
    </w:p>
    <w:p>
      <w:pPr>
        <w:pStyle w:val="P68B1DB1Normal104"/>
        <w:widowControl w:val="false"/>
        <w:spacing w:lineRule="auto" w:line="240" w:before="127" w:after="0"/>
        <w:ind w:left="0" w:right="0" w:hanging="0"/>
        <w:jc w:val="left"/>
        <w:rPr/>
      </w:pPr>
      <w:r>
        <w:rPr/>
        <w:t xml:space="preserve">Účastník tematického dialógu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pPr>
      <w:r>
        <w:rPr/>
        <w:t xml:space="preserve">O tejto správe </w:t>
      </w:r>
    </w:p>
    <w:p>
      <w:pPr>
        <w:pStyle w:val="P68B1DB1Normal104"/>
        <w:widowControl w:val="false"/>
        <w:spacing w:lineRule="auto" w:line="240" w:before="88" w:after="0"/>
        <w:ind w:left="0" w:right="0" w:hanging="0"/>
        <w:jc w:val="left"/>
        <w:rPr/>
      </w:pPr>
      <w:r>
        <w:rPr/>
        <w:t xml:space="preserve">Na základe myšlienok a názorov, ktoré sme zhromaždili v posledných mesiacoch, sme vypracovali sériu odporúčaní, ktoré holandskí občania predkladajú Európskej únii. Počas diskusií medzi holandskými občanmi sa uskutočnili zaujímavé výmeny názorov a inovatívne nápady a návrhy. Niektoré z týchto myšlienok a návrhov boli začlenené do tejto správy. Obsah tejto správy je preto hlasom Holandska: naša vízia Európy.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Rovnako ako existujú rozdiely v názoroch medzi krajinami a európskymi občanmi, nie vždy medzi sebou súhlasíme v Holandsku. Práve tieto rozdiely v názoroch sú cenné: sú dôležitou črtou demokracie. Odporúčania vychádzajú z najčastejšie vyjadrených myšlienok a názorov účastníkov prieskumu Vízia Európy. Opisujeme aj obavy, myšlienky a pocity, ktoré môžu byť menej rozšírené, ale ktoré pritiahli našu pozornosť počas dialógov a online prieskumu. </w:t>
      </w:r>
    </w:p>
    <w:p>
      <w:pPr>
        <w:pStyle w:val="P68B1DB1Normal113"/>
        <w:widowControl w:val="false"/>
        <w:spacing w:lineRule="auto" w:line="240" w:before="181" w:after="0"/>
        <w:ind w:left="0" w:right="0" w:hanging="0"/>
        <w:jc w:val="center"/>
        <w:rPr/>
      </w:pPr>
      <w:r>
        <w:rPr/>
        <w:t xml:space="preserve">Páčilo sa mi, že som mohol vyjadriť svoj názor na témy, ktoré považujem za dôležité. A mať pocit, že ma počúvajú. </w:t>
      </w:r>
    </w:p>
    <w:p>
      <w:pPr>
        <w:pStyle w:val="P68B1DB1Normal104"/>
        <w:widowControl w:val="false"/>
        <w:spacing w:lineRule="auto" w:line="240" w:before="300" w:after="0"/>
        <w:ind w:left="0" w:right="0" w:hanging="0"/>
        <w:jc w:val="left"/>
        <w:rPr/>
      </w:pPr>
      <w:r>
        <w:rPr/>
        <w:t xml:space="preserve">Účastník tematického dialógu </w:t>
      </w:r>
    </w:p>
    <w:p>
      <w:pPr>
        <w:pStyle w:val="P68B1DB1Normal104"/>
        <w:widowControl w:val="false"/>
        <w:spacing w:lineRule="auto" w:line="240"/>
        <w:ind w:left="0" w:right="0" w:hanging="0"/>
        <w:jc w:val="left"/>
        <w:rPr/>
      </w:pPr>
      <w:r>
        <w:rPr/>
        <w:t xml:space="preserve">Pre Konferenciu o budúcnosti Európy bolo určených deväť tém. Tieto témy sú tiež jadrom dialógu o vízii Európy s holandskými občanmi. V októbri sme uverejnili priebežnú správu obsahujúcu počiatočný prehľad výsledkov a doplňujúce otázky založené na panelovom prieskume. Začiatkom decembra bola uverejnená nová správa, v ktorej sa uvádzajú stanoviská, nápady a odporúčania k prvým piatim témam. Táto správa sa zaoberá zostávajúcimi štyrmi témami. </w:t>
      </w:r>
    </w:p>
    <w:p>
      <w:pPr>
        <w:pStyle w:val="P68B1DB1Normal104"/>
        <w:widowControl w:val="false"/>
        <w:spacing w:lineRule="auto" w:line="240"/>
        <w:ind w:left="0" w:right="0" w:hanging="0"/>
        <w:jc w:val="left"/>
        <w:rPr/>
      </w:pPr>
      <w:r>
        <w:rPr/>
        <w:t xml:space="preserve"> </w:t>
      </w:r>
    </w:p>
    <w:p>
      <w:pPr>
        <w:pStyle w:val="P68B1DB1Normal111"/>
        <w:widowControl w:val="false"/>
        <w:spacing w:lineRule="auto" w:line="240"/>
        <w:ind w:left="0" w:right="0" w:hanging="0"/>
        <w:jc w:val="left"/>
        <w:rPr/>
      </w:pPr>
      <w:r>
        <w:rPr/>
        <w:t xml:space="preserve">Predchádzajúca správa – december 2021 </w:t>
      </w:r>
    </w:p>
    <w:p>
      <w:pPr>
        <w:pStyle w:val="P68B1DB1Normal104"/>
        <w:widowControl w:val="false"/>
        <w:spacing w:lineRule="auto" w:line="240"/>
        <w:ind w:left="0" w:right="0" w:hanging="0"/>
        <w:jc w:val="left"/>
        <w:rPr/>
      </w:pPr>
      <w:r>
        <w:rPr/>
        <w:t xml:space="preserve">Hodnoty a práva, právny štát a bezpečnosť </w:t>
      </w:r>
    </w:p>
    <w:p>
      <w:pPr>
        <w:pStyle w:val="P68B1DB1Normal104"/>
        <w:widowControl w:val="false"/>
        <w:spacing w:lineRule="auto" w:line="240"/>
        <w:ind w:left="0" w:right="0" w:hanging="0"/>
        <w:jc w:val="left"/>
        <w:rPr/>
      </w:pPr>
      <w:r>
        <w:rPr/>
        <w:t xml:space="preserve">Silnejšia ekonomika, sociálna spravodlivosť a zamestnanosť Európska demokracia </w:t>
      </w:r>
    </w:p>
    <w:p>
      <w:pPr>
        <w:pStyle w:val="P68B1DB1Normal104"/>
        <w:widowControl w:val="false"/>
        <w:spacing w:lineRule="auto" w:line="240"/>
        <w:ind w:left="0" w:right="0" w:hanging="0"/>
        <w:jc w:val="left"/>
        <w:rPr/>
      </w:pPr>
      <w:r>
        <w:rPr/>
        <w:t xml:space="preserve">Digitálna transformácia </w:t>
      </w:r>
    </w:p>
    <w:p>
      <w:pPr>
        <w:pStyle w:val="P68B1DB1Normal104"/>
        <w:widowControl w:val="false"/>
        <w:spacing w:lineRule="auto" w:line="240"/>
        <w:ind w:left="0" w:right="0" w:hanging="0"/>
        <w:jc w:val="left"/>
        <w:rPr/>
      </w:pPr>
      <w:r>
        <w:rPr/>
        <w:t xml:space="preserve">Vzdelávanie, kultúra, mládež a šport </w:t>
      </w:r>
    </w:p>
    <w:p>
      <w:pPr>
        <w:pStyle w:val="P68B1DB1Normal104"/>
        <w:widowControl w:val="false"/>
        <w:spacing w:lineRule="auto" w:line="240"/>
        <w:ind w:left="0" w:right="0" w:hanging="0"/>
        <w:jc w:val="left"/>
        <w:rPr/>
      </w:pPr>
      <w:r>
        <w:rPr/>
        <w:t xml:space="preserve"> </w:t>
      </w:r>
    </w:p>
    <w:p>
      <w:pPr>
        <w:pStyle w:val="P68B1DB1Normal111"/>
        <w:widowControl w:val="false"/>
        <w:spacing w:lineRule="auto" w:line="240"/>
        <w:ind w:left="0" w:right="0" w:hanging="0"/>
        <w:jc w:val="left"/>
        <w:rPr/>
      </w:pPr>
      <w:r>
        <w:rPr/>
        <w:t>Aktuálna správa – január 2022</w:t>
      </w:r>
    </w:p>
    <w:p>
      <w:pPr>
        <w:pStyle w:val="P68B1DB1Normal104"/>
        <w:widowControl w:val="false"/>
        <w:spacing w:lineRule="auto" w:line="240"/>
        <w:ind w:left="0" w:right="0" w:hanging="0"/>
        <w:jc w:val="left"/>
        <w:rPr/>
      </w:pPr>
      <w:r>
        <w:rPr/>
        <w:t xml:space="preserve">Zmena klímy a životné prostredie </w:t>
      </w:r>
    </w:p>
    <w:p>
      <w:pPr>
        <w:pStyle w:val="P68B1DB1Normal104"/>
        <w:widowControl w:val="false"/>
        <w:spacing w:lineRule="auto" w:line="240"/>
        <w:ind w:left="0" w:right="0" w:hanging="0"/>
        <w:jc w:val="left"/>
        <w:rPr/>
      </w:pPr>
      <w:r>
        <w:rPr/>
        <w:t xml:space="preserve">Migrácia </w:t>
      </w:r>
    </w:p>
    <w:p>
      <w:pPr>
        <w:pStyle w:val="P68B1DB1Normal104"/>
        <w:widowControl w:val="false"/>
        <w:spacing w:lineRule="auto" w:line="240"/>
        <w:ind w:left="0" w:right="0" w:hanging="0"/>
        <w:jc w:val="left"/>
        <w:rPr/>
      </w:pPr>
      <w:r>
        <w:rPr/>
        <w:t xml:space="preserve">Zdravie </w:t>
      </w:r>
    </w:p>
    <w:p>
      <w:pPr>
        <w:pStyle w:val="P68B1DB1Normal104"/>
        <w:widowControl w:val="false"/>
        <w:spacing w:lineRule="auto" w:line="240"/>
        <w:ind w:left="0" w:right="0" w:hanging="0"/>
        <w:jc w:val="left"/>
        <w:rPr/>
      </w:pPr>
      <w:r>
        <w:rPr/>
        <w:t xml:space="preserve">EÚ vo svete </w:t>
      </w:r>
    </w:p>
    <w:p>
      <w:pPr>
        <w:pStyle w:val="P68B1DB1Normal126"/>
        <w:widowControl w:val="false"/>
        <w:spacing w:lineRule="auto" w:line="240" w:before="105" w:after="0"/>
        <w:ind w:left="0" w:right="0" w:hanging="0"/>
        <w:jc w:val="left"/>
        <w:rPr/>
      </w:pPr>
      <w:r>
        <w:rPr/>
        <w:t xml:space="preserve">Ďalšie kroky </w:t>
      </w:r>
    </w:p>
    <w:p>
      <w:pPr>
        <w:pStyle w:val="Normal"/>
        <w:widowControl w:val="false"/>
        <w:spacing w:lineRule="auto" w:line="240" w:before="107" w:after="0"/>
        <w:ind w:left="0" w:right="0" w:hanging="0"/>
        <w:jc w:val="left"/>
        <w:rPr>
          <w:rFonts w:ascii="Calibri" w:hAnsi="Calibri"/>
          <w:color w:val="000000"/>
          <w:sz w:val="21"/>
        </w:rPr>
      </w:pPr>
      <w:r>
        <w:rPr>
          <w:rFonts w:ascii="Calibri" w:hAnsi="Calibri"/>
          <w:color w:val="000000"/>
          <w:sz w:val="21"/>
        </w:rPr>
        <w:t xml:space="preserve">Konferencia o budúcnosti Európy spája myšlienky, stanoviská a odporúčania všetkých občanov EÚ. Stretnutia budú venované nielen výsledkom všetkých dialógov s občanmi na vnútroštátnej úrovni, ale aj výsledkom iných iniciatív, ktoré sa začali v kontexte konferencie. Existujú napríklad panely európskych občanov a všetci občania EÚ (vrátane holandských občanov) majú prístup k európskej digitálnej platforme. </w:t>
      </w:r>
      <w:r>
        <w:br w:type="page"/>
      </w:r>
    </w:p>
    <w:p>
      <w:pPr>
        <w:pStyle w:val="P68B1DB1Normal19"/>
        <w:widowControl w:val="false"/>
        <w:spacing w:lineRule="auto" w:line="240"/>
        <w:ind w:left="0" w:right="0" w:hanging="0"/>
        <w:jc w:val="left"/>
        <w:rPr/>
      </w:pPr>
      <w:r>
        <w:rPr/>
        <w:t xml:space="preserve"> </w:t>
      </w:r>
    </w:p>
    <w:p>
      <w:pPr>
        <w:pStyle w:val="P68B1DB1Normal113"/>
        <w:widowControl w:val="false"/>
        <w:spacing w:lineRule="auto" w:line="240"/>
        <w:ind w:left="0" w:right="0" w:hanging="0"/>
        <w:jc w:val="center"/>
        <w:rPr/>
      </w:pPr>
      <w:r>
        <w:rPr/>
        <w:t>„</w:t>
      </w:r>
      <w:r>
        <w:rPr/>
        <w:t xml:space="preserve">Dúfam, že vedúci predstavitelia EÚ zohľadnia môj názor. A že im to pomôže urobiť správne rozhodnutia. </w:t>
      </w:r>
    </w:p>
    <w:p>
      <w:pPr>
        <w:pStyle w:val="P68B1DB1Normal104"/>
        <w:widowControl w:val="false"/>
        <w:spacing w:lineRule="auto" w:line="240" w:before="300" w:after="0"/>
        <w:ind w:left="0" w:right="0" w:hanging="0"/>
        <w:jc w:val="left"/>
        <w:rPr/>
      </w:pPr>
      <w:r>
        <w:rPr/>
        <w:t xml:space="preserve">Účastník tematického dialógu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Konferencia sa skončí na jar 2022. Holandsko potom vypracuje záverečnú správu o dialógu s občanmi: súhrn tejto správy a predchádzajúcej správy vrátane odporúčaní pre všetkých deväť tém. V nadväznosti na konferenciu sa predsedovi konferencie predložia odporúčania: predsedovia Európskeho parlamentu, Rady ministrov a Európskej komisie. Zaviazali sa preskúmať spôsoby a prostriedky vykonávania odporúčaní. Pre holandskú vládu sú výsledky tiež cenným príspevkom k rozvoju holandských európskych politík.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Stručne povedané, proces do jari 2022 bude organizovaný takto: </w:t>
      </w:r>
      <w:r>
        <w:br w:type="page"/>
      </w:r>
    </w:p>
    <w:p>
      <w:pPr>
        <w:pStyle w:val="P68B1DB1Normal127"/>
        <w:widowControl w:val="false"/>
        <w:spacing w:lineRule="auto" w:line="240" w:before="0" w:after="0"/>
        <w:ind w:left="0" w:right="0" w:hanging="0"/>
        <w:jc w:val="left"/>
        <w:rPr/>
      </w:pPr>
      <w:r>
        <w:rPr>
          <w:color w:val="0070C0"/>
          <w:sz w:val="24"/>
        </w:rPr>
        <w:t>Chronológia</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Vízia Európy</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707"/>
        <w:gridCol w:w="854"/>
        <w:gridCol w:w="853"/>
        <w:gridCol w:w="913"/>
        <w:gridCol w:w="340"/>
        <w:gridCol w:w="1347"/>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 september</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12. októbra</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22. a 23. októbra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15. november</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3. december</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14. januára</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21/22 januára</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Február</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18. a 19. februára</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11. – 12. marec</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22/24 Apríl</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Zbieranie nápadov online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Tematické dialógy</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Priebežné výsledky (prostredná správa)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Predbežná správa o „hospodárstve“ a „Demokracii“</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Predbežná správa o klíme a EÚ vo svete</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Záverečná správa „Naša vízia pre Európu“</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ZOBRAZIŤ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ZOBRAZIŤ </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ZOBRAZIŤ </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ZOBRAZIŤ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ZOBRAZIŤ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Stretnutie konferencie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Stretnutie konferencie</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 xml:space="preserve">Stretnutie </w:t>
              <w:br/>
              <w:t>konferencia</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(prípadne) stretnutie konferencie</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Záverečné podujatie konferencie</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 xml:space="preserve">Odporúčania pre predsedov </w:t>
            </w:r>
          </w:p>
          <w:p>
            <w:pPr>
              <w:pStyle w:val="P68B1DB1Contenudetableau128"/>
              <w:spacing w:before="57" w:after="57"/>
              <w:jc w:val="left"/>
              <w:rPr/>
            </w:pPr>
            <w:r>
              <w:rPr/>
              <w:t xml:space="preserve">• </w:t>
            </w:r>
            <w:r>
              <w:rPr/>
              <w:t xml:space="preserve">Európsky parlament </w:t>
              <w:br/>
              <w:t xml:space="preserve">• Európska komisia </w:t>
              <w:br/>
              <w:t>• Rada ministrov</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8" w:type="dxa"/>
            <w:gridSpan w:val="9"/>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Viac názorov a nápadov na budúcnosť Európy:</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Dialógy s občanmi</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Európske panelové diskusie občanov</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3"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Európska digitálna platforma (aj pre holandských občanov)</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pPr>
      <w:r>
        <w:rPr/>
        <w:t xml:space="preserve">Vysvetlenie na uľahčenie čítania </w:t>
      </w:r>
    </w:p>
    <w:p>
      <w:pPr>
        <w:pStyle w:val="P68B1DB1Normal104"/>
        <w:widowControl w:val="false"/>
        <w:spacing w:lineRule="exact" w:line="281" w:before="116" w:after="0"/>
        <w:ind w:left="0" w:right="772" w:hanging="0"/>
        <w:jc w:val="left"/>
        <w:rPr/>
      </w:pPr>
      <w:r>
        <w:rPr/>
        <w:t xml:space="preserve">V tejto správe sme diskutovali o štyroch témach. Pre každú tému sme postupne zahrnuli: </w:t>
      </w:r>
    </w:p>
    <w:p>
      <w:pPr>
        <w:pStyle w:val="P68B1DB1Normal104"/>
        <w:widowControl w:val="false"/>
        <w:spacing w:lineRule="exact" w:line="339" w:before="1" w:after="0"/>
        <w:ind w:left="0" w:right="0" w:hanging="0"/>
        <w:jc w:val="left"/>
        <w:rPr/>
      </w:pPr>
      <w:r>
        <w:rPr/>
        <w:t xml:space="preserve">odporúčania založené na všetkých aspektoch dialógu s občanmi; </w:t>
      </w:r>
    </w:p>
    <w:p>
      <w:pPr>
        <w:pStyle w:val="P68B1DB1Normal104"/>
        <w:widowControl w:val="false"/>
        <w:spacing w:lineRule="exact" w:line="283"/>
        <w:ind w:left="0" w:right="137" w:hanging="0"/>
        <w:jc w:val="left"/>
        <w:rPr/>
      </w:pPr>
      <w:r>
        <w:rPr/>
        <w:t xml:space="preserve">online diskusie a nápady na mieste: prehľad vymenených stanovísk, myšlienok a názorov (online a s fyzickou prítomnosťou) počas tematických dialógov. </w:t>
      </w:r>
    </w:p>
    <w:p>
      <w:pPr>
        <w:pStyle w:val="P68B1DB1Normal104"/>
        <w:widowControl w:val="false"/>
        <w:spacing w:lineRule="exact" w:line="339"/>
        <w:ind w:left="0" w:right="0" w:hanging="0"/>
        <w:jc w:val="left"/>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Opis metodiky použitej v prieskume možno nájsť na konci tejto správy. </w:t>
      </w:r>
      <w:r>
        <w:br w:type="page"/>
      </w:r>
    </w:p>
    <w:p>
      <w:pPr>
        <w:pStyle w:val="P68B1DB1Normal125"/>
        <w:widowControl w:val="false"/>
        <w:spacing w:lineRule="auto" w:line="240"/>
        <w:ind w:left="0" w:right="0" w:hanging="0"/>
        <w:jc w:val="left"/>
        <w:rPr/>
      </w:pPr>
      <w:r>
        <w:rPr/>
        <w:t xml:space="preserve">Zmena klímy a životné prostredie </w:t>
      </w:r>
    </w:p>
    <w:p>
      <w:pPr>
        <w:pStyle w:val="P68B1DB1Normal126"/>
        <w:widowControl w:val="false"/>
        <w:spacing w:lineRule="auto" w:line="240" w:before="48" w:after="0"/>
        <w:ind w:left="0" w:right="0" w:hanging="0"/>
        <w:jc w:val="left"/>
        <w:rPr/>
      </w:pPr>
      <w:r>
        <w:rPr/>
        <w:t xml:space="preserve">Odporúčania – Naša vízia pre zmenu klímy a životné prostredie </w:t>
      </w:r>
    </w:p>
    <w:p>
      <w:pPr>
        <w:pStyle w:val="P68B1DB1Normal120"/>
        <w:widowControl w:val="false"/>
        <w:spacing w:lineRule="auto" w:line="240" w:before="61" w:after="0"/>
        <w:ind w:left="0" w:right="0" w:hanging="0"/>
        <w:jc w:val="left"/>
        <w:rPr/>
      </w:pPr>
      <w:r>
        <w:rPr/>
        <w:t xml:space="preserve">71 % Holanďanov sa domnieva, že zmena klímy a životné prostredie sú dôležitou otázkou a že EÚ musí v tejto oblasti zasiahnuť. </w:t>
      </w:r>
    </w:p>
    <w:p>
      <w:pPr>
        <w:pStyle w:val="P68B1DB1Normal110"/>
        <w:widowControl w:val="false"/>
        <w:spacing w:lineRule="auto" w:line="240" w:before="57" w:after="0"/>
        <w:ind w:left="0" w:right="0" w:hanging="0"/>
        <w:jc w:val="left"/>
        <w:rPr/>
      </w:pPr>
      <w:r>
        <w:rPr>
          <w:b/>
        </w:rPr>
        <w:t xml:space="preserve">1. Voľba jasného smerovania európskeho prístupu k zmene klímy </w:t>
      </w:r>
      <w:r>
        <w:rPr>
          <w:sz w:val="21"/>
        </w:rPr>
        <w:t xml:space="preserve">68 % Holanďanov sa domnieva, že EÚ musí zohrávať vedúcu úlohu v boji proti zmene klímy. Globálne otepľovanie je problém a žiadna krajina ho nedokáže vyriešiť sama. Aj keď sa Holanďania nedohodnú na zmene klímy, sme presvedčení, že EÚ musí mať aj tak jasnejšiu víziu budúcnosti. Napriek zelenej dohode v súčasnosti vidíme, že členské štáty často nie sú zosúladené. Hoci krajiny musia byť schopné aj naďalej prijímať vlastné rozhodnutia, napriek tomu musia spolupracovať, aby dosiahli rovnaké ciele. Domnievame sa tiež, že ako občania máme aj svoj vlastný podiel zodpovednosti, napríklad pokiaľ ide o prispôsobenie našich spotrebiteľských návykov. </w:t>
      </w:r>
    </w:p>
    <w:p>
      <w:pPr>
        <w:pStyle w:val="P68B1DB1Normal113"/>
        <w:widowControl w:val="false"/>
        <w:spacing w:lineRule="auto" w:line="240" w:before="135" w:after="0"/>
        <w:ind w:left="0" w:right="0" w:hanging="0"/>
        <w:jc w:val="center"/>
        <w:rPr/>
      </w:pPr>
      <w:r>
        <w:rPr/>
        <w:t xml:space="preserve">Holandsko chce opustiť zemný plyn, zatiaľ čo v Nemecku je práve povzbudzované, aby ho využívalo. Niekedy nie je ničomu rozumieť. </w:t>
      </w:r>
    </w:p>
    <w:p>
      <w:pPr>
        <w:pStyle w:val="P68B1DB1Normal111"/>
        <w:widowControl w:val="false"/>
        <w:spacing w:lineRule="auto" w:line="240" w:before="109" w:after="0"/>
        <w:ind w:left="0" w:right="0" w:hanging="0"/>
        <w:jc w:val="left"/>
        <w:rPr/>
      </w:pPr>
      <w:r>
        <w:rPr/>
        <w:t xml:space="preserve">2. Zabezpečiť, aby krajiny a podniky užšie spolupracovali pri hľadaní cielených riešení </w:t>
      </w:r>
    </w:p>
    <w:p>
      <w:pPr>
        <w:pStyle w:val="P68B1DB1Normal104"/>
        <w:widowControl w:val="false"/>
        <w:spacing w:lineRule="auto" w:line="240"/>
        <w:ind w:left="0" w:right="0" w:hanging="0"/>
        <w:jc w:val="left"/>
        <w:rPr/>
      </w:pPr>
      <w:r>
        <w:rPr/>
        <w:t xml:space="preserve">Pokiaľ ide o zmenu klímy a životné prostredie, Holanďania zistili, že krajiny často ukazujú prstami. Dôraz sa často kladie na rozdiely, napríklad medzi chudobnými a bohatými krajinami v rámci EÚ. Alebo medzi vysoko industrializovanými alebo slabo industrializovanými krajinami. Radšej by sme sa pokúsili dosiahnuť dohody. Napríklad podobné spoločnosti v rôznych krajinách by si mohli vymieňať poznatky a spoločne premýšľať o riešeniach. Ak by sa tak stalo, chudobnejšie krajiny by sa mohli viac zapájať do prístupu k zmene klímy. Mohli by sa zúčastniť na úvahách a mohli by využiť aj spoločné riešenia. </w:t>
      </w:r>
    </w:p>
    <w:p>
      <w:pPr>
        <w:pStyle w:val="P68B1DB1Normal113"/>
        <w:widowControl w:val="false"/>
        <w:spacing w:lineRule="auto" w:line="240" w:before="143" w:after="0"/>
        <w:ind w:left="0" w:right="0" w:hanging="0"/>
        <w:jc w:val="center"/>
        <w:rPr/>
      </w:pPr>
      <w:r>
        <w:rPr/>
        <w:t xml:space="preserve">Prístup k zmene klímy by nemal byť rasa, ale spolupráca. </w:t>
      </w:r>
    </w:p>
    <w:p>
      <w:pPr>
        <w:pStyle w:val="P68B1DB1Normal111"/>
        <w:widowControl w:val="false"/>
        <w:spacing w:lineRule="auto" w:line="240" w:before="107" w:after="0"/>
        <w:ind w:left="0" w:right="0" w:hanging="0"/>
        <w:jc w:val="left"/>
        <w:rPr/>
      </w:pPr>
      <w:r>
        <w:rPr/>
        <w:t xml:space="preserve">3. Vytvoriť systém CO2, ktorý je spravodlivý a realizovateľný v praxi </w:t>
      </w:r>
    </w:p>
    <w:p>
      <w:pPr>
        <w:pStyle w:val="P68B1DB1Normal104"/>
        <w:widowControl w:val="false"/>
        <w:spacing w:lineRule="auto" w:line="240"/>
        <w:ind w:left="0" w:right="0" w:hanging="0"/>
        <w:jc w:val="left"/>
        <w:rPr/>
      </w:pPr>
      <w:r>
        <w:rPr/>
        <w:t xml:space="preserve">Prístup EÚ k zmene klímy venuje veľkú pozornosť znižovaniu emisií CO2. Holanďania sa domnievajú, že na tento účel je potrebný lepší systém, ktorý by umožnil spravodlivé zdaňovanie výrobcov aj spotrebiteľov. Holanďania sa delia na to, či krajiny s najväčším počtom obyvateľov majú právo emitovať viac CO2. Niektoré krajiny majú napríklad veľmi znečisťujúci priemysel. Na druhej strane, iné krajiny majú veľa príležitostí na výrobu zelenej energie. Tieto rozdiely by sa mali zohľadniť. Bez toho, aby sa to stalo príliš zložité, pretože systém musí byť pochopiteľný pre všetkých. </w:t>
      </w:r>
    </w:p>
    <w:p>
      <w:pPr>
        <w:pStyle w:val="P68B1DB1Normal129"/>
        <w:widowControl w:val="false"/>
        <w:spacing w:lineRule="auto" w:line="240" w:before="135" w:after="0"/>
        <w:ind w:left="0" w:right="0" w:hanging="0"/>
        <w:jc w:val="center"/>
        <w:rPr/>
      </w:pPr>
      <w:r>
        <w:rPr>
          <w:sz w:val="26"/>
        </w:rPr>
        <w:t>Priemyselne vyspelé krajiny vyvážajú veľa. Musia teda platiť</w:t>
      </w:r>
      <w:r>
        <w:rPr>
          <w:position w:val="0"/>
          <w:sz w:val="17"/>
        </w:rPr>
        <w:t>len daň z emisií CO2</w:t>
      </w:r>
      <w:r>
        <w:rPr>
          <w:sz w:val="26"/>
        </w:rPr>
        <w:t xml:space="preserve">? Podľa môjho názoru by mal platiť aj spotrebiteľ. </w:t>
      </w:r>
    </w:p>
    <w:p>
      <w:pPr>
        <w:pStyle w:val="P68B1DB1Normal120"/>
        <w:widowControl w:val="false"/>
        <w:spacing w:lineRule="auto" w:line="240" w:before="107" w:after="0"/>
        <w:ind w:left="0" w:right="0" w:hanging="0"/>
        <w:jc w:val="left"/>
        <w:rPr/>
      </w:pPr>
      <w:r>
        <w:rPr/>
        <w:t xml:space="preserve"> </w:t>
      </w:r>
    </w:p>
    <w:p>
      <w:pPr>
        <w:pStyle w:val="P68B1DB1Normal110"/>
        <w:widowControl w:val="false"/>
        <w:spacing w:lineRule="auto" w:line="240"/>
        <w:ind w:left="0" w:right="0" w:hanging="0"/>
        <w:jc w:val="both"/>
        <w:rPr/>
      </w:pPr>
      <w:r>
        <w:rPr>
          <w:b/>
        </w:rPr>
        <w:t xml:space="preserve">4. Komunikujte jasnejším a pozitívnejším spôsobom o klimatickom prístupe </w:t>
      </w:r>
      <w:r>
        <w:rPr>
          <w:sz w:val="21"/>
        </w:rPr>
        <w:t xml:space="preserve">Holandskí ľudia veľa počúvajú o zmene klímy a čítajú o nej veľa. Pre mnohých je to však stále abstraktná a zložitá téma. Často sa vníma ako niečo, čo stojí veľa peňazí, zatiaľ čo prístup k zmene klímy vytvára aj príležitosti. Uvažujeme napríklad o stimulácii miestnej výroby potravín a vývoji nových a udržateľných technológií. EÚ by mohla tento aspekt odhaliť častejšie a efektívnejšie. Domnievame sa tiež, že aj hlavy vlád členských štátov by mohli byť lepším príkladom. Menej cestovať – napríklad medzi Bruselom a Štrasburgom – a častejšie sa stretávať online by napríklad mohlo prispieť k podpore udržateľnosti. </w:t>
      </w:r>
    </w:p>
    <w:p>
      <w:pPr>
        <w:pStyle w:val="P68B1DB1Normal113"/>
        <w:widowControl w:val="false"/>
        <w:spacing w:lineRule="auto" w:line="240" w:before="61" w:after="0"/>
        <w:ind w:left="0" w:right="0" w:hanging="0"/>
        <w:jc w:val="center"/>
        <w:rPr/>
      </w:pPr>
      <w:r>
        <w:rPr/>
        <w:t xml:space="preserve">Udržateľnosť je stále príliš často vnímaná ako náklady. Treba ju vnímať ako príležitosť a nie ako hrozbu. </w:t>
      </w:r>
    </w:p>
    <w:p>
      <w:pPr>
        <w:pStyle w:val="P68B1DB1Normal126"/>
        <w:widowControl w:val="false"/>
        <w:spacing w:lineRule="auto" w:line="240" w:before="129" w:after="0"/>
        <w:ind w:left="0" w:right="0" w:hanging="0"/>
        <w:jc w:val="left"/>
        <w:rPr/>
      </w:pPr>
      <w:r>
        <w:rPr/>
        <w:t xml:space="preserve">Online diskusie a nápady na mieste </w:t>
      </w:r>
    </w:p>
    <w:p>
      <w:pPr>
        <w:pStyle w:val="P68B1DB1Normal129"/>
        <w:widowControl w:val="false"/>
        <w:spacing w:lineRule="auto" w:line="240" w:before="78" w:after="0"/>
        <w:ind w:left="0" w:right="0" w:hanging="0"/>
        <w:jc w:val="left"/>
        <w:rPr/>
      </w:pPr>
      <w:r>
        <w:rPr>
          <w:sz w:val="21"/>
        </w:rPr>
        <w:t>Emisie CO2 by sme nemali považovať</w:t>
      </w:r>
      <w:r>
        <w:rPr>
          <w:position w:val="0"/>
          <w:sz w:val="14"/>
        </w:rPr>
        <w:t>za</w:t>
      </w:r>
      <w:r>
        <w:rPr>
          <w:sz w:val="21"/>
        </w:rPr>
        <w:t xml:space="preserve"> správne, ale za nepríjemný dôsledok. </w:t>
      </w:r>
    </w:p>
    <w:p>
      <w:pPr>
        <w:pStyle w:val="P68B1DB1Normal104"/>
        <w:widowControl w:val="false"/>
        <w:spacing w:lineRule="auto" w:line="240" w:before="87" w:after="0"/>
        <w:ind w:left="0" w:right="0" w:hanging="0"/>
        <w:jc w:val="left"/>
        <w:rPr/>
      </w:pPr>
      <w:r>
        <w:rPr/>
        <w:t xml:space="preserve"> </w:t>
      </w:r>
    </w:p>
    <w:p>
      <w:pPr>
        <w:pStyle w:val="P68B1DB1Normal118"/>
        <w:widowControl w:val="false"/>
        <w:spacing w:lineRule="auto" w:line="240"/>
        <w:ind w:left="0" w:right="0" w:hanging="0"/>
        <w:jc w:val="left"/>
        <w:rPr/>
      </w:pPr>
      <w:r>
        <w:rPr/>
        <w:t xml:space="preserve">Mám dojem, že v Európe trávime viac času rozprávaním o zmene klímy, než prijímaním skutočných opatrení na jej riešenie.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Prísnejšie klimatické pravidlá by v konečnom dôsledku mohli byť prospešné aj pre nás. Ako kontinent, ktorý sa zaoberá obchodom, sa musíme snažiť vidieť príležitosti.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Nemôžeme sa dočkať iných kontinentov. Nemáme čas čakať.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NÁPAD:</w:t>
      </w:r>
      <w:r>
        <w:rPr>
          <w:i/>
        </w:rPr>
        <w:t xml:space="preserve"> Finančne odmeňovať krajiny, ak preukážu, že ich povaha a biodiverzita sa zvyšujú. </w:t>
      </w:r>
    </w:p>
    <w:p>
      <w:pPr>
        <w:pStyle w:val="P68B1DB1Normal118"/>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NÁPAD:</w:t>
      </w:r>
      <w:r>
        <w:rPr>
          <w:i/>
        </w:rPr>
        <w:t xml:space="preserve"> „Stimulácia cestovného ruchu priaznivého pre prírodu v chudobných regiónoch EÚ.“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Doetinchem Odborná stredná škola Študenti: Cesty na diaľku musia byť prístupné pre všetkých.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Téza, že lety v rámci EÚ by mali byť drahšie, bola predložená študentom na Graafschap College v Doetincheme. Niektorí študenti súhlasili s tým, že drahšie lístky povzbudia ľudí, aby hľadali lacnejšie alternatívy. Okrem toho sa zdôraznilo, že EÚ by potom mala zabezpečiť ekologickejšie možnosti, ako napríklad lepšie železničné spojenia. Ďalší účastníci uviedli, že nie sú za vyššie ceny leteniek. „Bohatí ľudia sú tí, ktorí dnes cestujú najviac a budú môcť za to ľahko zaplatiť,“ povedal jeden účastník. Vysoké ceny im nezabránia cestovať. Zatiaľ čo ďaleké sviatky sa potom stanú nemožnými pre „obyčajných“ občanov. </w:t>
      </w:r>
    </w:p>
    <w:p>
      <w:pPr>
        <w:pStyle w:val="P68B1DB1Normal118"/>
        <w:widowControl w:val="false"/>
        <w:spacing w:lineRule="auto" w:line="240"/>
        <w:ind w:left="0" w:right="0" w:hanging="0"/>
        <w:jc w:val="left"/>
        <w:rPr/>
      </w:pPr>
      <w:r>
        <w:rPr/>
        <w:t xml:space="preserve">Poľnohospodári šetrní k prírode: „EÚ by mohla prispieť k šíreniu poznatkov o udržateľných riešeniach.“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BoerenNatuur je združenie farmárskych skupín. Počas tematického dialógu sa diskusia zamerala na zmenu klímy a životné prostredie. </w:t>
      </w:r>
    </w:p>
    <w:p>
      <w:pPr>
        <w:pStyle w:val="Normal"/>
        <w:widowControl w:val="false"/>
        <w:spacing w:lineRule="auto" w:line="240"/>
        <w:ind w:left="0" w:right="0" w:hanging="0"/>
        <w:jc w:val="left"/>
        <w:rPr/>
      </w:pPr>
      <w:r>
        <w:rPr>
          <w:rFonts w:ascii="Calibri" w:hAnsi="Calibri"/>
          <w:color w:val="000000"/>
          <w:sz w:val="21"/>
        </w:rPr>
        <w:t>Podľa účastníkov sa pravdepodobne zlepší uplatňovanie právnych predpisov a nariadení EÚ rôznymi krajinami. Ako príklad sa citovala dokumentácia k dusíku. „V právnych predpisoch EÚ sa uvádza len to, že prírodná oblasť sa „nemôže zhoršiť“. Ale v južnej Európe sa tento pojem interpretuje inak ako v Holandsku." Väčšina prítomných súhlasí s tým, že Európa musí zohrávať vedúcu úlohu v boji proti zmene klímy. A nesmieme byť spokojní s rečou, musíme dosiahnuť výsledky. Najmä prostredníctvom výmeny poznatkov veria farmári. V poľnohospodárskom sektore pracujeme na riešeniach na</w:t>
      </w:r>
      <w:r>
        <w:rPr>
          <w:rFonts w:ascii="Calibri" w:hAnsi="Calibri"/>
          <w:color w:val="000000"/>
          <w:sz w:val="21"/>
        </w:rPr>
        <w:commentReference w:id="27"/>
      </w:r>
      <w:r>
        <w:rPr>
          <w:rFonts w:ascii="Calibri" w:hAnsi="Calibri"/>
          <w:color w:val="000000"/>
          <w:sz w:val="21"/>
        </w:rPr>
        <w:t xml:space="preserve"> dosiahnutie čistejšieho poľnohospodárstva. EÚ musí pomôcť rýchlo šíriť poznatky v tejto oblasti.“ </w:t>
      </w:r>
      <w:r>
        <w:br w:type="page"/>
      </w:r>
    </w:p>
    <w:p>
      <w:pPr>
        <w:pStyle w:val="P68B1DB1Normal127"/>
        <w:widowControl w:val="false"/>
        <w:spacing w:lineRule="auto" w:line="240"/>
        <w:ind w:left="0" w:right="0" w:hanging="0"/>
        <w:jc w:val="left"/>
        <w:rPr/>
      </w:pPr>
      <w:r>
        <w:rPr>
          <w:b/>
          <w:color w:val="0070C0"/>
          <w:sz w:val="32"/>
        </w:rPr>
        <w:t>Migrácia</w:t>
      </w:r>
      <w:r>
        <w:rPr>
          <w:color w:val="365F91"/>
          <w:sz w:val="28"/>
        </w:rPr>
        <w:t xml:space="preserve"> </w:t>
      </w:r>
      <w:r>
        <w:rPr>
          <w:color w:val="0070C0"/>
          <w:sz w:val="21"/>
        </w:rPr>
        <w:t xml:space="preserve">(migrácia a utečenci) </w:t>
      </w:r>
    </w:p>
    <w:p>
      <w:pPr>
        <w:pStyle w:val="P68B1DB1Normal20"/>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Hranice medzi členskými štátmi EÚ sú otvorené. V rámci EÚ sa preto uskutočňuje spolupráca napríklad v oblasti riadenia vonkajších hraníc a boja proti prevádzačstvu migrantov. Diskutuje sa aj o spravodlivom rozdelení utečencov medzi jednotlivé členské štáty EÚ. Aký je názor Holandska na to? </w:t>
      </w:r>
    </w:p>
    <w:p>
      <w:pPr>
        <w:pStyle w:val="P68B1DB1Normal126"/>
        <w:widowControl w:val="false"/>
        <w:spacing w:lineRule="auto" w:line="240" w:before="93" w:after="0"/>
        <w:ind w:left="0" w:right="0" w:hanging="0"/>
        <w:jc w:val="left"/>
        <w:rPr/>
      </w:pPr>
      <w:r>
        <w:rPr/>
        <w:t xml:space="preserve">Odporúčania – Naša vízia o migrácii a utečencoch </w:t>
      </w:r>
    </w:p>
    <w:p>
      <w:pPr>
        <w:pStyle w:val="P68B1DB1Normal120"/>
        <w:widowControl w:val="false"/>
        <w:spacing w:lineRule="auto" w:line="240" w:before="90" w:after="0"/>
        <w:ind w:left="0" w:right="0" w:hanging="0"/>
        <w:jc w:val="left"/>
        <w:rPr/>
      </w:pPr>
      <w:r>
        <w:rPr/>
        <w:t xml:space="preserve">65 % Holanďanov sa domnieva, že migrácia a utečenci sú dôležitou otázkou a že EÚ musí v tejto oblasti zasiahnuť. </w:t>
      </w:r>
    </w:p>
    <w:p>
      <w:pPr>
        <w:pStyle w:val="P68B1DB1Normal111"/>
        <w:widowControl w:val="false"/>
        <w:spacing w:lineRule="auto" w:line="240" w:before="83" w:after="0"/>
        <w:ind w:left="0" w:right="0" w:hanging="0"/>
        <w:jc w:val="left"/>
        <w:rPr/>
      </w:pPr>
      <w:r>
        <w:rPr/>
        <w:t xml:space="preserve">1. Vyhnúť sa tomu, aby diskusie o otázke utečencov boli príliš malé nuanced </w:t>
      </w:r>
    </w:p>
    <w:p>
      <w:pPr>
        <w:pStyle w:val="P68B1DB1Normal104"/>
        <w:widowControl w:val="false"/>
        <w:spacing w:lineRule="auto" w:line="240"/>
        <w:ind w:left="0" w:right="0" w:hanging="0"/>
        <w:jc w:val="left"/>
        <w:rPr/>
      </w:pPr>
      <w:r>
        <w:rPr/>
        <w:t xml:space="preserve">70 % Holanďanov sa domnieva, že vonkajšie hranice Európy musia byť lepšie chránené. 72 percent z nich si myslí, že to znamená návrat väčšieho počtu utečencov do neistých krajín. Holanďania sa domnievajú, že by sa mala venovať väčšia pozornosť dôvodom, ktoré vedú ľudí k úteku z nebezpečnej krajiny. Tieto dôvody sú niekedy spojené so zmenou klímy, niekedy s vojnami. Tieto súvislosti sa často spomínajú len v obmedzenom rozsahu v diskusii o otázke utečencov. Len zriedka sa rieši aj pridaná hodnota, ktorú títo utečenci prinášajú do krajiny. Napokon sa domnievame, že EÚ musí jasnejšie rozlišovať medzi ľuďmi z neistých regiónov, ktorí sa nachádzajú na hraniciach, a hospodárskymi utečencami. Stručne povedané, v diskusiách o migrácii a utečencoch vo všeobecnosti chýba kontext a nuansy. Európski politici by mohli túto situáciu napraviť tým, že budú príkladom. </w:t>
      </w:r>
    </w:p>
    <w:p>
      <w:pPr>
        <w:pStyle w:val="P68B1DB1Normal113"/>
        <w:widowControl w:val="false"/>
        <w:spacing w:lineRule="auto" w:line="240" w:before="173" w:after="0"/>
        <w:ind w:left="0" w:right="0" w:hanging="0"/>
        <w:jc w:val="center"/>
        <w:rPr/>
      </w:pPr>
      <w:r>
        <w:rPr/>
        <w:t xml:space="preserve">Musíme naďalej považovať utečencov v prvom rade za našich spoluobčanov. Pretože takmer nikto neopustí osobu v núdzi. </w:t>
      </w:r>
    </w:p>
    <w:p>
      <w:pPr>
        <w:pStyle w:val="P68B1DB1Normal111"/>
        <w:widowControl w:val="false"/>
        <w:spacing w:lineRule="auto" w:line="240" w:before="138" w:after="0"/>
        <w:ind w:left="0" w:right="0" w:hanging="0"/>
        <w:jc w:val="left"/>
        <w:rPr/>
      </w:pPr>
      <w:r>
        <w:rPr/>
        <w:t xml:space="preserve">2. Definovanie toho, čo je spravodlivé a praktické rozdelenie utečencov </w:t>
      </w:r>
    </w:p>
    <w:p>
      <w:pPr>
        <w:pStyle w:val="P68B1DB1Normal104"/>
        <w:widowControl w:val="false"/>
        <w:spacing w:lineRule="auto" w:line="240"/>
        <w:ind w:left="0" w:right="0" w:hanging="0"/>
        <w:jc w:val="both"/>
        <w:rPr/>
      </w:pPr>
      <w:r>
        <w:rPr/>
        <w:t xml:space="preserve">Európska imigračná služba by mala zabezpečiť spravodlivé rozdelenie utečencov medzi členské štáty EÚ. Holanďania sa tiež domnievajú, že by sa mali stanoviť jasné kritériá na vymedzenie toho, čo je spravodlivé rozdelenie. Dobrý sociálny systém môže napríklad zatraktívniť krajinu pre utečencov, ale pre utečencov aj pre príslušnú krajinu sú dôležité aj iné faktory. V Holandsku čelíme nedostatku bývania, zatiaľ čo niektoré krajiny alebo odvetvia jednoducho potrebujú viac migrujúcich pracovníkov. Považujeme za dôležité, aby EÚ túto skutočnosť zohľadnila pri rozdeľovaní utečencov. Jasné mechanizmy nielen zaručujú transparentnosť, ale aj menej sporov, čo je v konečnom dôsledku v záujme každého. </w:t>
      </w:r>
    </w:p>
    <w:p>
      <w:pPr>
        <w:pStyle w:val="P68B1DB1Normal113"/>
        <w:widowControl w:val="false"/>
        <w:spacing w:lineRule="auto" w:line="240" w:before="173" w:after="0"/>
        <w:ind w:left="0" w:right="0" w:hanging="0"/>
        <w:jc w:val="center"/>
        <w:rPr/>
      </w:pPr>
      <w:r>
        <w:rPr/>
        <w:t xml:space="preserve">Utečenci musia byť schopní vyjadriť svoj talent aj v cieľovej krajine. </w:t>
      </w:r>
    </w:p>
    <w:p>
      <w:pPr>
        <w:pStyle w:val="P68B1DB1Normal111"/>
        <w:widowControl w:val="false"/>
        <w:spacing w:lineRule="auto" w:line="240" w:before="136" w:after="0"/>
        <w:ind w:left="0" w:right="0" w:hanging="0"/>
        <w:jc w:val="left"/>
        <w:rPr/>
      </w:pPr>
      <w:r>
        <w:rPr/>
        <w:t xml:space="preserve">3. Na základe poznatkov a skúseností získaných na pomoc utečeneckým regiónom pôvodu </w:t>
      </w:r>
    </w:p>
    <w:p>
      <w:pPr>
        <w:pStyle w:val="P68B1DB1Normal104"/>
        <w:widowControl w:val="false"/>
        <w:spacing w:lineRule="auto" w:line="240" w:before="86" w:after="0"/>
        <w:ind w:left="0" w:right="0" w:hanging="0"/>
        <w:jc w:val="left"/>
        <w:rPr/>
      </w:pPr>
      <w:r>
        <w:rPr/>
        <w:t xml:space="preserve">67 % Holanďanov sa domnieva, že EÚ musí ďalej pomáhať neistým regiónom, aby zastavili prílev utečencov. Uvedomujeme si, že utečenci neopúšťajú svoju krajinu jednoduchou voľbou. Preto sa musíme pozrieť na príčiny, ako sú klimatické zmeny alebo konflikty, ktoré spôsobujú, že regióny nie sú bezpečné alebo neživé. EÚ môže pomôcť utečeneckým regiónom nielen s finančnou podporou, ale aj prostredníctvom znalostí. Napríklad v Holandsku máme silné zručnosti v poľnohospodárstve. Vďaka moderným poľnohospodárskym technikám môžeme pomôcť iným krajinám lepšie sa vyrovnať so suchami a salinizáciou. A ľudia, ktorí sa utiekli v Európe, sa môžu zúčastniť odbornej prípravy v európskej krajine a potom sami pomôcť svojej krajine pôvodu.  </w:t>
      </w:r>
    </w:p>
    <w:p>
      <w:pPr>
        <w:pStyle w:val="P68B1DB1Normal104"/>
        <w:widowControl w:val="false"/>
        <w:spacing w:lineRule="auto" w:line="240" w:before="94" w:after="0"/>
        <w:ind w:left="0" w:right="0" w:hanging="0"/>
        <w:jc w:val="left"/>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pPr>
      <w:r>
        <w:rPr/>
        <w:t xml:space="preserve">Online diskusie a nápady na mieste </w:t>
      </w:r>
    </w:p>
    <w:p>
      <w:pPr>
        <w:pStyle w:val="P68B1DB1Normal118"/>
        <w:widowControl w:val="false"/>
        <w:spacing w:lineRule="auto" w:line="240" w:before="85" w:after="0"/>
        <w:ind w:left="0" w:right="0" w:hanging="0"/>
        <w:jc w:val="left"/>
        <w:rPr/>
      </w:pPr>
      <w:r>
        <w:rPr/>
        <w:t>„</w:t>
      </w:r>
      <w:r>
        <w:rPr/>
        <w:t xml:space="preserve">EÚ musí zaviesť rýchlejšie azylové konania. Takže bude viac miesta pre ľudí, ktorí to naozaj potrebujú. </w:t>
      </w:r>
    </w:p>
    <w:p>
      <w:pPr>
        <w:pStyle w:val="P68B1DB1Normal118"/>
        <w:widowControl w:val="false"/>
        <w:spacing w:lineRule="auto" w:line="240"/>
        <w:ind w:left="0" w:right="0" w:hanging="0"/>
        <w:jc w:val="left"/>
        <w:rPr/>
      </w:pPr>
      <w:r>
        <w:rPr/>
        <w:t xml:space="preserve">Poznám veľa mladých ľudí okolo mňa, ktorí si chcú kúpiť dom, ale ktorí nenájdu nič cenovo dostupné, zatiaľ čo utečenci vidia, že ponúkajú bývanie. Je pre mňa ťažké prijať. </w:t>
      </w:r>
    </w:p>
    <w:p>
      <w:pPr>
        <w:pStyle w:val="P68B1DB1Normal118"/>
        <w:widowControl w:val="false"/>
        <w:spacing w:lineRule="auto" w:line="240"/>
        <w:ind w:left="0" w:right="0" w:hanging="0"/>
        <w:jc w:val="left"/>
        <w:rPr/>
      </w:pPr>
      <w:r>
        <w:rPr/>
        <w:t xml:space="preserve">Klimatické zmeny budú v každom prípade viesť k vysídľovaniu obyvateľstva. Nemôžeme zastaviť tieto toky, ale pravdepodobne ich môžeme lepšie regulovať. </w:t>
      </w:r>
    </w:p>
    <w:p>
      <w:pPr>
        <w:pStyle w:val="P68B1DB1Normal118"/>
        <w:widowControl w:val="false"/>
        <w:spacing w:lineRule="auto" w:line="240"/>
        <w:ind w:left="0" w:right="0" w:hanging="0"/>
        <w:jc w:val="left"/>
        <w:rPr/>
      </w:pPr>
      <w:r>
        <w:rPr/>
        <w:t xml:space="preserve">Bývam v Betuwe. Počas sezóny hrušiek a jabĺk jednoducho potrebujeme veľa migrujúcich pracovníkov. </w:t>
      </w:r>
    </w:p>
    <w:p>
      <w:pPr>
        <w:pStyle w:val="P68B1DB1Normal118"/>
        <w:widowControl w:val="false"/>
        <w:spacing w:lineRule="auto" w:line="240"/>
        <w:ind w:left="0" w:right="0" w:hanging="0"/>
        <w:jc w:val="left"/>
        <w:rPr/>
      </w:pPr>
      <w:r>
        <w:rPr/>
        <w:t xml:space="preserve">Neisté regióny nie sú pre nič nebezpečné, verejné orgány sú často nespoľahlivé. Ako vieme, kam smeruje naša pomoc a peniaze? </w:t>
      </w:r>
    </w:p>
    <w:p>
      <w:pPr>
        <w:pStyle w:val="P68B1DB1Normal104"/>
        <w:widowControl w:val="false"/>
        <w:spacing w:lineRule="auto" w:line="240"/>
        <w:ind w:left="0" w:right="0" w:hanging="0"/>
        <w:jc w:val="left"/>
        <w:rPr/>
      </w:pPr>
      <w:r>
        <w:rPr/>
        <w:t xml:space="preserve">NÁPAD: </w:t>
      </w:r>
      <w:r>
        <w:rPr>
          <w:i/>
        </w:rPr>
        <w:t>Zvážiť aj miestne stratégie, ako je účasť občanov na miestnom prijímaní utečencov a financovanie miestnych integračných iniciatív.</w:t>
      </w:r>
    </w:p>
    <w:p>
      <w:pPr>
        <w:pStyle w:val="P68B1DB1Normal104"/>
        <w:widowControl w:val="false"/>
        <w:spacing w:lineRule="auto" w:line="240"/>
        <w:ind w:left="0" w:right="0" w:hanging="0"/>
        <w:jc w:val="left"/>
        <w:rPr/>
      </w:pPr>
      <w:r>
        <w:rPr/>
        <w:t>NÁPAD:</w:t>
      </w:r>
      <w:r>
        <w:rPr>
          <w:i/>
        </w:rPr>
        <w:t xml:space="preserve"> Vytvorte mini-domy v mestách, kde by utečenci mohli žiť po príchode. Tým by sa zmiernil tlak na trh s bývaním a zvýšila by sa verejná podpora pre prijímanie týchto ľudí. </w:t>
      </w:r>
    </w:p>
    <w:p>
      <w:pPr>
        <w:pStyle w:val="P68B1DB1Normal118"/>
        <w:widowControl w:val="false"/>
        <w:spacing w:lineRule="auto" w:line="240"/>
        <w:ind w:left="0" w:right="0" w:hanging="0"/>
        <w:jc w:val="left"/>
        <w:rPr/>
      </w:pPr>
      <w:r>
        <w:rPr/>
        <w:t xml:space="preserve">Dobrovoľníci, ktorí boli samotní utečenci: V Európe sa ľudia často vyhýbajú sebe.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Taal Doet Meer je dobrovoľnícka organizácia, ktorá zabezpečuje, aby sa noví alofónni obyvatelia Utrechtu mohli podieľať na živote spoločnosti. Tematický dialóg s touto organizáciou sa zameriaval nielen na migráciu, ale predovšetkým na integráciu. Niekoľko účastníkov prišlo do Holandska ako utečenci, vrátane jedného zo Sýrie. Po siedmich rokoch sa necítim ako Holanďan. Tiež som si nenašiel prácu, aj keď som dostal magisterský titul. Poznamenávam, že európske krajiny sa v prvom rade zaujímajú o seba a nie sú veľmi otvorené iným krajinám a kultúram." Ďalší účastník poznamenal, že Európania sú často od seba vzdialení. Väčšina ľudí je sama; všetci zostávajú vo svojom kúte. Z mojej strany vidím, že jeden musí hovoriť jeden s druhým a že jeden sa môže učiť jeden od druhého.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Mládež z Národnej rady mládeže: Mali by ste nechať ľudí dnu len vtedy, ak sa o nich môžete postarať. </w:t>
      </w:r>
    </w:p>
    <w:p>
      <w:pPr>
        <w:pStyle w:val="P68B1DB1Normal104"/>
        <w:widowControl w:val="false"/>
        <w:spacing w:lineRule="auto" w:line="240"/>
        <w:ind w:left="0" w:right="0" w:hanging="0"/>
        <w:jc w:val="both"/>
        <w:rPr/>
      </w:pPr>
      <w:r>
        <w:rPr/>
        <w:t xml:space="preserve">V Utrechte diskutovali členovia rôznych pracovných skupín Národnej rady mládeže (CNJ). Účastníci (vo veku 16 – 23 rokov) sa domnievajú, že pri rozdeľovaní utečencov v Európe je potrebné zohľadniť niekoľko aspektov, ako je počet obyvateľov, veľkosť krajiny, prosperita a počet centier žiadateľov o azyl. „Utečenci by mali mať možnosť vstúpiť do krajiny len vtedy, ak sa o nich bude môcť postarať,“ povedal jeden z nich.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Mladí ľudia sa tiež domnievajú, že ak krajiny nesplnia svoje záväzky týkajúce sa prijímania utečencov, musia mať dôsledky. Musia byť napríklad pokutovaní. „A utečenci tiež musia mať slovo, kam idú,“ povedal niekto. Napríklad, ak už niekde majú rodinu, nemôžeme ich poslať inde. </w:t>
      </w:r>
      <w:r>
        <w:br w:type="page"/>
      </w:r>
    </w:p>
    <w:p>
      <w:pPr>
        <w:pStyle w:val="P68B1DB1Normal125"/>
        <w:widowControl w:val="false"/>
        <w:spacing w:lineRule="auto" w:line="240"/>
        <w:ind w:left="0" w:right="0" w:hanging="0"/>
        <w:jc w:val="left"/>
        <w:rPr/>
      </w:pPr>
      <w:r>
        <w:rPr/>
        <w:t xml:space="preserve">Zdravie </w:t>
      </w:r>
    </w:p>
    <w:p>
      <w:pPr>
        <w:pStyle w:val="P68B1DB1Normal130"/>
        <w:widowControl w:val="false"/>
        <w:spacing w:lineRule="auto" w:line="240"/>
        <w:ind w:left="0" w:right="0" w:hanging="0"/>
        <w:jc w:val="left"/>
        <w:rPr/>
      </w:pPr>
      <w:r>
        <w:rPr/>
        <w:t xml:space="preserve">(Zdravotná starostlivosť) </w:t>
      </w:r>
    </w:p>
    <w:p>
      <w:pPr>
        <w:pStyle w:val="P68B1DB1Normal104"/>
        <w:widowControl w:val="false"/>
        <w:spacing w:lineRule="auto" w:line="240"/>
        <w:ind w:left="0" w:right="0" w:hanging="0"/>
        <w:jc w:val="left"/>
        <w:rPr/>
      </w:pPr>
      <w:r>
        <w:rPr/>
        <w:t xml:space="preserve">Hoci zdravotná starostlivosť je v prvom rade zodpovednosťou jednotlivých krajín, možno ju podporiť a posilniť politikami EÚ, napríklad v reakcii na pandémiu COVID-19 alebo iné (budúce) zdravotné krízy, alebo v rámci partnerského výskumu závažných chorôb. Aký je názor Holandska na to? </w:t>
      </w:r>
    </w:p>
    <w:p>
      <w:pPr>
        <w:pStyle w:val="P68B1DB1Normal126"/>
        <w:widowControl w:val="false"/>
        <w:spacing w:lineRule="auto" w:line="240" w:before="14" w:after="0"/>
        <w:ind w:left="0" w:right="0" w:hanging="0"/>
        <w:jc w:val="left"/>
        <w:rPr/>
      </w:pPr>
      <w:r>
        <w:rPr/>
        <w:t xml:space="preserve">Odporúčania – Naša vízia zdravotnej starostlivosti </w:t>
      </w:r>
    </w:p>
    <w:p>
      <w:pPr>
        <w:pStyle w:val="P68B1DB1Normal120"/>
        <w:widowControl w:val="false"/>
        <w:spacing w:lineRule="auto" w:line="240"/>
        <w:ind w:left="0" w:right="0" w:hanging="0"/>
        <w:jc w:val="left"/>
        <w:rPr/>
      </w:pPr>
      <w:r>
        <w:rPr/>
        <w:t xml:space="preserve">64 % Holanďanov sa domnieva, že zdravotná starostlivosť je dôležitou otázkou a že EÚ musí v tejto oblasti zasiahnuť. </w:t>
      </w:r>
    </w:p>
    <w:p>
      <w:pPr>
        <w:pStyle w:val="P68B1DB1Normal111"/>
        <w:widowControl w:val="false"/>
        <w:spacing w:lineRule="auto" w:line="240" w:before="2" w:after="0"/>
        <w:ind w:left="0" w:right="0" w:hanging="0"/>
        <w:jc w:val="left"/>
        <w:rPr/>
      </w:pPr>
      <w:r>
        <w:rPr/>
        <w:t xml:space="preserve">1. Mať lepšiu kontrolu nad riadením pandémie </w:t>
      </w:r>
    </w:p>
    <w:p>
      <w:pPr>
        <w:pStyle w:val="P68B1DB1Normal104"/>
        <w:widowControl w:val="false"/>
        <w:spacing w:lineRule="auto" w:line="240"/>
        <w:ind w:left="0" w:right="0" w:hanging="0"/>
        <w:jc w:val="left"/>
        <w:rPr/>
      </w:pPr>
      <w:r>
        <w:rPr/>
        <w:t xml:space="preserve">83 % Holanďanov sa domnieva, že krajiny EÚ musia viac spolupracovať, aby zabránili šíreniu nákazlivej choroby po celom svete. Pretože vírus nepozná hranice. Môžeme to vidieť počas súčasnej pandémie. Politiky v rámci EÚ sú niekedy zmätené. To nie je dobré pre dodržiavanie pravidiel. Domnievame sa, že pravidlá boja proti šíreniu vírusu v Európe musia byť lepšie koordinované bez toho, aby boli nevyhnutne rovnaké všade. Musí byť priestor pre miestne voľby. Nielen preto, že počet kontaminácií sa môže líšiť, ale aj preto, že v Európe existujú rôzne kultúry. Niektoré opatrenia fungujú v niektorých krajinách lepšie ako v iných. </w:t>
      </w:r>
    </w:p>
    <w:p>
      <w:pPr>
        <w:pStyle w:val="P68B1DB1Normal113"/>
        <w:widowControl w:val="false"/>
        <w:spacing w:lineRule="auto" w:line="240" w:before="164" w:after="0"/>
        <w:ind w:left="0" w:right="0" w:hanging="0"/>
        <w:jc w:val="center"/>
        <w:rPr/>
      </w:pPr>
      <w:r>
        <w:rPr/>
        <w:t xml:space="preserve">Žijem v Holandsku, na hranici s Nemeckom. Rôzne opatrenia prijaté týmito dvoma krajinami na boj proti koronavírusu ma privádzajú do šialenstva.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Zabezpečiť dostupnosť cenovo dostupných a spoľahlivých liekov pre všetkých</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Holanďanov sa domnieva, že EÚ musí zabezpečiť, aby sme na vývoj, výrobu a dodávku liekov potrebovali menej tretích krajín. Ale ak to znamená dlhšie čakať na užívanie liekov, názory sú rozdelené. Holanďania sa domnievajú, že výroba a distribúcia liekov je zložitá otázka. Na jednej strane náklady na zdravotnú starostlivosť v Holandsku prudko rastú, preto považujeme za dôležité udržať ich na najnižšej možnej úrovni. Na druhej strane chceme byť schopní dôverovať drogám, aj keď prichádzajú z diaľky. Musia byť nielen kvalitné, ale musia sa vyrábať aj udržateľným a eticky zodpovedným spôsobom. Vo všeobecnosti sa domnievame, že dôležité lieky musia byť prístupné všetkým, a to aj v chudobnejších krajinách. </w:t>
      </w:r>
    </w:p>
    <w:p>
      <w:pPr>
        <w:pStyle w:val="P68B1DB1Normal113"/>
        <w:widowControl w:val="false"/>
        <w:spacing w:lineRule="auto" w:line="240" w:before="167" w:after="0"/>
        <w:ind w:left="0" w:right="0" w:hanging="0"/>
        <w:jc w:val="both"/>
        <w:rPr/>
      </w:pPr>
      <w:r>
        <w:rPr/>
        <w:t>Náklady na zdravotnú starostlivosť sú už nedostupné. Preto sa musíme pokúsiť kúpiť nové lieky za najnižšiu možnú cenu.</w:t>
      </w:r>
      <w:r>
        <w:rPr>
          <w:b/>
        </w:rPr>
        <w:t xml:space="preserve"> </w:t>
      </w:r>
    </w:p>
    <w:p>
      <w:pPr>
        <w:pStyle w:val="P68B1DB1Normal111"/>
        <w:widowControl w:val="false"/>
        <w:spacing w:lineRule="auto" w:line="240" w:before="131" w:after="0"/>
        <w:ind w:left="0" w:right="0" w:hanging="0"/>
        <w:jc w:val="left"/>
        <w:rPr/>
      </w:pPr>
      <w:r>
        <w:rPr/>
        <w:t xml:space="preserve">3. Krajiny sa musia zamerať na zlepšenie svojich systémov zdravotnej starostlivosti a na to, aby boli spravodlivejšie. </w:t>
      </w:r>
    </w:p>
    <w:p>
      <w:pPr>
        <w:pStyle w:val="P68B1DB1Normal104"/>
        <w:widowControl w:val="false"/>
        <w:spacing w:lineRule="auto" w:line="240" w:before="85" w:after="0"/>
        <w:ind w:left="0" w:right="0" w:hanging="0"/>
        <w:jc w:val="left"/>
        <w:rPr/>
      </w:pPr>
      <w:r>
        <w:rPr/>
        <w:t xml:space="preserve">Holandsko sa veľa stará o zdravotnú starostlivosť a táto obava presahuje vplyv pandémie COVID-19. Poznáme napríklad problémy so štrukturálnymi kapacitami v nemocniciach. Niektorí Holanďania nedôverujú účinkom trhových síl v sektore zdravotnej starostlivosti. Chápeme, že farmaceutické spoločnosti musia získať späť svoje investície a že zdravotné poisťovne chcú lacnú zdravotnú starostlivosť, ale veľké spoločnosti by nemali zneužívať svoju moc. EÚ by mala v tejto súvislosti prijať pravidlá. Domnievame sa tiež, že zdravotná starostlivosť je v prvom rade národnou záležitosťou. Krajiny lepšie vedia, aké sú problémy a priority na miestnej úrovni. Považujeme však za dôležité, aby sa európske krajiny mohli navzájom učiť s cieľom zlepšiť zdravotnú starostlivosť. </w:t>
      </w:r>
    </w:p>
    <w:p>
      <w:pPr>
        <w:pStyle w:val="P68B1DB1Normal104"/>
        <w:widowControl w:val="false"/>
        <w:spacing w:lineRule="auto" w:line="240" w:before="94" w:after="0"/>
        <w:ind w:left="0" w:right="0" w:hanging="0"/>
        <w:jc w:val="left"/>
        <w:rPr/>
      </w:pPr>
      <w:r>
        <w:rPr/>
        <w:t xml:space="preserve"> </w:t>
      </w:r>
    </w:p>
    <w:p>
      <w:pPr>
        <w:pStyle w:val="P68B1DB1Normal126"/>
        <w:widowControl w:val="false"/>
        <w:spacing w:lineRule="auto" w:line="240"/>
        <w:ind w:left="0" w:right="0" w:hanging="0"/>
        <w:jc w:val="left"/>
        <w:rPr/>
      </w:pPr>
      <w:r>
        <w:rPr/>
        <w:t xml:space="preserve">Online diskusie a nápady na mieste </w:t>
      </w:r>
    </w:p>
    <w:p>
      <w:pPr>
        <w:pStyle w:val="P68B1DB1Normal118"/>
        <w:widowControl w:val="false"/>
        <w:spacing w:lineRule="auto" w:line="240" w:before="95" w:after="0"/>
        <w:ind w:left="0" w:right="0" w:hanging="0"/>
        <w:jc w:val="left"/>
        <w:rPr/>
      </w:pPr>
      <w:r>
        <w:rPr/>
        <w:t xml:space="preserve">Pokiaľ ide o dostupnosť liekov v Európe, mohli by sme byť aj trochu úspornejší. Dnes toho veľa hodíme. </w:t>
      </w:r>
    </w:p>
    <w:p>
      <w:pPr>
        <w:pStyle w:val="P68B1DB1Normal104"/>
        <w:widowControl w:val="false"/>
        <w:spacing w:lineRule="auto" w:line="240" w:before="104" w:after="0"/>
        <w:ind w:left="0" w:right="0" w:hanging="0"/>
        <w:jc w:val="left"/>
        <w:rPr/>
      </w:pPr>
      <w:r>
        <w:rPr/>
        <w:t xml:space="preserve"> </w:t>
      </w:r>
    </w:p>
    <w:p>
      <w:pPr>
        <w:pStyle w:val="P68B1DB1Normal118"/>
        <w:widowControl w:val="false"/>
        <w:spacing w:lineRule="auto" w:line="240"/>
        <w:ind w:left="0" w:right="0" w:hanging="0"/>
        <w:jc w:val="left"/>
        <w:rPr/>
      </w:pPr>
      <w:r>
        <w:rPr/>
        <w:t xml:space="preserve">Je veľmi dobré, že Nemecko privítalo pacientov z Holandska s ochorením COVID-19. Chcel by som vidieť viac takejto solidarity v Európe.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Bez ohľadu na to, kde v EÚ žijete a či ste bohatí alebo chudobní, každý má právo na kvalitnú starostlivosť.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Pri nákupe drog musíte zvážiť nielen náklady, ale aj etiku. To napríklad znamená, že by sa nemala používať detská práca.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NÁPAD:</w:t>
      </w:r>
      <w:r>
        <w:rPr>
          <w:i/>
        </w:rPr>
        <w:t xml:space="preserve"> „Zlepšenie zdravia Európanov zabezpečením toho, aby boli pod menším stresom. Napríklad, znížte dĺžku pracovného týždňa. </w:t>
      </w:r>
    </w:p>
    <w:p>
      <w:pPr>
        <w:pStyle w:val="P68B1DB1Normal118"/>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NÁPAD:</w:t>
      </w:r>
      <w:r>
        <w:rPr>
          <w:i/>
        </w:rPr>
        <w:t xml:space="preserve"> Umožniť mladým ľuďom robiť zdravšie rozhodnutia prostredníctvom vážnych hier s rozšírenou realitou.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Z obyvateľov Utrechtu marockého pôvodu: Zdravie môže mať určitú cenu.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Nadácia „Marokkaans Dialoog Overvecht“ (MDO) (marocký dialóg v Overvechte) sa venuje účasti marockej komunity v okrese Overvecht v Utrechte. Na tento účel podporuje dialóg v susedstve, a tým bojuje proti nerovnostiam. Účastníci tematického dialógu v rámci vízie Európy sa domnievajú, že európska spolupráca je veľmi užitočná. Mnohí sa však domnievajú, že Holandsko je niekedy príliš závislé od iných krajín. V tejto súvislosti sa ako príklad uvádza riadenie krízy spôsobenej ochorením COVID-19. Mnohé konzultácie v rámci Európy mali podľa účastníkov za následok, že Holandsko začalo očkovanie proti ochoreniu COVID-19 príliš neskoro. „Možno to bude stáť viac, ak sa Holandsko bude chcieť rozhodnúť viac na vlastnú päsť,“ povedal. Ale je to o zdraví, môže to stáť trochu viac.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Podľa Helmondových študentov: Je lepšie učiť sa od seba navzájom inteligentne, ako zaujať rovnaký prístup.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both"/>
        <w:rPr/>
      </w:pPr>
      <w:r>
        <w:rPr/>
        <w:t xml:space="preserve">Na Dr. Knippenberg College v Helmonde študenti vo veku okolo 16 rokov diskutovali o európskom riadení pandémie COVID-19. Niektorí sa domnievajú, že členské štáty EÚ mali spoločne vymedziť vakcinačný program. Väčšina účastníkov mala pocit, že samotné krajiny mali lepšiu predstavu o tom, čo je potrebné a čo funguje. Preto sú podľa nich lepšie schopní rozhodnúť, čo je správne pre obyvateľstvo. Lepšie napríklad vedia, ktoré sektory potrebujú očkovanie ako prvé a ktoré môžu počkať. „Je samozrejme veľmi dobré, aby sa krajiny navzájom radili,“ povedal jeden zo študentov. Ak mnohé krajiny majú svoj vlastný prístup, môžu pozorovať, čo iné robia, a učiť sa jeden od druhého.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pPr>
      <w:r>
        <w:rPr/>
        <w:t xml:space="preserve">Úloha EÚ vo svete </w:t>
      </w:r>
    </w:p>
    <w:p>
      <w:pPr>
        <w:pStyle w:val="P68B1DB1Normal104"/>
        <w:widowControl w:val="false"/>
        <w:spacing w:lineRule="auto" w:line="240" w:before="126" w:after="0"/>
        <w:ind w:left="0" w:right="0" w:hanging="0"/>
        <w:jc w:val="left"/>
        <w:rPr/>
      </w:pPr>
      <w:r>
        <w:rPr/>
        <w:t xml:space="preserve">Svet čelí veľkým výzvam. EÚ je presvedčená, že otázky ako zmena klímy a pandémie možno riešiť len prostredníctvom globálnej spolupráce. EÚ chce v tejto súvislosti vyjadriť svoj názor na svetovej scéne, napríklad spolu s USA a Čínou. Aký je názor Holandska na to? </w:t>
      </w:r>
    </w:p>
    <w:p>
      <w:pPr>
        <w:pStyle w:val="P68B1DB1Normal126"/>
        <w:widowControl w:val="false"/>
        <w:spacing w:lineRule="auto" w:line="240" w:before="125" w:after="0"/>
        <w:ind w:left="0" w:right="0" w:hanging="0"/>
        <w:jc w:val="left"/>
        <w:rPr/>
      </w:pPr>
      <w:r>
        <w:rPr/>
        <w:t xml:space="preserve">Odporúčania – Naša vízia úlohy EÚ vo svete </w:t>
      </w:r>
    </w:p>
    <w:p>
      <w:pPr>
        <w:pStyle w:val="P68B1DB1Normal120"/>
        <w:widowControl w:val="false"/>
        <w:spacing w:lineRule="auto" w:line="240" w:before="126" w:after="0"/>
        <w:ind w:left="0" w:right="0" w:hanging="0"/>
        <w:jc w:val="left"/>
        <w:rPr/>
      </w:pPr>
      <w:r>
        <w:rPr/>
        <w:t xml:space="preserve">56 % Holanďanov sa domnieva, že úloha EÚ vo svete je dôležitou témou a že EÚ musí v tejto oblasti zasiahnuť. </w:t>
      </w:r>
    </w:p>
    <w:p>
      <w:pPr>
        <w:pStyle w:val="P68B1DB1Normal111"/>
        <w:widowControl w:val="false"/>
        <w:spacing w:lineRule="auto" w:line="240" w:before="112" w:after="0"/>
        <w:ind w:left="0" w:right="0" w:hanging="0"/>
        <w:jc w:val="left"/>
        <w:rPr/>
      </w:pPr>
      <w:r>
        <w:rPr/>
        <w:t xml:space="preserve">1. Využitie sily EÚ najmä v kontexte hlavných medzinárodných tém </w:t>
      </w:r>
    </w:p>
    <w:p>
      <w:pPr>
        <w:pStyle w:val="P68B1DB1Normal104"/>
        <w:widowControl w:val="false"/>
        <w:spacing w:lineRule="auto" w:line="240"/>
        <w:ind w:left="0" w:right="0" w:hanging="0"/>
        <w:jc w:val="left"/>
        <w:rPr/>
      </w:pPr>
      <w:r>
        <w:rPr/>
        <w:t xml:space="preserve">Skutočnosť, že jeho vytvorenie prispelo k tomu, že Európania žijú v mieri viac ako 75 rokov, mnohí Holanďania považujú za hlavnú pridanú hodnotu EÚ. Holanďania sa tiež domnievajú, že moc EÚ spočíva v spoločnom riadení hlavných medzinárodných výziev. Uvažujeme napríklad o zmene klímy, pandémii COVID-19 a utečeneckej kríze. Členské štáty EÚ môžu mať väčší vplyv aj na tretie krajiny tým, že spoločne uzatvoria medzinárodné dohody EÚ. Veríme, že naša krajina je príliš malá na to, aby sa zmenila len v týchto oblastiach. To znamená, že Holanďania chcú, aby Holandsko naďalej prijímalo svoje vlastné rozhodnutia založené na vlastnej kultúre a záujmoch. Spolupráca v Európe preto musí predovšetkým zabezpečiť efektívnosť a politickú moc. </w:t>
      </w:r>
    </w:p>
    <w:p>
      <w:pPr>
        <w:pStyle w:val="P68B1DB1Normal113"/>
        <w:widowControl w:val="false"/>
        <w:spacing w:lineRule="auto" w:line="240" w:before="200" w:after="0"/>
        <w:ind w:left="0" w:right="0" w:hanging="0"/>
        <w:jc w:val="center"/>
        <w:rPr/>
      </w:pPr>
      <w:r>
        <w:rPr/>
        <w:t xml:space="preserve">Je jednoduchšie uzatvárať dohody o spolupráci v rámci EÚ než ako izolovaná krajina. </w:t>
      </w:r>
    </w:p>
    <w:p>
      <w:pPr>
        <w:pStyle w:val="P68B1DB1Normal111"/>
        <w:widowControl w:val="false"/>
        <w:spacing w:lineRule="auto" w:line="240" w:before="174" w:after="0"/>
        <w:ind w:left="0" w:right="0" w:hanging="0"/>
        <w:jc w:val="left"/>
        <w:rPr/>
      </w:pPr>
      <w:r>
        <w:rPr/>
        <w:t xml:space="preserve">2. V rámci Európy aj mimo nej si radšej vyberte spoluprácu ako boj </w:t>
      </w:r>
    </w:p>
    <w:p>
      <w:pPr>
        <w:pStyle w:val="P68B1DB1Normal104"/>
        <w:widowControl w:val="false"/>
        <w:spacing w:lineRule="auto" w:line="240" w:before="1" w:after="0"/>
        <w:ind w:left="0" w:right="0" w:hanging="0"/>
        <w:jc w:val="left"/>
        <w:rPr/>
      </w:pPr>
      <w:r>
        <w:rPr/>
        <w:t xml:space="preserve">66 % Holanďanov sa domnieva, že EÚ musí vytvoriť silnejší blok proti iným medzinárodným blokom. Sme svedkami oslabenia rovnováhy vo svete. Krajiny ako Čína a Rusko neustále rozširujú svoju moc v rôznych oblastiach. To nás veľmi znepokojuje. EÚ preto musí venovať väčšiu pozornosť napríklad medzinárodnej bezpečnosti a ochrane európskeho hospodárstva pred nekalými obchodnými praktikami. V tejto súvislosti považujeme za dôležité, aby sa členské štáty lepšie a rýchlejšie koordinovali. To nám umožní jasnejšie počuť náš hlas. Skutočnosť, že sme spolu silnejší ako európske krajiny, neznamená, že chceme ísť do konfliktu. Takisto chceme, pokiaľ je to možné, dobrú spoluprácu s tretími krajinami. </w:t>
      </w:r>
    </w:p>
    <w:p>
      <w:pPr>
        <w:pStyle w:val="P68B1DB1Normal113"/>
        <w:widowControl w:val="false"/>
        <w:spacing w:lineRule="auto" w:line="240" w:before="200" w:after="0"/>
        <w:ind w:left="0" w:right="0" w:hanging="0"/>
        <w:jc w:val="center"/>
        <w:rPr/>
      </w:pPr>
      <w:r>
        <w:rPr/>
        <w:t>„</w:t>
      </w:r>
      <w:r>
        <w:rPr/>
        <w:t xml:space="preserve">Zníženie vnútorných sporov a konfliktov zvýši prestíž a vplyv EÚ na svetovej scéne.“ </w:t>
      </w:r>
    </w:p>
    <w:p>
      <w:pPr>
        <w:pStyle w:val="P68B1DB1Normal111"/>
        <w:widowControl w:val="false"/>
        <w:spacing w:lineRule="auto" w:line="240" w:before="174" w:after="0"/>
        <w:ind w:left="0" w:right="0" w:hanging="0"/>
        <w:jc w:val="left"/>
        <w:rPr/>
      </w:pPr>
      <w:r>
        <w:rPr/>
        <w:t xml:space="preserve">3. Ponúknutie pomoci v prípade konfliktu premysleným spôsobom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V rámci posilnenia úlohy EÚ na medzinárodnej scéne sa 50 % Holanďanov domnieva, že prístup ku konfliktom vo svete je dôležitou témou. Najlepší spôsob, ako reagovať na konflikty, je podľa nich ťažké určiť. Minulosť ukázala, že vojenská intervencia v krajine nie je vždy prospešná. Môže to napríklad viesť k nepredvídaným vysokým nákladom a vytvoriť dodatočné toky utečencov. Krajiny by sa vzhľadom na tento miestny vplyv mali sami rozhodnúť, či sa zapoja do vojny. Vo všeobecnosti nás zaujíma intenzívnejšia spolupráca medzi európskymi armádami: považujeme za dôležité, aby sa Európa mohla dobre brániť. Vždy však uprednostňujeme riešenie konfliktov bez toho, aby sme sa uchýlili k násiliu. </w:t>
      </w:r>
      <w:r>
        <w:br w:type="page"/>
      </w:r>
    </w:p>
    <w:p>
      <w:pPr>
        <w:pStyle w:val="P68B1DB1Normal113"/>
        <w:widowControl w:val="false"/>
        <w:spacing w:lineRule="auto" w:line="240"/>
        <w:ind w:left="0" w:right="0" w:hanging="0"/>
        <w:jc w:val="left"/>
        <w:rPr/>
      </w:pPr>
      <w:r>
        <w:rPr/>
        <w:t xml:space="preserve">Počas evakuácie Afganistanu každá krajina konala vo svojom vlastnom rohu. Mohli sme to urobiť ešte lepšie, však? </w:t>
      </w:r>
    </w:p>
    <w:p>
      <w:pPr>
        <w:pStyle w:val="P68B1DB1Normal126"/>
        <w:widowControl w:val="false"/>
        <w:spacing w:lineRule="auto" w:line="240" w:before="85" w:after="0"/>
        <w:ind w:left="0" w:right="0" w:hanging="0"/>
        <w:jc w:val="left"/>
        <w:rPr/>
      </w:pPr>
      <w:r>
        <w:rPr/>
        <w:t xml:space="preserve">Online diskusie a nápady na mieste </w:t>
      </w:r>
    </w:p>
    <w:p>
      <w:pPr>
        <w:pStyle w:val="P68B1DB1Normal118"/>
        <w:widowControl w:val="false"/>
        <w:spacing w:lineRule="auto" w:line="240" w:before="78" w:after="0"/>
        <w:ind w:left="0" w:right="0" w:hanging="0"/>
        <w:jc w:val="left"/>
        <w:rPr/>
      </w:pPr>
      <w:r>
        <w:rPr/>
        <w:t xml:space="preserve">EÚ musí najprv dať poriadok do vlastných záležitostí pred konfrontáciou s ostatnými. </w:t>
      </w:r>
    </w:p>
    <w:p>
      <w:pPr>
        <w:pStyle w:val="P68B1DB1Normal118"/>
        <w:widowControl w:val="false"/>
        <w:spacing w:lineRule="auto" w:line="240" w:before="87" w:after="0"/>
        <w:ind w:left="0" w:right="0" w:hanging="0"/>
        <w:jc w:val="left"/>
        <w:rPr/>
      </w:pPr>
      <w:r>
        <w:rPr/>
        <w:t xml:space="preserve"> </w:t>
      </w:r>
    </w:p>
    <w:p>
      <w:pPr>
        <w:pStyle w:val="P68B1DB1Normal118"/>
        <w:widowControl w:val="false"/>
        <w:spacing w:lineRule="auto" w:line="240"/>
        <w:ind w:left="0" w:right="0" w:hanging="0"/>
        <w:jc w:val="left"/>
        <w:rPr/>
      </w:pPr>
      <w:r>
        <w:rPr/>
        <w:t xml:space="preserve">Masívnym nákupom čínskych výrobkov ako Európanov podporujeme samotnú Čínu. </w:t>
      </w:r>
    </w:p>
    <w:p>
      <w:pPr>
        <w:pStyle w:val="P68B1DB1Normal118"/>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Spojené štáty naďalej zohrávajú veľmi dôležitú úlohu pri obrane Európy. </w:t>
      </w:r>
    </w:p>
    <w:p>
      <w:pPr>
        <w:pStyle w:val="P68B1DB1Normal118"/>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Byť členom EÚ tiež znamená sedieť za rokovacím stolom. To umožňuje diskutovať o dôležitých rozhodnutiach.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EÚ sa musí prestať vnímať ako izolovaný subjekt, pretože to tak nie je. Je to združenie európskych členských štátov a malo by sa takto správať.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NÁPAD:</w:t>
      </w:r>
      <w:r>
        <w:rPr>
          <w:i/>
        </w:rPr>
        <w:t xml:space="preserve"> Rovnako ako na pravidelnej globálnej konferencii o klíme by sa mala konať aj konferencia o ľudských právach.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NÁPAD: </w:t>
      </w:r>
      <w:r>
        <w:rPr>
          <w:i/>
        </w:rPr>
        <w:t>„Zefektívniť európske armády, napríklad väčším využívaním kolektívneho nákupu vybavenia.“</w:t>
      </w:r>
      <w:r>
        <w:rPr/>
        <w:t xml:space="preserve">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Holandsko-marocké ženy: Presadzovanie ľudských práv.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Ženy za</w:t>
      </w:r>
      <w:r>
        <w:rPr/>
      </w:r>
      <w:commentRangeEnd w:id="28"/>
      <w:r>
        <w:commentReference w:id="28"/>
      </w:r>
      <w:r>
        <w:rPr>
          <w:rFonts w:ascii="Calibri" w:hAnsi="Calibri"/>
          <w:color w:val="000000"/>
          <w:sz w:val="21"/>
        </w:rPr>
        <w:t xml:space="preserve">slobodu“ je holandská nadácia, ktorá bojuje proti núteným manželstvám, sexuálnemu útlaku a finančnému zneužívaniu dievčat a žien s bikultúrnym pôvodom. V spolupráci s touto nadáciou sa uskutočnilo stretnutie so skupinou holandsko-marockých žien. Účastníci sa domnievajú, že EÚ je v súčasnosti príliš závislá od Ruska a Číny. „Zisťujeme, že EÚ sa vo všeobecnosti neodvažuje nič navrhnúť, pretože sa obáva sankcií,“ povedal jeden z nich. Ako príklad sa uvádza výroba liekov, ktorá môže byť často oveľa lacnejšia. „V prípade konfliktu môže Čína vypnúť kohútik a my nebudeme mať nič,“ povedal jeden účastník. Nastolila sa aj otázka ľudských práv. Všetci konáme, akoby sme to považovali za veľmi dôležité, ale zatvárame oči na to, čo Čína robí Ujgurom.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Študenti z Technasium Alkmaar: Žiadna spoločná armáda.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Vo svojom tematickom dialógu študenti z Technasium Jan Arentz v Alkmaare diskutovali o výhodách a nevýhodách spoločnej európskej armády. Účastníci uviedli, že ho nepodporujú. Keď sa krajina EÚ hádže s treťou krajinou, mali by sme byť schopní automaticky sa zúčastniť vojny. Myslím si, že krajiny musia byť schopné rozhodnúť sa sami," povedal niekto. Diskutovalo sa aj o možnosti tretej svetovej vojny. Túto možnosť študenti nepovažujú za veľmi veľkú, ale myslia si, že ak by sme sa tam dostali, bolo by možné rýchlo nájsť riešenie. Aj armáda môže dobre spolupracovať. Podľa môjho názoru nie je potrebné, aby existovala európska armáda. </w:t>
      </w:r>
      <w:r>
        <w:br w:type="page"/>
      </w:r>
    </w:p>
    <w:p>
      <w:pPr>
        <w:pStyle w:val="P68B1DB1Normal125"/>
        <w:widowControl w:val="false"/>
        <w:spacing w:lineRule="auto" w:line="240"/>
        <w:ind w:left="0" w:right="0" w:hanging="0"/>
        <w:jc w:val="left"/>
        <w:rPr/>
      </w:pPr>
      <w:r>
        <w:rPr/>
        <w:t xml:space="preserve">Metodika použitá v prieskume </w:t>
      </w:r>
    </w:p>
    <w:p>
      <w:pPr>
        <w:pStyle w:val="P68B1DB1Normal104"/>
        <w:widowControl w:val="false"/>
        <w:spacing w:lineRule="auto" w:line="240" w:before="150" w:after="0"/>
        <w:ind w:left="0" w:right="0" w:hanging="0"/>
        <w:jc w:val="left"/>
        <w:rPr/>
      </w:pPr>
      <w:r>
        <w:rPr/>
        <w:t xml:space="preserve">Vízia Európy pozostáva z rôznych foriem vzájomne prepojených dialógov, ktoré zhromažďujú názory a myšlienky holandských občanov na budúcnosť Európy a EÚ. V tejto kapitole sa opisuje, ako sa tieto úzko súvisiace dialógy vedú v súlade s usmerneniami platnými pre vnútroštátne panelové diskusie občanov v kontexte Konferencie o budúcnosti Európy. </w:t>
      </w:r>
    </w:p>
    <w:p>
      <w:pPr>
        <w:pStyle w:val="P68B1DB1Normal126"/>
        <w:widowControl w:val="false"/>
        <w:spacing w:lineRule="auto" w:line="240" w:before="43" w:after="0"/>
        <w:ind w:left="0" w:right="0" w:hanging="0"/>
        <w:jc w:val="left"/>
        <w:rPr/>
      </w:pPr>
      <w:r>
        <w:rPr/>
        <w:t xml:space="preserve">Štruktúra úzko súvisiacich dialógov </w:t>
      </w:r>
    </w:p>
    <w:p>
      <w:pPr>
        <w:pStyle w:val="P68B1DB1Normal104"/>
        <w:widowControl w:val="false"/>
        <w:spacing w:lineRule="auto" w:line="240" w:before="114" w:after="0"/>
        <w:ind w:left="0" w:right="0" w:hanging="0"/>
        <w:jc w:val="left"/>
        <w:rPr/>
      </w:pPr>
      <w:r>
        <w:rPr/>
        <w:t xml:space="preserve">Organizujú sa tieto formy dialógu: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Prieskum panelu</w:t>
      </w:r>
    </w:p>
    <w:p>
      <w:pPr>
        <w:pStyle w:val="P68B1DB1Normal104"/>
        <w:widowControl w:val="false"/>
        <w:spacing w:lineRule="auto" w:line="240"/>
        <w:ind w:left="0" w:right="0" w:hanging="0"/>
        <w:jc w:val="left"/>
        <w:rPr/>
      </w:pPr>
      <w:r>
        <w:rPr/>
        <w:t xml:space="preserve">Online prieskum reprezentatívnej časti holandskej populácie.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Online tematické dialógy na prehĺbenie</w:t>
      </w:r>
    </w:p>
    <w:p>
      <w:pPr>
        <w:pStyle w:val="P68B1DB1Normal104"/>
        <w:widowControl w:val="false"/>
        <w:spacing w:lineRule="auto" w:line="240"/>
        <w:ind w:left="0" w:right="0" w:hanging="0"/>
        <w:jc w:val="left"/>
        <w:rPr/>
      </w:pPr>
      <w:r>
        <w:rPr/>
        <w:t xml:space="preserve">Dialógy, v ktorých výsledky prvej predbežnej správy s názvom Naša vízia pre Európu: stanoviská, nápady a odporúčania“ (8. októbra 2021) sa podrobne diskutuje so skupinou Holanďanov.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Dialógy s konkrétnymi skupinami</w:t>
      </w:r>
    </w:p>
    <w:p>
      <w:pPr>
        <w:pStyle w:val="P68B1DB1Normal104"/>
        <w:widowControl w:val="false"/>
        <w:spacing w:lineRule="auto" w:line="240"/>
        <w:ind w:left="0" w:right="0" w:hanging="0"/>
        <w:jc w:val="left"/>
        <w:rPr/>
      </w:pPr>
      <w:r>
        <w:rPr/>
        <w:t xml:space="preserve">Stretnutia s holandskými ľuďmi, ktorí nie sú zvyknutí zúčastňovať sa na prieskumoch alebo paneloch (online).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Dialógy s mladými ľuďmi</w:t>
      </w:r>
    </w:p>
    <w:p>
      <w:pPr>
        <w:pStyle w:val="P68B1DB1Normal104"/>
        <w:widowControl w:val="false"/>
        <w:spacing w:lineRule="auto" w:line="240"/>
        <w:ind w:left="0" w:right="0" w:hanging="0"/>
        <w:jc w:val="left"/>
        <w:rPr/>
      </w:pPr>
      <w:r>
        <w:rPr/>
        <w:t xml:space="preserve">Stretnutia, na ktorých sa diskutuje o európskych témach, ktoré sú pre týchto mladých ľudí najrelevantnejšie.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Online verejný prieskum: Dotazník a „Swipen naar de toekomst“ (</w:t>
      </w:r>
      <w:commentRangeStart w:id="29"/>
      <w:r>
        <w:rPr>
          <w:rFonts w:ascii="Calibri" w:hAnsi="Calibri"/>
          <w:b/>
          <w:color w:val="000000"/>
          <w:sz w:val="21"/>
        </w:rPr>
        <w:t>Swiper</w:t>
      </w:r>
      <w:r>
        <w:rPr/>
      </w:r>
      <w:commentRangeEnd w:id="29"/>
      <w:r>
        <w:commentReference w:id="29"/>
      </w:r>
      <w:r>
        <w:rPr>
          <w:rFonts w:ascii="Calibri" w:hAnsi="Calibri"/>
          <w:b/>
          <w:color w:val="000000"/>
          <w:sz w:val="21"/>
        </w:rPr>
        <w:t xml:space="preserve"> to the future) </w:t>
      </w:r>
    </w:p>
    <w:p>
      <w:pPr>
        <w:pStyle w:val="P68B1DB1Normal104"/>
        <w:widowControl w:val="false"/>
        <w:spacing w:lineRule="auto" w:line="240"/>
        <w:ind w:left="0" w:right="0" w:hanging="0"/>
        <w:jc w:val="left"/>
        <w:rPr/>
      </w:pPr>
      <w:r>
        <w:rPr/>
        <w:t xml:space="preserve">Dotazník panelového prieskumu by mohli vyplniť aj všetci Holanďania vrátane tých, ktorí majú bydlisko v zahraničí. Tento dotazník bol k dispozícii od 1. septembra 2021 do 14. novembra 2021. Okrem toho sa v tom istom období každý Holanďan mohol zúčastniť na akcii „Swipen naar de toekomst“ (Swiper to the future), online nástroji s 20 nárokmi.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pPr>
      <w:r>
        <w:rPr/>
        <w:t xml:space="preserve">1. Prieskum panelu </w:t>
      </w:r>
    </w:p>
    <w:p>
      <w:pPr>
        <w:pStyle w:val="P68B1DB1Normal104"/>
        <w:widowControl w:val="false"/>
        <w:spacing w:lineRule="auto" w:line="240" w:before="150" w:after="0"/>
        <w:ind w:left="0" w:right="0" w:hanging="0"/>
        <w:jc w:val="left"/>
        <w:rPr/>
      </w:pPr>
      <w:r>
        <w:rPr/>
        <w:t xml:space="preserve">Holandský dialóg s občanmi „Vízia Európy“ sa začal 1. septembra panelovým prieskumom. V tomto popise metodiky prieskumu stručne vysvetľujeme návrh a realizáciu tohto prieskumu panelu. </w:t>
      </w:r>
    </w:p>
    <w:p>
      <w:pPr>
        <w:pStyle w:val="P68B1DB1Normal126"/>
        <w:widowControl w:val="false"/>
        <w:spacing w:lineRule="auto" w:line="240" w:before="43" w:after="0"/>
        <w:ind w:left="0" w:right="0" w:hanging="0"/>
        <w:jc w:val="left"/>
        <w:rPr/>
      </w:pPr>
      <w:r>
        <w:rPr/>
        <w:t xml:space="preserve">Cieľová a cieľová populácia </w:t>
      </w:r>
    </w:p>
    <w:p>
      <w:pPr>
        <w:pStyle w:val="Normal"/>
        <w:widowControl w:val="false"/>
        <w:spacing w:lineRule="auto" w:line="240" w:before="114" w:after="0"/>
        <w:ind w:left="0" w:right="0" w:hanging="0"/>
        <w:jc w:val="left"/>
        <w:rPr/>
      </w:pPr>
      <w:r>
        <w:rPr>
          <w:rFonts w:ascii="Calibri" w:hAnsi="Calibri"/>
          <w:color w:val="000000"/>
          <w:sz w:val="21"/>
        </w:rPr>
        <w:t>Prieskum „Vízia Európy“ sa začal online dotazníkom o tom, ako Holanďania vnímajú budúcnosť Európy. Tento dotazník bol predložený reprezentatívnej komisii a je otvorený aj pre všetkých Holanďanov (vrátane tých, ktorí majú bydlisko v zahraničí). Okrem toho sa každá osoba mohla zúčastniť na akcii „Swipen naar de toekomst“</w:t>
      </w:r>
      <w:commentRangeStart w:id="30"/>
      <w:r>
        <w:rPr>
          <w:rFonts w:ascii="Calibri" w:hAnsi="Calibri"/>
          <w:color w:val="000000"/>
          <w:sz w:val="21"/>
        </w:rPr>
        <w:t>(</w:t>
      </w:r>
      <w:r>
        <w:rPr/>
      </w:r>
      <w:commentRangeEnd w:id="30"/>
      <w:r>
        <w:commentReference w:id="30"/>
      </w:r>
      <w:r>
        <w:rPr>
          <w:rFonts w:ascii="Calibri" w:hAnsi="Calibri"/>
          <w:color w:val="000000"/>
          <w:sz w:val="21"/>
        </w:rPr>
        <w:t xml:space="preserve"> Swiper to the future), online nástroji s 20 nárokmi. Výsledky panelového prieskumu boli podkladom niekoľkých tematických dialógov organizovaných v nadväznosti na proces dialógu s občanmi „Vízia Európy“.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Cieľová populácia panelového prieskumu zahŕňa všetkých holandských ľudí vo veku 18 rokov a starších, ktorí boli v čase začatia práce v teréne registrovaní ako obyvatelia v registri obyvateľstva. Podľa holandského národného štatistického úradu (Centraal Bureau voor de Statistiek – CBS) mala táto cieľová skupina k 1. januáru 2021 14 190 874 osôb. Dolná hranica 18 rokov zodpovedá volebnej väčšine. Nazývame to populácia panelového prieskumu. </w:t>
      </w:r>
      <w:r>
        <w:br w:type="page"/>
      </w:r>
    </w:p>
    <w:p>
      <w:pPr>
        <w:pStyle w:val="P68B1DB1Normal126"/>
        <w:widowControl w:val="false"/>
        <w:spacing w:lineRule="auto" w:line="240" w:before="43" w:after="0"/>
        <w:ind w:left="0" w:right="0" w:hanging="0"/>
        <w:jc w:val="left"/>
        <w:rPr/>
      </w:pPr>
      <w:r>
        <w:rPr/>
        <w:t xml:space="preserve">Práca v teréne </w:t>
      </w:r>
    </w:p>
    <w:p>
      <w:pPr>
        <w:pStyle w:val="P68B1DB1Normal104"/>
        <w:widowControl w:val="false"/>
        <w:spacing w:lineRule="auto" w:line="240" w:before="116" w:after="0"/>
        <w:ind w:left="0" w:right="0" w:hanging="0"/>
        <w:jc w:val="left"/>
        <w:rPr/>
      </w:pPr>
      <w:r>
        <w:rPr/>
        <w:t xml:space="preserve">Panel viac ako 100 000 účastníkov z celej krajiny (certifikovaný ISO, Research Keurmerk groep, Nederlandse marktonderzoek Associatie) bol použitý na získanie digitálneho obrazu „Medium Dutch“. Títo účastníci sa zapísali do panelu prieskumu, aby pravidelne poskytovali svoje názory na širokú škálu tém. Okrem svojej vnútornej motivácie prispievať sa im platí aj za vyplnenie dotazníkov. Z viacerých vedeckých štúdií vyplýva, že respondenti, ktorí dostávajú kompenzáciu za vyplnenie dotazníka, neposkytujú výrazne odlišné odpovede (zdroj: </w:t>
      </w:r>
      <w:r>
        <w:rPr>
          <w:i/>
        </w:rPr>
        <w:t>Znižuje využívanie stimulov na prieskum kvalitu údajov?</w:t>
      </w:r>
      <w:r>
        <w:rPr/>
        <w:t xml:space="preserve">, Cole, J. S., Sarraf, S.A., Wang, X., 2015).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Práca v teréne sa začala 11. augusta 2021 a skončila 19. septembra 2021. Na implementáciu sa použila len jedna metóda zberu údajov, t. j. internetový prieskum. Členovia panelu prieskumu dostali e-mail s osobným odkazom na online dotazník. Po dvoch týždňoch účastníci panelu dostali pripomienku. Pozvánky na účasť boli zaslané v dávkach a stratifikované (zabezpečením rovnakého rozdelenia podskupín), až kým sa nedosiahne požadovaný počet respondentov. </w:t>
      </w:r>
    </w:p>
    <w:p>
      <w:pPr>
        <w:pStyle w:val="P68B1DB1Normal126"/>
        <w:widowControl w:val="false"/>
        <w:spacing w:lineRule="auto" w:line="240" w:before="42" w:after="0"/>
        <w:ind w:left="0" w:right="0" w:hanging="0"/>
        <w:jc w:val="left"/>
        <w:rPr/>
      </w:pPr>
      <w:r>
        <w:rPr/>
        <w:t xml:space="preserve">Odber vzoriek a distribúcia </w:t>
      </w:r>
    </w:p>
    <w:p>
      <w:pPr>
        <w:pStyle w:val="P68B1DB1Normal104"/>
        <w:widowControl w:val="false"/>
        <w:spacing w:lineRule="auto" w:line="240" w:before="114" w:after="0"/>
        <w:ind w:left="0" w:right="0" w:hanging="0"/>
        <w:jc w:val="left"/>
        <w:rPr/>
      </w:pPr>
      <w:r>
        <w:rPr/>
        <w:t xml:space="preserve">Koncepcia prieskumu je založená na zásade, že sa na prieskume musí zúčastniť minimálne 3 600 respondentov, aby sa zabezpečila dobrá štatistická spoľahlivosť. Okrem toho toto číslo umožňuje dobré rozdelenie medzi rôznymi všeobecnými charakteristikami populácie. Nie je tu len jeden typ Holanďanov. Preto sme vopred zabezpečili, že vzorka je rozložená vo viacerých charakteristikách. Holandsko je relatívne malá krajina, ale názory sa môžu v jednotlivých regiónoch líšiť. Umiestnenie a dôležitosť tém môže byť (čiastočne) určená regiónom, v ktorom žijete. Napríklad ľudia žijúci vo vidieckych oblastiach môžu chápať tému, ako je bezpečnosť, inak ako v mestských oblastiach. Z výskumu holandského Úradu pre sociálne a kultúrne plánovanie tiež vyplýva, že ľudia s vyššou úrovňou štúdia sú častejšie priaznivcami EÚ ako tí, ktorí majú nižšiu úroveň štúdia, a že mladí ľudia viac podporujú EÚ ako starší ľudia (zdroj: </w:t>
      </w:r>
      <w:r>
        <w:rPr>
          <w:i/>
        </w:rPr>
        <w:t>Wat willen Nederlanders van de Europese Unie?</w:t>
      </w:r>
      <w:r>
        <w:rPr/>
        <w:t xml:space="preserve">, holandský úrad pre sociálne a kultúrne plánovanie, Haag, 2019).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To je dôvod, prečo sme predtým rozdelili tieto tri charakteristiky úmerne s cieľom zabezpečiť reprezentatívnosť vzorky: (1) pobyt prostredníctvom regiónov COROP, (2) vek a (3) úroveň vzdelania. Rozdelenie vzorky bolo prezentované aj podľa týchto všeobecných charakteristík: pohlavie, pôvod, hlavné povolanie, politická orientácia.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Regióny COROP boli vyvinuté na základe princípu uzlov (srdce s atrakciou alebo regionálnou funkciou) na základe prílivu ľudí, ktorí dochádzajú. Pripustilo sa niekoľko porušení zásady uzlov, aby regióny nasledovali hranice provincií. Po reorganizácii obcí mimo hraníc COROP sa rozdelenie upravilo (zdroj: Holandský národný štatistický úrad). V rámci regiónov COROP sme zabezpečili dobré rozdelenie medzi vekové skupiny s týmto rozdelením: vek 18 – 34, 35 – 54, 55 – 75 rokov a viac ako 75 rokov.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Nakoniec sme zabezpečili reprezentatívne rozdelenie úrovní vzdelávania. Rozdelenie respondentov vo vzorke zodpovedá rozdeleniu najvyššej úrovne vzdelania na vnútroštátnej úrovni, ktoré je takéto: </w:t>
      </w:r>
      <w:r>
        <w:br w:type="page"/>
      </w:r>
    </w:p>
    <w:p>
      <w:pPr>
        <w:pStyle w:val="P68B1DB1Normal120"/>
        <w:spacing w:lineRule="auto" w:line="240"/>
        <w:ind w:left="0" w:right="0" w:hanging="0"/>
        <w:rPr/>
      </w:pPr>
      <w:r>
        <w:rPr/>
        <w:t xml:space="preserve">Najvyššia úroveň vzdelania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4"/>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Nízka: základné vzdelávanie, prípravné odborné vzdelávanie, 1. až 3. stupeň všeobecného vyššieho sekundárneho/preduniverzitného vzdelávania, stredoškolské odborné vzdelávanie 1</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Medziprodukt: všeobecné vyššie stredoškolské/preduniverzitné vzdelávanie, stredoškolské odborné vzdelávanie 2 až 4</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Vysoká: vysokoškolské alebo vysokoškolské vzdelávanie</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Neznámy</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0,4 %</w:t>
            </w:r>
          </w:p>
        </w:tc>
      </w:tr>
    </w:tbl>
    <w:p>
      <w:pPr>
        <w:pStyle w:val="P68B1DB1Normal126"/>
        <w:spacing w:lineRule="auto" w:line="240"/>
        <w:ind w:left="0" w:right="0" w:hanging="0"/>
        <w:rPr/>
      </w:pPr>
      <w:r>
        <w:rPr/>
        <w:t xml:space="preserve">Rýchlosť odozvy </w:t>
      </w:r>
    </w:p>
    <w:p>
      <w:pPr>
        <w:pStyle w:val="P68B1DB1Normal104"/>
        <w:widowControl w:val="false"/>
        <w:spacing w:lineRule="exact" w:line="386" w:before="116" w:after="0"/>
        <w:ind w:left="0" w:right="368" w:hanging="0"/>
        <w:jc w:val="left"/>
        <w:rPr/>
      </w:pPr>
      <w:r>
        <w:rPr/>
        <w:t xml:space="preserve">Na prieskume sa zúčastnilo celkovo 4 086 ľudí. Cieľ 3 600 plne vyplnených dotazníkov sa preto dosiahol.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Odpovede regiónov a veku COROP</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 až 34 rokov</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35 až 54 rokov</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55 až 75 rokov</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viac ako 75 rokov</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Severný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Juhovýchod od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Juhozápadne od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Severné Frízsko</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Juhovýchod od Frieslandu</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Juhozápadne od Frieslandu</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Juhozápadne od Gelderlandu</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Veľký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Východný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Zvyšok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Hlavné mesto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Severný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Južný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Preskúmať mesto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Severovýchodne od severného Brabantu</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Západ od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Juhovýchod od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Aglomerácia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Alkmaar a jeho okolie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Veľký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Gooi a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Tip severného Holandska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Región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Severné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Juhozápadne od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Zvyšok Zeelandu</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Zeeland Flámsko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Aglomerácia Leiden a oblasť žiaroviek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Aglomerácia Haagu</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Delft a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Veľký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Východ od južného Holandska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Juhovýchodne od južného Holandska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Odpovede podľa úrovne vzdelania</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Nízka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Sprostredkovateľ</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Vysoká</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Neznámy</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126"/>
        <w:spacing w:lineRule="auto" w:line="240"/>
        <w:ind w:left="0" w:right="0" w:hanging="0"/>
        <w:rPr/>
      </w:pPr>
      <w:r>
        <w:rPr/>
        <w:t xml:space="preserve">Spoľahlivosť a reprezentatívnosť </w:t>
      </w:r>
    </w:p>
    <w:p>
      <w:pPr>
        <w:pStyle w:val="P68B1DB1Normal104"/>
        <w:widowControl w:val="false"/>
        <w:spacing w:lineRule="auto" w:line="240" w:before="119" w:after="0"/>
        <w:ind w:left="0" w:right="0" w:hanging="0"/>
        <w:jc w:val="left"/>
        <w:rPr/>
      </w:pPr>
      <w:r>
        <w:rPr/>
        <w:t xml:space="preserve">Počet respondentov vo výške 4 086 umožňuje vykonať pripomienky k súboru ako celku s úrovňou spoľahlivosti 95 % a chybovou rezervou 1,53 %. Úroveň spoľahlivosti a miera chybovosti výsledkov sa určujú veľkosťou vzorky. Čím väčšia je vzorka, tým spoľahlivejšie a presnejšie výsledky možno extrapolovať na celú populáciu. </w:t>
      </w:r>
    </w:p>
    <w:p>
      <w:pPr>
        <w:pStyle w:val="P68B1DB1Normal104"/>
        <w:widowControl w:val="false"/>
        <w:spacing w:lineRule="auto" w:line="240" w:before="94" w:after="0"/>
        <w:ind w:left="0" w:right="0" w:hanging="0"/>
        <w:jc w:val="left"/>
        <w:rPr/>
      </w:pPr>
      <w:r>
        <w:rPr/>
        <w:t xml:space="preserve"> </w:t>
      </w:r>
    </w:p>
    <w:p>
      <w:pPr>
        <w:pStyle w:val="P68B1DB1Normal104"/>
        <w:widowControl w:val="false"/>
        <w:spacing w:lineRule="auto" w:line="240"/>
        <w:ind w:left="0" w:right="0" w:hanging="0"/>
        <w:jc w:val="left"/>
        <w:rPr/>
      </w:pPr>
      <w:r>
        <w:rPr/>
        <w:t xml:space="preserve">Úroveň spoľahlivosti je definovaná ako 1 (100 %) mínus úroveň významu. Je bežné, že je založený na úrovni 5 % význam. Hovoríme o 95 % úrovni dôvery. Inými slovami, ak by sa prieskum zopakoval rovnakým spôsobom a za rovnakých podmienok, výsledky by boli rovnaké v 95 % prípadov. </w:t>
      </w:r>
    </w:p>
    <w:p>
      <w:pPr>
        <w:pStyle w:val="P68B1DB1Normal104"/>
        <w:widowControl w:val="false"/>
        <w:spacing w:lineRule="auto" w:line="240"/>
        <w:ind w:left="0" w:right="0" w:hanging="0"/>
        <w:jc w:val="left"/>
        <w:rPr/>
      </w:pPr>
      <w:r>
        <w:rPr/>
        <w:t xml:space="preserve">Presnosť (vyjadrená medzerou chyby) označuje rozsah hodnôt, v rámci ktorých sa nachádza skutočná hodnota v súbore. Inými slovami: aký by bol maximálny rozdiel medzi výsledkami vzorky a výsledkami, ktoré by sa dosiahli z celkového súboru? Miera chybovosti 1,53 % znamená, že skutočná hodnota v rámci celkového súboru môže byť 1,53 % vyššia alebo nižšia ako hodnota vzorky. Napríklad, ak prieskum vzorky ľudí ukazuje, že 50 % respondentov považuje konkrétnu tému za dôležitú, skutočné percento je 1,53 % vyššie alebo nižšie ako 50 %, t. j. medzi 48,47 a 51,53 %. Maximálna chybovosť 5 % je bežná a všeobecne akceptovaná v kvantitatívnych štúdiách (štatistikách).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Okrem spoľahlivosti je dôležitá aj reprezentatívnosť vzorky. Keďže pozvánky na účasť boli zaslané v dávkach a stratifikované, výsledky sú reprezentatívne z hľadiska charakteristík regiónu COROP a vekových skupín regiónu COROP. Odpovede sú reprezentatívne aj z hľadiska úrovne vzdelania v porovnaní s najvyššou úrovňou vzdelania dosiahnutou na vnútroštátnej úrovni.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pPr>
      <w:r>
        <w:rPr/>
        <w:t xml:space="preserve">Ostatné všeobecné charakteristiky </w:t>
      </w:r>
    </w:p>
    <w:p>
      <w:pPr>
        <w:pStyle w:val="P68B1DB1Normal104"/>
        <w:widowControl w:val="false"/>
        <w:spacing w:lineRule="auto" w:line="240"/>
        <w:ind w:left="0" w:right="0" w:hanging="0"/>
        <w:jc w:val="left"/>
        <w:rPr/>
      </w:pPr>
      <w:r>
        <w:rPr/>
        <w:t xml:space="preserve">Účastníkom prieskumu boli položené viaceré ďalšie kontextové otázky podľa panelu. Patrí medzi ne rod, pozícia EÚ, pôvod, hlavná okupácia a politická strana, za ktorú by osoba hlasovala v prípade volieb.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49 % respondentov sú muži, 50 % ženy a 1 % radšej neodpovedá na túto otázku.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51 % respondentov si myslí, že pre Holandsko je dobré byť členom EÚ, 13 % si myslí, že je to zlá vec a 36 % je neutrálnych alebo nemá názor.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95 % respondentov sa narodilo v Holandsku. 89 % respondentov uviedlo, že obaja rodičia sa narodili v Holandsku. Päť percent sa narodilo dvom rodičom narodeným v zahraničí.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pPr>
      <w:r>
        <w:rPr/>
        <w:t xml:space="preserve">Súčasná politická orientácia respondentov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9"/>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Večierok</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VVD (Ľudová strana za slobodu a demokraciu)</w:t>
            </w:r>
          </w:p>
        </w:tc>
        <w:tc>
          <w:tcPr>
            <w:tcW w:w="34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PVV (strana pre slobodu)</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SP (Socialistická strana)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D66 (Demokrati 66)</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CDA (kresťanská demokratická výzva)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PvdA (Pracovná strana)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Partij voor de Dieren (Zvieratá)</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GroenLinks (Zelená ľavica)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ChristenUnie (Kresťanská únia)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JA21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BoerBurgerBeweging (Farmerovo-občianske hnutie)</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Fórum voor Democratie (Fórum pre demokraciu)</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GSP (reformovaná politická strana)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Volt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PRIHLÁSIŤ SA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Groep Van Haga – reštaurácie v okolí</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BIJ1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Fractie Den Haan – reštaurácie v okolí</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Ostatné</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Biely hlas</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Radšej neodpoviem</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 nehlasujem</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pPr>
      <w:r>
        <w:rPr/>
        <w:t xml:space="preserve">Aké je v súčasnosti vaše hlavné povolanie?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5"/>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Okupácia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Študent/študent</w:t>
            </w:r>
          </w:p>
        </w:tc>
        <w:tc>
          <w:tcPr>
            <w:tcW w:w="351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Zamestnanec na čiastočný úväzok</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Zamestnanec na plný úväzok</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Nezávislý dodávateľ</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Osoba doma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Uchádzač o zamestnanie</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Dobrovoľník</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Práceneschopnosť</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Dôchodca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Ostatné</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Radšej neodpoviem</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126"/>
        <w:spacing w:lineRule="auto" w:line="240"/>
        <w:ind w:left="0" w:right="0" w:hanging="0"/>
        <w:rPr/>
      </w:pPr>
      <w:r>
        <w:rPr/>
        <w:t xml:space="preserve">Dotazník </w:t>
      </w:r>
    </w:p>
    <w:p>
      <w:pPr>
        <w:pStyle w:val="P68B1DB1Normal104"/>
        <w:widowControl w:val="false"/>
        <w:spacing w:lineRule="exact" w:line="339" w:before="1" w:after="0"/>
        <w:ind w:left="0" w:right="0" w:hanging="0"/>
        <w:jc w:val="left"/>
        <w:rPr/>
      </w:pPr>
      <w:r>
        <w:rPr/>
        <w:t xml:space="preserve">Dotazník a túto správu vypracovala nezávislá externá organizácia na žiadosť ministerstva zahraničných vecí. Dotazník predstavuje modulárnu štruktúru a obsahuje tieto bloky otázok v súlade s témami určenými pre Konferenciu o budúcnosti Európy: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Dôležité témy a úloha Európy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Zmena klímy a životné prostredie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Zdravie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Hospodárstvo a zamestnanosť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Úloha Európskej únie vo svete </w:t>
      </w:r>
    </w:p>
    <w:p>
      <w:pPr>
        <w:pStyle w:val="P68B1DB1Normal105"/>
        <w:widowControl w:val="false"/>
        <w:spacing w:lineRule="exact" w:line="349"/>
        <w:ind w:left="0" w:right="0" w:hanging="0"/>
        <w:jc w:val="left"/>
        <w:rPr/>
      </w:pPr>
      <w:r>
        <w:rPr>
          <w:rFonts w:ascii="Verdana" w:hAnsi="Verdana"/>
        </w:rPr>
        <w:t>•</w:t>
      </w:r>
      <w:r>
        <w:rPr/>
        <w:t xml:space="preserve"> </w:t>
      </w:r>
      <w:r>
        <w:rPr/>
        <w:t xml:space="preserve">Bezpečnosť a právny štát </w:t>
      </w:r>
      <w:r>
        <w:rPr>
          <w:rFonts w:ascii="Calibri" w:hAnsi="Calibri"/>
        </w:rPr>
        <w:t xml:space="preserv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Virtuálny svet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Európska demokracia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Migrácia a utečenci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Vzdelávanie/kultúra/mládež/šport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Počas prípravy dotazníka bola veľká pozornosť venovaná kvalite, spoľahlivosti a platnosti otázok. Z tohto dôvodu sa hľadala neutrálna, neriadená formulácia otázok, tvrdení a možností odpovede a overilo sa, že otázky boli formulované v zrozumiteľnom jazyku (úroveň B1).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3" w:after="0"/>
        <w:ind w:left="0" w:right="0" w:hanging="0"/>
        <w:jc w:val="left"/>
        <w:rPr/>
      </w:pPr>
      <w:r>
        <w:rPr/>
        <w:t xml:space="preserve">Dotazník bol podrobený testom kvality prostredníctvom osobných rozhovorov s účastníkmi testu patriacimi do cieľovej skupiny. To nám umožnilo študovať, ako sú otázky chápané rôznymi typmi respondentov. Ak sa zdá, že otázka predstavuje príliš veľké (príliš zložité) kognitívne zaťaženie, bolo to vhodné. </w:t>
      </w:r>
    </w:p>
    <w:p>
      <w:pPr>
        <w:pStyle w:val="P68B1DB1Normal126"/>
        <w:widowControl w:val="false"/>
        <w:spacing w:lineRule="auto" w:line="240" w:before="333" w:after="0"/>
        <w:ind w:left="0" w:right="0" w:hanging="0"/>
        <w:jc w:val="left"/>
        <w:rPr/>
      </w:pPr>
      <w:r>
        <w:rPr/>
        <w:t xml:space="preserve">Metódy analýzy </w:t>
      </w:r>
    </w:p>
    <w:p>
      <w:pPr>
        <w:pStyle w:val="P68B1DB1Normal104"/>
        <w:widowControl w:val="false"/>
        <w:spacing w:lineRule="auto" w:line="240" w:before="80" w:after="0"/>
        <w:ind w:left="0" w:right="0" w:hanging="0"/>
        <w:jc w:val="left"/>
        <w:rPr/>
      </w:pPr>
      <w:r>
        <w:rPr/>
        <w:t xml:space="preserve">V tomto prieskume sa použili dve metódy analýzy: </w:t>
      </w:r>
    </w:p>
    <w:p>
      <w:pPr>
        <w:pStyle w:val="P68B1DB1Normal111"/>
        <w:widowControl w:val="false"/>
        <w:spacing w:lineRule="auto" w:line="240" w:before="48" w:after="0"/>
        <w:ind w:left="0" w:right="0" w:hanging="0"/>
        <w:jc w:val="left"/>
        <w:rPr/>
      </w:pPr>
      <w:r>
        <w:rPr/>
        <w:t xml:space="preserve">Univariatové analýzy </w:t>
      </w:r>
    </w:p>
    <w:p>
      <w:pPr>
        <w:pStyle w:val="P68B1DB1Normal104"/>
        <w:widowControl w:val="false"/>
        <w:spacing w:lineRule="auto" w:line="240" w:before="6" w:after="0"/>
        <w:ind w:left="0" w:right="0" w:hanging="0"/>
        <w:jc w:val="left"/>
        <w:rPr/>
      </w:pPr>
      <w:r>
        <w:rPr/>
        <w:t xml:space="preserve">Opisné štatistiky sa používajú na opis premenných prieskumu. V tomto prieskume sa používajú frekvencie a priemery. </w:t>
      </w:r>
    </w:p>
    <w:p>
      <w:pPr>
        <w:pStyle w:val="P68B1DB1Normal111"/>
        <w:widowControl w:val="false"/>
        <w:spacing w:lineRule="auto" w:line="240" w:before="48" w:after="0"/>
        <w:ind w:left="0" w:right="0" w:hanging="0"/>
        <w:jc w:val="left"/>
        <w:rPr/>
      </w:pPr>
      <w:r>
        <w:rPr/>
        <w:t xml:space="preserve">Bivariátové analýzy </w:t>
      </w:r>
    </w:p>
    <w:p>
      <w:pPr>
        <w:pStyle w:val="P68B1DB1Normal104"/>
        <w:widowControl w:val="false"/>
        <w:spacing w:lineRule="auto" w:line="240" w:before="6" w:after="0"/>
        <w:ind w:left="0" w:right="0" w:hanging="0"/>
        <w:jc w:val="left"/>
        <w:rPr/>
      </w:pPr>
      <w:r>
        <w:rPr/>
        <w:t xml:space="preserve">Dvojrozmerné analýzy umožňujú preskúmať vzťah medzi dvoma premennými, v tomto prípade vzťahom medzi významom rôznych tém a otázkou, či má EÚ zasiahnuť v tejto oblasti, a všeobecnou charakteristikou veku. Vykonalo sa preskúmanie s cieľom určiť, či rôzne vekové skupiny pripisujú určitej téme odlišný význam a či existujú rozdielne názory na rozsah, do ktorého by sa EÚ mala zapojiť.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pPr>
      <w:r>
        <w:rPr/>
        <w:t xml:space="preserve">Zverejňovanie informácií a úplnosť </w:t>
      </w:r>
    </w:p>
    <w:p>
      <w:pPr>
        <w:pStyle w:val="P68B1DB1Normal76"/>
        <w:widowControl w:val="false"/>
        <w:spacing w:lineRule="auto" w:line="240" w:before="116" w:after="0"/>
        <w:ind w:left="0" w:right="0" w:hanging="0"/>
        <w:jc w:val="left"/>
        <w:rPr/>
      </w:pPr>
      <w:r>
        <w:rPr>
          <w:rFonts w:ascii="Calibri" w:hAnsi="Calibri"/>
          <w:sz w:val="21"/>
        </w:rPr>
        <w:t>Táto správa obsahuje výsledky všetkých otázok položených respondentom panelu prieskumu. V prípade niektorých otázok mal respondent možnosť poskytnúť „otvorené“ (t. j. nie vopred určené) odpovede. Otvorené odpovede boli potom kategorizované a zahrnuté v publikácii. Myšlienky, ktoré respondenti zdieľajú vo bezplatných pripomienkach, sa používajú ako podklad pre rôzne tematické dialógy organizované v nadväznosti na proces dialógu s občanmi „Vízia Európy“.</w:t>
      </w:r>
      <w:r>
        <w:rPr>
          <w:rFonts w:ascii="Times New Roman" w:hAnsi="Times New Roman"/>
          <w:sz w:val="24"/>
        </w:rPr>
        <w:t xml:space="preserve"> </w:t>
      </w:r>
    </w:p>
    <w:p>
      <w:pPr>
        <w:pStyle w:val="P68B1DB1Normal125"/>
        <w:widowControl w:val="false"/>
        <w:spacing w:lineRule="auto" w:line="240" w:before="233" w:after="0"/>
        <w:ind w:left="0" w:right="0" w:hanging="0"/>
        <w:jc w:val="left"/>
        <w:rPr/>
      </w:pPr>
      <w:r>
        <w:rPr/>
        <w:t xml:space="preserve">2. Online tematické dialógy na prehĺbenie </w:t>
      </w:r>
    </w:p>
    <w:p>
      <w:pPr>
        <w:pStyle w:val="P68B1DB1Normal104"/>
        <w:widowControl w:val="false"/>
        <w:spacing w:lineRule="auto" w:line="240"/>
        <w:ind w:left="0" w:right="0" w:hanging="0"/>
        <w:jc w:val="left"/>
        <w:rPr/>
      </w:pPr>
      <w:r>
        <w:rPr/>
        <w:t xml:space="preserve">Témy, ktoré sú stredobodom Konferencie o budúcnosti Európy, sa prehĺbili prostredníctvom ôsmich online tematických dialógov. Účelom týchto dialógov bolo zistiť </w:t>
      </w:r>
      <w:r>
        <w:rPr>
          <w:i/>
        </w:rPr>
        <w:t>dôvody</w:t>
      </w:r>
      <w:r>
        <w:rPr/>
        <w:t xml:space="preserve"> vyjadrených názorov, ako aj motiváciu a pocity, ktoré sú za nimi. Aké sú vnímané obavy a príležitosti? Diskusné stretnutia tiež umožnili účastníkom formulovať návrhy a nápady na tieto témy, ako aj nastoliť otázky, ktoré nie sú súčasťou konferencie, ale zostávajú pre nich dôležité.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3" w:after="0"/>
        <w:ind w:left="0" w:right="0" w:hanging="0"/>
        <w:jc w:val="left"/>
        <w:rPr/>
      </w:pPr>
      <w:r>
        <w:rPr/>
        <w:t xml:space="preserve">Tematické dialógy sa uskutočnili 12. – 14. októbra a 9. – 11. novembra. V októbri sa zorganizovali štyri online tematické dialógy o témach „Hospodárstvo“ a „Demokracia“. </w:t>
      </w:r>
    </w:p>
    <w:p>
      <w:pPr>
        <w:pStyle w:val="Normal"/>
        <w:widowControl w:val="false"/>
        <w:spacing w:lineRule="auto" w:line="240" w:before="10" w:after="0"/>
        <w:ind w:left="0" w:right="0" w:hanging="0"/>
        <w:jc w:val="left"/>
        <w:rPr>
          <w:rFonts w:ascii="Calibri" w:hAnsi="Calibri"/>
          <w:color w:val="000000"/>
          <w:sz w:val="21"/>
        </w:rPr>
      </w:pPr>
      <w:r>
        <w:rPr>
          <w:rFonts w:ascii="Calibri" w:hAnsi="Calibri"/>
          <w:color w:val="000000"/>
          <w:sz w:val="21"/>
        </w:rPr>
        <w:t xml:space="preserve">V novembri sa uskutočnili štyri online tematické dialógy o témach „Klíma“ a „EÚ vo svete“. V priemere sa na každom diskusnom zasadnutí zúčastnilo 29 ľudí (spolu 231). Účastníci boli prijatí spomedzi členov panelu (pozri bod 1) a prostredníctvom sociálnych médií. </w:t>
      </w:r>
      <w:r>
        <w:br w:type="page"/>
      </w:r>
    </w:p>
    <w:p>
      <w:pPr>
        <w:pStyle w:val="P68B1DB1Normal125"/>
        <w:spacing w:lineRule="auto" w:line="240"/>
        <w:ind w:left="0" w:right="0" w:hanging="0"/>
        <w:rPr/>
      </w:pPr>
      <w:r>
        <w:rPr/>
        <w:t xml:space="preserve">3. Dialógy s konkrétnymi skupinami </w:t>
      </w:r>
    </w:p>
    <w:p>
      <w:pPr>
        <w:pStyle w:val="P68B1DB1Normal104"/>
        <w:widowControl w:val="false"/>
        <w:spacing w:lineRule="auto" w:line="240" w:before="73" w:after="0"/>
        <w:ind w:left="0" w:right="0" w:hanging="0"/>
        <w:jc w:val="left"/>
        <w:rPr/>
      </w:pPr>
      <w:r>
        <w:rPr/>
        <w:t xml:space="preserve">Je známe, že niektoré holandské skupiny sú menej zvyknuté zúčastňovať sa na prieskumoch a paneloch (online). S cieľom získať reprezentatívny obraz o „hlase Holandska“ bolo dôležité, aby títo občania mohli vyjadriť svoje myšlienky a názory. Preto sme zorganizovali aj niekoľko dialógov na mieste pre prieskum „Vízia Európy“. Názory a myšlienky, ktoré sme dokázali zhromaždiť, boli použité ako základ (okrem iného) na formulovanie odporúčaní. </w:t>
      </w:r>
    </w:p>
    <w:p>
      <w:pPr>
        <w:pStyle w:val="P68B1DB1Normal126"/>
        <w:widowControl w:val="false"/>
        <w:spacing w:lineRule="auto" w:line="240" w:before="94" w:after="0"/>
        <w:ind w:left="0" w:right="0" w:hanging="0"/>
        <w:jc w:val="left"/>
        <w:rPr/>
      </w:pPr>
      <w:r>
        <w:rPr/>
        <w:t xml:space="preserve">Cieľové skupiny </w:t>
      </w:r>
    </w:p>
    <w:p>
      <w:pPr>
        <w:pStyle w:val="P68B1DB1Normal110"/>
        <w:widowControl w:val="false"/>
        <w:spacing w:lineRule="auto" w:line="240" w:before="88" w:after="0"/>
        <w:ind w:left="0" w:right="0" w:hanging="0"/>
        <w:jc w:val="left"/>
        <w:rPr/>
      </w:pPr>
      <w:r>
        <w:rPr>
          <w:sz w:val="21"/>
        </w:rPr>
        <w:t xml:space="preserve">Ťažko dostupné cieľové skupiny nie je možné jednoznačne definovať. Štúdie a skúsenosti nám umožňujú vedieť, že Holanďania s </w:t>
      </w:r>
      <w:r>
        <w:rPr>
          <w:b/>
          <w:sz w:val="21"/>
        </w:rPr>
        <w:t>iným ako západným pôvodom</w:t>
      </w:r>
      <w:r>
        <w:rPr>
          <w:sz w:val="21"/>
        </w:rPr>
        <w:t>sa na vyšetrovaniach a diskusiách zúčastňujú podstatne menej. Keďže ide o veľkú skupinu (14 % holandského</w:t>
      </w:r>
      <w:r>
        <w:rPr>
          <w:b/>
          <w:position w:val="6"/>
          <w:sz w:val="14"/>
        </w:rPr>
        <w:t>1</w:t>
      </w:r>
      <w:r>
        <w:rPr>
          <w:sz w:val="21"/>
        </w:rPr>
        <w:t xml:space="preserve">), boli vybraní, aby sa zapojili do dialógu o vízii Európy. Rovnaká úvaha sa uplatnila aj v prípade </w:t>
      </w:r>
      <w:r>
        <w:rPr>
          <w:b/>
          <w:sz w:val="21"/>
        </w:rPr>
        <w:t>osôb s malým vzdelaním</w:t>
      </w:r>
      <w:r>
        <w:rPr>
          <w:sz w:val="21"/>
        </w:rPr>
        <w:t>. Je to tiež veľká skupina (2,5 milióna holandských</w:t>
      </w:r>
      <w:r>
        <w:rPr>
          <w:position w:val="6"/>
          <w:sz w:val="14"/>
        </w:rPr>
        <w:t>2</w:t>
      </w:r>
      <w:r>
        <w:rPr>
          <w:sz w:val="21"/>
        </w:rPr>
        <w:t xml:space="preserve">), ktorá sa čiastočne prekrýva so skupinou migrantov (39 %). Napokon sa uskutočnil dialóg so skupinou ľudí, ktorí sa zriedka nachádzajú v prieskumoch a diskusiách, </w:t>
      </w:r>
      <w:r>
        <w:rPr>
          <w:b/>
          <w:sz w:val="21"/>
        </w:rPr>
        <w:t>ktorí sú kritickí voči Európe, ale pre ktorých Európa zohráva dôležitú úlohu v profesionálnej sfére.</w:t>
      </w:r>
      <w:r>
        <w:rPr>
          <w:sz w:val="21"/>
        </w:rPr>
        <w:t xml:space="preserve"> Vybraní boli podnikatelia z poľnohospodárskeho sektora.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Uvedené skupiny boli oslovené prostredníctvom organizácií, ktorých sú členmi, ako sú migračné organizácie, združenia advokácie a profesijné organizácie. Keďže sme obmedzili počet dialógov na osem, nemohli sme byť úplne „úplní“. Výber účastníkov je preto trochu svojvoľný. Pri tejto voľbe sme brali do úvahy aj nadšenie účasti a pomoc pri mobilizácii ich základne, ako aj praktické otázky, ako je dostupnosť podľa dátumov a miesta.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Uskutočnili sa dialógy na mieste s členmi týchto organizácií: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Hakder Foundation, Alevi komunita,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Nadácia Asha, hinduistická komunita, Utrecht (dve diskusné stretnutia)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organizácia občianskej spoločnosti,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organizácia pre ľudí s nízkym vzdelaním,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združenie poľnohospodárskych skupín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marocká komunita,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Ženy za slobodu, organizácia na podporu žien s migrantským pôvodom, Haag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Na týchto diskusných stretnutiach sa zúčastnilo celkovo 110 ľudí. </w:t>
      </w:r>
    </w:p>
    <w:p>
      <w:pPr>
        <w:pStyle w:val="P68B1DB1Normal104"/>
        <w:widowControl w:val="false"/>
        <w:spacing w:lineRule="auto" w:line="240"/>
        <w:ind w:left="0" w:right="0" w:hanging="0"/>
        <w:jc w:val="left"/>
        <w:rPr/>
      </w:pPr>
      <w:r>
        <w:rPr/>
        <w:t xml:space="preserve"> </w:t>
      </w:r>
    </w:p>
    <w:p>
      <w:pPr>
        <w:pStyle w:val="P68B1DB1Normal125"/>
        <w:widowControl w:val="false"/>
        <w:spacing w:lineRule="auto" w:line="240" w:before="205" w:after="0"/>
        <w:ind w:left="0" w:right="0" w:hanging="0"/>
        <w:jc w:val="left"/>
        <w:rPr/>
      </w:pPr>
      <w:r>
        <w:rPr/>
        <w:t xml:space="preserve">4. Dialógy s mladými ľuďmi </w:t>
      </w:r>
    </w:p>
    <w:p>
      <w:pPr>
        <w:pStyle w:val="P68B1DB1Normal104"/>
        <w:widowControl w:val="false"/>
        <w:spacing w:lineRule="auto" w:line="240" w:before="145" w:after="0"/>
        <w:ind w:left="0" w:right="0" w:hanging="0"/>
        <w:jc w:val="both"/>
        <w:rPr/>
      </w:pPr>
      <w:r>
        <w:rPr/>
        <w:t xml:space="preserve">Mladí ľudia sú prioritnou cieľovou skupinou Konferencie o budúcnosti Európy. S cieľom aktívne podporovať ich účasť na dialógu s občanmi „Vízia Európy“ a aby boli názory a myšlienky tejto skupiny dobre vypočuté, zorganizovalo sa šesť fyzických diskusných stretnutí osobitne pre mladých ľudí.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Stretnutia sa konali v týchto inštitúciách: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Združenie študentov histórie, Univerzita v Leidene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College, stredná škola,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Koalitie-Y, mládežnícka platforma Hospodárskej a sociálnej rady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stredoškolské odborné vzdelávanie,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stredoškolské vzdelávanie zamerané na technologické predmety,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Národná rada mládeže (zasadnutie sa uskutočnilo mimo miesta)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Na diskusných stretnutiach sa zúčastnilo celkovo 110 mladých ľudí. </w:t>
      </w:r>
      <w:r>
        <w:br w:type="page"/>
      </w:r>
    </w:p>
    <w:p>
      <w:pPr>
        <w:pStyle w:val="P68B1DB1Normal126"/>
        <w:spacing w:lineRule="auto" w:line="240"/>
        <w:ind w:left="0" w:right="0" w:hanging="0"/>
        <w:rPr/>
      </w:pPr>
      <w:r>
        <w:rPr/>
        <w:t xml:space="preserve">Použité techniky údržby </w:t>
      </w:r>
    </w:p>
    <w:p>
      <w:pPr>
        <w:pStyle w:val="P68B1DB1Normal104"/>
        <w:widowControl w:val="false"/>
        <w:spacing w:lineRule="auto" w:line="240" w:before="92" w:after="0"/>
        <w:ind w:left="0" w:right="0" w:hanging="0"/>
        <w:jc w:val="left"/>
        <w:rPr/>
      </w:pPr>
      <w:r>
        <w:rPr/>
        <w:t xml:space="preserve">Online tematické dialógy, dialógy s konkrétnymi skupinami a dialógy s mladými ľuďmi sa uskutočnili pomocou tzv. „sokratickej“ metódy pohovoru. Táto metóda sa používa už mnoho rokov v deň dialógu, kde ľudia v Holandsku komunikujú v otázkach, ktoré sa ich týkajú. V súvislosti so Sokratickou metódou údržby musí moderátor zohľadniť tieto zásady: </w:t>
      </w:r>
    </w:p>
    <w:p>
      <w:pPr>
        <w:pStyle w:val="P68B1DB1Normal105"/>
        <w:widowControl w:val="false"/>
        <w:spacing w:lineRule="auto" w:line="240"/>
        <w:ind w:left="0" w:right="0" w:hanging="0"/>
        <w:jc w:val="left"/>
        <w:rPr/>
      </w:pPr>
      <w:r>
        <w:rPr>
          <w:rFonts w:ascii="Verdana" w:hAnsi="Verdana"/>
        </w:rPr>
        <w:t>•</w:t>
      </w:r>
      <w:r>
        <w:rPr/>
        <w:t xml:space="preserve"> </w:t>
      </w:r>
      <w:r>
        <w:rPr/>
        <w:t xml:space="preserve">Nech druhý rozpráva svoj príbeh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Neodpovedajte</w:t>
      </w:r>
      <w:r>
        <w:rPr/>
        <w:t xml:space="preserve"> </w:t>
      </w:r>
      <w:r>
        <w:rPr>
          <w:rFonts w:ascii="Calibri" w:hAnsi="Calibri"/>
        </w:rPr>
        <w:t xml:space="preserve">okamžite iným príbehom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Správajte sa s rešpektom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Hovorte o vlastnom pohľade („nájdem“ skôr ako „hovoria“)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Požiadať o ďalšie vysvetlenia, ak sú vyjadrené názory obmedzené na všeobecné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Vyhnúť sa úsudkom a analyzovať ich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Udeľte chvíľky ticha, ak ľudia potrebujú na chvíľu premýšľať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Počas dialógov sa používa tento rytmus: divergencia – konvergencia – rozdiely. Princíp spočíva v tom, že najprv sa musíte odchýliť (priamo vyjadriť individuálne pocity a názory), než sa môžete zblížiť (hovoriť možné cesty) a potom sa nakoniec opäť odchýliť (napríklad zbierať individuálne odporúčania). Skúsenosti a teória ukazujú, že tento rytmus zabezpečuje optimálny tok dialógu.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Všetky dialógy viedli profesionálni sprostredkovatelia. </w:t>
      </w:r>
    </w:p>
    <w:p>
      <w:pPr>
        <w:pStyle w:val="Normal"/>
        <w:widowControl w:val="false"/>
        <w:spacing w:lineRule="auto" w:line="240" w:before="197" w:after="0"/>
        <w:ind w:left="0" w:right="0" w:hanging="0"/>
        <w:jc w:val="left"/>
        <w:rPr/>
      </w:pPr>
      <w:r>
        <w:rPr>
          <w:rFonts w:ascii="Calibri" w:hAnsi="Calibri"/>
          <w:b/>
          <w:color w:val="0070C0"/>
          <w:sz w:val="32"/>
        </w:rPr>
        <w:t>5. Online verejný prieskum: Dotazník a „Swipen naar de toekomst“ (</w:t>
      </w:r>
      <w:commentRangeStart w:id="31"/>
      <w:r>
        <w:rPr>
          <w:rFonts w:ascii="Calibri" w:hAnsi="Calibri"/>
          <w:b/>
          <w:color w:val="0070C0"/>
          <w:sz w:val="32"/>
        </w:rPr>
        <w:t>Swiper</w:t>
      </w:r>
      <w:r>
        <w:rPr/>
      </w:r>
      <w:commentRangeEnd w:id="31"/>
      <w:r>
        <w:commentReference w:id="31"/>
      </w:r>
      <w:r>
        <w:rPr>
          <w:rFonts w:ascii="Calibri" w:hAnsi="Calibri"/>
          <w:b/>
          <w:color w:val="0070C0"/>
          <w:sz w:val="32"/>
        </w:rPr>
        <w:t xml:space="preserve"> to the future) </w:t>
      </w:r>
    </w:p>
    <w:p>
      <w:pPr>
        <w:pStyle w:val="P68B1DB1Normal110"/>
        <w:widowControl w:val="false"/>
        <w:spacing w:lineRule="auto" w:line="240"/>
        <w:ind w:left="0" w:right="0" w:hanging="0"/>
        <w:jc w:val="left"/>
        <w:rPr/>
      </w:pPr>
      <w:r>
        <w:rPr>
          <w:sz w:val="21"/>
        </w:rPr>
        <w:t>Dotazník panelového prieskumu bol otvorený aj pre všetkých Holanďanov vrátane tých, ktorí majú bydlisko v zahraničí. Uvedený dotazník bol k dispozícii</w:t>
      </w:r>
      <w:r>
        <w:rPr>
          <w:position w:val="6"/>
          <w:sz w:val="14"/>
        </w:rPr>
        <w:t>od 1.</w:t>
      </w:r>
      <w:r>
        <w:rPr>
          <w:sz w:val="21"/>
        </w:rPr>
        <w:t xml:space="preserve"> septembra 2021 do 14. novembra 2021. Okrem toho sa v tom istom období každý Holanďan mohol zúčastniť na akcii „Swipen naar de toekomst“ (Swiper to the future), online nástroji s 20 nárokmi. </w:t>
      </w:r>
    </w:p>
    <w:p>
      <w:pPr>
        <w:pStyle w:val="P68B1DB1Normal126"/>
        <w:widowControl w:val="false"/>
        <w:spacing w:lineRule="auto" w:line="240" w:before="14" w:after="0"/>
        <w:ind w:left="0" w:right="0" w:hanging="0"/>
        <w:jc w:val="left"/>
        <w:rPr/>
      </w:pPr>
      <w:r>
        <w:rPr/>
        <w:t xml:space="preserve">Odpovede a použitie </w:t>
      </w:r>
    </w:p>
    <w:p>
      <w:pPr>
        <w:pStyle w:val="P68B1DB1Normal104"/>
        <w:widowControl w:val="false"/>
        <w:spacing w:lineRule="auto" w:line="240"/>
        <w:ind w:left="0" w:right="0" w:hanging="0"/>
        <w:jc w:val="left"/>
        <w:rPr/>
      </w:pPr>
      <w:r>
        <w:rPr/>
        <w:t xml:space="preserve">Dotazník vyplnilo spolu 1 967 účastníkov a 6 968 účastníkov bolo na konci nástroja na skenovanie obrazovky. Dotazník aj nástroj na skenovanie obrazovky boli otvorené pre všetkých: neexistovali žiadne predpoklady ani podmienky účasti. V dotazníku bolo možné odpovedať na otázky (neboli žiadne povinné otázky) s cieľom maximalizovať mieru odpovedí. Účastníci si vybrali „Nechcem odpovedať“ oveľa častejšie ako v reprezentatívnom panelovom prieskume. </w:t>
      </w:r>
    </w:p>
    <w:p>
      <w:pPr>
        <w:pStyle w:val="P68B1DB1Normal104"/>
        <w:widowControl w:val="false"/>
        <w:spacing w:lineRule="auto" w:line="240"/>
        <w:ind w:left="0" w:right="0" w:hanging="0"/>
        <w:jc w:val="left"/>
        <w:rPr/>
      </w:pPr>
      <w:r>
        <w:rPr/>
        <w:t xml:space="preserve">Všeobecné charakteristiky účastníkov otvoreného dotazníka a nástroja na skenovanie obrazovky sa v niekoľkých ohľadoch líšia od charakteristík účastníkov reprezentatívneho panelu. Na rozdiel od panelového prieskumu nie sú výsledky otvoreného dotazníka a nástroja na skenovanie obrazovky reprezentatívne. Výsledky otvoreného online prieskumu sa použili na doplnenie panelového prieskumu. Poskytujú prehľad o pocitoch a myšlienkach cirkulujúcich v Holandsku. Návrhy na zlepšenie uvedené v vstupných poliach boli použité v časti „Diskusia a nápady online a na mieste“. Nástroj na skenovanie obrazovky bol použitý na lepšie pochopenie niektorých pocitov cirkulujúcich v Holandsku. Tieto výsledky sa zohľadnili pri príprave odporúčaní. Vzhľadom na požiadavku reprezentatívnosti boli výsledky vyšetrovania začatého online v obmedzenej miere zohľadnené v tejto správe.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Túto správu uverejňuje ministerstvo zahraničných vecí.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Odkazy na výsledky národných podujatí </w:t>
      </w:r>
    </w:p>
    <w:p>
      <w:pPr>
        <w:pStyle w:val="Normal"/>
        <w:widowControl w:val="false"/>
        <w:spacing w:lineRule="auto" w:line="240"/>
        <w:ind w:left="360" w:right="6617" w:hanging="0"/>
        <w:jc w:val="both"/>
        <w:rPr/>
      </w:pPr>
      <w:r>
        <w:rPr>
          <w:rFonts w:ascii="Times New Roman" w:hAnsi="Times New Roman"/>
          <w:color w:val="000000"/>
        </w:rPr>
        <w:t xml:space="preserve">• </w:t>
      </w:r>
      <w:hyperlink r:id="rId119">
        <w:r>
          <w:rPr>
            <w:rStyle w:val="LienInternet"/>
            <w:rFonts w:ascii="Times New Roman" w:hAnsi="Times New Roman"/>
            <w:b/>
            <w:color w:val="0000FF"/>
          </w:rPr>
          <w:t>Belgicko</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Bulharsko</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Česká</w:t>
        </w:r>
      </w:hyperlink>
      <w:hyperlink r:id="rId122">
        <w:r>
          <w:rPr>
            <w:rStyle w:val="LienInternet"/>
            <w:rFonts w:ascii="Times New Roman" w:hAnsi="Times New Roman"/>
            <w:b/>
            <w:color w:val="0000FF"/>
          </w:rPr>
          <w:t>republika</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3">
        <w:r>
          <w:rPr>
            <w:rStyle w:val="LienInternet"/>
            <w:rFonts w:ascii="Times New Roman" w:hAnsi="Times New Roman"/>
            <w:b/>
            <w:color w:val="0000FF"/>
          </w:rPr>
          <w:t>Dánsko</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4">
        <w:r>
          <w:rPr>
            <w:rStyle w:val="LienInternet"/>
            <w:rFonts w:ascii="Times New Roman" w:hAnsi="Times New Roman"/>
            <w:b/>
            <w:color w:val="0000FF"/>
          </w:rPr>
          <w:t>V destinácii</w:t>
        </w:r>
      </w:hyperlink>
      <w:hyperlink r:id="rId125">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6">
        <w:r>
          <w:rPr>
            <w:rStyle w:val="LienInternet"/>
            <w:rFonts w:ascii="Times New Roman" w:hAnsi="Times New Roman"/>
            <w:b/>
            <w:color w:val="0000FF"/>
          </w:rPr>
          <w:t>Estónsko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7">
        <w:r>
          <w:rPr>
            <w:rStyle w:val="LienInternet"/>
            <w:rFonts w:ascii="Times New Roman" w:hAnsi="Times New Roman"/>
            <w:b/>
            <w:color w:val="0000FF"/>
          </w:rPr>
          <w:t>Írsko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Grécko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Španielsko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Francúzsko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Chorvátsko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Taliansko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Cyprus</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Lotyšsko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Litva</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6">
        <w:r>
          <w:rPr>
            <w:rStyle w:val="LienInternet"/>
            <w:rFonts w:ascii="Times New Roman" w:hAnsi="Times New Roman"/>
            <w:b/>
            <w:color w:val="0000FF"/>
          </w:rPr>
          <w:t>Luxembursko</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7">
        <w:r>
          <w:rPr>
            <w:rStyle w:val="LienInternet"/>
            <w:rFonts w:ascii="Times New Roman" w:hAnsi="Times New Roman"/>
            <w:b/>
            <w:color w:val="0000FF"/>
          </w:rPr>
          <w:t>Maďarsko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8">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Holandsko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Rakúsko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Poľsko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Portugalsko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Rumunsko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Slovinsko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Slovensko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Fínsko</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Švédsko</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Odkaz na správu viacjazyčnej digitálnej platformy </w:t>
      </w:r>
    </w:p>
    <w:p>
      <w:pPr>
        <w:pStyle w:val="P68B1DB1Normal34"/>
        <w:widowControl w:val="false"/>
        <w:spacing w:lineRule="exact" w:line="393"/>
        <w:ind w:left="0" w:right="0" w:hanging="0"/>
        <w:jc w:val="left"/>
        <w:rPr/>
      </w:pPr>
      <w:r>
        <w:rPr/>
        <w:t xml:space="preserve"> </w:t>
      </w:r>
    </w:p>
    <w:p>
      <w:pPr>
        <w:pStyle w:val="Normal"/>
        <w:widowControl w:val="false"/>
        <w:spacing w:lineRule="exact" w:line="331" w:before="4" w:after="0"/>
        <w:ind w:left="0" w:right="360" w:hanging="0"/>
        <w:jc w:val="left"/>
        <w:rPr/>
      </w:pPr>
      <w:hyperlink r:id="rId148">
        <w:r>
          <w:rPr>
            <w:rStyle w:val="LienInternet"/>
            <w:color w:val="0000FF"/>
            <w:sz w:val="24"/>
          </w:rPr>
          <w:t>Viacjazyčná</w:t>
        </w:r>
      </w:hyperlink>
      <w:hyperlink r:id="rId149">
        <w:r>
          <w:rPr>
            <w:rStyle w:val="LienInternet"/>
            <w:color w:val="0000FF"/>
            <w:sz w:val="24"/>
          </w:rPr>
          <w:t xml:space="preserve">verzia Konferencie o budúcnosti Európy – správa zfebruára 2022  </w:t>
        </w:r>
      </w:hyperlink>
    </w:p>
    <w:p>
      <w:pPr>
        <w:pStyle w:val="P68B1DB1Normal131"/>
        <w:widowControl w:val="false"/>
        <w:spacing w:lineRule="exact" w:line="393" w:before="4" w:after="0"/>
        <w:ind w:left="0" w:right="0" w:hanging="0"/>
        <w:jc w:val="left"/>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6120130" cy="4867275"/>
            <wp:effectExtent l="0" t="0" r="0" b="0"/>
            <wp:wrapTopAndBottom/>
            <wp:docPr id="111" name="Obrázok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brázok48" descr=""/>
                    <pic:cNvPicPr>
                      <a:picLocks noChangeAspect="1" noChangeArrowheads="1"/>
                    </pic:cNvPicPr>
                  </pic:nvPicPr>
                  <pic:blipFill>
                    <a:blip r:embed="rId150"/>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 – 92 – 824 – 8655 – 9 doi:10.2860/25889 QC-05 – 22 – 131-EN-N Print ISBN 978 – 92 – 824 – 8729 – 7 doi:10.2860/533066 QC-05 – 22 – 131-EN-C</w:t>
      </w:r>
    </w:p>
    <w:p>
      <w:pPr>
        <w:pStyle w:val="P68B1DB1Normal132"/>
        <w:widowControl w:val="false"/>
        <w:spacing w:lineRule="exact" w:line="330" w:before="117" w:after="0"/>
        <w:ind w:left="1668" w:right="0" w:firstLine="2132"/>
        <w:jc w:val="right"/>
        <w:rPr/>
      </w:pPr>
      <w:r>
        <w:rPr/>
        <w:t>© Európska únia, 2022 Povolené opakované použitie za predpokladu, že je uvedený zdroj.</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Tento pojem „medzieurópska“ je zmätený.</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podivné zoskupenie</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podivné zoskupenie</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podivné zoskupenie</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kurzívou v úvodnej správe vo francúzštine</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pôvodný názov: Comrade</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Pridal som „s“ (plurálne udelené s daňami)</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Pridala som pomlčku</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pridané veľké písmeno</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Odstránila som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originál mal palubnú dosku; Neviem, čo je to palubná doska; Požiadal som preto o preklad anglického textu od spoločnosti Google, ktorý označoval „dashboard“, čo je pochopiteľné vo francúzštine. eTranslation tiež označuje „dashboard“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Dal som veľký list.</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Pridala som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Pridala som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originál obsahoval „referendá“; rovnako ako inde existuje „referendum“ s akcentmi, množné číslo musí byť „referendami“ pri použití latinského deklinácie.</w:t>
      </w:r>
    </w:p>
    <w:p>
      <w:r>
        <w:rPr>
          <w:rFonts w:ascii="Times New Roman" w:hAnsi="Times New Roman" w:eastAsia="Segoe UI" w:cs="Tahoma"/>
          <w:color w:val="auto"/>
          <w:kern w:val="0"/>
          <w:sz w:val="24"/>
          <w:szCs w:val="24"/>
          <w:lang w:val="en-US" w:eastAsia="en-US" w:bidi="en-US"/>
        </w:rPr>
        <w:t xml:space="preserve">pozri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tam boli aj „referendy“.</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Originál mal „na zoznamoch mechanizmov zásuvky“? Nerozumiem, tak som preložila z anglickej verzie.</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Pôvodný text vo francúzštine bol „webová stránka ombudsmana je dobre vytvorená, ale nie je európska značka“. Pojem „značka“ je nepochopiteľný. Webová stránka ombudsmana je dobre vytvorená, ale nemá správny európsky „obraz“, takže ju nahrádzam zrozumiteľnejším priamym prekladom angličtiny.</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originál vo francúzštine bol „verejný“, ktorý nebol poskytnutý „konzultáciou“. Bola to verejná konzultácia alebo verejná konzultácia?</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existujú „angly“</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pridané veľké písmená (obchodné názvy)</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nahradiť slovom „la“ výrazom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nahradený výrazom „take“ výrazom „take“</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odstrániť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pridať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Nechápem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pridať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titul v dvoch cudzích jazykoch: divné</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t>Odporúčania občanov, z ktorých návrh vychádza: #3, #17, #18, #19</w:t>
      </w:r>
    </w:p>
  </w:endnote>
  <w:endnote w:id="3">
    <w:p>
      <w:pPr>
        <w:pStyle w:val="Notedefin"/>
        <w:suppressLineNumbers/>
        <w:spacing w:before="57" w:after="57"/>
        <w:ind w:left="339" w:right="0" w:hanging="339"/>
        <w:rPr/>
      </w:pPr>
      <w:r>
        <w:rPr>
          <w:rStyle w:val="Caractresdenotedefin"/>
        </w:rPr>
        <w:endnoteRef/>
      </w:r>
      <w:r>
        <w:rPr/>
        <w:tab/>
        <w:t># = odporúčanie európskych panelových diskusií občanov.</w:t>
      </w:r>
    </w:p>
  </w:endnote>
  <w:endnote w:id="4">
    <w:p>
      <w:pPr>
        <w:pStyle w:val="Notedefin"/>
        <w:suppressLineNumbers/>
        <w:spacing w:before="57" w:after="57"/>
        <w:ind w:left="339" w:right="0" w:hanging="339"/>
        <w:rPr/>
      </w:pPr>
      <w:r>
        <w:rPr>
          <w:rStyle w:val="Caractresdenotedefin"/>
        </w:rPr>
        <w:endnoteRef/>
      </w:r>
      <w:r>
        <w:rPr/>
        <w:tab/>
        <w:t>Odporúčania občanov, z ktorých návrh vychádza: #39, #40, #41, #42, #43, NL1, NL2, #51</w:t>
      </w:r>
    </w:p>
  </w:endnote>
  <w:endnote w:id="5">
    <w:p>
      <w:pPr>
        <w:pStyle w:val="Notedefin"/>
        <w:suppressLineNumbers/>
        <w:spacing w:before="57" w:after="57"/>
        <w:ind w:left="339" w:right="0" w:hanging="339"/>
        <w:rPr/>
      </w:pPr>
      <w:r>
        <w:rPr>
          <w:rStyle w:val="Caractresdenotedefin"/>
        </w:rPr>
        <w:endnoteRef/>
      </w:r>
      <w:r>
        <w:rPr/>
        <w:tab/>
        <w:t>Odporúčanie národného panelu občanov</w:t>
      </w:r>
    </w:p>
  </w:endnote>
  <w:endnote w:id="6">
    <w:p>
      <w:pPr>
        <w:pStyle w:val="Notedefin"/>
        <w:suppressLineNumbers/>
        <w:spacing w:before="57" w:after="57"/>
        <w:ind w:left="339" w:right="0" w:hanging="339"/>
        <w:rPr/>
      </w:pPr>
      <w:r>
        <w:rPr>
          <w:rStyle w:val="Caractresdenotedefin"/>
        </w:rPr>
        <w:endnoteRef/>
      </w:r>
      <w:r>
        <w:rPr/>
        <w:tab/>
        <w:t>Odporúčania občanov, z ktorých návrh vychádza: #44, #45, #46, #47, #50</w:t>
      </w:r>
    </w:p>
  </w:endnote>
  <w:endnote w:id="7">
    <w:p>
      <w:pPr>
        <w:pStyle w:val="Notedefin"/>
        <w:suppressLineNumbers/>
        <w:spacing w:before="57" w:after="57"/>
        <w:ind w:left="339" w:right="0" w:hanging="339"/>
        <w:rPr/>
      </w:pPr>
      <w:r>
        <w:rPr>
          <w:rStyle w:val="Caractresdenotedefin"/>
        </w:rPr>
        <w:endnoteRef/>
      </w:r>
      <w:r>
        <w:rPr/>
        <w:tab/>
        <w:t>Odporúčania občanov, z ktorých návrh vychádza: #39, #40, #45, #48, #50, FRchangement8, FRswait11, #51</w:t>
      </w:r>
    </w:p>
  </w:endnote>
  <w:endnote w:id="8">
    <w:p>
      <w:pPr>
        <w:pStyle w:val="Notedefin"/>
        <w:suppressLineNumbers/>
        <w:spacing w:before="57" w:after="57"/>
        <w:ind w:left="339" w:right="0" w:hanging="339"/>
        <w:rPr/>
      </w:pPr>
      <w:r>
        <w:rPr>
          <w:rStyle w:val="Caractresdenotedefin"/>
        </w:rPr>
        <w:endnoteRef/>
      </w:r>
      <w:r>
        <w:rPr/>
        <w:tab/>
        <w:t>Odporúčania holandskej skupiny občanov sa líšia od odporúčaní európskej skupiny občanov: tvrdí, že zdravotníctvo a zdravotná starostlivosť by mali byť predovšetkým vnútroštátnou zodpovednosťou [NL3].</w:t>
      </w:r>
    </w:p>
  </w:endnote>
  <w:endnote w:id="9">
    <w:p>
      <w:pPr>
        <w:pStyle w:val="Notedefin"/>
        <w:suppressLineNumbers/>
        <w:spacing w:before="57" w:after="57"/>
        <w:ind w:left="339" w:right="0" w:hanging="339"/>
        <w:rPr/>
      </w:pPr>
      <w:r>
        <w:rPr>
          <w:rStyle w:val="Caractresdenotedefin"/>
        </w:rPr>
        <w:endnoteRef/>
      </w:r>
      <w:r>
        <w:rPr/>
        <w:tab/>
        <w:t>Odporúčania občanov, z ktorých návrh vychádza: Európsky panel občanov 1: 9, 10, 11, 12, 14; Holandsko: 1; Taliansko: 1.1; Litva: 3, 8.</w:t>
      </w:r>
    </w:p>
  </w:endnote>
  <w:endnote w:id="10">
    <w:p>
      <w:pPr>
        <w:pStyle w:val="Notedefin"/>
        <w:suppressLineNumbers/>
        <w:spacing w:before="57" w:after="57"/>
        <w:ind w:left="339" w:right="0" w:hanging="339"/>
        <w:rPr/>
      </w:pPr>
      <w:r>
        <w:rPr>
          <w:rStyle w:val="Caractresdenotedefin"/>
        </w:rPr>
        <w:endnoteRef/>
      </w:r>
      <w:r>
        <w:rPr/>
        <w:tab/>
        <w:t>Odporúčania občanov, z ktorých návrh vychádza: Európsky panel občanov 1: 10, 11 a 14; Nemecko: 2.1, 2.2; Holandsko: 1, 2; Francúzsko: 3, 9; Taliansko: 1,2, 1.3, 1.4, 1.5, 2.1, 2.2, 2,4, 4.a.2, 6.1; Litva: 1, 7.</w:t>
      </w:r>
    </w:p>
  </w:endnote>
  <w:endnote w:id="11">
    <w:p>
      <w:pPr>
        <w:pStyle w:val="Notedefin"/>
        <w:suppressLineNumbers/>
        <w:spacing w:before="57" w:after="57"/>
        <w:ind w:left="339" w:right="0" w:hanging="339"/>
        <w:rPr/>
      </w:pPr>
      <w:r>
        <w:rPr>
          <w:rStyle w:val="Caractresdenotedefin"/>
        </w:rPr>
        <w:endnoteRef/>
      </w:r>
      <w:r>
        <w:rPr/>
        <w:tab/>
        <w:t>Odporúčania občanov, z ktorých návrh vychádza: Európsky panel občanov 1: 1, 2, 7, 28, 30; Nemecko: 4.1, 4.2; Holandsko: 4; Francúzsko: 6; Taliansko: 5.a.1, 5.a.4, 6.1, 6.2.</w:t>
      </w:r>
    </w:p>
  </w:endnote>
  <w:endnote w:id="12">
    <w:p>
      <w:pPr>
        <w:pStyle w:val="Notedefin"/>
        <w:suppressLineNumbers/>
        <w:spacing w:before="57" w:after="57"/>
        <w:ind w:left="339" w:right="0" w:hanging="339"/>
        <w:rPr/>
      </w:pPr>
      <w:r>
        <w:rPr>
          <w:rStyle w:val="Caractresdenotedefin"/>
        </w:rPr>
        <w:endnoteRef/>
      </w:r>
      <w:r>
        <w:rPr/>
        <w:tab/>
        <w:t>Odporúčania občanov, z ktorých návrh vychádza: Európsky panel občanov 1: 19, 20, 21, 25; Taliansko: 4.a.1.</w:t>
      </w:r>
    </w:p>
  </w:endnote>
  <w:endnote w:id="13">
    <w:p>
      <w:pPr>
        <w:pStyle w:val="Notedefin"/>
        <w:suppressLineNumbers/>
        <w:spacing w:before="57" w:after="57"/>
        <w:ind w:left="339" w:right="0" w:hanging="339"/>
        <w:rPr/>
      </w:pPr>
      <w:r>
        <w:rPr>
          <w:rStyle w:val="Caractresdenotedefin"/>
        </w:rPr>
        <w:endnoteRef/>
      </w:r>
      <w:r>
        <w:rPr/>
        <w:tab/>
        <w:t>Odporúčania občanov, z ktorých návrh vychádza: Európsky panel občanov 1: 21, 22, 23, 26, 27; Taliansko: 5.a.1.</w:t>
      </w:r>
    </w:p>
  </w:endnote>
  <w:endnote w:id="14">
    <w:p>
      <w:pPr>
        <w:pStyle w:val="Notedefin"/>
        <w:suppressLineNumbers/>
        <w:spacing w:before="57" w:after="57"/>
        <w:ind w:left="339" w:right="0" w:hanging="339"/>
        <w:rPr/>
      </w:pPr>
      <w:r>
        <w:rPr>
          <w:rStyle w:val="Caractresdenotedefin"/>
        </w:rPr>
        <w:endnoteRef/>
      </w:r>
      <w:r>
        <w:rPr/>
        <w:tab/>
        <w:t>Odporúčania občanov, z ktorých návrh vychádza: Európsky panel občanov 1: 13, 31; Holandsko: 2.3; Taliansko: 4.b.3, 4.b.6; Litva: 9, 10.</w:t>
      </w:r>
    </w:p>
  </w:endnote>
  <w:endnote w:id="15">
    <w:p>
      <w:pPr>
        <w:pStyle w:val="Notedefin"/>
        <w:suppressLineNumbers/>
        <w:spacing w:before="57" w:after="57"/>
        <w:ind w:left="339" w:right="0" w:hanging="339"/>
        <w:rPr/>
      </w:pPr>
      <w:r>
        <w:rPr>
          <w:rStyle w:val="Caractresdenotedefin"/>
        </w:rPr>
        <w:endnoteRef/>
      </w:r>
      <w:r>
        <w:rPr/>
        <w:tab/>
        <w:t>Na základe diskusií pracovnej skupiny a plenárneho zasadnutia.</w:t>
      </w:r>
    </w:p>
  </w:endnote>
  <w:endnote w:id="16">
    <w:p>
      <w:pPr>
        <w:pStyle w:val="Notedefin"/>
        <w:suppressLineNumbers/>
        <w:spacing w:before="57" w:after="57"/>
        <w:ind w:left="339" w:right="0" w:hanging="339"/>
        <w:rPr/>
      </w:pPr>
      <w:r>
        <w:rPr>
          <w:rStyle w:val="Caractresdenotedefin"/>
        </w:rPr>
        <w:endnoteRef/>
      </w:r>
      <w:r>
        <w:rPr/>
        <w:tab/>
        <w:t>Pozri odporúčanie č. 1 ECP4, odporúčanie č. 2 NKM Nemecko, panel 1 „EÚ vo svete“ a Taliansko NKM, skupina 2, rec. 1, vypracované v rámci pracovnej skupiny.</w:t>
      </w:r>
    </w:p>
  </w:endnote>
  <w:endnote w:id="17">
    <w:p>
      <w:pPr>
        <w:pStyle w:val="Notedefin"/>
        <w:suppressLineNumbers/>
        <w:spacing w:before="57" w:after="57"/>
        <w:ind w:left="339" w:right="0" w:hanging="339"/>
        <w:rPr/>
      </w:pPr>
      <w:r>
        <w:rPr>
          <w:rStyle w:val="Caractresdenotedefin"/>
        </w:rPr>
        <w:endnoteRef/>
      </w:r>
      <w:r>
        <w:rPr/>
        <w:tab/>
        <w:t>Pozri odporúčanie 4 ECP4 a odporúčania 5 a 6 talianskeho národného kontaktného miesta skupiny 2 vypracované v rámci pracovnej skupiny.</w:t>
      </w:r>
    </w:p>
  </w:endnote>
  <w:endnote w:id="18">
    <w:p>
      <w:pPr>
        <w:pStyle w:val="Notedefin"/>
        <w:suppressLineNumbers/>
        <w:spacing w:before="57" w:after="57"/>
        <w:ind w:left="339" w:right="0" w:hanging="339"/>
        <w:rPr/>
      </w:pPr>
      <w:r>
        <w:rPr>
          <w:rStyle w:val="Caractresdenotedefin"/>
        </w:rPr>
        <w:endnoteRef/>
      </w:r>
      <w:r>
        <w:rPr/>
        <w:tab/>
        <w:t xml:space="preserve">Pozri digitálnu platformu a odporúčania 2 a 3 talianskeho národného kontaktného miesta skupiny 2 vypracované v rámci pracovnej skupiny,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t>Pozri odporúčanie 14 ECP 4 vypracované v pracovnej skupine.</w:t>
      </w:r>
    </w:p>
  </w:endnote>
  <w:endnote w:id="20">
    <w:p>
      <w:pPr>
        <w:pStyle w:val="Notedefin"/>
        <w:suppressLineNumbers/>
        <w:spacing w:before="57" w:after="57"/>
        <w:ind w:left="339" w:right="0" w:hanging="339"/>
        <w:rPr/>
      </w:pPr>
      <w:r>
        <w:rPr>
          <w:rStyle w:val="Caractresdenotedefin"/>
        </w:rPr>
        <w:endnoteRef/>
      </w:r>
      <w:r>
        <w:rPr/>
        <w:tab/>
        <w:t>Pozri odporúčanie č. 2 ECP4 a odporúčanie č. 4 talianskeho národného kontaktného miesta skupiny 2 vypracované v rámci pracovnej skupiny.</w:t>
      </w:r>
    </w:p>
  </w:endnote>
  <w:endnote w:id="21">
    <w:p>
      <w:pPr>
        <w:pStyle w:val="Notedefin"/>
        <w:suppressLineNumbers/>
        <w:spacing w:before="57" w:after="57"/>
        <w:ind w:left="339" w:right="0" w:hanging="339"/>
        <w:rPr/>
      </w:pPr>
      <w:r>
        <w:rPr>
          <w:rStyle w:val="Caractresdenotedefin"/>
        </w:rPr>
        <w:endnoteRef/>
      </w:r>
      <w:r>
        <w:rPr/>
        <w:tab/>
        <w:t>Pozri odporúčanie č. 17 ECP4 a odporúčanie č. 4 talianskeho národného kontaktného miesta skupiny 2 vypracované v rámci pracovnej skupiny.</w:t>
      </w:r>
    </w:p>
  </w:endnote>
  <w:endnote w:id="22">
    <w:p>
      <w:pPr>
        <w:pStyle w:val="Notedefin"/>
        <w:suppressLineNumbers/>
        <w:spacing w:before="57" w:after="57"/>
        <w:ind w:left="339" w:right="0" w:hanging="339"/>
        <w:rPr/>
      </w:pPr>
      <w:r>
        <w:rPr>
          <w:rStyle w:val="Caractresdenotedefin"/>
        </w:rPr>
        <w:endnoteRef/>
      </w:r>
      <w:r>
        <w:rPr/>
        <w:tab/>
        <w:t>Pozri odporúčanie 1 NKM Nemecko, panel 1 „EÚ vo svete“, vypracovaný v pracovnej skupine.</w:t>
      </w:r>
    </w:p>
  </w:endnote>
  <w:endnote w:id="23">
    <w:p>
      <w:pPr>
        <w:pStyle w:val="Notedefin"/>
        <w:suppressLineNumbers/>
        <w:spacing w:before="57" w:after="57"/>
        <w:ind w:left="339" w:right="0" w:hanging="339"/>
        <w:rPr/>
      </w:pPr>
      <w:r>
        <w:rPr>
          <w:rStyle w:val="Caractresdenotedefin"/>
        </w:rPr>
        <w:endnoteRef/>
      </w:r>
      <w:r>
        <w:rPr/>
        <w:tab/>
        <w:t>Pozri odporúčanie 3 ECP 4 vypracované v pracovnej skupine.</w:t>
      </w:r>
    </w:p>
  </w:endnote>
  <w:endnote w:id="24">
    <w:p>
      <w:pPr>
        <w:pStyle w:val="Notedefin"/>
        <w:suppressLineNumbers/>
        <w:spacing w:before="57" w:after="57"/>
        <w:ind w:left="339" w:right="0" w:hanging="339"/>
        <w:rPr/>
      </w:pPr>
      <w:r>
        <w:rPr>
          <w:rStyle w:val="Caractresdenotedefin"/>
        </w:rPr>
        <w:endnoteRef/>
      </w:r>
      <w:r>
        <w:rPr/>
        <w:tab/>
        <w:t>Pozri odporúčanie 11 ECP 4 vypracované v pracovnej skupine.</w:t>
      </w:r>
    </w:p>
  </w:endnote>
  <w:endnote w:id="25">
    <w:p>
      <w:pPr>
        <w:pStyle w:val="Notedefin"/>
        <w:suppressLineNumbers/>
        <w:spacing w:before="57" w:after="57"/>
        <w:ind w:left="339" w:right="0" w:hanging="339"/>
        <w:rPr/>
      </w:pPr>
      <w:r>
        <w:rPr>
          <w:rStyle w:val="Caractresdenotedefin"/>
        </w:rPr>
        <w:endnoteRef/>
      </w:r>
      <w:r>
        <w:rPr/>
        <w:tab/>
        <w:t>Pozri odporúčanie 13 ECP 4 vypracované v pracovnej skupine.</w:t>
      </w:r>
    </w:p>
  </w:endnote>
  <w:endnote w:id="26">
    <w:p>
      <w:pPr>
        <w:pStyle w:val="Notedefin"/>
        <w:suppressLineNumbers/>
        <w:spacing w:before="57" w:after="57"/>
        <w:ind w:left="339" w:right="0" w:hanging="339"/>
        <w:rPr/>
      </w:pPr>
      <w:r>
        <w:rPr>
          <w:rStyle w:val="Caractresdenotedefin"/>
        </w:rPr>
        <w:endnoteRef/>
      </w:r>
      <w:r>
        <w:rPr/>
        <w:tab/>
        <w:t>Pozri odporúčanie 15 ECP 4 vypracované v pracovnej skupine.</w:t>
      </w:r>
    </w:p>
  </w:endnote>
  <w:endnote w:id="27">
    <w:p>
      <w:pPr>
        <w:pStyle w:val="Notedefin"/>
        <w:suppressLineNumbers/>
        <w:spacing w:before="57" w:after="57"/>
        <w:ind w:left="339" w:right="0" w:hanging="339"/>
        <w:rPr/>
      </w:pPr>
      <w:r>
        <w:rPr>
          <w:rStyle w:val="Caractresdenotedefin"/>
        </w:rPr>
        <w:endnoteRef/>
      </w:r>
      <w:r>
        <w:rPr/>
        <w:tab/>
        <w:t>Pozri odporúčanie 16 ECP 4 vypracované v pracovnej skupine.</w:t>
      </w:r>
    </w:p>
  </w:endnote>
  <w:endnote w:id="28">
    <w:p>
      <w:pPr>
        <w:pStyle w:val="Notedefin"/>
        <w:suppressLineNumbers/>
        <w:spacing w:before="57" w:after="57"/>
        <w:ind w:left="339" w:right="0" w:hanging="339"/>
        <w:rPr/>
      </w:pPr>
      <w:r>
        <w:rPr>
          <w:rStyle w:val="Caractresdenotedefin"/>
        </w:rPr>
        <w:endnoteRef/>
      </w:r>
      <w:r>
        <w:rPr/>
        <w:tab/>
        <w:t>Pozri odporúčanie 12 ECP 4 vypracované v pracovnej skupine.</w:t>
      </w:r>
    </w:p>
  </w:endnote>
  <w:endnote w:id="29">
    <w:p>
      <w:pPr>
        <w:pStyle w:val="Notedefin"/>
        <w:suppressLineNumbers/>
        <w:spacing w:before="57" w:after="57"/>
        <w:ind w:left="339" w:right="0" w:hanging="339"/>
        <w:rPr/>
      </w:pPr>
      <w:r>
        <w:rPr>
          <w:rStyle w:val="Caractresdenotedefin"/>
        </w:rPr>
        <w:endnoteRef/>
      </w:r>
      <w:r>
        <w:rPr/>
        <w:tab/>
        <w:t>Pozri odporúčanie 21 ECP 4 vypracované v pracovnej skupine.</w:t>
      </w:r>
    </w:p>
  </w:endnote>
  <w:endnote w:id="30">
    <w:p>
      <w:pPr>
        <w:pStyle w:val="Notedefin"/>
        <w:suppressLineNumbers/>
        <w:spacing w:before="57" w:after="57"/>
        <w:ind w:left="339" w:right="0" w:hanging="339"/>
        <w:rPr/>
      </w:pPr>
      <w:r>
        <w:rPr>
          <w:rStyle w:val="Caractresdenotedefin"/>
        </w:rPr>
        <w:endnoteRef/>
      </w:r>
      <w:r>
        <w:rPr/>
        <w:tab/>
        <w:t>Pozrite si digitálnu platformu vyvinutú v rámci pracovnej skupiny.</w:t>
      </w:r>
    </w:p>
  </w:endnote>
  <w:endnote w:id="31">
    <w:p>
      <w:pPr>
        <w:pStyle w:val="Notedefin"/>
        <w:suppressLineNumbers/>
        <w:spacing w:before="57" w:after="57"/>
        <w:ind w:left="339" w:right="0" w:hanging="339"/>
        <w:rPr/>
      </w:pPr>
      <w:r>
        <w:rPr>
          <w:rStyle w:val="Caractresdenotedefin"/>
        </w:rPr>
        <w:endnoteRef/>
      </w:r>
      <w:r>
        <w:rPr/>
        <w:tab/>
        <w:t>Pozrite si digitálnu platformu vyvinutú v rámci pracovnej skupiny.</w:t>
      </w:r>
    </w:p>
  </w:endnote>
  <w:endnote w:id="32">
    <w:p>
      <w:pPr>
        <w:pStyle w:val="Notedefin"/>
        <w:suppressLineNumbers/>
        <w:spacing w:before="57" w:after="57"/>
        <w:ind w:left="339" w:right="0" w:hanging="339"/>
        <w:rPr/>
      </w:pPr>
      <w:r>
        <w:rPr>
          <w:rStyle w:val="Caractresdenotedefin"/>
        </w:rPr>
        <w:endnoteRef/>
      </w:r>
      <w:r>
        <w:rPr/>
        <w:tab/>
        <w:t>Pozri odporúčanie 26 ECP 4 vypracované v pracovnej skupine.</w:t>
      </w:r>
    </w:p>
  </w:endnote>
  <w:endnote w:id="33">
    <w:p>
      <w:pPr>
        <w:pStyle w:val="Notedefin"/>
        <w:suppressLineNumbers/>
        <w:spacing w:before="57" w:after="57"/>
        <w:ind w:left="339" w:right="0" w:hanging="339"/>
        <w:rPr/>
      </w:pPr>
      <w:r>
        <w:rPr>
          <w:rStyle w:val="Caractresdenotedefin"/>
        </w:rPr>
        <w:endnoteRef/>
      </w:r>
      <w:r>
        <w:rPr/>
        <w:tab/>
        <w:t>Pozri odporúčanie 18 ECP 4 vypracované v pracovnej skupine.</w:t>
      </w:r>
    </w:p>
  </w:endnote>
  <w:endnote w:id="34">
    <w:p>
      <w:pPr>
        <w:pStyle w:val="Notedefin"/>
        <w:suppressLineNumbers/>
        <w:spacing w:before="57" w:after="57"/>
        <w:ind w:left="339" w:right="0" w:hanging="339"/>
        <w:rPr/>
      </w:pPr>
      <w:r>
        <w:rPr>
          <w:rStyle w:val="Caractresdenotedefin"/>
        </w:rPr>
        <w:endnoteRef/>
      </w:r>
      <w:r>
        <w:rPr/>
        <w:tab/>
        <w:t>Pozri odporúčanie 19 ECP 4 vypracované v pracovnej skupine.</w:t>
      </w:r>
    </w:p>
  </w:endnote>
  <w:endnote w:id="35">
    <w:p>
      <w:pPr>
        <w:pStyle w:val="Notedefin"/>
        <w:suppressLineNumbers/>
        <w:spacing w:before="57" w:after="57"/>
        <w:ind w:left="339" w:right="0" w:hanging="339"/>
        <w:rPr/>
      </w:pPr>
      <w:r>
        <w:rPr>
          <w:rStyle w:val="Caractresdenotedefin"/>
        </w:rPr>
        <w:endnoteRef/>
      </w:r>
      <w:r>
        <w:rPr/>
        <w:tab/>
        <w:t>Pozri odporúčanie 19 ECP 4 vypracované v pracovnej skupine.</w:t>
      </w:r>
    </w:p>
  </w:endnote>
  <w:endnote w:id="36">
    <w:p>
      <w:pPr>
        <w:pStyle w:val="Notedefin"/>
        <w:suppressLineNumbers/>
        <w:spacing w:before="57" w:after="57"/>
        <w:ind w:left="339" w:right="0" w:hanging="339"/>
        <w:rPr/>
      </w:pPr>
      <w:r>
        <w:rPr>
          <w:rStyle w:val="Caractresdenotedefin"/>
        </w:rPr>
        <w:endnoteRef/>
      </w:r>
      <w:r>
        <w:rPr/>
        <w:tab/>
        <w:t>Pozri odporúčanie 25 ECP 4.</w:t>
      </w:r>
    </w:p>
  </w:endnote>
  <w:endnote w:id="37">
    <w:p>
      <w:pPr>
        <w:pStyle w:val="Notedefin"/>
        <w:suppressLineNumbers/>
        <w:spacing w:before="57" w:after="57"/>
        <w:ind w:left="339" w:right="0" w:hanging="339"/>
        <w:rPr/>
      </w:pPr>
      <w:r>
        <w:rPr>
          <w:rStyle w:val="Caractresdenotedefin"/>
        </w:rPr>
        <w:endnoteRef/>
      </w:r>
      <w:r>
        <w:rPr/>
        <w:tab/>
        <w:t>Na základe diskusií pracovnej skupiny a plenárneho zasadnutia.</w:t>
      </w:r>
    </w:p>
  </w:endnote>
  <w:endnote w:id="38">
    <w:p>
      <w:pPr>
        <w:pStyle w:val="Notedefin"/>
        <w:suppressLineNumbers/>
        <w:spacing w:before="57" w:after="57"/>
        <w:ind w:left="339" w:right="0" w:hanging="339"/>
        <w:rPr/>
      </w:pPr>
      <w:r>
        <w:rPr>
          <w:rStyle w:val="Caractresdenotedefin"/>
        </w:rPr>
        <w:endnoteRef/>
      </w:r>
      <w:r>
        <w:rPr/>
        <w:tab/>
        <w:t>Pozri zmenu č. 2 francúzskej národnej poroty/podujatia.</w:t>
      </w:r>
    </w:p>
  </w:endnote>
  <w:endnote w:id="39">
    <w:p>
      <w:pPr>
        <w:pStyle w:val="Notedefin"/>
        <w:suppressLineNumbers/>
        <w:spacing w:before="57" w:after="57"/>
        <w:ind w:left="339" w:right="0" w:hanging="339"/>
        <w:rPr/>
      </w:pPr>
      <w:r>
        <w:rPr>
          <w:rStyle w:val="Caractresdenotedefin"/>
        </w:rPr>
        <w:endnoteRef/>
      </w:r>
      <w:r>
        <w:rPr/>
        <w:tab/>
        <w:t>Pozri odporúčanie 20 ECP4 a odporúčanie 7 talianskeho národného kontaktného miesta skupiny 2 vypracované v rámci pracovnej skupiny.</w:t>
      </w:r>
    </w:p>
  </w:endnote>
  <w:endnote w:id="40">
    <w:p>
      <w:pPr>
        <w:pStyle w:val="Notedefin"/>
        <w:suppressLineNumbers/>
        <w:spacing w:before="57" w:after="57"/>
        <w:ind w:left="339" w:right="0" w:hanging="339"/>
        <w:rPr/>
      </w:pPr>
      <w:r>
        <w:rPr>
          <w:rStyle w:val="Caractresdenotedefin"/>
        </w:rPr>
        <w:endnoteRef/>
      </w:r>
      <w:r>
        <w:rPr/>
        <w:tab/>
        <w:t>Pozri zmenu č. 2 francúzskeho občianskeho panelu.</w:t>
      </w:r>
    </w:p>
  </w:endnote>
  <w:endnote w:id="41">
    <w:p>
      <w:pPr>
        <w:pStyle w:val="Notedefin"/>
        <w:suppressLineNumbers/>
        <w:spacing w:before="57" w:after="57"/>
        <w:ind w:left="339" w:right="0" w:hanging="339"/>
        <w:rPr/>
      </w:pPr>
      <w:r>
        <w:rPr>
          <w:rStyle w:val="Caractresdenotedefin"/>
        </w:rPr>
        <w:endnoteRef/>
      </w:r>
      <w:r>
        <w:rPr/>
        <w:tab/>
        <w:t>Pozri odporúčanie 24 ECP4 a odporúčanie 7 talianskeho národného kontaktného miesta skupiny 2 vypracované v rámci pracovnej skupiny.</w:t>
      </w:r>
    </w:p>
  </w:endnote>
  <w:endnote w:id="42">
    <w:p>
      <w:pPr>
        <w:pStyle w:val="Notedefin"/>
        <w:suppressLineNumbers/>
        <w:spacing w:before="57" w:after="57"/>
        <w:ind w:left="339" w:right="0" w:hanging="339"/>
        <w:rPr/>
      </w:pPr>
      <w:r>
        <w:rPr>
          <w:rStyle w:val="Caractresdenotedefin"/>
        </w:rPr>
        <w:endnoteRef/>
      </w:r>
      <w:r>
        <w:rPr/>
        <w:tab/>
        <w:t>Pozri odporúčanie 22 ECP 4 vypracované v pracovnej skupine.</w:t>
      </w:r>
    </w:p>
  </w:endnote>
  <w:endnote w:id="43">
    <w:p>
      <w:pPr>
        <w:pStyle w:val="Notedefin"/>
        <w:suppressLineNumbers/>
        <w:spacing w:before="57" w:after="57"/>
        <w:ind w:left="339" w:right="0" w:hanging="339"/>
        <w:rPr/>
      </w:pPr>
      <w:r>
        <w:rPr>
          <w:rStyle w:val="Caractresdenotedefin"/>
        </w:rPr>
        <w:endnoteRef/>
      </w:r>
      <w:r>
        <w:rPr/>
        <w:tab/>
        <w:t>Pozri odporúčanie 1 „EÚ vo svete“ holandského národného panelu občanov vypracované v pracovnej skupine.</w:t>
      </w:r>
    </w:p>
  </w:endnote>
  <w:endnote w:id="44">
    <w:p>
      <w:pPr>
        <w:pStyle w:val="Notedefin"/>
        <w:suppressLineNumbers/>
        <w:spacing w:before="57" w:after="57"/>
        <w:ind w:left="339" w:right="0" w:hanging="339"/>
        <w:rPr/>
      </w:pPr>
      <w:r>
        <w:rPr>
          <w:rStyle w:val="Caractresdenotedefin"/>
        </w:rPr>
        <w:endnoteRef/>
      </w:r>
      <w:r>
        <w:rPr/>
        <w:tab/>
        <w:t>Pozri digitálnu platformu a rozpravy v pléne, ktoré vypracovala pracovná skupina.</w:t>
      </w:r>
    </w:p>
  </w:endnote>
  <w:endnote w:id="45">
    <w:p>
      <w:pPr>
        <w:pStyle w:val="Notedefin"/>
        <w:suppressLineNumbers/>
        <w:spacing w:before="57" w:after="57"/>
        <w:ind w:left="339" w:right="0" w:hanging="339"/>
        <w:rPr/>
      </w:pPr>
      <w:r>
        <w:rPr>
          <w:rStyle w:val="Caractresdenotedefin"/>
        </w:rPr>
        <w:endnoteRef/>
      </w:r>
      <w:r>
        <w:rPr/>
        <w:tab/>
        <w:t>Pozrite si digitálnu platformu vyvinutú v rámci pracovnej skupiny.</w:t>
      </w:r>
    </w:p>
  </w:endnote>
  <w:endnote w:id="46">
    <w:p>
      <w:pPr>
        <w:pStyle w:val="Notedefin"/>
        <w:suppressLineNumbers/>
        <w:spacing w:before="57" w:after="57"/>
        <w:ind w:left="339" w:right="0" w:hanging="339"/>
        <w:rPr/>
      </w:pPr>
      <w:r>
        <w:rPr>
          <w:rStyle w:val="Caractresdenotedefin"/>
        </w:rPr>
        <w:endnoteRef/>
      </w:r>
      <w:r>
        <w:rPr/>
        <w:tab/>
        <w:t>Odporúčania občanov, z ktorých návrh vychádza: Európska pracovná skupina občanov 2 (CEP 2) 10, 11, 14, 30; Belgická národná pracovná skupina občanov (NCP): 1.3.1, 1.4.2, 1.4.3; Nemecký NCP: 5.1, 5.2; Holandská NKM: 1.2.</w:t>
      </w:r>
    </w:p>
  </w:endnote>
  <w:endnote w:id="47">
    <w:p>
      <w:pPr>
        <w:pStyle w:val="Notedefin"/>
        <w:suppressLineNumbers/>
        <w:spacing w:before="57" w:after="57"/>
        <w:ind w:left="339" w:right="0" w:hanging="339"/>
        <w:rPr/>
      </w:pPr>
      <w:r>
        <w:rPr>
          <w:rStyle w:val="Caractresdenotedefin"/>
        </w:rPr>
        <w:endnoteRef/>
      </w:r>
      <w:r>
        <w:rPr/>
        <w:tab/>
        <w:t>Odporúčanie 14 ECP2. Odporúčania 1.3.1, 1.4.2 a 1.4.3 belgického národného kontaktného miesta a 1.2 holandského národného kontaktného miesta.</w:t>
      </w:r>
    </w:p>
  </w:endnote>
  <w:endnote w:id="48">
    <w:p>
      <w:pPr>
        <w:pStyle w:val="Notedefin"/>
        <w:suppressLineNumbers/>
        <w:spacing w:before="57" w:after="57"/>
        <w:ind w:left="339" w:right="0" w:hanging="339"/>
        <w:rPr/>
      </w:pPr>
      <w:r>
        <w:rPr>
          <w:rStyle w:val="Caractresdenotedefin"/>
        </w:rPr>
        <w:endnoteRef/>
      </w:r>
      <w:r>
        <w:rPr/>
        <w:tab/>
        <w:t>Odporúčanie ECP č. 112. Odporúčania 5.1 a 5.2 nemeckého národného kontaktného miesta. Diskusia v pracovnej skupine.</w:t>
      </w:r>
    </w:p>
  </w:endnote>
  <w:endnote w:id="49">
    <w:p>
      <w:pPr>
        <w:pStyle w:val="Notedefin"/>
        <w:suppressLineNumbers/>
        <w:spacing w:before="57" w:after="57"/>
        <w:ind w:left="339" w:right="0" w:hanging="339"/>
        <w:rPr/>
      </w:pPr>
      <w:r>
        <w:rPr>
          <w:rStyle w:val="Caractresdenotedefin"/>
        </w:rPr>
        <w:endnoteRef/>
      </w:r>
      <w:r>
        <w:rPr/>
        <w:tab/>
        <w:t>Odporúčanie ECP č. 112. Diskusia v pracovnej skupine. Diskusia v pléne.</w:t>
      </w:r>
    </w:p>
  </w:endnote>
  <w:endnote w:id="50">
    <w:p>
      <w:pPr>
        <w:pStyle w:val="Notedefin"/>
        <w:suppressLineNumbers/>
        <w:spacing w:before="57" w:after="57"/>
        <w:ind w:left="339" w:right="0" w:hanging="339"/>
        <w:rPr/>
      </w:pPr>
      <w:r>
        <w:rPr>
          <w:rStyle w:val="Caractresdenotedefin"/>
        </w:rPr>
        <w:endnoteRef/>
      </w:r>
      <w:r>
        <w:rPr/>
        <w:tab/>
        <w:t>Odporúčanie 10 ECP2.</w:t>
      </w:r>
    </w:p>
  </w:endnote>
  <w:endnote w:id="51">
    <w:p>
      <w:pPr>
        <w:pStyle w:val="Notedefin"/>
        <w:suppressLineNumbers/>
        <w:spacing w:before="57" w:after="57"/>
        <w:ind w:left="339" w:right="0" w:hanging="339"/>
        <w:rPr/>
      </w:pPr>
      <w:r>
        <w:rPr>
          <w:rStyle w:val="Caractresdenotedefin"/>
        </w:rPr>
        <w:endnoteRef/>
      </w:r>
      <w:r>
        <w:rPr/>
        <w:tab/>
        <w:t>Odporúčanie ECP č. 302.</w:t>
      </w:r>
    </w:p>
  </w:endnote>
  <w:endnote w:id="52">
    <w:p>
      <w:pPr>
        <w:pStyle w:val="Notedefin"/>
        <w:suppressLineNumbers/>
        <w:spacing w:before="57" w:after="57"/>
        <w:ind w:left="339" w:right="0" w:hanging="339"/>
        <w:rPr/>
      </w:pPr>
      <w:r>
        <w:rPr>
          <w:rStyle w:val="Caractresdenotedefin"/>
        </w:rPr>
        <w:endnoteRef/>
      </w:r>
      <w:r>
        <w:rPr/>
        <w:tab/>
        <w:t>Odporúčania občanov, z ktorých návrh vychádza: PCE2: 7, 8, 9; Holandská NKM: 1.3, 4.3.</w:t>
      </w:r>
    </w:p>
  </w:endnote>
  <w:endnote w:id="53">
    <w:p>
      <w:pPr>
        <w:pStyle w:val="Notedefin"/>
        <w:suppressLineNumbers/>
        <w:spacing w:before="57" w:after="57"/>
        <w:ind w:left="339" w:right="0" w:hanging="339"/>
        <w:rPr/>
      </w:pPr>
      <w:r>
        <w:rPr>
          <w:rStyle w:val="Caractresdenotedefin"/>
        </w:rPr>
        <w:endnoteRef/>
      </w:r>
      <w:r>
        <w:rPr/>
        <w:tab/>
        <w:t>Odporúčanie 7 ECP2. Diskusia v pracovnej skupine.</w:t>
      </w:r>
    </w:p>
  </w:endnote>
  <w:endnote w:id="54">
    <w:p>
      <w:pPr>
        <w:pStyle w:val="Notedefin"/>
        <w:suppressLineNumbers/>
        <w:spacing w:before="57" w:after="57"/>
        <w:ind w:left="339" w:right="0" w:hanging="339"/>
        <w:rPr/>
      </w:pPr>
      <w:r>
        <w:rPr>
          <w:rStyle w:val="Caractresdenotedefin"/>
        </w:rPr>
        <w:endnoteRef/>
      </w:r>
      <w:r>
        <w:rPr/>
        <w:tab/>
        <w:t>O tejto otázke rokovala aj pracovná skupina pre digitálnu transformáciu.</w:t>
      </w:r>
    </w:p>
  </w:endnote>
  <w:endnote w:id="55">
    <w:p>
      <w:pPr>
        <w:pStyle w:val="Notedefin"/>
        <w:suppressLineNumbers/>
        <w:spacing w:before="57" w:after="57"/>
        <w:ind w:left="339" w:right="0" w:hanging="339"/>
        <w:rPr/>
      </w:pPr>
      <w:r>
        <w:rPr>
          <w:rStyle w:val="Caractresdenotedefin"/>
        </w:rPr>
        <w:endnoteRef/>
      </w:r>
      <w:r>
        <w:rPr/>
        <w:tab/>
        <w:t>Odporúčanie 9 ECP2.</w:t>
      </w:r>
    </w:p>
  </w:endnote>
  <w:endnote w:id="56">
    <w:p>
      <w:pPr>
        <w:pStyle w:val="Notedefin"/>
        <w:suppressLineNumbers/>
        <w:spacing w:before="57" w:after="57"/>
        <w:ind w:left="339" w:right="0" w:hanging="339"/>
        <w:rPr/>
      </w:pPr>
      <w:r>
        <w:rPr>
          <w:rStyle w:val="Caractresdenotedefin"/>
        </w:rPr>
        <w:endnoteRef/>
      </w:r>
      <w:r>
        <w:rPr/>
        <w:tab/>
        <w:t>O tejto otázke rokovala aj pracovná skupina pre digitálnu transformáciu.</w:t>
      </w:r>
    </w:p>
  </w:endnote>
  <w:endnote w:id="57">
    <w:p>
      <w:pPr>
        <w:pStyle w:val="Notedefin"/>
        <w:suppressLineNumbers/>
        <w:spacing w:before="57" w:after="57"/>
        <w:ind w:left="339" w:right="0" w:hanging="339"/>
        <w:rPr/>
      </w:pPr>
      <w:r>
        <w:rPr>
          <w:rStyle w:val="Caractresdenotedefin"/>
        </w:rPr>
        <w:endnoteRef/>
      </w:r>
      <w:r>
        <w:rPr/>
        <w:tab/>
        <w:t>Odporúčanie 8 ECP2. Odporúčania 1.3 a 4.3 holandského národného kontaktného miesta.</w:t>
      </w:r>
    </w:p>
  </w:endnote>
  <w:endnote w:id="58">
    <w:p>
      <w:pPr>
        <w:pStyle w:val="Notedefin"/>
        <w:suppressLineNumbers/>
        <w:spacing w:before="57" w:after="57"/>
        <w:ind w:left="339" w:right="0" w:hanging="339"/>
        <w:rPr/>
      </w:pPr>
      <w:r>
        <w:rPr>
          <w:rStyle w:val="Caractresdenotedefin"/>
        </w:rPr>
        <w:endnoteRef/>
      </w:r>
      <w:r>
        <w:rPr/>
        <w:tab/>
        <w:t>Odporúčania č. 7 a 8 ECP2.</w:t>
      </w:r>
    </w:p>
  </w:endnote>
  <w:endnote w:id="59">
    <w:p>
      <w:pPr>
        <w:pStyle w:val="Notedefin"/>
        <w:suppressLineNumbers/>
        <w:spacing w:before="57" w:after="57"/>
        <w:ind w:left="339" w:right="0" w:hanging="339"/>
        <w:rPr/>
      </w:pPr>
      <w:r>
        <w:rPr>
          <w:rStyle w:val="Caractresdenotedefin"/>
        </w:rPr>
        <w:endnoteRef/>
      </w:r>
      <w:r>
        <w:rPr/>
        <w:tab/>
        <w:t>O tejto otázke rokovala aj pracovná skupina pre digitálnu transformáciu.</w:t>
      </w:r>
    </w:p>
  </w:endnote>
  <w:endnote w:id="60">
    <w:p>
      <w:pPr>
        <w:pStyle w:val="Notedefin"/>
        <w:suppressLineNumbers/>
        <w:spacing w:before="57" w:after="57"/>
        <w:ind w:left="339" w:right="0" w:hanging="339"/>
        <w:rPr/>
      </w:pPr>
      <w:r>
        <w:rPr>
          <w:rStyle w:val="Caractresdenotedefin"/>
        </w:rPr>
        <w:endnoteRef/>
      </w:r>
      <w:r>
        <w:rPr/>
        <w:tab/>
        <w:t>Odporúčania občanov, z ktorých návrh vychádza: PCE2: 5, 12, 13, 17, 28; Belgická NKM: 1.5.1, 2.1.1 až 2.4.3; Holandská NKM: 3.1.</w:t>
      </w:r>
    </w:p>
  </w:endnote>
  <w:endnote w:id="61">
    <w:p>
      <w:pPr>
        <w:pStyle w:val="Notedefin"/>
        <w:suppressLineNumbers/>
        <w:spacing w:before="57" w:after="57"/>
        <w:ind w:left="339" w:right="0" w:hanging="339"/>
        <w:rPr/>
      </w:pPr>
      <w:r>
        <w:rPr>
          <w:rStyle w:val="Caractresdenotedefin"/>
        </w:rPr>
        <w:endnoteRef/>
      </w:r>
      <w:r>
        <w:rPr/>
        <w:tab/>
        <w:t>Odporúčanie 5 ECP2. Odporúčanie 2.1.1 belgického národného kontaktného miesta. Odporúčanie 3.1 holandského národného kontaktného miesta.</w:t>
      </w:r>
    </w:p>
  </w:endnote>
  <w:endnote w:id="62">
    <w:p>
      <w:pPr>
        <w:pStyle w:val="Notedefin"/>
        <w:suppressLineNumbers/>
        <w:spacing w:before="57" w:after="57"/>
        <w:ind w:left="339" w:right="0" w:hanging="339"/>
        <w:rPr/>
      </w:pPr>
      <w:r>
        <w:rPr>
          <w:rStyle w:val="Caractresdenotedefin"/>
        </w:rPr>
        <w:endnoteRef/>
      </w:r>
      <w:r>
        <w:rPr/>
        <w:tab/>
        <w:t>Odporúčanie ECP č. 122. Odporúčanie 2.1.4 belgického národného kontaktného miesta.</w:t>
      </w:r>
    </w:p>
  </w:endnote>
  <w:endnote w:id="63">
    <w:p>
      <w:pPr>
        <w:pStyle w:val="Notedefin"/>
        <w:suppressLineNumbers/>
        <w:spacing w:before="57" w:after="57"/>
        <w:ind w:left="339" w:right="0" w:hanging="339"/>
        <w:rPr/>
      </w:pPr>
      <w:r>
        <w:rPr>
          <w:rStyle w:val="Caractresdenotedefin"/>
        </w:rPr>
        <w:endnoteRef/>
      </w:r>
      <w:r>
        <w:rPr/>
        <w:tab/>
        <w:t>Odporúčania PCE2 č. 17 a 28. Odporúčania 1.5.1, 2.1.3, 2.2.1 a 2.2.2 belgického národného kontaktného miesta.</w:t>
      </w:r>
    </w:p>
  </w:endnote>
  <w:endnote w:id="64">
    <w:p>
      <w:pPr>
        <w:pStyle w:val="Notedefin"/>
        <w:suppressLineNumbers/>
        <w:spacing w:before="57" w:after="57"/>
        <w:ind w:left="339" w:right="0" w:hanging="339"/>
        <w:rPr/>
      </w:pPr>
      <w:r>
        <w:rPr>
          <w:rStyle w:val="Caractresdenotedefin"/>
        </w:rPr>
        <w:endnoteRef/>
      </w:r>
      <w:r>
        <w:rPr/>
        <w:tab/>
        <w:t>O tejto otázke rokovala aj pracovná skupina pre digitálnu transformáciu.</w:t>
      </w:r>
    </w:p>
  </w:endnote>
  <w:endnote w:id="65">
    <w:p>
      <w:pPr>
        <w:pStyle w:val="Notedefin"/>
        <w:suppressLineNumbers/>
        <w:spacing w:before="57" w:after="57"/>
        <w:ind w:left="339" w:right="0" w:hanging="339"/>
        <w:rPr/>
      </w:pPr>
      <w:r>
        <w:rPr>
          <w:rStyle w:val="Caractresdenotedefin"/>
        </w:rPr>
        <w:endnoteRef/>
      </w:r>
      <w:r>
        <w:rPr/>
        <w:tab/>
        <w:t>Odporúčania PCE2 č. 5 a 28. Odporúčania 2.3.2 a 2.3.3 belgického národného kontaktného miesta.</w:t>
      </w:r>
    </w:p>
  </w:endnote>
  <w:endnote w:id="66">
    <w:p>
      <w:pPr>
        <w:pStyle w:val="Notedefin"/>
        <w:suppressLineNumbers/>
        <w:spacing w:before="57" w:after="57"/>
        <w:ind w:left="339" w:right="0" w:hanging="339"/>
        <w:rPr/>
      </w:pPr>
      <w:r>
        <w:rPr>
          <w:rStyle w:val="Caractresdenotedefin"/>
        </w:rPr>
        <w:endnoteRef/>
      </w:r>
      <w:r>
        <w:rPr/>
        <w:tab/>
        <w:t>Odporúčanie ECP č. 282. Odporúčania 2.3.1, 2.4.1 a 2.4.2 belgického národného kontaktného miesta.</w:t>
      </w:r>
    </w:p>
  </w:endnote>
  <w:endnote w:id="67">
    <w:p>
      <w:pPr>
        <w:pStyle w:val="Notedefin"/>
        <w:suppressLineNumbers/>
        <w:spacing w:before="57" w:after="57"/>
        <w:ind w:left="339" w:right="0" w:hanging="339"/>
        <w:rPr/>
      </w:pPr>
      <w:r>
        <w:rPr>
          <w:rStyle w:val="Caractresdenotedefin"/>
        </w:rPr>
        <w:endnoteRef/>
      </w:r>
      <w:r>
        <w:rPr/>
        <w:tab/>
        <w:t>O tejto otázke rokovala aj pracovná skupina pre digitálnu transformáciu.</w:t>
      </w:r>
    </w:p>
  </w:endnote>
  <w:endnote w:id="68">
    <w:p>
      <w:pPr>
        <w:pStyle w:val="Notedefin"/>
        <w:suppressLineNumbers/>
        <w:spacing w:before="57" w:after="57"/>
        <w:ind w:left="339" w:right="0" w:hanging="339"/>
        <w:rPr/>
      </w:pPr>
      <w:r>
        <w:rPr>
          <w:rStyle w:val="Caractresdenotedefin"/>
        </w:rPr>
        <w:endnoteRef/>
      </w:r>
      <w:r>
        <w:rPr/>
        <w:tab/>
        <w:t>Odporúčanie ECP č. 132.</w:t>
      </w:r>
    </w:p>
  </w:endnote>
  <w:endnote w:id="69">
    <w:p>
      <w:pPr>
        <w:pStyle w:val="Notedefin"/>
        <w:suppressLineNumbers/>
        <w:spacing w:before="57" w:after="57"/>
        <w:ind w:left="339" w:right="0" w:hanging="339"/>
        <w:rPr/>
      </w:pPr>
      <w:r>
        <w:rPr>
          <w:rStyle w:val="Caractresdenotedefin"/>
        </w:rPr>
        <w:endnoteRef/>
      </w:r>
      <w:r>
        <w:rPr/>
        <w:tab/>
        <w:t>O tejto otázke rokovala aj pracovná skupina pre digitálnu transformáciu.</w:t>
      </w:r>
    </w:p>
  </w:endnote>
  <w:endnote w:id="70">
    <w:p>
      <w:pPr>
        <w:pStyle w:val="Notedefin"/>
        <w:suppressLineNumbers/>
        <w:spacing w:before="57" w:after="57"/>
        <w:ind w:left="339" w:right="0" w:hanging="339"/>
        <w:rPr/>
      </w:pPr>
      <w:r>
        <w:rPr>
          <w:rStyle w:val="Caractresdenotedefin"/>
        </w:rPr>
        <w:endnoteRef/>
      </w:r>
      <w:r>
        <w:rPr/>
        <w:tab/>
        <w:t>Odporúčanie ECP č. 132.</w:t>
      </w:r>
    </w:p>
  </w:endnote>
  <w:endnote w:id="71">
    <w:p>
      <w:pPr>
        <w:pStyle w:val="Notedefin"/>
        <w:suppressLineNumbers/>
        <w:spacing w:before="57" w:after="57"/>
        <w:ind w:left="339" w:right="0" w:hanging="339"/>
        <w:rPr/>
      </w:pPr>
      <w:r>
        <w:rPr>
          <w:rStyle w:val="Caractresdenotedefin"/>
        </w:rPr>
        <w:endnoteRef/>
      </w:r>
      <w:r>
        <w:rPr/>
        <w:tab/>
        <w:t>O tejto otázke rokovala aj pracovná skupina pre digitálnu transformáciu.</w:t>
      </w:r>
    </w:p>
  </w:endnote>
  <w:endnote w:id="72">
    <w:p>
      <w:pPr>
        <w:pStyle w:val="Notedefin"/>
        <w:suppressLineNumbers/>
        <w:spacing w:before="57" w:after="57"/>
        <w:ind w:left="339" w:right="0" w:hanging="339"/>
        <w:rPr/>
      </w:pPr>
      <w:r>
        <w:rPr>
          <w:rStyle w:val="Caractresdenotedefin"/>
        </w:rPr>
        <w:endnoteRef/>
      </w:r>
      <w:r>
        <w:rPr/>
        <w:tab/>
        <w:t>Odporúčania občanov, z ktorých návrh vychádza: PCE2: 1, 2, 21, 22, 23; Holandská NKM: 1.1.</w:t>
      </w:r>
    </w:p>
  </w:endnote>
  <w:endnote w:id="73">
    <w:p>
      <w:pPr>
        <w:pStyle w:val="Notedefin"/>
        <w:suppressLineNumbers/>
        <w:spacing w:before="57" w:after="57"/>
        <w:ind w:left="339" w:right="0" w:hanging="339"/>
        <w:rPr/>
      </w:pPr>
      <w:r>
        <w:rPr>
          <w:rStyle w:val="Caractresdenotedefin"/>
        </w:rPr>
        <w:endnoteRef/>
      </w:r>
      <w:r>
        <w:rPr/>
        <w:tab/>
        <w:t>Odporúčanie ECP č. 222. Diskusia v pracovnej skupine.</w:t>
      </w:r>
    </w:p>
  </w:endnote>
  <w:endnote w:id="74">
    <w:p>
      <w:pPr>
        <w:pStyle w:val="Notedefin"/>
        <w:suppressLineNumbers/>
        <w:spacing w:before="57" w:after="57"/>
        <w:ind w:left="339" w:right="0" w:hanging="339"/>
        <w:rPr/>
      </w:pPr>
      <w:r>
        <w:rPr>
          <w:rStyle w:val="Caractresdenotedefin"/>
        </w:rPr>
        <w:endnoteRef/>
      </w:r>
      <w:r>
        <w:rPr/>
        <w:tab/>
        <w:t>O otázke sa rokovalo aj v pracovnej skupine pre silnejšie hospodárstvo, sociálnu spravodlivosť a zamestnanosť.</w:t>
      </w:r>
    </w:p>
  </w:endnote>
  <w:endnote w:id="75">
    <w:p>
      <w:pPr>
        <w:pStyle w:val="Notedefin"/>
        <w:suppressLineNumbers/>
        <w:spacing w:before="57" w:after="57"/>
        <w:ind w:left="339" w:right="0" w:hanging="339"/>
        <w:rPr/>
      </w:pPr>
      <w:r>
        <w:rPr>
          <w:rStyle w:val="Caractresdenotedefin"/>
        </w:rPr>
        <w:endnoteRef/>
      </w:r>
      <w:r>
        <w:rPr/>
        <w:tab/>
        <w:t>Odporúčanie ECP č. 212. Odporúčanie 1.1 holandského národného kontaktného miesta.</w:t>
      </w:r>
    </w:p>
  </w:endnote>
  <w:endnote w:id="76">
    <w:p>
      <w:pPr>
        <w:pStyle w:val="Notedefin"/>
        <w:suppressLineNumbers/>
        <w:spacing w:before="57" w:after="57"/>
        <w:ind w:left="339" w:right="0" w:hanging="339"/>
        <w:rPr/>
      </w:pPr>
      <w:r>
        <w:rPr>
          <w:rStyle w:val="Caractresdenotedefin"/>
        </w:rPr>
        <w:endnoteRef/>
      </w:r>
      <w:r>
        <w:rPr/>
        <w:tab/>
        <w:t>Odporúčanie ECP č. 232.</w:t>
      </w:r>
    </w:p>
  </w:endnote>
  <w:endnote w:id="77">
    <w:p>
      <w:pPr>
        <w:pStyle w:val="Notedefin"/>
        <w:suppressLineNumbers/>
        <w:spacing w:before="57" w:after="57"/>
        <w:ind w:left="339" w:right="0" w:hanging="339"/>
        <w:rPr/>
      </w:pPr>
      <w:r>
        <w:rPr>
          <w:rStyle w:val="Caractresdenotedefin"/>
        </w:rPr>
        <w:endnoteRef/>
      </w:r>
      <w:r>
        <w:rPr/>
        <w:tab/>
        <w:t>O otázke sa rokovalo aj v pracovnej skupine pre silnejšie hospodárstvo, sociálnu spravodlivosť a zamestnanosť.</w:t>
      </w:r>
    </w:p>
  </w:endnote>
  <w:endnote w:id="78">
    <w:p>
      <w:pPr>
        <w:pStyle w:val="Notedefin"/>
        <w:suppressLineNumbers/>
        <w:spacing w:before="57" w:after="57"/>
        <w:ind w:left="339" w:right="0" w:hanging="339"/>
        <w:rPr/>
      </w:pPr>
      <w:r>
        <w:rPr>
          <w:rStyle w:val="Caractresdenotedefin"/>
        </w:rPr>
        <w:endnoteRef/>
      </w:r>
      <w:r>
        <w:rPr/>
        <w:tab/>
        <w:t>Odporúčanie 1 ECP2. Diskusia v pracovnej skupine.</w:t>
      </w:r>
    </w:p>
  </w:endnote>
  <w:endnote w:id="79">
    <w:p>
      <w:pPr>
        <w:pStyle w:val="Notedefin"/>
        <w:suppressLineNumbers/>
        <w:spacing w:before="57" w:after="57"/>
        <w:ind w:left="339" w:right="0" w:hanging="339"/>
        <w:rPr/>
      </w:pPr>
      <w:r>
        <w:rPr>
          <w:rStyle w:val="Caractresdenotedefin"/>
        </w:rPr>
        <w:endnoteRef/>
      </w:r>
      <w:r>
        <w:rPr/>
        <w:tab/>
        <w:t>Odporúčanie 2 ECP2. Diskusia v pracovnej skupine.</w:t>
      </w:r>
    </w:p>
  </w:endnote>
  <w:endnote w:id="80">
    <w:p>
      <w:pPr>
        <w:pStyle w:val="Notedefin"/>
        <w:suppressLineNumbers/>
        <w:spacing w:before="57" w:after="57"/>
        <w:ind w:left="339" w:right="0" w:hanging="339"/>
        <w:rPr/>
      </w:pPr>
      <w:r>
        <w:rPr>
          <w:rStyle w:val="Caractresdenotedefin"/>
        </w:rPr>
        <w:endnoteRef/>
      </w:r>
      <w:r>
        <w:rPr/>
        <w:tab/>
        <w:t>Odporúčania občanov, z ktorých návrh vychádza: PCE2: 3, 4, 6.</w:t>
      </w:r>
    </w:p>
  </w:endnote>
  <w:endnote w:id="81">
    <w:p>
      <w:pPr>
        <w:pStyle w:val="Notedefin"/>
        <w:suppressLineNumbers/>
        <w:spacing w:before="57" w:after="57"/>
        <w:ind w:left="339" w:right="0" w:hanging="339"/>
        <w:rPr/>
      </w:pPr>
      <w:r>
        <w:rPr>
          <w:rStyle w:val="Caractresdenotedefin"/>
        </w:rPr>
        <w:endnoteRef/>
      </w:r>
      <w:r>
        <w:rPr/>
        <w:tab/>
        <w:t>Odporúčanie 3 ECP2.</w:t>
      </w:r>
    </w:p>
  </w:endnote>
  <w:endnote w:id="82">
    <w:p>
      <w:pPr>
        <w:pStyle w:val="Notedefin"/>
        <w:suppressLineNumbers/>
        <w:spacing w:before="57" w:after="57"/>
        <w:ind w:left="339" w:right="0" w:hanging="339"/>
        <w:rPr/>
      </w:pPr>
      <w:r>
        <w:rPr>
          <w:rStyle w:val="Caractresdenotedefin"/>
        </w:rPr>
        <w:endnoteRef/>
      </w:r>
      <w:r>
        <w:rPr/>
        <w:tab/>
        <w:t>O tejto otázke rokovala aj pracovná skupina pre zmenu klímy a životné prostredie.</w:t>
      </w:r>
    </w:p>
  </w:endnote>
  <w:endnote w:id="83">
    <w:p>
      <w:pPr>
        <w:pStyle w:val="Notedefin"/>
        <w:suppressLineNumbers/>
        <w:spacing w:before="57" w:after="57"/>
        <w:ind w:left="339" w:right="0" w:hanging="339"/>
        <w:rPr/>
      </w:pPr>
      <w:r>
        <w:rPr>
          <w:rStyle w:val="Caractresdenotedefin"/>
        </w:rPr>
        <w:endnoteRef/>
      </w:r>
      <w:r>
        <w:rPr/>
        <w:tab/>
        <w:t>Odporúčanie 4 ECP2.</w:t>
      </w:r>
    </w:p>
  </w:endnote>
  <w:endnote w:id="84">
    <w:p>
      <w:pPr>
        <w:pStyle w:val="Notedefin"/>
        <w:suppressLineNumbers/>
        <w:spacing w:before="57" w:after="57"/>
        <w:ind w:left="339" w:right="0" w:hanging="339"/>
        <w:rPr/>
      </w:pPr>
      <w:r>
        <w:rPr>
          <w:rStyle w:val="Caractresdenotedefin"/>
        </w:rPr>
        <w:endnoteRef/>
      </w:r>
      <w:r>
        <w:rPr/>
        <w:tab/>
        <w:t>Odporúčanie 6 ECP2.</w:t>
      </w:r>
    </w:p>
  </w:endnote>
  <w:endnote w:id="85">
    <w:p>
      <w:pPr>
        <w:pStyle w:val="Notedefin"/>
        <w:suppressLineNumbers/>
        <w:spacing w:before="57" w:after="57"/>
        <w:ind w:left="339" w:right="0" w:hanging="339"/>
        <w:rPr/>
      </w:pPr>
      <w:r>
        <w:rPr>
          <w:rStyle w:val="Caractresdenotedefin"/>
        </w:rPr>
        <w:endnoteRef/>
      </w:r>
      <w:r>
        <w:rPr/>
        <w:tab/>
        <w:t>O tejto otázke rokovala aj pracovná skupina pre zmenu klímy a životné prostredie.</w:t>
      </w:r>
    </w:p>
  </w:endnote>
  <w:endnote w:id="86">
    <w:p>
      <w:pPr>
        <w:pStyle w:val="Notedefin"/>
        <w:suppressLineNumbers/>
        <w:spacing w:before="57" w:after="57"/>
        <w:ind w:left="339" w:right="0" w:hanging="339"/>
        <w:rPr/>
      </w:pPr>
      <w:r>
        <w:rPr>
          <w:rStyle w:val="Caractresdenotedefin"/>
        </w:rPr>
        <w:endnoteRef/>
      </w:r>
      <w:r>
        <w:rPr/>
        <w:tab/>
        <w:t>Odporúčania občanov, z ktorých návrh vychádza: Európska pracovná skupina občanov 1 (ECP 1): 17, 40, 47; Holandský národný panel občanov (NCP) č. 1.</w:t>
      </w:r>
    </w:p>
  </w:endnote>
  <w:endnote w:id="87">
    <w:p>
      <w:pPr>
        <w:pStyle w:val="Notedefin"/>
        <w:suppressLineNumbers/>
        <w:spacing w:before="57" w:after="57"/>
        <w:ind w:left="339" w:right="0" w:hanging="339"/>
        <w:rPr/>
      </w:pPr>
      <w:r>
        <w:rPr>
          <w:rStyle w:val="Caractresdenotedefin"/>
        </w:rPr>
        <w:endnoteRef/>
      </w:r>
      <w:r>
        <w:rPr/>
        <w:tab/>
        <w:t>Pozri odkaz na odporúčanie č. 38 ECP 3, pokiaľ ide o infraštruktúru pre elektrické vozidlá.</w:t>
      </w:r>
    </w:p>
  </w:endnote>
  <w:endnote w:id="88">
    <w:p>
      <w:pPr>
        <w:pStyle w:val="Notedefin"/>
        <w:suppressLineNumbers/>
        <w:spacing w:before="57" w:after="57"/>
        <w:ind w:left="339" w:right="0" w:hanging="339"/>
        <w:rPr/>
      </w:pPr>
      <w:r>
        <w:rPr>
          <w:rStyle w:val="Caractresdenotedefin"/>
        </w:rPr>
        <w:endnoteRef/>
      </w:r>
      <w:r>
        <w:rPr/>
        <w:tab/>
        <w:t>Odporúčania občanov, z ktorých návrh vychádza: Európska pracovná skupina občanov 1 (ECP 1): 8, 34 a 47; Taliansky národný panel občanov (NCP) 5.2.</w:t>
      </w:r>
    </w:p>
  </w:endnote>
  <w:endnote w:id="89">
    <w:p>
      <w:pPr>
        <w:pStyle w:val="Notedefin"/>
        <w:suppressLineNumbers/>
        <w:spacing w:before="57" w:after="57"/>
        <w:ind w:left="339" w:right="0" w:hanging="339"/>
        <w:rPr/>
      </w:pPr>
      <w:r>
        <w:rPr>
          <w:rStyle w:val="Caractresdenotedefin"/>
        </w:rPr>
        <w:endnoteRef/>
      </w:r>
      <w:r>
        <w:rPr/>
        <w:tab/>
        <w:t>Odporúčania občanov, z ktorých návrh vychádza: odporúčania 39 a 46 európskej skupiny občanov 1 (CEP 1) a odporúčania litovskej národnej občianskej skupiny (NKM) a národného kontaktného miesta Holandska.</w:t>
      </w:r>
    </w:p>
  </w:endnote>
  <w:endnote w:id="90">
    <w:p>
      <w:pPr>
        <w:pStyle w:val="Notedefin"/>
        <w:suppressLineNumbers/>
        <w:spacing w:before="57" w:after="57"/>
        <w:ind w:left="339" w:right="0" w:hanging="339"/>
        <w:rPr/>
      </w:pPr>
      <w:r>
        <w:rPr>
          <w:rStyle w:val="Caractresdenotedefin"/>
        </w:rPr>
        <w:endnoteRef/>
      </w:r>
      <w:r>
        <w:rPr/>
        <w:tab/>
        <w:t>Odporúčania občanov, z ktorých návrh vychádza: odporúčania 42, 43, 44 a 45 európskej skupiny občanov č. 1 (PCE 1) a odporúčanie č. 2 holandského národného občianskeho panelu (NCP).</w:t>
      </w:r>
    </w:p>
  </w:endnote>
  <w:endnote w:id="91">
    <w:p>
      <w:pPr>
        <w:pStyle w:val="Notedefin"/>
        <w:suppressLineNumbers/>
        <w:spacing w:before="57" w:after="57"/>
        <w:ind w:left="339" w:right="0" w:hanging="339"/>
        <w:rPr/>
      </w:pPr>
      <w:r>
        <w:rPr>
          <w:rStyle w:val="Caractresdenotedefin"/>
        </w:rPr>
        <w:endnoteRef/>
      </w:r>
      <w:r>
        <w:rPr/>
        <w:tab/>
        <w:t>Odporúčania občanov, z ktorých návrh vychádza: Európsky panel občanov č. 1 (PCE 1) č. 7, 16 a 17 a národné panelové diskusie občanov Nemecka a Talianska 1.3.</w:t>
      </w:r>
    </w:p>
  </w:endnote>
  <w:endnote w:id="92">
    <w:p>
      <w:pPr>
        <w:pStyle w:val="Notedefin"/>
        <w:suppressLineNumbers/>
        <w:spacing w:before="57" w:after="57"/>
        <w:ind w:left="339" w:right="0" w:hanging="339"/>
        <w:rPr/>
      </w:pPr>
      <w:r>
        <w:rPr>
          <w:rStyle w:val="Caractresdenotedefin"/>
        </w:rPr>
        <w:endnoteRef/>
      </w:r>
      <w:r>
        <w:rPr/>
        <w:tab/>
        <w:t>Má sa zvážiť v súvislosti s návrhmi pracovnej skupiny pre silnejšie hospodárstvo.</w:t>
      </w:r>
    </w:p>
  </w:endnote>
  <w:endnote w:id="93">
    <w:p>
      <w:pPr>
        <w:pStyle w:val="Notedefin"/>
        <w:suppressLineNumbers/>
        <w:spacing w:before="57" w:after="57"/>
        <w:ind w:left="339" w:right="0" w:hanging="339"/>
        <w:rPr/>
      </w:pPr>
      <w:r>
        <w:rPr>
          <w:rStyle w:val="Caractresdenotedefin"/>
        </w:rPr>
        <w:endnoteRef/>
      </w:r>
      <w:r>
        <w:rPr/>
        <w:tab/>
        <w:t>Pozmeňujúce a doplňujúce návrhy č. 3A a 3B pracovnej skupiny (pracovná skupina).</w:t>
      </w:r>
    </w:p>
  </w:endnote>
  <w:endnote w:id="94">
    <w:p>
      <w:pPr>
        <w:pStyle w:val="Notedefin"/>
        <w:suppressLineNumbers/>
        <w:spacing w:before="57" w:after="57"/>
        <w:ind w:left="339" w:right="0" w:hanging="339"/>
        <w:rPr/>
      </w:pPr>
      <w:r>
        <w:rPr>
          <w:rStyle w:val="Caractresdenotedefin"/>
        </w:rPr>
        <w:endnoteRef/>
      </w:r>
      <w:r>
        <w:rPr/>
        <w:tab/>
        <w:t>Odporúčania 32 a 37 európskej skupiny občanov 2 (PCE 2); národné panely BE, FR a NL.</w:t>
      </w:r>
    </w:p>
  </w:endnote>
  <w:endnote w:id="95">
    <w:p>
      <w:pPr>
        <w:pStyle w:val="Notedefin"/>
        <w:suppressLineNumbers/>
        <w:spacing w:before="57" w:after="57"/>
        <w:ind w:left="339" w:right="0" w:hanging="339"/>
        <w:rPr/>
      </w:pPr>
      <w:r>
        <w:rPr>
          <w:rStyle w:val="Caractresdenotedefin"/>
        </w:rPr>
        <w:endnoteRef/>
      </w:r>
      <w:r>
        <w:rPr/>
        <w:tab/>
        <w:t>Národná porota FR.</w:t>
      </w:r>
    </w:p>
  </w:endnote>
  <w:endnote w:id="96">
    <w:p>
      <w:pPr>
        <w:pStyle w:val="Notedefin"/>
        <w:suppressLineNumbers/>
        <w:spacing w:before="57" w:after="57"/>
        <w:ind w:left="339" w:right="0" w:hanging="339"/>
        <w:rPr/>
      </w:pPr>
      <w:r>
        <w:rPr>
          <w:rStyle w:val="Caractresdenotedefin"/>
        </w:rPr>
        <w:endnoteRef/>
      </w:r>
      <w:r>
        <w:rPr/>
        <w:tab/>
        <w:t>Pozmeňujúci a doplňujúci návrh č. 8 pracovnej skupiny, stručnejšie znenie.</w:t>
      </w:r>
    </w:p>
  </w:endnote>
  <w:endnote w:id="97">
    <w:p>
      <w:pPr>
        <w:pStyle w:val="Notedefin"/>
        <w:suppressLineNumbers/>
        <w:spacing w:before="57" w:after="57"/>
        <w:ind w:left="339" w:right="0" w:hanging="339"/>
        <w:rPr/>
      </w:pPr>
      <w:r>
        <w:rPr>
          <w:rStyle w:val="Caractresdenotedefin"/>
        </w:rPr>
        <w:endnoteRef/>
      </w:r>
      <w:r>
        <w:rPr/>
        <w:tab/>
        <w:t>Odporúčanie ECP č. 29 2.</w:t>
      </w:r>
    </w:p>
  </w:endnote>
  <w:endnote w:id="98">
    <w:p>
      <w:pPr>
        <w:pStyle w:val="Notedefin"/>
        <w:suppressLineNumbers/>
        <w:spacing w:before="57" w:after="57"/>
        <w:ind w:left="339" w:right="0" w:hanging="339"/>
        <w:rPr/>
      </w:pPr>
      <w:r>
        <w:rPr>
          <w:rStyle w:val="Caractresdenotedefin"/>
        </w:rPr>
        <w:endnoteRef/>
      </w:r>
      <w:r>
        <w:rPr/>
        <w:tab/>
        <w:t>Odporúčania ECP 2 19 a 32; národné panely BE a FR a zástupca DK pre vnútroštátne podujatia.</w:t>
      </w:r>
    </w:p>
  </w:endnote>
  <w:endnote w:id="99">
    <w:p>
      <w:pPr>
        <w:pStyle w:val="Notedefin"/>
        <w:suppressLineNumbers/>
        <w:spacing w:before="57" w:after="57"/>
        <w:ind w:left="339" w:right="0" w:hanging="339"/>
        <w:rPr/>
      </w:pPr>
      <w:r>
        <w:rPr>
          <w:rStyle w:val="Caractresdenotedefin"/>
        </w:rPr>
        <w:endnoteRef/>
      </w:r>
      <w:r>
        <w:rPr/>
        <w:tab/>
        <w:t>Národná porota BE.</w:t>
      </w:r>
    </w:p>
  </w:endnote>
  <w:endnote w:id="100">
    <w:p>
      <w:pPr>
        <w:pStyle w:val="Notedefin"/>
        <w:suppressLineNumbers/>
        <w:spacing w:before="57" w:after="57"/>
        <w:ind w:left="339" w:right="0" w:hanging="339"/>
        <w:rPr/>
      </w:pPr>
      <w:r>
        <w:rPr>
          <w:rStyle w:val="Caractresdenotedefin"/>
        </w:rPr>
        <w:endnoteRef/>
      </w:r>
      <w:r>
        <w:rPr/>
        <w:tab/>
        <w:t>Pozmeňujúci a doplňujúci návrh č. 7B pracovnej skupiny.</w:t>
      </w:r>
    </w:p>
  </w:endnote>
  <w:endnote w:id="101">
    <w:p>
      <w:pPr>
        <w:pStyle w:val="Notedefin"/>
        <w:suppressLineNumbers/>
        <w:spacing w:before="57" w:after="57"/>
        <w:ind w:left="339" w:right="0" w:hanging="339"/>
        <w:rPr/>
      </w:pPr>
      <w:r>
        <w:rPr>
          <w:rStyle w:val="Caractresdenotedefin"/>
        </w:rPr>
        <w:endnoteRef/>
      </w:r>
      <w:r>
        <w:rPr/>
        <w:tab/>
        <w:t>Národná porota BE.</w:t>
      </w:r>
    </w:p>
  </w:endnote>
  <w:endnote w:id="102">
    <w:p>
      <w:pPr>
        <w:pStyle w:val="Notedefin"/>
        <w:suppressLineNumbers/>
        <w:spacing w:before="57" w:after="57"/>
        <w:ind w:left="339" w:right="0" w:hanging="339"/>
        <w:rPr/>
      </w:pPr>
      <w:r>
        <w:rPr>
          <w:rStyle w:val="Caractresdenotedefin"/>
        </w:rPr>
        <w:endnoteRef/>
      </w:r>
      <w:r>
        <w:rPr/>
        <w:tab/>
        <w:t>Záverečná správa Kantar, s. 85.</w:t>
      </w:r>
    </w:p>
  </w:endnote>
  <w:endnote w:id="103">
    <w:p>
      <w:pPr>
        <w:pStyle w:val="Notedefin"/>
        <w:suppressLineNumbers/>
        <w:spacing w:before="57" w:after="57"/>
        <w:ind w:left="339" w:right="0" w:hanging="339"/>
        <w:rPr/>
      </w:pPr>
      <w:r>
        <w:rPr>
          <w:rStyle w:val="Caractresdenotedefin"/>
        </w:rPr>
        <w:endnoteRef/>
      </w:r>
      <w:r>
        <w:rPr/>
        <w:tab/>
        <w:t>Odporúčanie 39 ECP 2; národná porota č. 3 BE.</w:t>
      </w:r>
    </w:p>
  </w:endnote>
  <w:endnote w:id="104">
    <w:p>
      <w:pPr>
        <w:pStyle w:val="Notedefin"/>
        <w:suppressLineNumbers/>
        <w:spacing w:before="57" w:after="57"/>
        <w:ind w:left="339" w:right="0" w:hanging="339"/>
        <w:rPr/>
      </w:pPr>
      <w:r>
        <w:rPr>
          <w:rStyle w:val="Caractresdenotedefin"/>
        </w:rPr>
        <w:endnoteRef/>
      </w:r>
      <w:r>
        <w:rPr/>
        <w:tab/>
        <w:t>Pozmeňujúci a doplňujúci návrh 10A pracovnej skupiny, stručnejšie znenie.</w:t>
      </w:r>
    </w:p>
  </w:endnote>
  <w:endnote w:id="105">
    <w:p>
      <w:pPr>
        <w:pStyle w:val="Notedefin"/>
        <w:suppressLineNumbers/>
        <w:spacing w:before="57" w:after="57"/>
        <w:ind w:left="339" w:right="0" w:hanging="339"/>
        <w:rPr/>
      </w:pPr>
      <w:r>
        <w:rPr>
          <w:rStyle w:val="Caractresdenotedefin"/>
        </w:rPr>
        <w:endnoteRef/>
      </w:r>
      <w:r>
        <w:rPr/>
        <w:tab/>
        <w:t>Zástupca delegácie DK pre národné podujatia.</w:t>
      </w:r>
    </w:p>
  </w:endnote>
  <w:endnote w:id="106">
    <w:p>
      <w:pPr>
        <w:pStyle w:val="Notedefin"/>
        <w:suppressLineNumbers/>
        <w:spacing w:before="57" w:after="57"/>
        <w:ind w:left="339" w:right="0" w:hanging="339"/>
        <w:rPr/>
      </w:pPr>
      <w:r>
        <w:rPr>
          <w:rStyle w:val="Caractresdenotedefin"/>
        </w:rPr>
        <w:endnoteRef/>
      </w:r>
      <w:r>
        <w:rPr/>
        <w:tab/>
        <w:t>Pozmeňujúci a doplňujúci návrh č. 54C pracovnej skupiny.</w:t>
      </w:r>
    </w:p>
  </w:endnote>
  <w:endnote w:id="107">
    <w:p>
      <w:pPr>
        <w:pStyle w:val="Notedefin"/>
        <w:suppressLineNumbers/>
        <w:spacing w:before="57" w:after="57"/>
        <w:ind w:left="339" w:right="0" w:hanging="339"/>
        <w:rPr/>
      </w:pPr>
      <w:r>
        <w:rPr>
          <w:rStyle w:val="Caractresdenotedefin"/>
        </w:rPr>
        <w:endnoteRef/>
      </w:r>
      <w:r>
        <w:rPr/>
        <w:tab/>
        <w:t>Zástupca delegácie DK pre národné podujatia.</w:t>
      </w:r>
    </w:p>
  </w:endnote>
  <w:endnote w:id="108">
    <w:p>
      <w:pPr>
        <w:pStyle w:val="Notedefin"/>
        <w:suppressLineNumbers/>
        <w:spacing w:before="57" w:after="57"/>
        <w:ind w:left="339" w:right="0" w:hanging="339"/>
        <w:rPr/>
      </w:pPr>
      <w:r>
        <w:rPr>
          <w:rStyle w:val="Caractresdenotedefin"/>
        </w:rPr>
        <w:endnoteRef/>
      </w:r>
      <w:r>
        <w:rPr/>
        <w:tab/>
        <w:t>Zástupca delegácie DK pre národné podujatia.</w:t>
      </w:r>
    </w:p>
  </w:endnote>
  <w:endnote w:id="109">
    <w:p>
      <w:pPr>
        <w:pStyle w:val="Notedefin"/>
        <w:suppressLineNumbers/>
        <w:spacing w:before="57" w:after="57"/>
        <w:ind w:left="339" w:right="0" w:hanging="339"/>
        <w:rPr/>
      </w:pPr>
      <w:r>
        <w:rPr>
          <w:rStyle w:val="Caractresdenotedefin"/>
        </w:rPr>
        <w:endnoteRef/>
      </w:r>
      <w:r>
        <w:rPr/>
        <w:tab/>
        <w:t>Pozmeňujúci a doplňujúci návrh č. 15A pracovnej skupiny, kompromisné znenie.</w:t>
      </w:r>
    </w:p>
  </w:endnote>
  <w:endnote w:id="110">
    <w:p>
      <w:pPr>
        <w:pStyle w:val="Notedefin"/>
        <w:suppressLineNumbers/>
        <w:spacing w:before="57" w:after="57"/>
        <w:ind w:left="339" w:right="0" w:hanging="339"/>
        <w:rPr/>
      </w:pPr>
      <w:r>
        <w:rPr>
          <w:rStyle w:val="Caractresdenotedefin"/>
        </w:rPr>
        <w:endnoteRef/>
      </w:r>
      <w:r>
        <w:rPr/>
        <w:tab/>
        <w:t>Odporúčania PCE 2 24, 36 a 38; národná porota BE.</w:t>
      </w:r>
    </w:p>
  </w:endnote>
  <w:endnote w:id="111">
    <w:p>
      <w:pPr>
        <w:pStyle w:val="Notedefin"/>
        <w:suppressLineNumbers/>
        <w:spacing w:before="57" w:after="57"/>
        <w:ind w:left="339" w:right="0" w:hanging="339"/>
        <w:rPr/>
      </w:pPr>
      <w:r>
        <w:rPr>
          <w:rStyle w:val="Caractresdenotedefin"/>
        </w:rPr>
        <w:endnoteRef/>
      </w:r>
      <w:r>
        <w:rPr/>
        <w:tab/>
        <w:t>Pozmeňujúci a doplňujúci návrh č. 16C pracovnej skupiny.</w:t>
      </w:r>
    </w:p>
  </w:endnote>
  <w:endnote w:id="112">
    <w:p>
      <w:pPr>
        <w:pStyle w:val="Notedefin"/>
        <w:suppressLineNumbers/>
        <w:spacing w:before="57" w:after="57"/>
        <w:ind w:left="339" w:right="0" w:hanging="339"/>
        <w:rPr/>
      </w:pPr>
      <w:r>
        <w:rPr>
          <w:rStyle w:val="Caractresdenotedefin"/>
        </w:rPr>
        <w:endnoteRef/>
      </w:r>
      <w:r>
        <w:rPr/>
        <w:tab/>
        <w:t>Odporúčanie 33 ECP 2; národné panely BE, FR a NL.</w:t>
      </w:r>
    </w:p>
  </w:endnote>
  <w:endnote w:id="113">
    <w:p>
      <w:pPr>
        <w:pStyle w:val="Notedefin"/>
        <w:suppressLineNumbers/>
        <w:spacing w:before="57" w:after="57"/>
        <w:ind w:left="339" w:right="0" w:hanging="339"/>
        <w:rPr/>
      </w:pPr>
      <w:r>
        <w:rPr>
          <w:rStyle w:val="Caractresdenotedefin"/>
        </w:rPr>
        <w:endnoteRef/>
      </w:r>
      <w:r>
        <w:rPr/>
        <w:tab/>
        <w:t>Odporúčanie ECP č. 26 2.</w:t>
      </w:r>
    </w:p>
  </w:endnote>
  <w:endnote w:id="114">
    <w:p>
      <w:pPr>
        <w:pStyle w:val="Notedefin"/>
        <w:suppressLineNumbers/>
        <w:spacing w:before="57" w:after="57"/>
        <w:ind w:left="339" w:right="0" w:hanging="339"/>
        <w:rPr/>
      </w:pPr>
      <w:r>
        <w:rPr>
          <w:rStyle w:val="Caractresdenotedefin"/>
        </w:rPr>
        <w:endnoteRef/>
      </w:r>
      <w:r>
        <w:rPr/>
        <w:tab/>
        <w:t>Pozmeňujúci a doplňujúci návrh č. 17 pracovnej skupiny.</w:t>
      </w:r>
    </w:p>
  </w:endnote>
  <w:endnote w:id="115">
    <w:p>
      <w:pPr>
        <w:pStyle w:val="Notedefin"/>
        <w:suppressLineNumbers/>
        <w:spacing w:before="57" w:after="57"/>
        <w:ind w:left="339" w:right="0" w:hanging="339"/>
        <w:rPr/>
      </w:pPr>
      <w:r>
        <w:rPr>
          <w:rStyle w:val="Caractresdenotedefin"/>
        </w:rPr>
        <w:endnoteRef/>
      </w:r>
      <w:r>
        <w:rPr/>
        <w:tab/>
        <w:t>Národná porota BE.</w:t>
      </w:r>
    </w:p>
  </w:endnote>
  <w:endnote w:id="116">
    <w:p>
      <w:pPr>
        <w:pStyle w:val="Notedefin"/>
        <w:suppressLineNumbers/>
        <w:spacing w:before="57" w:after="57"/>
        <w:ind w:left="339" w:right="0" w:hanging="339"/>
        <w:rPr/>
      </w:pPr>
      <w:r>
        <w:rPr>
          <w:rStyle w:val="Caractresdenotedefin"/>
        </w:rPr>
        <w:endnoteRef/>
      </w:r>
      <w:r>
        <w:rPr/>
        <w:tab/>
        <w:t>Pozmeňujúci a doplňujúci návrh pracovnej skupiny č. 18A.</w:t>
      </w:r>
    </w:p>
  </w:endnote>
  <w:endnote w:id="117">
    <w:p>
      <w:pPr>
        <w:pStyle w:val="Notedefin"/>
        <w:suppressLineNumbers/>
        <w:spacing w:before="57" w:after="57"/>
        <w:ind w:left="339" w:right="0" w:hanging="339"/>
        <w:rPr/>
      </w:pPr>
      <w:r>
        <w:rPr>
          <w:rStyle w:val="Caractresdenotedefin"/>
        </w:rPr>
        <w:endnoteRef/>
      </w:r>
      <w:r>
        <w:rPr/>
        <w:tab/>
        <w:t>Odporúčanie ECP č. 252.</w:t>
      </w:r>
    </w:p>
  </w:endnote>
  <w:endnote w:id="118">
    <w:p>
      <w:pPr>
        <w:pStyle w:val="Notedefin"/>
        <w:suppressLineNumbers/>
        <w:spacing w:before="57" w:after="57"/>
        <w:ind w:left="339" w:right="0" w:hanging="339"/>
        <w:rPr/>
      </w:pPr>
      <w:r>
        <w:rPr>
          <w:rStyle w:val="Caractresdenotedefin"/>
        </w:rPr>
        <w:endnoteRef/>
      </w:r>
      <w:r>
        <w:rPr/>
        <w:tab/>
        <w:t>Pozmeňujúci a doplňujúci návrh č. 18B pracovnej skupiny.</w:t>
      </w:r>
    </w:p>
  </w:endnote>
  <w:endnote w:id="119">
    <w:p>
      <w:pPr>
        <w:pStyle w:val="Notedefin"/>
        <w:suppressLineNumbers/>
        <w:spacing w:before="57" w:after="57"/>
        <w:ind w:left="339" w:right="0" w:hanging="339"/>
        <w:rPr/>
      </w:pPr>
      <w:r>
        <w:rPr>
          <w:rStyle w:val="Caractresdenotedefin"/>
        </w:rPr>
        <w:endnoteRef/>
      </w:r>
      <w:r>
        <w:rPr/>
        <w:tab/>
        <w:t>Odporúčanie 31 ECP 2; národné panely BE a NL.</w:t>
      </w:r>
    </w:p>
  </w:endnote>
  <w:endnote w:id="120">
    <w:p>
      <w:pPr>
        <w:pStyle w:val="Notedefin"/>
        <w:suppressLineNumbers/>
        <w:spacing w:before="57" w:after="57"/>
        <w:ind w:left="339" w:right="0" w:hanging="339"/>
        <w:rPr/>
      </w:pPr>
      <w:r>
        <w:rPr>
          <w:rStyle w:val="Caractresdenotedefin"/>
        </w:rPr>
        <w:endnoteRef/>
      </w:r>
      <w:r>
        <w:rPr/>
        <w:tab/>
        <w:t>Pozmeňujúci a doplňujúci návrh č. 19A pracovnej skupiny, v ktorom sa preformuluje s cieľom vypracovať primeranejší text.</w:t>
      </w:r>
    </w:p>
  </w:endnote>
  <w:endnote w:id="121">
    <w:p>
      <w:pPr>
        <w:pStyle w:val="Notedefin"/>
        <w:suppressLineNumbers/>
        <w:spacing w:before="57" w:after="57"/>
        <w:ind w:left="339" w:right="0" w:hanging="339"/>
        <w:rPr/>
      </w:pPr>
      <w:r>
        <w:rPr>
          <w:rStyle w:val="Caractresdenotedefin"/>
        </w:rPr>
        <w:endnoteRef/>
      </w:r>
      <w:r>
        <w:rPr/>
        <w:tab/>
        <w:t>Pozmeňujúci a doplňujúci návrh č. 21 pracovnej skupiny, kompromisné znenie.</w:t>
      </w:r>
    </w:p>
  </w:endnote>
  <w:endnote w:id="122">
    <w:p>
      <w:pPr>
        <w:pStyle w:val="Notedefin"/>
        <w:suppressLineNumbers/>
        <w:spacing w:before="57" w:after="57"/>
        <w:ind w:left="339" w:right="0" w:hanging="339"/>
        <w:rPr/>
      </w:pPr>
      <w:r>
        <w:rPr>
          <w:rStyle w:val="Caractresdenotedefin"/>
        </w:rPr>
        <w:endnoteRef/>
      </w:r>
      <w:r>
        <w:rPr/>
        <w:tab/>
        <w:t>Národné panely BE a FR.</w:t>
      </w:r>
    </w:p>
  </w:endnote>
  <w:endnote w:id="123">
    <w:p>
      <w:pPr>
        <w:pStyle w:val="Notedefin"/>
        <w:suppressLineNumbers/>
        <w:spacing w:before="57" w:after="57"/>
        <w:ind w:left="339" w:right="0" w:hanging="339"/>
        <w:rPr/>
      </w:pPr>
      <w:r>
        <w:rPr>
          <w:rStyle w:val="Caractresdenotedefin"/>
        </w:rPr>
        <w:endnoteRef/>
      </w:r>
      <w:r>
        <w:rPr/>
        <w:tab/>
        <w:t>Pozmeňujúci a doplňujúci návrh č. 23B pracovnej skupiny.</w:t>
      </w:r>
    </w:p>
  </w:endnote>
  <w:endnote w:id="124">
    <w:p>
      <w:pPr>
        <w:pStyle w:val="Notedefin"/>
        <w:suppressLineNumbers/>
        <w:spacing w:before="57" w:after="57"/>
        <w:ind w:left="339" w:right="0" w:hanging="339"/>
        <w:rPr/>
      </w:pPr>
      <w:r>
        <w:rPr>
          <w:rStyle w:val="Caractresdenotedefin"/>
        </w:rPr>
        <w:endnoteRef/>
      </w:r>
      <w:r>
        <w:rPr/>
        <w:tab/>
        <w:t>Odporúčanie 27 ECP 2; národná porota BE.</w:t>
      </w:r>
    </w:p>
  </w:endnote>
  <w:endnote w:id="125">
    <w:p>
      <w:pPr>
        <w:pStyle w:val="Notedefin"/>
        <w:suppressLineNumbers/>
        <w:spacing w:before="57" w:after="57"/>
        <w:ind w:left="339" w:right="0" w:hanging="339"/>
        <w:rPr/>
      </w:pPr>
      <w:r>
        <w:rPr>
          <w:rStyle w:val="Caractresdenotedefin"/>
        </w:rPr>
        <w:endnoteRef/>
      </w:r>
      <w:r>
        <w:rPr/>
        <w:tab/>
        <w:t>Pozmeňujúci a doplňujúci návrh č. 25C pracovnej skupiny.</w:t>
      </w:r>
    </w:p>
  </w:endnote>
  <w:endnote w:id="126">
    <w:p>
      <w:pPr>
        <w:pStyle w:val="Notedefin"/>
        <w:suppressLineNumbers/>
        <w:spacing w:before="57" w:after="57"/>
        <w:ind w:left="339" w:right="0" w:hanging="339"/>
        <w:rPr/>
      </w:pPr>
      <w:r>
        <w:rPr>
          <w:rStyle w:val="Caractresdenotedefin"/>
        </w:rPr>
        <w:endnoteRef/>
      </w:r>
      <w:r>
        <w:rPr/>
        <w:tab/>
        <w:t>Odporúčanie 14 ECP.</w:t>
      </w:r>
    </w:p>
  </w:endnote>
  <w:endnote w:id="127">
    <w:p>
      <w:pPr>
        <w:pStyle w:val="Notedefin"/>
        <w:suppressLineNumbers/>
        <w:spacing w:before="57" w:after="57"/>
        <w:ind w:left="339" w:right="0" w:hanging="339"/>
        <w:rPr/>
      </w:pPr>
      <w:r>
        <w:rPr>
          <w:rStyle w:val="Caractresdenotedefin"/>
        </w:rPr>
        <w:endnoteRef/>
      </w:r>
      <w:r>
        <w:rPr/>
        <w:tab/>
        <w:t>Odporúčanie ECP č. 18. POZN.: Zástupcovia občanov vysvetlili, že tento mechanizmus by sa mal navrhnúť a používať opatrne.</w:t>
      </w:r>
    </w:p>
  </w:endnote>
  <w:endnote w:id="128">
    <w:p>
      <w:pPr>
        <w:pStyle w:val="Notedefin"/>
        <w:suppressLineNumbers/>
        <w:spacing w:before="57" w:after="57"/>
        <w:ind w:left="339" w:right="0" w:hanging="339"/>
        <w:rPr/>
      </w:pPr>
      <w:r>
        <w:rPr>
          <w:rStyle w:val="Caractresdenotedefin"/>
        </w:rPr>
        <w:endnoteRef/>
      </w:r>
      <w:r>
        <w:rPr/>
        <w:tab/>
        <w:t>Pozmeňujúce a doplňujúce návrhy č. 28E, 28G a 28H pracovnej skupiny.</w:t>
      </w:r>
    </w:p>
  </w:endnote>
  <w:endnote w:id="129">
    <w:p>
      <w:pPr>
        <w:pStyle w:val="Notedefin"/>
        <w:suppressLineNumbers/>
        <w:spacing w:before="57" w:after="57"/>
        <w:ind w:left="339" w:right="0" w:hanging="339"/>
        <w:rPr/>
      </w:pPr>
      <w:r>
        <w:rPr>
          <w:rStyle w:val="Caractresdenotedefin"/>
        </w:rPr>
        <w:endnoteRef/>
      </w:r>
      <w:r>
        <w:rPr/>
        <w:tab/>
        <w:t>Odporúčanie 16 ECP 2; NL Národný panel č. 20 rozdelený na nadnárodné zoznamy.</w:t>
      </w:r>
    </w:p>
  </w:endnote>
  <w:endnote w:id="130">
    <w:p>
      <w:pPr>
        <w:pStyle w:val="Notedefin"/>
        <w:suppressLineNumbers/>
        <w:spacing w:before="57" w:after="57"/>
        <w:ind w:left="339" w:right="0" w:hanging="339"/>
        <w:rPr/>
      </w:pPr>
      <w:r>
        <w:rPr>
          <w:rStyle w:val="Caractresdenotedefin"/>
        </w:rPr>
        <w:endnoteRef/>
      </w:r>
      <w:r>
        <w:rPr/>
        <w:tab/>
        <w:t>Na základe odporúčania 16 ECP 2; diskusia v GT.</w:t>
      </w:r>
    </w:p>
  </w:endnote>
  <w:endnote w:id="131">
    <w:p>
      <w:pPr>
        <w:pStyle w:val="Notedefin"/>
        <w:suppressLineNumbers/>
        <w:spacing w:before="57" w:after="57"/>
        <w:ind w:left="339" w:right="0" w:hanging="339"/>
        <w:rPr/>
      </w:pPr>
      <w:r>
        <w:rPr>
          <w:rStyle w:val="Caractresdenotedefin"/>
        </w:rPr>
        <w:endnoteRef/>
      </w:r>
      <w:r>
        <w:rPr/>
        <w:tab/>
        <w:t>Odporúčanie ECP 2 č. 19 a multilingválna digitálna platforma (MNP).</w:t>
      </w:r>
    </w:p>
  </w:endnote>
  <w:endnote w:id="132">
    <w:p>
      <w:pPr>
        <w:pStyle w:val="Notedefin"/>
        <w:suppressLineNumbers/>
        <w:spacing w:before="57" w:after="57"/>
        <w:ind w:left="339" w:right="0" w:hanging="339"/>
        <w:rPr/>
      </w:pPr>
      <w:r>
        <w:rPr>
          <w:rStyle w:val="Caractresdenotedefin"/>
        </w:rPr>
        <w:endnoteRef/>
      </w:r>
      <w:r>
        <w:rPr/>
        <w:tab/>
        <w:t>EHSV.</w:t>
      </w:r>
    </w:p>
  </w:endnote>
  <w:endnote w:id="133">
    <w:p>
      <w:pPr>
        <w:pStyle w:val="Notedefin"/>
        <w:suppressLineNumbers/>
        <w:spacing w:before="57" w:after="57"/>
        <w:ind w:left="339" w:right="0" w:hanging="339"/>
        <w:rPr/>
      </w:pPr>
      <w:r>
        <w:rPr>
          <w:rStyle w:val="Caractresdenotedefin"/>
        </w:rPr>
        <w:endnoteRef/>
      </w:r>
      <w:r>
        <w:rPr/>
        <w:tab/>
        <w:t>Pozmeňujúci a doplňujúci návrh č. 32B pracovnej skupiny.</w:t>
      </w:r>
    </w:p>
  </w:endnote>
  <w:endnote w:id="134">
    <w:p>
      <w:pPr>
        <w:pStyle w:val="Notedefin"/>
        <w:suppressLineNumbers/>
        <w:spacing w:before="57" w:after="57"/>
        <w:ind w:left="339" w:right="0" w:hanging="339"/>
        <w:rPr/>
      </w:pPr>
      <w:r>
        <w:rPr>
          <w:rStyle w:val="Caractresdenotedefin"/>
        </w:rPr>
        <w:endnoteRef/>
      </w:r>
      <w:r>
        <w:rPr/>
        <w:tab/>
        <w:t>Odporúčanie 36 ECP 2; národné panely BE a FR.</w:t>
      </w:r>
    </w:p>
  </w:endnote>
  <w:endnote w:id="135">
    <w:p>
      <w:pPr>
        <w:pStyle w:val="Notedefin"/>
        <w:suppressLineNumbers/>
        <w:spacing w:before="57" w:after="57"/>
        <w:ind w:left="339" w:right="0" w:hanging="339"/>
        <w:rPr/>
      </w:pPr>
      <w:r>
        <w:rPr>
          <w:rStyle w:val="Caractresdenotedefin"/>
        </w:rPr>
        <w:endnoteRef/>
      </w:r>
      <w:r>
        <w:rPr/>
        <w:tab/>
        <w:t>Národná porota FR („Voľba predsedu Európskej komisie vo všeobecných voľbách“); PNM (záverečná správa Kantara: skupina príspevkov sa týka priamej voľby predsedu Komisie občanmi).</w:t>
      </w:r>
    </w:p>
  </w:endnote>
  <w:endnote w:id="136">
    <w:p>
      <w:pPr>
        <w:pStyle w:val="Notedefin"/>
        <w:suppressLineNumbers/>
        <w:spacing w:before="57" w:after="57"/>
        <w:ind w:left="339" w:right="0" w:hanging="339"/>
        <w:rPr/>
      </w:pPr>
      <w:r>
        <w:rPr>
          <w:rStyle w:val="Caractresdenotedefin"/>
        </w:rPr>
        <w:endnoteRef/>
      </w:r>
      <w:r>
        <w:rPr/>
        <w:tab/>
        <w:t>Pozmeňujúci a doplňujúci návrh č. 34C pracovnej skupiny.</w:t>
      </w:r>
    </w:p>
  </w:endnote>
  <w:endnote w:id="137">
    <w:p>
      <w:pPr>
        <w:pStyle w:val="Notedefin"/>
        <w:suppressLineNumbers/>
        <w:spacing w:before="57" w:after="57"/>
        <w:ind w:left="339" w:right="0" w:hanging="339"/>
        <w:rPr/>
      </w:pPr>
      <w:r>
        <w:rPr>
          <w:rStyle w:val="Caractresdenotedefin"/>
        </w:rPr>
        <w:endnoteRef/>
      </w:r>
      <w:r>
        <w:rPr/>
        <w:tab/>
        <w:t>Národná porota BE (3.2), národná porota FR (11) PNM (záverečná správa Kantar: „Pokiaľ ide o Európsky parlament, prispievatelia najčastejšie požadujú, aby mu bola udelená skutočná právomoc legislatívnej iniciatívy“.</w:t>
      </w:r>
    </w:p>
  </w:endnote>
  <w:endnote w:id="138">
    <w:p>
      <w:pPr>
        <w:pStyle w:val="Notedefin"/>
        <w:suppressLineNumbers/>
        <w:spacing w:before="57" w:after="57"/>
        <w:ind w:left="339" w:right="0" w:hanging="339"/>
        <w:rPr/>
      </w:pPr>
      <w:r>
        <w:rPr>
          <w:rStyle w:val="Caractresdenotedefin"/>
        </w:rPr>
        <w:endnoteRef/>
      </w:r>
      <w:r>
        <w:rPr/>
        <w:tab/>
        <w:t>PNM (záverečná správa Kantara: „Pokiaľ ide o Európsky parlament, (...) existujú aj žiadosti o udelenie rozpočtových právomocí“.</w:t>
      </w:r>
    </w:p>
  </w:endnote>
  <w:endnote w:id="139">
    <w:p>
      <w:pPr>
        <w:pStyle w:val="Notedefin"/>
        <w:suppressLineNumbers/>
        <w:spacing w:before="57" w:after="57"/>
        <w:ind w:left="339" w:right="0" w:hanging="339"/>
        <w:rPr/>
      </w:pPr>
      <w:r>
        <w:rPr>
          <w:rStyle w:val="Caractresdenotedefin"/>
        </w:rPr>
        <w:endnoteRef/>
      </w:r>
      <w:r>
        <w:rPr/>
        <w:tab/>
        <w:t>PNM (záverečná správa Kantara: Podľa iného príspevku by sa strany mali stať prístupnejšími pre ľudí z rôznych kultúrnych alebo sociálno-ekonomických prostredí.</w:t>
      </w:r>
    </w:p>
  </w:endnote>
  <w:endnote w:id="140">
    <w:p>
      <w:pPr>
        <w:pStyle w:val="Notedefin"/>
        <w:suppressLineNumbers/>
        <w:spacing w:before="57" w:after="57"/>
        <w:ind w:left="339" w:right="0" w:hanging="339"/>
        <w:rPr/>
      </w:pPr>
      <w:r>
        <w:rPr>
          <w:rStyle w:val="Caractresdenotedefin"/>
        </w:rPr>
        <w:endnoteRef/>
      </w:r>
      <w:r>
        <w:rPr/>
        <w:tab/>
        <w:t>VR v pracovnej skupine.</w:t>
      </w:r>
    </w:p>
  </w:endnote>
  <w:endnote w:id="141">
    <w:p>
      <w:pPr>
        <w:pStyle w:val="Notedefin"/>
        <w:suppressLineNumbers/>
        <w:spacing w:before="57" w:after="57"/>
        <w:ind w:left="339" w:right="0" w:hanging="339"/>
        <w:rPr/>
      </w:pPr>
      <w:r>
        <w:rPr>
          <w:rStyle w:val="Caractresdenotedefin"/>
        </w:rPr>
        <w:endnoteRef/>
      </w:r>
      <w:r>
        <w:rPr/>
        <w:tab/>
        <w:t>Pozmeňujúci a doplňujúci návrh 38 pracovnej skupiny, kompromisné znenie.</w:t>
      </w:r>
    </w:p>
  </w:endnote>
  <w:endnote w:id="142">
    <w:p>
      <w:pPr>
        <w:pStyle w:val="Notedefin"/>
        <w:suppressLineNumbers/>
        <w:spacing w:before="57" w:after="57"/>
        <w:ind w:left="339" w:right="0" w:hanging="339"/>
        <w:rPr/>
      </w:pPr>
      <w:r>
        <w:rPr>
          <w:rStyle w:val="Caractresdenotedefin"/>
        </w:rPr>
        <w:endnoteRef/>
      </w:r>
      <w:r>
        <w:rPr/>
        <w:tab/>
        <w:t>Odporúčanie ECP č. 20 2.</w:t>
      </w:r>
    </w:p>
  </w:endnote>
  <w:endnote w:id="143">
    <w:p>
      <w:pPr>
        <w:pStyle w:val="Notedefin"/>
        <w:suppressLineNumbers/>
        <w:spacing w:before="57" w:after="57"/>
        <w:ind w:left="339" w:right="0" w:hanging="339"/>
        <w:rPr/>
      </w:pPr>
      <w:r>
        <w:rPr>
          <w:rStyle w:val="Caractresdenotedefin"/>
        </w:rPr>
        <w:endnoteRef/>
      </w:r>
      <w:r>
        <w:rPr/>
        <w:tab/>
        <w:t>Odporúčanie ECP č. 21 4.</w:t>
      </w:r>
    </w:p>
  </w:endnote>
  <w:endnote w:id="144">
    <w:p>
      <w:pPr>
        <w:pStyle w:val="Notedefin"/>
        <w:suppressLineNumbers/>
        <w:spacing w:before="57" w:after="57"/>
        <w:ind w:left="339" w:right="0" w:hanging="339"/>
        <w:rPr/>
      </w:pPr>
      <w:r>
        <w:rPr>
          <w:rStyle w:val="Caractresdenotedefin"/>
        </w:rPr>
        <w:endnoteRef/>
      </w:r>
      <w:r>
        <w:rPr/>
        <w:tab/>
        <w:t>Pozmeňujúci a doplňujúci návrh č. 43 pracovnej skupiny.</w:t>
      </w:r>
    </w:p>
  </w:endnote>
  <w:endnote w:id="145">
    <w:p>
      <w:pPr>
        <w:pStyle w:val="Notedefin"/>
        <w:suppressLineNumbers/>
        <w:spacing w:before="57" w:after="57"/>
        <w:ind w:left="339" w:right="0" w:hanging="339"/>
        <w:rPr/>
      </w:pPr>
      <w:r>
        <w:rPr>
          <w:rStyle w:val="Caractresdenotedefin"/>
        </w:rPr>
        <w:endnoteRef/>
      </w:r>
      <w:r>
        <w:rPr/>
        <w:tab/>
        <w:t>Odporúčanie 34 ECP 2; národný panel NL.</w:t>
      </w:r>
    </w:p>
  </w:endnote>
  <w:endnote w:id="146">
    <w:p>
      <w:pPr>
        <w:pStyle w:val="Notedefin"/>
        <w:suppressLineNumbers/>
        <w:spacing w:before="57" w:after="57"/>
        <w:ind w:left="339" w:right="0" w:hanging="339"/>
        <w:rPr/>
      </w:pPr>
      <w:r>
        <w:rPr>
          <w:rStyle w:val="Caractresdenotedefin"/>
        </w:rPr>
        <w:endnoteRef/>
      </w:r>
      <w:r>
        <w:rPr/>
        <w:tab/>
        <w:t>Diskusia pracovnej skupiny na základe odporúčania 34 ECP 2; národná porota NL; PNM (záverečná správa Kantara: „Podporuje sa aj zvýšenie transparentnosti a väčšej účasti občanov na rozhodovacom procese EÚ“.</w:t>
      </w:r>
    </w:p>
  </w:endnote>
  <w:endnote w:id="147">
    <w:p>
      <w:pPr>
        <w:pStyle w:val="Notedefin"/>
        <w:suppressLineNumbers/>
        <w:spacing w:before="57" w:after="57"/>
        <w:ind w:left="339" w:right="0" w:hanging="339"/>
        <w:rPr/>
      </w:pPr>
      <w:r>
        <w:rPr>
          <w:rStyle w:val="Caractresdenotedefin"/>
        </w:rPr>
        <w:endnoteRef/>
      </w:r>
      <w:r>
        <w:rPr/>
        <w:tab/>
        <w:t>Pozmeňujúci a doplňujúci návrh č. 44A pracovnej skupiny.</w:t>
      </w:r>
    </w:p>
  </w:endnote>
  <w:endnote w:id="148">
    <w:p>
      <w:pPr>
        <w:pStyle w:val="Notedefin"/>
        <w:suppressLineNumbers/>
        <w:spacing w:before="57" w:after="57"/>
        <w:ind w:left="339" w:right="0" w:hanging="339"/>
        <w:rPr/>
      </w:pPr>
      <w:r>
        <w:rPr>
          <w:rStyle w:val="Caractresdenotedefin"/>
        </w:rPr>
        <w:endnoteRef/>
      </w:r>
      <w:r>
        <w:rPr/>
        <w:tab/>
        <w:t>Diskusia pracovnej skupiny (prezentácia národných parlamentov a VR).</w:t>
      </w:r>
    </w:p>
  </w:endnote>
  <w:endnote w:id="149">
    <w:p>
      <w:pPr>
        <w:pStyle w:val="Notedefin"/>
        <w:suppressLineNumbers/>
        <w:spacing w:before="57" w:after="57"/>
        <w:ind w:left="339" w:right="0" w:hanging="339"/>
        <w:rPr/>
      </w:pPr>
      <w:r>
        <w:rPr>
          <w:rStyle w:val="Caractresdenotedefin"/>
        </w:rPr>
        <w:endnoteRef/>
      </w:r>
      <w:r>
        <w:rPr/>
        <w:tab/>
        <w:t>Pozmeňujúci a doplňujúci návrh č. 45C pracovnej skupiny.</w:t>
      </w:r>
    </w:p>
  </w:endnote>
  <w:endnote w:id="150">
    <w:p>
      <w:pPr>
        <w:pStyle w:val="Notedefin"/>
        <w:suppressLineNumbers/>
        <w:spacing w:before="57" w:after="57"/>
        <w:ind w:left="339" w:right="0" w:hanging="339"/>
        <w:rPr/>
      </w:pPr>
      <w:r>
        <w:rPr>
          <w:rStyle w:val="Caractresdenotedefin"/>
        </w:rPr>
        <w:endnoteRef/>
      </w:r>
      <w:r>
        <w:rPr/>
        <w:tab/>
        <w:t>Pozmeňujúci a doplňujúci návrh č. 46B pracovnej skupiny.</w:t>
      </w:r>
    </w:p>
  </w:endnote>
  <w:endnote w:id="151">
    <w:p>
      <w:pPr>
        <w:pStyle w:val="Notedefin"/>
        <w:suppressLineNumbers/>
        <w:spacing w:before="57" w:after="57"/>
        <w:ind w:left="339" w:right="0" w:hanging="339"/>
        <w:rPr/>
      </w:pPr>
      <w:r>
        <w:rPr>
          <w:rStyle w:val="Caractresdenotedefin"/>
        </w:rPr>
        <w:endnoteRef/>
      </w:r>
      <w:r>
        <w:rPr/>
        <w:tab/>
        <w:t>Odporúčanie ECP č. 15 2.</w:t>
      </w:r>
    </w:p>
  </w:endnote>
  <w:endnote w:id="152">
    <w:p>
      <w:pPr>
        <w:pStyle w:val="Notedefin"/>
        <w:suppressLineNumbers/>
        <w:spacing w:before="57" w:after="57"/>
        <w:ind w:left="339" w:right="0" w:hanging="339"/>
        <w:rPr/>
      </w:pPr>
      <w:r>
        <w:rPr>
          <w:rStyle w:val="Caractresdenotedefin"/>
        </w:rPr>
        <w:endnoteRef/>
      </w:r>
      <w:r>
        <w:rPr/>
        <w:tab/>
        <w:t>Diskusia pracovnej skupiny založená na potrebe vyjadrenej v odporúčaní 15 ECP 2 „objasniť funkcie európskych inštitúcií“; PNM (záverečná správa Kantara: „Existujú aj návrhy na prehĺbenie dvojkomorovej legislatívnej moci v EÚ.“)</w:t>
      </w:r>
    </w:p>
  </w:endnote>
  <w:endnote w:id="153">
    <w:p>
      <w:pPr>
        <w:pStyle w:val="Notedefin"/>
        <w:suppressLineNumbers/>
        <w:spacing w:before="57" w:after="57"/>
        <w:ind w:left="339" w:right="0" w:hanging="339"/>
        <w:rPr/>
      </w:pPr>
      <w:r>
        <w:rPr>
          <w:rStyle w:val="Caractresdenotedefin"/>
        </w:rPr>
        <w:endnoteRef/>
      </w:r>
      <w:r>
        <w:rPr/>
        <w:tab/>
        <w:t>Pozmeňujúci a doplňujúci návrh č. 48B pracovnej skupiny.</w:t>
      </w:r>
    </w:p>
  </w:endnote>
  <w:endnote w:id="154">
    <w:p>
      <w:pPr>
        <w:pStyle w:val="Notedefin"/>
        <w:suppressLineNumbers/>
        <w:spacing w:before="57" w:after="57"/>
        <w:ind w:left="339" w:right="0" w:hanging="339"/>
        <w:rPr/>
      </w:pPr>
      <w:r>
        <w:rPr>
          <w:rStyle w:val="Caractresdenotedefin"/>
        </w:rPr>
        <w:endnoteRef/>
      </w:r>
      <w:r>
        <w:rPr/>
        <w:tab/>
        <w:t>Odporúčanie ECP č. 15 2.</w:t>
      </w:r>
    </w:p>
  </w:endnote>
  <w:endnote w:id="155">
    <w:p>
      <w:pPr>
        <w:pStyle w:val="Notedefin"/>
        <w:suppressLineNumbers/>
        <w:spacing w:before="57" w:after="57"/>
        <w:ind w:left="339" w:right="0" w:hanging="339"/>
        <w:rPr/>
      </w:pPr>
      <w:r>
        <w:rPr>
          <w:rStyle w:val="Caractresdenotedefin"/>
        </w:rPr>
        <w:endnoteRef/>
      </w:r>
      <w:r>
        <w:rPr/>
        <w:tab/>
        <w:t>Diskusia v pracovnej skupine.</w:t>
      </w:r>
    </w:p>
  </w:endnote>
  <w:endnote w:id="156">
    <w:p>
      <w:pPr>
        <w:pStyle w:val="Notedefin"/>
        <w:suppressLineNumbers/>
        <w:spacing w:before="57" w:after="57"/>
        <w:ind w:left="339" w:right="0" w:hanging="339"/>
        <w:rPr/>
      </w:pPr>
      <w:r>
        <w:rPr>
          <w:rStyle w:val="Caractresdenotedefin"/>
        </w:rPr>
        <w:endnoteRef/>
      </w:r>
      <w:r>
        <w:rPr/>
        <w:tab/>
        <w:t>Pozmeňujúci a doplňujúci návrh č. 52A pracovnej skupiny.</w:t>
      </w:r>
    </w:p>
  </w:endnote>
  <w:endnote w:id="157">
    <w:p>
      <w:pPr>
        <w:pStyle w:val="Notedefin"/>
        <w:suppressLineNumbers/>
        <w:spacing w:before="57" w:after="57"/>
        <w:ind w:left="339" w:right="0" w:hanging="339"/>
        <w:rPr/>
      </w:pPr>
      <w:r>
        <w:rPr>
          <w:rStyle w:val="Caractresdenotedefin"/>
        </w:rPr>
        <w:endnoteRef/>
      </w:r>
      <w:r>
        <w:rPr/>
        <w:tab/>
        <w:t>EHSV, kompromisná formulácia.</w:t>
      </w:r>
    </w:p>
  </w:endnote>
  <w:endnote w:id="158">
    <w:p>
      <w:pPr>
        <w:pStyle w:val="Notedefin"/>
        <w:suppressLineNumbers/>
        <w:spacing w:before="57" w:after="57"/>
        <w:ind w:left="339" w:right="0" w:hanging="339"/>
        <w:rPr/>
      </w:pPr>
      <w:r>
        <w:rPr>
          <w:rStyle w:val="Caractresdenotedefin"/>
        </w:rPr>
        <w:endnoteRef/>
      </w:r>
      <w:r>
        <w:rPr/>
        <w:tab/>
        <w:t>Odporúčanie 35 ECP, národný panel FR a kombinované zmeny WG 51C a 51D.</w:t>
      </w:r>
    </w:p>
  </w:endnote>
  <w:endnote w:id="159">
    <w:p>
      <w:pPr>
        <w:pStyle w:val="Notedefin"/>
        <w:suppressLineNumbers/>
        <w:spacing w:before="57" w:after="57"/>
        <w:ind w:left="339" w:right="0" w:hanging="339"/>
        <w:rPr/>
      </w:pPr>
      <w:r>
        <w:rPr>
          <w:rStyle w:val="Caractresdenotedefin"/>
        </w:rPr>
        <w:endnoteRef/>
      </w:r>
      <w:r>
        <w:rPr/>
        <w:tab/>
        <w:t>Pozmeňujúci a doplňujúci návrh č. 53D pracovnej skupiny.</w:t>
      </w:r>
    </w:p>
  </w:endnote>
  <w:endnote w:id="160">
    <w:p>
      <w:pPr>
        <w:pStyle w:val="Notedefin"/>
        <w:suppressLineNumbers/>
        <w:spacing w:before="57" w:after="57"/>
        <w:ind w:left="339" w:right="0" w:hanging="339"/>
        <w:rPr/>
      </w:pPr>
      <w:r>
        <w:rPr>
          <w:rStyle w:val="Caractresdenotedefin"/>
        </w:rPr>
        <w:endnoteRef/>
      </w:r>
      <w:r>
        <w:rPr/>
        <w:tab/>
        <w:t>Diskusia v pracovnej skupine; národných parlamentov.</w:t>
      </w:r>
    </w:p>
  </w:endnote>
  <w:endnote w:id="161">
    <w:p>
      <w:pPr>
        <w:pStyle w:val="Notedefin"/>
        <w:spacing w:before="57" w:after="57"/>
        <w:rPr/>
      </w:pPr>
      <w:r>
        <w:rPr>
          <w:rStyle w:val="Caractresdenotedefin"/>
        </w:rPr>
        <w:endnoteRef/>
      </w:r>
      <w:r>
        <w:rPr/>
        <w:tab/>
        <w:t>Diskusia v pracovnej skupine; VR a EHSV; Záverečná správa Kantar, s. 85.</w:t>
      </w:r>
    </w:p>
  </w:endnote>
  <w:endnote w:id="162">
    <w:p>
      <w:pPr>
        <w:pStyle w:val="Notedefin"/>
        <w:suppressLineNumbers/>
        <w:spacing w:before="57" w:after="57"/>
        <w:ind w:left="339" w:right="0" w:hanging="339"/>
        <w:rPr/>
      </w:pPr>
      <w:r>
        <w:rPr>
          <w:rStyle w:val="Caractresdenotedefin"/>
        </w:rPr>
        <w:endnoteRef/>
      </w:r>
      <w:r>
        <w:rPr/>
        <w:tab/>
        <w:t>Pozmeňujúci a doplňujúci návrh č. 58B pracovnej skupiny.</w:t>
      </w:r>
    </w:p>
  </w:endnote>
  <w:endnote w:id="163">
    <w:p>
      <w:pPr>
        <w:pStyle w:val="Notedefin"/>
        <w:suppressLineNumbers/>
        <w:spacing w:before="57" w:after="57"/>
        <w:ind w:left="339" w:right="0" w:hanging="339"/>
        <w:rPr/>
      </w:pPr>
      <w:r>
        <w:rPr>
          <w:rStyle w:val="Caractresdenotedefin"/>
        </w:rPr>
        <w:endnoteRef/>
      </w:r>
      <w:r>
        <w:rPr/>
        <w:tab/>
        <w:t>Pozmeňujúci a doplňujúci návrh č. 59B pracovnej skupiny.</w:t>
      </w:r>
    </w:p>
  </w:endnote>
  <w:endnote w:id="164">
    <w:p>
      <w:pPr>
        <w:pStyle w:val="Notedefin"/>
        <w:suppressLineNumbers/>
        <w:spacing w:before="57" w:after="57"/>
        <w:ind w:left="339" w:right="0" w:hanging="339"/>
        <w:rPr/>
      </w:pPr>
      <w:r>
        <w:rPr>
          <w:rStyle w:val="Caractresdenotedefin"/>
        </w:rPr>
        <w:endnoteRef/>
      </w:r>
      <w:r>
        <w:rPr/>
        <w:tab/>
        <w:t>Diskusia v pracovnej skupine; sociálnych partnerov a ďalších členov.</w:t>
      </w:r>
    </w:p>
  </w:endnote>
  <w:endnote w:id="165">
    <w:p>
      <w:pPr>
        <w:pStyle w:val="Notedefin"/>
        <w:suppressLineNumbers/>
        <w:spacing w:before="57" w:after="57"/>
        <w:ind w:left="339" w:right="0" w:hanging="339"/>
        <w:rPr/>
      </w:pPr>
      <w:r>
        <w:rPr>
          <w:rStyle w:val="Caractresdenotedefin"/>
        </w:rPr>
        <w:endnoteRef/>
      </w:r>
      <w:r>
        <w:rPr/>
        <w:tab/>
        <w:t>Pozmeňujúci a doplňujúci návrh 63A pracovnej skupiny, kompromisné znenie.</w:t>
      </w:r>
    </w:p>
  </w:endnote>
  <w:endnote w:id="166">
    <w:p>
      <w:pPr>
        <w:pStyle w:val="Notedefin"/>
        <w:suppressLineNumbers/>
        <w:spacing w:before="57" w:after="57"/>
        <w:ind w:left="339" w:right="0" w:hanging="339"/>
        <w:rPr/>
      </w:pPr>
      <w:r>
        <w:rPr>
          <w:rStyle w:val="Caractresdenotedefin"/>
        </w:rPr>
        <w:endnoteRef/>
      </w:r>
      <w:r>
        <w:rPr/>
        <w:tab/>
        <w:t>Odporúčania občanov, z ktorých návrh vychádza: Európsky panel občanov č. 4 (ECP 4) č.</w:t>
      </w:r>
      <w:r>
        <w:rPr>
          <w:vertAlign w:val="superscript"/>
        </w:rPr>
        <w:t>6</w:t>
      </w:r>
      <w:r>
        <w:rPr/>
        <w:t>, 7, 9, 28 a 30, Litva č. 9.</w:t>
      </w:r>
    </w:p>
  </w:endnote>
  <w:endnote w:id="167">
    <w:p>
      <w:pPr>
        <w:pStyle w:val="Notedefin"/>
        <w:suppressLineNumbers/>
        <w:spacing w:before="57" w:after="57"/>
        <w:ind w:left="339" w:right="0" w:hanging="339"/>
        <w:rPr/>
      </w:pPr>
      <w:r>
        <w:rPr>
          <w:rStyle w:val="Caractresdenotedefin"/>
        </w:rPr>
        <w:endnoteRef/>
      </w:r>
      <w:r>
        <w:rPr/>
        <w:tab/>
        <w:t>Odporúčania občanov, z ktorých návrh vychádza: Európsky panel občanov č. 4 (ECP 4) č.</w:t>
      </w:r>
      <w:r>
        <w:rPr>
          <w:vertAlign w:val="superscript"/>
        </w:rPr>
        <w:t>8</w:t>
      </w:r>
      <w:r>
        <w:rPr/>
        <w:t xml:space="preserve"> a 27, Litva č. 10, Holandsko č. 3.</w:t>
      </w:r>
    </w:p>
  </w:endnote>
  <w:endnote w:id="168">
    <w:p>
      <w:pPr>
        <w:pStyle w:val="Notedefin"/>
        <w:suppressLineNumbers/>
        <w:spacing w:before="57" w:after="57"/>
        <w:ind w:left="339" w:right="0" w:hanging="339"/>
        <w:rPr/>
      </w:pPr>
      <w:r>
        <w:rPr>
          <w:rStyle w:val="Caractresdenotedefin"/>
        </w:rPr>
        <w:endnoteRef/>
      </w:r>
      <w:r>
        <w:rPr/>
        <w:tab/>
        <w:t>Odporúčania občanov, z ktorých návrh vychádza: Európsky panel občanov č. 4 (PCE 4)</w:t>
      </w:r>
      <w:r>
        <w:rPr>
          <w:vertAlign w:val="superscript"/>
        </w:rPr>
        <w:t>č.</w:t>
      </w:r>
      <w:r>
        <w:rPr/>
        <w:t xml:space="preserve"> 10, 35 a 38.</w:t>
      </w:r>
    </w:p>
  </w:endnote>
  <w:endnote w:id="169">
    <w:p>
      <w:pPr>
        <w:pStyle w:val="Notedefin"/>
        <w:suppressLineNumbers/>
        <w:spacing w:before="57" w:after="57"/>
        <w:ind w:left="339" w:right="0" w:hanging="339"/>
        <w:rPr/>
      </w:pPr>
      <w:r>
        <w:rPr>
          <w:rStyle w:val="Caractresdenotedefin"/>
        </w:rPr>
        <w:endnoteRef/>
      </w:r>
      <w:r>
        <w:rPr/>
        <w:tab/>
        <w:t>Odporúčania občanov, z ktorých návrh vychádza: Európsky panel občanov č. 4 (ECP 4) č.</w:t>
      </w:r>
      <w:r>
        <w:rPr>
          <w:vertAlign w:val="superscript"/>
        </w:rPr>
        <w:t>29</w:t>
      </w:r>
      <w:r>
        <w:rPr/>
        <w:t>, 31, 33, 36, 37, 38, 39 a 40, Taliansko</w:t>
      </w:r>
      <w:r>
        <w:rPr>
          <w:vertAlign w:val="superscript"/>
        </w:rPr>
        <w:t>č.</w:t>
      </w:r>
      <w:r>
        <w:rPr/>
        <w:t xml:space="preserve"> 3.8, 4.4 (s. 15) a 5.6 (s. 11), Litva</w:t>
      </w:r>
      <w:r>
        <w:rPr>
          <w:vertAlign w:val="superscript"/>
        </w:rPr>
        <w:t>č.</w:t>
      </w:r>
      <w:r>
        <w:rPr/>
        <w:t xml:space="preserve"> 2 a 3, Holandsko č. 1 a 2.</w:t>
      </w:r>
    </w:p>
  </w:endnote>
  <w:endnote w:id="170">
    <w:p>
      <w:pPr>
        <w:pStyle w:val="Notedefin"/>
        <w:spacing w:before="57" w:after="57"/>
        <w:rPr/>
      </w:pPr>
      <w:r>
        <w:rPr>
          <w:rStyle w:val="Caractresdenotedefin"/>
        </w:rPr>
        <w:endnoteRef/>
      </w:r>
      <w:r>
        <w:rPr/>
        <w:tab/>
        <w:t>Odporúčania občanov, z ktorých návrh vychádza: Európsky panel občanov č. 4 (PCE 4)</w:t>
      </w:r>
      <w:r>
        <w:rPr>
          <w:vertAlign w:val="superscript"/>
        </w:rPr>
        <w:t>č.</w:t>
      </w:r>
      <w:r>
        <w:rPr/>
        <w:t xml:space="preserve"> 7 a 32, Francúzsko č. 13.</w:t>
      </w:r>
    </w:p>
  </w:endnote>
  <w:endnote w:id="171">
    <w:p>
      <w:pPr>
        <w:pStyle w:val="Notedefin"/>
        <w:suppressLineNumbers/>
        <w:spacing w:before="57" w:after="57"/>
        <w:ind w:left="339" w:right="0" w:hanging="339"/>
        <w:rPr/>
      </w:pPr>
      <w:r>
        <w:rPr>
          <w:rStyle w:val="Caractresdenotedefin"/>
        </w:rPr>
        <w:endnoteRef/>
      </w:r>
      <w:r>
        <w:rPr/>
        <w:tab/>
        <w:t>Francúzsky PCN, zmena 6.</w:t>
      </w:r>
    </w:p>
  </w:endnote>
  <w:endnote w:id="172">
    <w:p>
      <w:pPr>
        <w:pStyle w:val="Notedefin"/>
        <w:suppressLineNumbers/>
        <w:spacing w:before="57" w:after="57"/>
        <w:ind w:left="339" w:right="0" w:hanging="339"/>
        <w:rPr/>
      </w:pPr>
      <w:r>
        <w:rPr>
          <w:rStyle w:val="Caractresdenotedefin"/>
        </w:rPr>
        <w:endnoteRef/>
      </w:r>
      <w:r>
        <w:rPr/>
        <w:tab/>
        <w:t>Odporúčanie ECP 37 1.</w:t>
      </w:r>
    </w:p>
  </w:endnote>
  <w:endnote w:id="173">
    <w:p>
      <w:pPr>
        <w:pStyle w:val="Notedefin"/>
        <w:suppressLineNumbers/>
        <w:spacing w:before="57" w:after="57"/>
        <w:ind w:left="339" w:right="0" w:hanging="339"/>
        <w:rPr/>
      </w:pPr>
      <w:r>
        <w:rPr>
          <w:rStyle w:val="Caractresdenotedefin"/>
        </w:rPr>
        <w:endnoteRef/>
      </w:r>
      <w:r>
        <w:rPr/>
        <w:tab/>
        <w:t>Odporúčanie 3 ECP. Francúzsky PCN, zmena 6.</w:t>
      </w:r>
    </w:p>
  </w:endnote>
  <w:endnote w:id="174">
    <w:p>
      <w:pPr>
        <w:pStyle w:val="Notedefin"/>
        <w:suppressLineNumbers/>
        <w:spacing w:before="57" w:after="57"/>
        <w:ind w:left="339" w:right="0" w:hanging="339"/>
        <w:rPr/>
      </w:pPr>
      <w:r>
        <w:rPr>
          <w:rStyle w:val="Caractresdenotedefin"/>
        </w:rPr>
        <w:endnoteRef/>
      </w:r>
      <w:r>
        <w:rPr/>
        <w:tab/>
        <w:t>Odporúčanie ECP 41 1.</w:t>
      </w:r>
    </w:p>
  </w:endnote>
  <w:endnote w:id="175">
    <w:p>
      <w:pPr>
        <w:pStyle w:val="Notedefin"/>
        <w:suppressLineNumbers/>
        <w:spacing w:before="57" w:after="57"/>
        <w:ind w:left="339" w:right="0" w:hanging="339"/>
        <w:rPr/>
      </w:pPr>
      <w:r>
        <w:rPr>
          <w:rStyle w:val="Caractresdenotedefin"/>
        </w:rPr>
        <w:endnoteRef/>
      </w:r>
      <w:r>
        <w:rPr/>
        <w:tab/>
        <w:t>Podrobnejšie o tom diskutuje pracovná skupina pre európsku demokraciu. Pozri odporúčanie č. 24 ECP 2, odporúčania 1.1, 1.2 a 2.12 belgického národného kontaktného miesta a talianske odporúčanie o politikách začleňovania.</w:t>
      </w:r>
    </w:p>
  </w:endnote>
  <w:endnote w:id="176">
    <w:p>
      <w:pPr>
        <w:pStyle w:val="Notedefin"/>
        <w:suppressLineNumbers/>
        <w:spacing w:before="57" w:after="57"/>
        <w:ind w:left="339" w:right="0" w:hanging="339"/>
        <w:rPr/>
      </w:pPr>
      <w:r>
        <w:rPr>
          <w:rStyle w:val="Caractresdenotedefin"/>
        </w:rPr>
        <w:endnoteRef/>
      </w:r>
      <w:r>
        <w:rPr/>
        <w:tab/>
        <w:t>Odporúčanie talianskeho národného kontaktného miesta týkajúce sa „politík začleňovania“.</w:t>
      </w:r>
    </w:p>
  </w:endnote>
  <w:endnote w:id="177">
    <w:p>
      <w:pPr>
        <w:pStyle w:val="Notedefin"/>
        <w:suppressLineNumbers/>
        <w:spacing w:before="57" w:after="57"/>
        <w:ind w:left="339" w:right="0" w:hanging="339"/>
        <w:rPr/>
      </w:pPr>
      <w:r>
        <w:rPr>
          <w:rStyle w:val="Caractresdenotedefin"/>
        </w:rPr>
        <w:endnoteRef/>
      </w:r>
      <w:r>
        <w:rPr/>
        <w:tab/>
        <w:t>Pracovná skupina pre digitálnu transformáciu o tom podrobnejšie diskutuje. Pozri odporúčania č. 8 a 34 ECP 1.</w:t>
      </w:r>
    </w:p>
  </w:endnote>
  <w:endnote w:id="178">
    <w:p>
      <w:pPr>
        <w:pStyle w:val="Notedefin"/>
        <w:suppressLineNumbers/>
        <w:spacing w:before="57" w:after="57"/>
        <w:ind w:left="339" w:right="0" w:hanging="339"/>
        <w:rPr/>
      </w:pPr>
      <w:r>
        <w:rPr>
          <w:rStyle w:val="Caractresdenotedefin"/>
        </w:rPr>
        <w:endnoteRef/>
      </w:r>
      <w:r>
        <w:rPr/>
        <w:tab/>
        <w:t>Odporúčanie talianskeho národného kontaktného miesta „Povzbudzovanie mladých ľudí k štúdiu vedeckých predmetov“.</w:t>
      </w:r>
    </w:p>
  </w:endnote>
  <w:endnote w:id="179">
    <w:p>
      <w:pPr>
        <w:pStyle w:val="Notedefin"/>
        <w:suppressLineNumbers/>
        <w:spacing w:before="57" w:after="57"/>
        <w:ind w:left="339" w:right="0" w:hanging="339"/>
        <w:rPr/>
      </w:pPr>
      <w:r>
        <w:rPr>
          <w:rStyle w:val="Caractresdenotedefin"/>
        </w:rPr>
        <w:endnoteRef/>
      </w:r>
      <w:r>
        <w:rPr/>
        <w:tab/>
        <w:t>Odporúčania PCE 33 a 48 1. Zaoberala sa aj pracovná skupina pre digitálnu transformáciu. Pozri odporúčanie 47 ECP 1 o zdravom používaní internetu.</w:t>
      </w:r>
    </w:p>
  </w:endnote>
  <w:endnote w:id="180">
    <w:p>
      <w:pPr>
        <w:pStyle w:val="Notedefin"/>
        <w:suppressLineNumbers/>
        <w:spacing w:before="57" w:after="57"/>
        <w:ind w:left="339" w:right="0" w:hanging="339"/>
        <w:rPr/>
      </w:pPr>
      <w:r>
        <w:rPr>
          <w:rStyle w:val="Caractresdenotedefin"/>
        </w:rPr>
        <w:endnoteRef/>
      </w:r>
      <w:r>
        <w:rPr/>
        <w:tab/>
        <w:t>Odporúčanie 5 ECP 1.</w:t>
      </w:r>
    </w:p>
  </w:endnote>
  <w:endnote w:id="181">
    <w:p>
      <w:pPr>
        <w:pStyle w:val="Notedefin"/>
        <w:suppressLineNumbers/>
        <w:spacing w:before="57" w:after="57"/>
        <w:ind w:left="339" w:right="0" w:hanging="339"/>
        <w:rPr/>
      </w:pPr>
      <w:r>
        <w:rPr>
          <w:rStyle w:val="Caractresdenotedefin"/>
        </w:rPr>
        <w:endnoteRef/>
      </w:r>
      <w:r>
        <w:rPr/>
        <w:tab/>
        <w:t>Odporúčania č. 15 a 18 ECP 1.</w:t>
      </w:r>
    </w:p>
  </w:endnote>
  <w:endnote w:id="182">
    <w:p>
      <w:pPr>
        <w:pStyle w:val="Notedefin"/>
        <w:suppressLineNumbers/>
        <w:spacing w:before="57" w:after="57"/>
        <w:ind w:left="339" w:right="0" w:hanging="339"/>
        <w:rPr/>
      </w:pPr>
      <w:r>
        <w:rPr>
          <w:rStyle w:val="Caractresdenotedefin"/>
        </w:rPr>
        <w:endnoteRef/>
      </w:r>
      <w:r>
        <w:rPr/>
        <w:tab/>
        <w:t>Odporúčanie talianskeho národného kontaktného miesta „Európa vo svete“</w:t>
      </w:r>
    </w:p>
  </w:endnote>
  <w:endnote w:id="183">
    <w:p>
      <w:pPr>
        <w:pStyle w:val="Notedefin"/>
        <w:suppressLineNumbers/>
        <w:spacing w:before="57" w:after="57"/>
        <w:ind w:left="339" w:right="0" w:hanging="339"/>
        <w:rPr/>
      </w:pPr>
      <w:r>
        <w:rPr>
          <w:rStyle w:val="Caractresdenotedefin"/>
        </w:rPr>
        <w:endnoteRef/>
      </w:r>
      <w:r>
        <w:rPr/>
        <w:tab/>
        <w:t>Odporúčania č.</w:t>
      </w:r>
      <w:r>
        <w:rPr>
          <w:vertAlign w:val="superscript"/>
        </w:rPr>
        <w:t>18</w:t>
      </w:r>
      <w:r>
        <w:rPr/>
        <w:t xml:space="preserve"> a 41 ECP 1 a odporúčanie talianskeho národného kontaktného miesta „Investície do odbornej prípravy školiteľov“.</w:t>
      </w:r>
    </w:p>
  </w:endnote>
  <w:endnote w:id="184">
    <w:p>
      <w:pPr>
        <w:pStyle w:val="Notedefin"/>
        <w:suppressLineNumbers/>
        <w:spacing w:before="57" w:after="57"/>
        <w:ind w:left="339" w:right="0" w:hanging="339"/>
        <w:rPr/>
      </w:pPr>
      <w:r>
        <w:rPr>
          <w:rStyle w:val="Caractresdenotedefin"/>
        </w:rPr>
        <w:endnoteRef/>
      </w:r>
      <w:r>
        <w:rPr/>
        <w:tab/>
        <w:t>PCE 1 odporúčanie č. 17 adresované v plnom rozsahu pracovnej skupine pre digitálnu prácu.</w:t>
      </w:r>
    </w:p>
  </w:endnote>
  <w:endnote w:id="185">
    <w:p>
      <w:pPr>
        <w:pStyle w:val="Notedefin"/>
        <w:suppressLineNumbers/>
        <w:spacing w:before="57" w:after="57"/>
        <w:ind w:left="339" w:right="0" w:hanging="339"/>
        <w:rPr/>
      </w:pPr>
      <w:r>
        <w:rPr>
          <w:rStyle w:val="Caractresdenotedefin"/>
        </w:rPr>
        <w:endnoteRef/>
      </w:r>
      <w:r>
        <w:rPr/>
        <w:tab/>
        <w:t>Odporúčanie ECP č. 15 1. Odporúčanie nemeckého národného kontaktného miesta o „informačnej platforme na výmenu poznatkov a skúseností na úrovni EÚ“.</w:t>
      </w:r>
    </w:p>
  </w:endnote>
  <w:endnote w:id="186">
    <w:p>
      <w:pPr>
        <w:pStyle w:val="Notedefin"/>
        <w:suppressLineNumbers/>
        <w:spacing w:before="57" w:after="57"/>
        <w:ind w:left="339" w:right="0" w:hanging="339"/>
        <w:rPr/>
      </w:pPr>
      <w:r>
        <w:rPr>
          <w:rStyle w:val="Caractresdenotedefin"/>
        </w:rPr>
        <w:endnoteRef/>
      </w:r>
      <w:r>
        <w:rPr/>
        <w:tab/>
        <w:t>Odporúčanie 6.1 belgického národného kontaktného miesta. Francúzsky PCN, zmena 7.</w:t>
      </w:r>
    </w:p>
  </w:endnote>
  <w:endnote w:id="187">
    <w:p>
      <w:pPr>
        <w:pStyle w:val="Notedefin"/>
        <w:suppressLineNumbers/>
        <w:spacing w:before="57" w:after="57"/>
        <w:ind w:left="339" w:right="0" w:hanging="339"/>
        <w:rPr/>
      </w:pPr>
      <w:r>
        <w:rPr>
          <w:rStyle w:val="Caractresdenotedefin"/>
        </w:rPr>
        <w:endnoteRef/>
      </w:r>
      <w:r>
        <w:rPr/>
        <w:tab/>
        <w:t>Odporúčanie 7.2 belgického národného kontaktného miesta.</w:t>
      </w:r>
    </w:p>
  </w:endnote>
  <w:endnote w:id="188">
    <w:p>
      <w:pPr>
        <w:pStyle w:val="Notedefin"/>
        <w:suppressLineNumbers/>
        <w:spacing w:before="57" w:after="57"/>
        <w:ind w:left="339" w:right="0" w:hanging="339"/>
        <w:rPr/>
      </w:pPr>
      <w:r>
        <w:rPr>
          <w:rStyle w:val="Caractresdenotedefin"/>
        </w:rPr>
        <w:endnoteRef/>
      </w:r>
      <w:r>
        <w:rPr/>
        <w:tab/>
        <w:t>Odporúčanie 4 ECP 1.</w:t>
      </w:r>
    </w:p>
  </w:endnote>
  <w:endnote w:id="189">
    <w:p>
      <w:pPr>
        <w:pStyle w:val="Notedefin"/>
        <w:suppressLineNumbers/>
        <w:spacing w:before="57" w:after="57"/>
        <w:ind w:left="339" w:right="0" w:hanging="339"/>
        <w:rPr/>
      </w:pPr>
      <w:r>
        <w:rPr>
          <w:rStyle w:val="Caractresdenotedefin"/>
        </w:rPr>
        <w:endnoteRef/>
      </w:r>
      <w:r>
        <w:rPr/>
        <w:tab/>
        <w:t>Návrh na doplnenie odporúčaní</w:t>
      </w:r>
      <w:r>
        <w:rPr>
          <w:vertAlign w:val="superscript"/>
        </w:rPr>
        <w:t>č.</w:t>
      </w:r>
      <w:r>
        <w:rPr/>
        <w:t xml:space="preserve"> 1 a 30 ECP 1, na ktoré sa vzťahuje pracovná skupina pre silnejšie hospodárstvo, sociálnu spravodlivosť a zamestnanosť.</w:t>
      </w:r>
    </w:p>
  </w:endnote>
  <w:endnote w:id="190">
    <w:p>
      <w:pPr>
        <w:pStyle w:val="Notedefin"/>
        <w:suppressLineNumbers/>
        <w:spacing w:before="57" w:after="57"/>
        <w:ind w:left="339" w:right="0" w:hanging="339"/>
        <w:rPr/>
      </w:pPr>
      <w:r>
        <w:rPr>
          <w:rStyle w:val="Caractresdenotedefin"/>
        </w:rPr>
        <w:endnoteRef/>
      </w:r>
      <w:r>
        <w:rPr/>
        <w:tab/>
        <w:t>Návrh na doplnenie odporúčania 25 ECP 1, na ktorý sa vzťahuje pracovná skupina pre silnejšie hospodárstvo, sociálnu spravodlivosť a zamestnanosť.</w:t>
      </w:r>
    </w:p>
  </w:endnote>
  <w:endnote w:id="191">
    <w:p>
      <w:pPr>
        <w:pStyle w:val="Notedefin"/>
        <w:suppressLineNumbers/>
        <w:spacing w:before="57" w:after="57"/>
        <w:ind w:left="339" w:right="0" w:hanging="339"/>
        <w:rPr/>
      </w:pPr>
      <w:r>
        <w:rPr>
          <w:rStyle w:val="Caractresdenotedefin"/>
        </w:rPr>
        <w:endnoteRef/>
      </w:r>
      <w:r>
        <w:rPr/>
        <w:tab/>
        <w:t>Odporúčanie ECP č. 28 4. Holandské národné kontaktné miesto („Naša vízia pre kultúru, mládež a šport“), odporúčanie 1. Francúzsky PCN, zmena 6.</w:t>
      </w:r>
    </w:p>
  </w:endnote>
  <w:endnote w:id="192">
    <w:p>
      <w:pPr>
        <w:pStyle w:val="Notedefin"/>
        <w:suppressLineNumbers/>
        <w:spacing w:before="57" w:after="57"/>
        <w:ind w:left="339" w:right="0" w:hanging="339"/>
        <w:rPr/>
      </w:pPr>
      <w:r>
        <w:rPr>
          <w:rStyle w:val="Caractresdenotedefin"/>
        </w:rPr>
        <w:endnoteRef/>
      </w:r>
      <w:r>
        <w:rPr/>
        <w:tab/>
        <w:t>Odporúčanie 6 ECP 1.</w:t>
      </w:r>
    </w:p>
  </w:endnote>
  <w:endnote w:id="193">
    <w:p>
      <w:pPr>
        <w:pStyle w:val="Notedefin"/>
        <w:suppressLineNumbers/>
        <w:spacing w:before="57" w:after="57"/>
        <w:ind w:left="339" w:right="0" w:hanging="339"/>
        <w:rPr/>
      </w:pPr>
      <w:r>
        <w:rPr>
          <w:rStyle w:val="Caractresdenotedefin"/>
        </w:rPr>
        <w:endnoteRef/>
      </w:r>
      <w:r>
        <w:rPr/>
        <w:tab/>
        <w:t>Holandské národné kontaktné miesto („Naša vízia pre kultúru, mládež a šport“), odporúčanie č. 2.</w:t>
      </w:r>
    </w:p>
  </w:endnote>
  <w:endnote w:id="194">
    <w:p>
      <w:pPr>
        <w:pStyle w:val="Notedefin"/>
        <w:suppressLineNumbers/>
        <w:spacing w:before="57" w:after="57"/>
        <w:ind w:left="339" w:right="0" w:hanging="339"/>
        <w:rPr/>
      </w:pPr>
      <w:r>
        <w:rPr>
          <w:rStyle w:val="Caractresdenotedefin"/>
        </w:rPr>
        <w:endnoteRef/>
      </w:r>
      <w:r>
        <w:rPr/>
        <w:tab/>
        <w:t>Odporúčanie ECP 36 1. Francúzsky PCN, zmena 6. Odporúčania č. 2.10 a 2.11 belgického národného kontaktného miesta. Nemecké národné kontaktné miesto, „Vytváranie viac príležitostí na výmenu pre študentov v Európe“. Holandské národné kontaktné miesto („Naša vízia pre kultúru, mládež a šport“), odporúčania</w:t>
      </w:r>
      <w:r>
        <w:rPr>
          <w:vertAlign w:val="superscript"/>
        </w:rPr>
        <w:t>1</w:t>
      </w:r>
      <w:r>
        <w:rPr/>
        <w:t xml:space="preserve"> a 3. Talianske národné kontaktné miesto, odporúčanie „vytvoriť úrad sútoku medzi východom a Západom, podporovať kultúrne výmeny a spoločné kultúrne iniciatívy“.</w:t>
      </w:r>
    </w:p>
  </w:endnote>
  <w:endnote w:id="195">
    <w:p>
      <w:pPr>
        <w:pStyle w:val="Notedefin"/>
        <w:suppressLineNumbers/>
        <w:spacing w:before="57" w:after="57"/>
        <w:ind w:left="339" w:right="0" w:hanging="339"/>
        <w:rPr/>
      </w:pPr>
      <w:r>
        <w:rPr>
          <w:rStyle w:val="Caractresdenotedefin"/>
        </w:rPr>
        <w:endnoteRef/>
      </w:r>
      <w:r>
        <w:rPr>
          <w:vertAlign w:val="superscript"/>
        </w:rPr>
        <w:tab/>
        <w:t>Odporúčania</w:t>
      </w:r>
      <w:r>
        <w:rPr/>
        <w:t xml:space="preserve"> ECP 32 a 38 1. Holandské národné kontaktné miesto („Naša vízia pre kultúru, mládež a šport“), odporúčanie 3.</w:t>
      </w:r>
    </w:p>
  </w:endnote>
  <w:endnote w:id="196">
    <w:p>
      <w:pPr>
        <w:pStyle w:val="Notedefin"/>
        <w:suppressLineNumbers/>
        <w:spacing w:before="57" w:after="57"/>
        <w:ind w:left="339" w:right="0" w:hanging="339"/>
        <w:rPr/>
      </w:pPr>
      <w:r>
        <w:rPr>
          <w:rStyle w:val="Caractresdenotedefin"/>
        </w:rPr>
        <w:endnoteRef/>
      </w:r>
      <w:r>
        <w:rPr/>
        <w:tab/>
        <w:t>Odporúčanie talianskeho národného kontaktného miesta „Európa vo svete“</w:t>
      </w:r>
    </w:p>
  </w:endnote>
  <w:endnote w:id="197">
    <w:p>
      <w:pPr>
        <w:pStyle w:val="Notedefin"/>
        <w:suppressLineNumbers/>
        <w:spacing w:before="57" w:after="57"/>
        <w:ind w:left="339" w:right="0" w:hanging="339"/>
        <w:rPr/>
      </w:pPr>
      <w:r>
        <w:rPr>
          <w:rStyle w:val="Caractresdenotedefin"/>
        </w:rPr>
        <w:endnoteRef/>
      </w:r>
      <w:r>
        <w:rPr/>
        <w:tab/>
        <w:t>Francúzsky PCN, zmena 7. Odporúčania</w:t>
      </w:r>
      <w:r>
        <w:rPr>
          <w:vertAlign w:val="superscript"/>
        </w:rPr>
        <w:t>2.5</w:t>
      </w:r>
      <w:r>
        <w:rPr/>
        <w:t>, 6.1 a 8.7 belgického národného kontaktného miesta. Talianske národné kontaktné miesto, odporúčanie o posilnení európskych kultúrnych hodnôt a charakteristík, ako aj regionálnych špecifík.</w:t>
      </w:r>
    </w:p>
  </w:endnote>
  <w:endnote w:id="198">
    <w:p>
      <w:pPr>
        <w:pStyle w:val="Notedefin"/>
        <w:suppressLineNumbers/>
        <w:spacing w:before="57" w:after="57"/>
        <w:ind w:left="339" w:right="0" w:hanging="339"/>
        <w:rPr/>
      </w:pPr>
      <w:r>
        <w:rPr>
          <w:rStyle w:val="Caractresdenotedefin"/>
        </w:rPr>
        <w:endnoteRef/>
      </w:r>
      <w:r>
        <w:rPr/>
        <w:tab/>
        <w:t>Holandské národné kontaktné miesto („Naša vízia pre kultúru, mládež a šport“), odporúčanie č. 2.</w:t>
      </w:r>
    </w:p>
  </w:endnote>
  <w:endnote w:id="199">
    <w:p>
      <w:pPr>
        <w:pStyle w:val="Notedefin"/>
        <w:suppressLineNumbers/>
        <w:spacing w:before="57" w:after="57"/>
        <w:ind w:left="339" w:right="0" w:hanging="339"/>
        <w:rPr/>
      </w:pPr>
      <w:r>
        <w:rPr>
          <w:rStyle w:val="Caractresdenotedefin"/>
        </w:rPr>
        <w:endnoteRef/>
      </w:r>
      <w:r>
        <w:rPr/>
        <w:tab/>
        <w:t>Odporúčanie talianskeho národného kontaktného miesta „Prekročiť výrobný model minulého storočia“</w:t>
      </w:r>
    </w:p>
  </w:endnote>
  <w:endnote w:id="200">
    <w:p>
      <w:pPr>
        <w:pStyle w:val="Notedefin"/>
        <w:suppressLineNumbers/>
        <w:spacing w:before="57" w:after="57"/>
        <w:ind w:left="339" w:right="0" w:hanging="339"/>
        <w:rPr/>
      </w:pPr>
      <w:r>
        <w:rPr>
          <w:rStyle w:val="Caractresdenotedefin"/>
        </w:rPr>
        <w:endnoteRef/>
      </w:r>
      <w:r>
        <w:rPr/>
        <w:tab/>
        <w:t>Odporúčanie ECP č. 29 1.</w:t>
      </w:r>
    </w:p>
  </w:endnote>
  <w:endnote w:id="201">
    <w:p>
      <w:pPr>
        <w:pStyle w:val="Notedefin"/>
        <w:suppressLineNumbers/>
        <w:spacing w:before="57" w:after="57"/>
        <w:ind w:left="339" w:right="0" w:hanging="339"/>
        <w:rPr/>
      </w:pPr>
      <w:r>
        <w:rPr>
          <w:rStyle w:val="Caractresdenotedefin"/>
        </w:rPr>
        <w:endnoteRef/>
      </w:r>
      <w:r>
        <w:rPr/>
        <w:tab/>
        <w:t>Odporúčanie ECP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293</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hyperlink r:id="rId1">
        <w:r>
          <w:rPr>
            <w:rStyle w:val="LienInternet"/>
          </w:rPr>
          <w:tab/>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hyperlink r:id="rId2">
        <w:r>
          <w:rPr>
            <w:rStyle w:val="LienInternet"/>
          </w:rPr>
          <w:tab/>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t xml:space="preserve">III OECD, Inovative Citizen Participation and New Democratic Institutions (Inovatívne zapojenie občanov a nové demokratické inštitúcie), 2020 </w:t>
      </w:r>
      <w:hyperlink r:id="rId3">
        <w:r>
          <w:rPr>
            <w:rStyle w:val="LienInternet"/>
          </w:rPr>
          <w:t>- 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OECD, Inovatívne zapojenie občanov a nové demokratické inštitúcie,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t>Navštívte viacjazyčnú digitálnu platformu a získajte prístup ku všetkým informáciám o týchto podujatiach.</w:t>
      </w:r>
    </w:p>
  </w:footnote>
  <w:footnote w:id="7">
    <w:p>
      <w:pPr>
        <w:pStyle w:val="Notedebasdepage"/>
        <w:suppressLineNumbers/>
        <w:spacing w:before="57" w:after="57"/>
        <w:ind w:left="339" w:right="0" w:hanging="339"/>
        <w:rPr/>
      </w:pPr>
      <w:r>
        <w:rPr>
          <w:rStyle w:val="Caractresdenotedebasdepage"/>
        </w:rPr>
        <w:footnoteRef/>
      </w:r>
      <w:r>
        <w:rPr/>
        <w:tab/>
        <w:t>Mal sa dosiahnuť konsenzus aspoň medzi zástupcami Európskeho parlamentu, Rady, Európskej komisie a zástupcami národných parlamentov za rovnakých podmienok. Ak sa situácia zástupcov občanov na národných podujatiach a/alebo európskych alebo vnútroštátnych diskusiách občanov zjavne líši, toto stanovisko by sa malo zahrnúť do tejto správy.</w:t>
      </w:r>
    </w:p>
  </w:footnote>
  <w:footnote w:id="8">
    <w:p>
      <w:pPr>
        <w:pStyle w:val="Notedebasdepage"/>
        <w:suppressLineNumbers/>
        <w:spacing w:before="57" w:after="57"/>
        <w:ind w:left="339" w:right="0" w:hanging="339"/>
        <w:rPr/>
      </w:pPr>
      <w:r>
        <w:rPr>
          <w:rStyle w:val="Caractresdenotedebasdepage"/>
        </w:rPr>
        <w:footnoteRef/>
      </w:r>
      <w:r>
        <w:rPr/>
        <w:tab/>
        <w:t>Ostatní členovia Európskej komisie boli pozvaní na plenárne zasadnutie, najmä keď sa diskutovalo o otázkach v rámci ich portfólií.</w:t>
      </w:r>
    </w:p>
  </w:footnote>
  <w:footnote w:id="9">
    <w:p>
      <w:pPr>
        <w:pStyle w:val="Notedebasdepage"/>
        <w:suppressLineNumbers/>
        <w:spacing w:before="57" w:after="57"/>
        <w:ind w:left="339" w:right="0" w:hanging="339"/>
        <w:rPr/>
      </w:pPr>
      <w:r>
        <w:rPr>
          <w:rStyle w:val="Caractresdenotedebasdepage"/>
        </w:rPr>
        <w:footnoteRef/>
      </w:r>
      <w:r>
        <w:rPr/>
        <w:tab/>
        <w:t>Jeden na členský štát.</w:t>
      </w:r>
    </w:p>
  </w:footnote>
  <w:footnote w:id="10">
    <w:p>
      <w:pPr>
        <w:pStyle w:val="Notedebasdepage"/>
        <w:suppressLineNumbers/>
        <w:spacing w:before="57" w:after="57"/>
        <w:ind w:left="339" w:right="0" w:hanging="339"/>
        <w:rPr/>
      </w:pPr>
      <w:r>
        <w:rPr>
          <w:rStyle w:val="Caractresdenotedebasdepage"/>
        </w:rPr>
        <w:footnoteRef/>
      </w:r>
      <w:r>
        <w:rPr/>
        <w:tab/>
        <w:t>Prvé podujatie venované európskym občanom sa uskutočnilo 17. júna 2021 v Lisabone v hybridnom formáte pred ustanovujúcim plenárnym zasadnutím 19. júna s cieľom začať účasť občanov na konferencii.</w:t>
      </w:r>
    </w:p>
  </w:footnote>
  <w:footnote w:id="11">
    <w:p>
      <w:pPr>
        <w:pStyle w:val="Notedebasdepage"/>
        <w:suppressLineNumbers/>
        <w:spacing w:before="57" w:after="57"/>
        <w:ind w:left="339" w:right="0" w:hanging="339"/>
        <w:rPr/>
      </w:pPr>
      <w:r>
        <w:rPr>
          <w:rStyle w:val="Caractresdenotedebasdepage"/>
        </w:rPr>
        <w:footnoteRef/>
      </w:r>
      <w:r>
        <w:rPr/>
        <w:tab/>
        <w:t>Zástupcovia Európskej komisie vysvetlili, že bude potrebné prejsť prechodným obdobím, aby sa predišlo príliš náhlemu vývoju.</w:t>
      </w:r>
    </w:p>
  </w:footnote>
  <w:footnote w:id="12">
    <w:p>
      <w:pPr>
        <w:pStyle w:val="Notedebasdepage"/>
        <w:suppressLineNumbers/>
        <w:spacing w:before="57" w:after="57"/>
        <w:ind w:left="339" w:right="0" w:hanging="339"/>
        <w:rPr/>
      </w:pPr>
      <w:r>
        <w:rPr>
          <w:rStyle w:val="Caractresdenotedebasdepage"/>
        </w:rPr>
        <w:footnoteRef/>
      </w:r>
      <w:r>
        <w:rPr/>
        <w:tab/>
        <w:t xml:space="preserve">Pozícia Parlamentu: najvyšší zoznam európskej politickej strany s najvyšším počtom hlasov vo voľbách do Európskeho parlamentu a podporou väčšiny poslancov EP by mal byť zvolený za predsedu Európskej komisie. V prípade, že sa nevyskytne žiadna koaličná väčšina, funkcia by sa mala vrátiť na ďalší vrchol zoznamu. Na tento účel by európske politické strany mohli nominovať kandidátov, ktorí by kandidovali na predsedníctvo Komisie. Paulo Rangel: s cieľom posilniť proces vedúcich kandidátov by sa úlohy Európskeho parlamentu a Európskej rady mali zmeniť, čo znamená zmenu zmlúv: predsedu Komisie navrhne Parlament a schváli ho Európska rada. PNM (záverečná správa Kantara: „skupina príspevkov zahŕňa voľbu predsedu Komisie a vymenovanie komisárov vrátane systému kandidátov na najvyšší zoznam.“ EYE, s. 23: Kandidáti na funkciu predsedu Komisie by nemali byť volení v rámci rokovaní medzi víťaznými stranami za scénami. Mali by sme použiť systém vedúcich kandidátov, v ktorom každá strana pred volebnou kampaňou oznámi kandidáta, ktorý bude predsedom Komisie, ak táto strana získa väčšinu. Aktívnou účasťou na kampani a priamou komunikáciou s európskymi občanmi by mohol byť budúci predseda k nim bližšie.“ diskusia v GT. </w:t>
      </w:r>
    </w:p>
  </w:footnote>
  <w:footnote w:id="13">
    <w:p>
      <w:pPr>
        <w:pStyle w:val="Notedebasdepage"/>
        <w:suppressLineNumbers/>
        <w:spacing w:before="57" w:after="57"/>
        <w:ind w:left="339" w:right="0" w:hanging="339"/>
        <w:rPr/>
      </w:pPr>
      <w:r>
        <w:rPr>
          <w:rStyle w:val="Caractresdenotedebasdepage"/>
        </w:rPr>
        <w:footnoteRef/>
      </w:r>
      <w:r>
        <w:rPr/>
        <w:tab/>
        <w:t>Rada sa domnieva, že tento návrh nie je založený na odporúčaní občanov. Preto nie je v súlade s dohodnutou metodikou. Pozri aj stanovisko zložky občana vyjadrené na strane 42.</w:t>
      </w:r>
    </w:p>
  </w:footnote>
  <w:footnote w:id="14">
    <w:p>
      <w:pPr>
        <w:pStyle w:val="Notedebasdepage"/>
        <w:suppressLineNumbers/>
        <w:spacing w:before="57" w:after="57"/>
        <w:ind w:left="339" w:right="0" w:hanging="339"/>
        <w:rPr/>
      </w:pPr>
      <w:r>
        <w:rPr>
          <w:rStyle w:val="Caractresdenotedebasdepage"/>
        </w:rPr>
        <w:footnoteRef/>
      </w:r>
      <w:hyperlink r:id="rId5">
        <w:r>
          <w:rPr>
            <w:rStyle w:val="LienInternet"/>
          </w:rPr>
          <w:tab/>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hyperlink r:id="rId6">
        <w:r>
          <w:rPr>
            <w:rStyle w:val="LienInternet"/>
          </w:rPr>
          <w:tab/>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Vzorka občanov zastupujúcich Vilnius, Kaunas, Klaipėda, Šiauliai a Panevėžys a okresy (apskritis) Vilnius, Kaunas, Klaipėda, Šiauliai, Panevėžys, Alytus, Marijampolė, Tauragė, Telšiai a Utena na základe údajov litovského ministerstva štatistiky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pPr>
    <w:r>
      <w:rPr/>
      <w:t>Konferencia o budúcnosti Európy | SPRÁVA o konečných výsledkoch</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sk" w:eastAsia="zh-CN" w:bidi="hi-IN"/>
      </w:rPr>
    </w:rPrDefault>
    <w:pPrDefault>
      <w:pPr/>
    </w:pPrDefault>
  </w:docDefaults>
  <w:style w:type="paragraph" w:styleId="Normal">
    <w:name w:val="Normal"/>
    <w:qFormat/>
    <w:pPr>
      <w:widowControl/>
      <w:suppressAutoHyphens w:val="true"/>
      <w:kinsoku w:val="true"/>
      <w:overflowPunct w:val="false"/>
      <w:autoSpaceDE w:val="true"/>
      <w:bidi w:val="0"/>
      <w:spacing w:before="57" w:after="57"/>
      <w:ind w:left="0" w:right="0" w:hanging="0"/>
      <w:jc w:val="left"/>
    </w:pPr>
    <w:rPr>
      <w:rFonts w:ascii="Arial" w:hAnsi="Arial" w:eastAsia="SimSun" w:cs="Mangal"/>
      <w:color w:val="00000A"/>
      <w:kern w:val="2"/>
      <w:sz w:val="22"/>
      <w:szCs w:val="20"/>
      <w:lang w:val="sk"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kinsoku w:val="true"/>
      <w:overflowPunct w:val="true"/>
      <w:autoSpaceDE w:val="true"/>
      <w:bidi w:val="0"/>
      <w:jc w:val="left"/>
    </w:pPr>
    <w:rPr>
      <w:rFonts w:ascii="Arial" w:hAnsi="Arial" w:eastAsia="Microsoft YaHei" w:cs="Mangal"/>
      <w:color w:val="00000A"/>
      <w:kern w:val="2"/>
      <w:sz w:val="52"/>
      <w:szCs w:val="20"/>
      <w:lang w:val="sk" w:eastAsia="zh-CN" w:bidi="hi-IN"/>
    </w:rPr>
  </w:style>
  <w:style w:type="paragraph" w:styleId="P68B1DB1style26">
    <w:name w:val="P68B1DB1-style26"/>
    <w:qFormat/>
    <w:pPr>
      <w:widowControl/>
      <w:kinsoku w:val="true"/>
      <w:overflowPunct w:val="true"/>
      <w:autoSpaceDE w:val="true"/>
      <w:bidi w:val="0"/>
      <w:jc w:val="left"/>
    </w:pPr>
    <w:rPr>
      <w:rFonts w:ascii="Arial" w:hAnsi="Arial" w:eastAsia="Microsoft YaHei" w:cs="Mangal"/>
      <w:color w:val="00000A"/>
      <w:kern w:val="2"/>
      <w:sz w:val="36"/>
      <w:szCs w:val="20"/>
      <w:lang w:val="sk" w:eastAsia="zh-CN" w:bidi="hi-IN"/>
    </w:rPr>
  </w:style>
  <w:style w:type="paragraph" w:styleId="P68B1DB1style27">
    <w:name w:val="P68B1DB1-style27"/>
    <w:qFormat/>
    <w:pPr>
      <w:widowControl/>
      <w:kinsoku w:val="true"/>
      <w:overflowPunct w:val="true"/>
      <w:autoSpaceDE w:val="true"/>
      <w:bidi w:val="0"/>
      <w:jc w:val="left"/>
    </w:pPr>
    <w:rPr>
      <w:rFonts w:ascii="Arial" w:hAnsi="Arial" w:eastAsia="Microsoft YaHei" w:cs="Mangal"/>
      <w:color w:val="00000A"/>
      <w:kern w:val="2"/>
      <w:sz w:val="21"/>
      <w:szCs w:val="20"/>
      <w:lang w:val="sk" w:eastAsia="zh-CN" w:bidi="hi-IN"/>
    </w:rPr>
  </w:style>
  <w:style w:type="paragraph" w:styleId="P68B1DB1style28">
    <w:name w:val="P68B1DB1-style28"/>
    <w:qFormat/>
    <w:pPr>
      <w:widowControl/>
      <w:kinsoku w:val="true"/>
      <w:overflowPunct w:val="true"/>
      <w:autoSpaceDE w:val="true"/>
      <w:bidi w:val="0"/>
      <w:jc w:val="left"/>
    </w:pPr>
    <w:rPr>
      <w:rFonts w:ascii="Arial" w:hAnsi="Arial" w:eastAsia="Microsoft YaHei" w:cs="Mangal"/>
      <w:color w:val="00000A"/>
      <w:kern w:val="2"/>
      <w:sz w:val="48"/>
      <w:szCs w:val="20"/>
      <w:lang w:val="sk" w:eastAsia="zh-CN" w:bidi="hi-IN"/>
    </w:rPr>
  </w:style>
  <w:style w:type="paragraph" w:styleId="P68B1DB1style29">
    <w:name w:val="P68B1DB1-style29"/>
    <w:qFormat/>
    <w:pPr>
      <w:widowControl/>
      <w:kinsoku w:val="true"/>
      <w:overflowPunct w:val="true"/>
      <w:autoSpaceDE w:val="true"/>
      <w:bidi w:val="0"/>
      <w:jc w:val="left"/>
    </w:pPr>
    <w:rPr>
      <w:rFonts w:ascii="Arial" w:hAnsi="Arial" w:eastAsia="Microsoft YaHei" w:cs="Mangal"/>
      <w:color w:val="CE181E"/>
      <w:kern w:val="2"/>
      <w:sz w:val="44"/>
      <w:szCs w:val="20"/>
      <w:lang w:val="sk" w:eastAsia="zh-CN" w:bidi="hi-IN"/>
    </w:rPr>
  </w:style>
  <w:style w:type="paragraph" w:styleId="P68B1DB1style30">
    <w:name w:val="P68B1DB1-style30"/>
    <w:qFormat/>
    <w:pPr>
      <w:widowControl/>
      <w:kinsoku w:val="true"/>
      <w:overflowPunct w:val="true"/>
      <w:autoSpaceDE w:val="true"/>
      <w:bidi w:val="0"/>
      <w:jc w:val="left"/>
    </w:pPr>
    <w:rPr>
      <w:rFonts w:ascii="Arial" w:hAnsi="Arial" w:eastAsia="Microsoft YaHei" w:cs="Mangal"/>
      <w:color w:val="00000A"/>
      <w:kern w:val="2"/>
      <w:sz w:val="28"/>
      <w:szCs w:val="20"/>
      <w:lang w:val="sk" w:eastAsia="zh-CN" w:bidi="hi-IN"/>
    </w:rPr>
  </w:style>
  <w:style w:type="paragraph" w:styleId="P68B1DB1style31">
    <w:name w:val="P68B1DB1-style31"/>
    <w:qFormat/>
    <w:pPr>
      <w:widowControl/>
      <w:kinsoku w:val="true"/>
      <w:overflowPunct w:val="true"/>
      <w:autoSpaceDE w:val="true"/>
      <w:bidi w:val="0"/>
      <w:jc w:val="left"/>
    </w:pPr>
    <w:rPr>
      <w:rFonts w:ascii="Arial" w:hAnsi="Arial" w:eastAsia="Microsoft YaHei" w:cs="Mangal"/>
      <w:b/>
      <w:color w:val="00000A"/>
      <w:kern w:val="2"/>
      <w:sz w:val="36"/>
      <w:szCs w:val="20"/>
      <w:lang w:val="sk"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kinsoku w:val="true"/>
      <w:overflowPunct w:val="true"/>
      <w:autoSpaceDE w:val="true"/>
      <w:bidi w:val="0"/>
      <w:jc w:val="left"/>
    </w:pPr>
    <w:rPr>
      <w:rFonts w:ascii="Arial" w:hAnsi="Arial" w:eastAsia="Microsoft YaHei" w:cs="Mangal"/>
      <w:color w:val="FFFFFF"/>
      <w:kern w:val="2"/>
      <w:sz w:val="24"/>
      <w:szCs w:val="20"/>
      <w:lang w:val="sk" w:eastAsia="zh-CN" w:bidi="hi-IN"/>
    </w:rPr>
  </w:style>
  <w:style w:type="paragraph" w:styleId="P68B1DB1style38">
    <w:name w:val="P68B1DB1-style38"/>
    <w:qFormat/>
    <w:pPr>
      <w:widowControl/>
      <w:kinsoku w:val="true"/>
      <w:overflowPunct w:val="true"/>
      <w:autoSpaceDE w:val="true"/>
      <w:bidi w:val="0"/>
      <w:jc w:val="left"/>
    </w:pPr>
    <w:rPr>
      <w:rFonts w:ascii="Arial" w:hAnsi="Arial" w:eastAsia="Microsoft YaHei" w:cs="Mangal"/>
      <w:color w:val="00000A"/>
      <w:kern w:val="2"/>
      <w:sz w:val="18"/>
      <w:szCs w:val="20"/>
      <w:lang w:val="sk"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highlight w:val="darkCyan"/>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highlight w:val="darkCyan"/>
    </w:rPr>
  </w:style>
  <w:style w:type="paragraph" w:styleId="P68B1DB1Contenudetableau56">
    <w:name w:val="P68B1DB1-Contenudetableau56"/>
    <w:basedOn w:val="Contenudetableau"/>
    <w:qFormat/>
    <w:pPr/>
    <w:rPr>
      <w:color w:val="FFFFFF"/>
      <w:sz w:val="18"/>
      <w:highlight w:val="red"/>
    </w:rPr>
  </w:style>
  <w:style w:type="paragraph" w:styleId="P68B1DB1Contenudetableau57">
    <w:name w:val="P68B1DB1-Contenudetableau57"/>
    <w:basedOn w:val="Contenudetableau"/>
    <w:qFormat/>
    <w:pPr/>
    <w:rPr>
      <w:rFonts w:ascii="Arial" w:hAnsi="Arial"/>
      <w:color w:val="FFFFFF"/>
      <w:sz w:val="18"/>
      <w:highlight w:val="blue"/>
    </w:rPr>
  </w:style>
  <w:style w:type="paragraph" w:styleId="P68B1DB1Contenudetableau58">
    <w:name w:val="P68B1DB1-Contenudetableau58"/>
    <w:basedOn w:val="Contenudetableau"/>
    <w:qFormat/>
    <w:pPr/>
    <w:rPr>
      <w:rFonts w:ascii="Arial" w:hAnsi="Arial"/>
      <w:color w:val="FFFFFF"/>
      <w:sz w:val="18"/>
      <w:highlight w:val="darkMagenta"/>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highlight w:val="blue"/>
    </w:rPr>
  </w:style>
  <w:style w:type="paragraph" w:styleId="P68B1DB1Contenudetableau61">
    <w:name w:val="P68B1DB1-Contenudetableau61"/>
    <w:basedOn w:val="Contenudetableau"/>
    <w:qFormat/>
    <w:pPr/>
    <w:rPr>
      <w:rFonts w:ascii="Arial" w:hAnsi="Arial"/>
      <w:color w:val="FFFFFF"/>
      <w:sz w:val="18"/>
      <w:highlight w:val="darkBlue"/>
    </w:rPr>
  </w:style>
  <w:style w:type="paragraph" w:styleId="P68B1DB1Contenudetableau62">
    <w:name w:val="P68B1DB1-Contenudetableau62"/>
    <w:basedOn w:val="Contenudetableau"/>
    <w:qFormat/>
    <w:pPr/>
    <w:rPr>
      <w:rFonts w:ascii="Arial" w:hAnsi="Arial"/>
      <w:color w:val="FFFFFF"/>
      <w:sz w:val="18"/>
      <w:highlight w:val="cyan"/>
    </w:rPr>
  </w:style>
  <w:style w:type="paragraph" w:styleId="P68B1DB1Contenudetableau63">
    <w:name w:val="P68B1DB1-Contenudetableau63"/>
    <w:basedOn w:val="Contenudetableau"/>
    <w:qFormat/>
    <w:pPr/>
    <w:rPr>
      <w:rFonts w:ascii="Arial" w:hAnsi="Arial"/>
      <w:color w:val="FFFFFF"/>
      <w:sz w:val="18"/>
      <w:highlight w:val="red"/>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kinsoku w:val="true"/>
      <w:overflowPunct w:val="true"/>
      <w:autoSpaceDE w:val="true"/>
      <w:bidi w:val="0"/>
      <w:jc w:val="left"/>
    </w:pPr>
    <w:rPr>
      <w:rFonts w:ascii="Arial" w:hAnsi="Arial" w:eastAsia="Microsoft YaHei" w:cs="Mangal"/>
      <w:color w:val="00000A"/>
      <w:kern w:val="2"/>
      <w:sz w:val="24"/>
      <w:szCs w:val="20"/>
      <w:lang w:val="sk" w:eastAsia="zh-CN" w:bidi="hi-IN"/>
    </w:rPr>
  </w:style>
  <w:style w:type="paragraph" w:styleId="P68B1DB1style79">
    <w:name w:val="P68B1DB1-style79"/>
    <w:qFormat/>
    <w:pPr>
      <w:widowControl/>
      <w:kinsoku w:val="true"/>
      <w:overflowPunct w:val="true"/>
      <w:autoSpaceDE w:val="true"/>
      <w:bidi w:val="0"/>
      <w:jc w:val="left"/>
    </w:pPr>
    <w:rPr>
      <w:rFonts w:ascii="Arial" w:hAnsi="Arial" w:eastAsia="Microsoft YaHei" w:cs="Mangal"/>
      <w:i/>
      <w:color w:val="00000A"/>
      <w:kern w:val="2"/>
      <w:sz w:val="24"/>
      <w:szCs w:val="20"/>
      <w:lang w:val="sk"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highlight w:val="darkCyan"/>
    </w:rPr>
  </w:style>
  <w:style w:type="paragraph" w:styleId="P68B1DB1style93">
    <w:name w:val="P68B1DB1-style93"/>
    <w:qFormat/>
    <w:pPr>
      <w:widowControl/>
      <w:kinsoku w:val="true"/>
      <w:overflowPunct w:val="true"/>
      <w:autoSpaceDE w:val="true"/>
      <w:bidi w:val="0"/>
      <w:jc w:val="left"/>
    </w:pPr>
    <w:rPr>
      <w:rFonts w:ascii="Times New Roman" w:hAnsi="Times New Roman" w:eastAsia="Microsoft YaHei" w:cs="Mangal"/>
      <w:color w:val="00000A"/>
      <w:kern w:val="2"/>
      <w:sz w:val="26"/>
      <w:szCs w:val="20"/>
      <w:lang w:val="sk" w:eastAsia="zh-CN" w:bidi="hi-IN"/>
    </w:rPr>
  </w:style>
  <w:style w:type="paragraph" w:styleId="P68B1DB1style94">
    <w:name w:val="P68B1DB1-style94"/>
    <w:qFormat/>
    <w:pPr>
      <w:widowControl/>
      <w:kinsoku w:val="true"/>
      <w:overflowPunct w:val="true"/>
      <w:autoSpaceDE w:val="true"/>
      <w:bidi w:val="0"/>
      <w:jc w:val="left"/>
    </w:pPr>
    <w:rPr>
      <w:rFonts w:ascii="Arial" w:hAnsi="Arial" w:eastAsia="Microsoft YaHei" w:cs="Mangal"/>
      <w:color w:val="00000A"/>
      <w:kern w:val="2"/>
      <w:sz w:val="20"/>
      <w:szCs w:val="20"/>
      <w:lang w:val="sk"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kinsoku w:val="true"/>
      <w:overflowPunct w:val="true"/>
      <w:autoSpaceDE w:val="true"/>
      <w:bidi w:val="0"/>
      <w:jc w:val="left"/>
    </w:pPr>
    <w:rPr>
      <w:rFonts w:ascii="Times New Roman" w:hAnsi="Times New Roman" w:eastAsia="SimSun" w:cs="Mangal"/>
      <w:color w:val="00000A"/>
      <w:kern w:val="2"/>
      <w:sz w:val="20"/>
      <w:szCs w:val="20"/>
      <w:lang w:val="sk"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information-material"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summits/2022" TargetMode="External"/><Relationship Id="rId62" Type="http://schemas.openxmlformats.org/officeDocument/2006/relationships/hyperlink" Target="https://cor.europa.eu/en/engage/brochures/Documents/Citizens, local politicians and the future of Europe/4666-final report lowres FIN.pdf" TargetMode="External"/><Relationship Id="rId63"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4"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5"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6"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7" Type="http://schemas.openxmlformats.org/officeDocument/2006/relationships/hyperlink" Target="https://urldefense.com/v3/__https:/europeanmovement.eu/__;!!DOxrgLBm!USrgw0ykk4Rr_7OEucFYoNO-h98D1sH5xfD-7Qmm48-t_TKrps6LcRBXC7_VkAjjVVGY7-cLezPKmw$" TargetMode="External"/><Relationship Id="rId68"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69"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0"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1" Type="http://schemas.openxmlformats.org/officeDocument/2006/relationships/hyperlink" Target="https://urldefense.com/v3/__https:/europeanmovement.eu/conference-on-the-future-of-europe/__;!!DOxrgLBm!USrgw0ykk4Rr_7OEucFYoNO-h98D1sH5xfD-7Qmm48-t_TKrps6LcRBXC7_VkAjjVVGY7-coTvKNzA$" TargetMode="External"/><Relationship Id="rId72" Type="http://schemas.openxmlformats.org/officeDocument/2006/relationships/image" Target="media/image21.png"/><Relationship Id="rId73" Type="http://schemas.openxmlformats.org/officeDocument/2006/relationships/image" Target="media/image22.png"/><Relationship Id="rId74" Type="http://schemas.openxmlformats.org/officeDocument/2006/relationships/image" Target="media/image23.png"/><Relationship Id="rId75" Type="http://schemas.openxmlformats.org/officeDocument/2006/relationships/image" Target="media/image24.png"/><Relationship Id="rId76" Type="http://schemas.openxmlformats.org/officeDocument/2006/relationships/image" Target="media/image25.png"/><Relationship Id="rId77" Type="http://schemas.openxmlformats.org/officeDocument/2006/relationships/image" Target="media/image26.png"/><Relationship Id="rId78" Type="http://schemas.openxmlformats.org/officeDocument/2006/relationships/image" Target="media/image27.png"/><Relationship Id="rId79" Type="http://schemas.openxmlformats.org/officeDocument/2006/relationships/image" Target="media/image28.png"/><Relationship Id="rId80" Type="http://schemas.openxmlformats.org/officeDocument/2006/relationships/image" Target="media/image29.png"/><Relationship Id="rId81" Type="http://schemas.openxmlformats.org/officeDocument/2006/relationships/image" Target="media/image30.png"/><Relationship Id="rId82" Type="http://schemas.openxmlformats.org/officeDocument/2006/relationships/image" Target="media/image31.png"/><Relationship Id="rId83" Type="http://schemas.openxmlformats.org/officeDocument/2006/relationships/image" Target="media/image32.png"/><Relationship Id="rId84" Type="http://schemas.openxmlformats.org/officeDocument/2006/relationships/image" Target="media/image33.png"/><Relationship Id="rId85" Type="http://schemas.openxmlformats.org/officeDocument/2006/relationships/hyperlink" Target="https://participation-citoyenne.gouv.fr/sites/default/files/2021-11/20211126 - COFE - Rapport final.pdf" TargetMode="External"/><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image" Target="media/image34.png"/><Relationship Id="rId88" Type="http://schemas.openxmlformats.org/officeDocument/2006/relationships/image" Target="media/image35.png"/><Relationship Id="rId89" Type="http://schemas.openxmlformats.org/officeDocument/2006/relationships/image" Target="media/image36.png"/><Relationship Id="rId90" Type="http://schemas.openxmlformats.org/officeDocument/2006/relationships/image" Target="media/image37.png"/><Relationship Id="rId91" Type="http://schemas.openxmlformats.org/officeDocument/2006/relationships/image" Target="media/image38.png"/><Relationship Id="rId92" Type="http://schemas.openxmlformats.org/officeDocument/2006/relationships/image" Target="media/image39.png"/><Relationship Id="rId93" Type="http://schemas.openxmlformats.org/officeDocument/2006/relationships/image" Target="media/image40.png"/><Relationship Id="rId94" Type="http://schemas.openxmlformats.org/officeDocument/2006/relationships/image" Target="media/image41.png"/><Relationship Id="rId95" Type="http://schemas.openxmlformats.org/officeDocument/2006/relationships/image" Target="media/image42.png"/><Relationship Id="rId96" Type="http://schemas.openxmlformats.org/officeDocument/2006/relationships/image" Target="media/image43.png"/><Relationship Id="rId97" Type="http://schemas.openxmlformats.org/officeDocument/2006/relationships/image" Target="media/image44.png"/><Relationship Id="rId98" Type="http://schemas.openxmlformats.org/officeDocument/2006/relationships/image" Target="media/image45.wmf"/><Relationship Id="rId99" Type="http://schemas.openxmlformats.org/officeDocument/2006/relationships/image" Target="media/image46.png"/><Relationship Id="rId100" Type="http://schemas.openxmlformats.org/officeDocument/2006/relationships/image" Target="media/image47.png"/><Relationship Id="rId101" Type="http://schemas.openxmlformats.org/officeDocument/2006/relationships/image" Target="media/image48.png"/><Relationship Id="rId102" Type="http://schemas.openxmlformats.org/officeDocument/2006/relationships/image" Target="media/image49.png"/><Relationship Id="rId103" Type="http://schemas.openxmlformats.org/officeDocument/2006/relationships/image" Target="media/image50.png"/><Relationship Id="rId104" Type="http://schemas.openxmlformats.org/officeDocument/2006/relationships/image" Target="media/image51.png"/><Relationship Id="rId105" Type="http://schemas.openxmlformats.org/officeDocument/2006/relationships/image" Target="media/image52.png"/><Relationship Id="rId106" Type="http://schemas.openxmlformats.org/officeDocument/2006/relationships/image" Target="media/image53.png"/><Relationship Id="rId107" Type="http://schemas.openxmlformats.org/officeDocument/2006/relationships/image" Target="media/image54.png"/><Relationship Id="rId108" Type="http://schemas.openxmlformats.org/officeDocument/2006/relationships/image" Target="media/image55.png"/><Relationship Id="rId109" Type="http://schemas.openxmlformats.org/officeDocument/2006/relationships/image" Target="media/image56.png"/><Relationship Id="rId110" Type="http://schemas.openxmlformats.org/officeDocument/2006/relationships/image" Target="media/image57.png"/><Relationship Id="rId111" Type="http://schemas.openxmlformats.org/officeDocument/2006/relationships/image" Target="media/image58.png"/><Relationship Id="rId112" Type="http://schemas.openxmlformats.org/officeDocument/2006/relationships/image" Target="media/image59.png"/><Relationship Id="rId113" Type="http://schemas.openxmlformats.org/officeDocument/2006/relationships/hyperlink" Target="https://europa.eu/eurobarometer/surveys/detail/2256" TargetMode="External"/><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532" TargetMode="External"/><Relationship Id="rId116" Type="http://schemas.openxmlformats.org/officeDocument/2006/relationships/image" Target="media/image60.png"/><Relationship Id="rId117" Type="http://schemas.openxmlformats.org/officeDocument/2006/relationships/hyperlink" Target="http://www.kijkopeuropa.nl/" TargetMode="External"/><Relationship Id="rId118" Type="http://schemas.openxmlformats.org/officeDocument/2006/relationships/image" Target="media/image61.png"/><Relationship Id="rId119" Type="http://schemas.openxmlformats.org/officeDocument/2006/relationships/hyperlink" Target="https://futureu.europa.eu/pages/belgium" TargetMode="External"/><Relationship Id="rId120" Type="http://schemas.openxmlformats.org/officeDocument/2006/relationships/hyperlink" Target="https://futureu.europa.eu/pages/bulgaria" TargetMode="External"/><Relationship Id="rId121" Type="http://schemas.openxmlformats.org/officeDocument/2006/relationships/hyperlink" Target="https://futureu.europa.eu/pages/czech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denmark" TargetMode="External"/><Relationship Id="rId124" Type="http://schemas.openxmlformats.org/officeDocument/2006/relationships/hyperlink" Target="https://futureu.europa.eu/pages/germany"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estonia" TargetMode="External"/><Relationship Id="rId127" Type="http://schemas.openxmlformats.org/officeDocument/2006/relationships/hyperlink" Target="https://futureu.europa.eu/pages/ireland" TargetMode="External"/><Relationship Id="rId128" Type="http://schemas.openxmlformats.org/officeDocument/2006/relationships/hyperlink" Target="https://futureu.europa.eu/pages/greece" TargetMode="External"/><Relationship Id="rId129" Type="http://schemas.openxmlformats.org/officeDocument/2006/relationships/hyperlink" Target="https://futureu.europa.eu/pages/spain" TargetMode="External"/><Relationship Id="rId130" Type="http://schemas.openxmlformats.org/officeDocument/2006/relationships/hyperlink" Target="https://futureu.europa.eu/pages/france" TargetMode="External"/><Relationship Id="rId131" Type="http://schemas.openxmlformats.org/officeDocument/2006/relationships/hyperlink" Target="https://futureu.europa.eu/pages/croatia" TargetMode="External"/><Relationship Id="rId132" Type="http://schemas.openxmlformats.org/officeDocument/2006/relationships/hyperlink" Target="https://futureu.europa.eu/pages/italy" TargetMode="External"/><Relationship Id="rId133" Type="http://schemas.openxmlformats.org/officeDocument/2006/relationships/hyperlink" Target="https://futureu.europa.eu/pages/cyprus" TargetMode="External"/><Relationship Id="rId134" Type="http://schemas.openxmlformats.org/officeDocument/2006/relationships/hyperlink" Target="https://futureu.europa.eu/pages/latvia" TargetMode="External"/><Relationship Id="rId135" Type="http://schemas.openxmlformats.org/officeDocument/2006/relationships/hyperlink" Target="https://futureu.europa.eu/pages/lithuania" TargetMode="External"/><Relationship Id="rId136" Type="http://schemas.openxmlformats.org/officeDocument/2006/relationships/hyperlink" Target="https://futureu.europa.eu/pages/luxembourg" TargetMode="External"/><Relationship Id="rId137" Type="http://schemas.openxmlformats.org/officeDocument/2006/relationships/hyperlink" Target="https://futureu.europa.eu/pages/hungary" TargetMode="External"/><Relationship Id="rId138" Type="http://schemas.openxmlformats.org/officeDocument/2006/relationships/hyperlink" Target="https://futureu.europa.eu/pages/malta" TargetMode="External"/><Relationship Id="rId139" Type="http://schemas.openxmlformats.org/officeDocument/2006/relationships/hyperlink" Target="https://futureu.europa.eu/pages/netherlands" TargetMode="External"/><Relationship Id="rId140" Type="http://schemas.openxmlformats.org/officeDocument/2006/relationships/hyperlink" Target="https://futureu.europa.eu/pages/austria" TargetMode="External"/><Relationship Id="rId141" Type="http://schemas.openxmlformats.org/officeDocument/2006/relationships/hyperlink" Target="https://futureu.europa.eu/pages/poland" TargetMode="External"/><Relationship Id="rId142" Type="http://schemas.openxmlformats.org/officeDocument/2006/relationships/hyperlink" Target="https://futureu.europa.eu/pages/portugal" TargetMode="External"/><Relationship Id="rId143" Type="http://schemas.openxmlformats.org/officeDocument/2006/relationships/hyperlink" Target="https://futureu.europa.eu/pages/romania" TargetMode="External"/><Relationship Id="rId144" Type="http://schemas.openxmlformats.org/officeDocument/2006/relationships/hyperlink" Target="https://futureu.europa.eu/pages/slovenia" TargetMode="External"/><Relationship Id="rId145" Type="http://schemas.openxmlformats.org/officeDocument/2006/relationships/hyperlink" Target="https://futureu.europa.eu/pages/slovakia" TargetMode="External"/><Relationship Id="rId146" Type="http://schemas.openxmlformats.org/officeDocument/2006/relationships/hyperlink" Target="https://futureu.europa.eu/pages/finland" TargetMode="External"/><Relationship Id="rId147" Type="http://schemas.openxmlformats.org/officeDocument/2006/relationships/hyperlink" Target="https://futureu.europa.eu/pages/sweden" TargetMode="External"/><Relationship Id="rId148"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image" Target="media/image62.png"/><Relationship Id="rId151" Type="http://schemas.openxmlformats.org/officeDocument/2006/relationships/footnotes" Target="footnotes.xml"/><Relationship Id="rId152" Type="http://schemas.openxmlformats.org/officeDocument/2006/relationships/endnotes" Target="endnotes.xml"/><Relationship Id="rId153" Type="http://schemas.openxmlformats.org/officeDocument/2006/relationships/comments" Target="comments.xml"/><Relationship Id="rId154" Type="http://schemas.openxmlformats.org/officeDocument/2006/relationships/numbering" Target="numbering.xml"/><Relationship Id="rId155" Type="http://schemas.openxmlformats.org/officeDocument/2006/relationships/fontTable" Target="fontTable.xml"/><Relationship Id="rId156"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299</Pages>
  <Words>96260</Words>
  <Characters>589645</Characters>
  <CharactersWithSpaces>683065</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2022-09-01T16:14:34Z</dcterms:modified>
  <cp:revision>69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