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oustitre"/>
        <w:spacing w:before="60" w:after="120"/>
        <w:jc w:val="center"/>
        <w:rPr>
          <w:b/>
          <w:b/>
          <w:bCs/>
        </w:rPr>
      </w:pPr>
      <w:r>
        <w:rPr>
          <w:b/>
          <w:bCs/>
        </w:rPr>
        <w:t>SINTEZRAPORTO DE LA SESA RAPPORTO DE IPCC (AR6)</w:t>
      </w:r>
    </w:p>
    <w:p>
      <w:pPr>
        <w:pStyle w:val="ParagrapheBlanc"/>
        <w:shd w:val="clear" w:fill="FFFFFF"/>
        <w:spacing w:before="156" w:after="156"/>
        <w:jc w:val="center"/>
        <w:rPr>
          <w:b/>
          <w:b/>
          <w:bCs/>
        </w:rPr>
      </w:pPr>
      <w:r>
        <w:rPr>
          <w:b/>
          <w:bCs/>
        </w:rPr>
      </w:r>
    </w:p>
    <w:p>
      <w:pPr>
        <w:pStyle w:val="ParagrapheBlanc"/>
        <w:shd w:val="clear" w:fill="FFFFFF"/>
        <w:spacing w:before="156" w:after="156"/>
        <w:jc w:val="center"/>
        <w:rPr>
          <w:b/>
          <w:b/>
          <w:bCs/>
        </w:rPr>
      </w:pPr>
      <w:r>
        <w:rPr>
          <w:b/>
          <w:bCs/>
        </w:rPr>
        <w:t>Resumo por Politikistoj</w:t>
      </w:r>
    </w:p>
    <w:p>
      <w:pPr>
        <w:pStyle w:val="ParagrapheBlanc"/>
        <w:rPr/>
      </w:pPr>
      <w:r>
        <w:rPr>
          <w:b/>
          <w:bCs/>
        </w:rPr>
        <w:t xml:space="preserve">Core Writing Team: </w:t>
      </w:r>
      <w:r>
        <w:rPr/>
        <w:t>Hoesung Lee (Prezidanto), Katherine Calvin (Usono), Dipak Dasgupta (Hindio/Usono), Gerhard Krinner (Francio/Germanio), Aditi Mukherji (Hindio), Peter Thorne (Irlando/Unuiĝinta Reĝlando), Christopher Trisos (Sudafriko), José Romero (Svislando), Paulina Aldunce (Ĉilio), Ko Barrett (Usono), Gabriel Blanco (Argentino), William WL Cheung (Kanado), Sarah L. Connors (Francio/Unuiĝinta Reĝlando), Fatima Denton (La Gambio), Aïda Diongue-Niang (Senegalo), David Dodman (Jamajko/Unuiĝinta Reĝlando/Nederlando), Matthias Garschagen (Germanio), Oliver Geden (Germanio), Bronwyn Hayward (Nov-Zelando), Christopher Jones (Unuiĝinta Reĝlando), Frank Jotzo (Aŭstralio), Thelma Krug (Brazilo), Rodel Lasco (Filipinoj), June-Yi Lee (Korea Respubliko), Valérie Masson-Delmotte (Francio), Malte Meinshausen (Aŭstralio/Germanio), Katja Mintenbeck (Germanio), Abdalah Mokssit (Maroko), Friederike EL Otto (Unuiĝinta Reĝlando/Germanio), Minal Pathak (Hindio), Anna Pirani (Italio), Elvira Poloczanska (Britio/Aŭstralio), Hans-Otto Pörtner (Germanio), Aromar Revi (Hindio), Debra C. Roberts (Sudafriko), Joyashree Roy (Hindio/Tajlando), Alex C. Ruane (Usono), Jim Skea (Unuiĝinta Reĝlando), Priyadarshi R. Shukla (Hindio), Raphael Slade (Unuiĝinta Reĝlando), Aimée Slangen (Nederlando), Youba Sokona (Malio), Anna A. Sörensson (Argentino), Melinda Tignor (Usono/Germanio), Detlef van Vuuren (Nederlando), Yi-Ming Wei (Ĉinio) , Harald Winkler (Sudafriko), Panmao Zhai (Ĉinio), Zinta Zommers (Latvio)</w:t>
      </w:r>
    </w:p>
    <w:p>
      <w:pPr>
        <w:pStyle w:val="ParagrapheBlanc"/>
        <w:rPr/>
      </w:pPr>
      <w:r>
        <w:rPr>
          <w:rStyle w:val="StyleGras"/>
          <w:bCs/>
        </w:rPr>
        <w:t xml:space="preserve">Plilongigita Writing Team: </w:t>
      </w:r>
      <w:r>
        <w:rPr/>
        <w:t>Jean-Charles Hourcade (Francio), Francis X. Johnson (Tajlando/Svedio), Shonali Pachauri (Aŭstrio/Hindio), Nicholas P. Simpson (Sudafriko/Zimbabvo), Chandni Singh (Hindio), Adelle Thomas (Bahamoj), Edmond Totin (Benino)</w:t>
      </w:r>
    </w:p>
    <w:p>
      <w:pPr>
        <w:pStyle w:val="ParagrapheBlanc"/>
        <w:rPr/>
      </w:pPr>
      <w:r>
        <w:rPr>
          <w:b/>
          <w:bCs/>
        </w:rPr>
        <w:t xml:space="preserve">Kontribuantaj Aŭtoroj: </w:t>
      </w:r>
      <w:r>
        <w:rPr/>
        <w:t>Andrés Alegría (Germanio/Honduro), Kyle Armor (Usono), Birgit Bednar-Friedl (Aŭstrio), Kornelis Blok (Nederlando) Guéladio Cissé (Svislando/Maŭritanio/Francio), Frank Dentener (EU/Nederlando), Siri Eriksen (Norvegio), Erich Fischer (Svislando), Gregory Garner (Usono), Céline Guivarch (Francio), Marjolijn Haasnoot (Nederlando), Gerrit Hansen (Germanio), Matthias Hauser (Svislando), Ed Hawkins (UK), Tim Hermans (Nederlando), Robert Kopp (Usono), Noëmie Leprince-Ringuet (Francio), Debora Ley (Meksiko/Gvatemalo), Jared Lewis (Aŭstralio/Nov-Zelando), Chloé Ludden (Germanio/Francio), Zebedee Nicholls (Aŭstralio), Leila Niamir (Irano/Nederlando/Aŭstrio), Shreya Some (Hindio/Tajlando), Sophie Szopa (Francio), Blair Trewin (Aŭstralio), Kaj-Ivar van der Wijst (Nederlando), Gundula Winter (Nederlando/Germanio) , Maximilian Witting (Germanio)</w:t>
      </w:r>
    </w:p>
    <w:p>
      <w:pPr>
        <w:pStyle w:val="ParagrapheBlanc"/>
        <w:rPr/>
      </w:pPr>
      <w:r>
        <w:rPr>
          <w:b/>
          <w:bCs/>
        </w:rPr>
        <w:t xml:space="preserve">Recenzoj: </w:t>
      </w:r>
      <w:r>
        <w:rPr/>
        <w:t>Paola Arias (Kolombio), Mercedes Bustamante (Brazilo), Ismail Elgizouli (Sudano), Gregory Flato (Kanado), Mark Howden (Aŭstralio), Carlos Méndez (Venezuelo), Joy Pereira (Malajzio), Ramón Pichs-Madruga (Kubo), Steven K Rose (Usono), Yamina Saheb (Alĝerio/Francio), Roberto Sánchez (Meksiko), Diana Ürge-Vorsatz (Hungario), Cunde Xiao (Ĉinio), Noureddine Yassaa (Alĝerio)</w:t>
      </w:r>
    </w:p>
    <w:p>
      <w:pPr>
        <w:pStyle w:val="ParagrapheBlanc"/>
        <w:rPr/>
      </w:pPr>
      <w:r>
        <w:rPr>
          <w:b/>
          <w:bCs/>
        </w:rPr>
        <w:t xml:space="preserve">Scienca Direktora Komitato: </w:t>
      </w:r>
      <w:r>
        <w:rPr/>
        <w:t>Hoesung Lee (Prezidanto, IPCC), Amjad Abdulla (Maldivoj), Edvin Aldrian (Indonezio), Ko Barrett (Usono de Ameriko), Eduardo Calvo (Peruo), Carlo Carraro (Italio), Fatima Driouech (Maroko) , Andreas Fischlin (Svislando), Jan Fuglestvedt (Norvegio), Diriba Korecha Dadi (Etiopio), Thelma Krug (Brazilo), Nagmeldin GE Mahmoud (Sudano), Valérie Masson-Delmotte (Francio), Carlos Méndez (Venezuelo), Joy Jacqueline Pereira (Malajzio), Ramón Pichs-Madruga (Kubo), Hans-Otto Pörtner (Germanio), Andy Reisinger (Nov-Zelando), Debra Roberts (Sudafriko), Sergey Semenov (Rusia Federacio), Priyadarshi Shukla (Hindio), Jim Skea (Unuiĝinta Reĝlando), Youba Sokona (Malio), Kiyoto Tanabe (Japanio), Muhammad Tariq (Pakistano), Diana Ürge-Vorsatz (Hungario), Carolina Vera (Argentino), Pius Yanda (Unuiĝinta Respubliko Tanzanio), Noureddine Yassaa (Alĝerio) , Taha M. Zatari (Saudi-Arabio), Panmao Zhai (Ĉinio)</w:t>
      </w:r>
    </w:p>
    <w:p>
      <w:pPr>
        <w:pStyle w:val="ParagrapheBlanc"/>
        <w:rPr/>
      </w:pPr>
      <w:r>
        <w:rPr>
          <w:b/>
          <w:bCs/>
        </w:rPr>
        <w:t xml:space="preserve">Vida Koncepto kaj Informa Dezajno: </w:t>
      </w:r>
      <w:r>
        <w:rPr/>
        <w:t>Arlene Birt (Usono), Meeyoung Ha (Korea Respubliko)</w:t>
      </w:r>
    </w:p>
    <w:p>
      <w:pPr>
        <w:pStyle w:val="ParagrapheBlanc"/>
        <w:rPr/>
      </w:pPr>
      <w:r>
        <w:rPr>
          <w:b/>
          <w:bCs/>
        </w:rPr>
        <w:t xml:space="preserve">Notoj </w:t>
      </w:r>
      <w:r>
        <w:rPr/>
        <w:t>: Kompilita Versio de TSU</w:t>
      </w:r>
      <w:r>
        <w:br w:type="page"/>
      </w:r>
    </w:p>
    <w:p>
      <w:pPr>
        <w:pStyle w:val="TOAHeading"/>
        <w:rPr/>
      </w:pPr>
      <w:r>
        <w:rPr/>
        <w:t>Enhavtabelo</w:t>
      </w:r>
    </w:p>
    <w:sdt>
      <w:sdtPr>
        <w:docPartObj>
          <w:docPartGallery w:val="Table of Contents"/>
          <w:docPartUnique w:val="true"/>
        </w:docPartObj>
      </w:sdtPr>
      <w:sdtContent>
        <w:p>
          <w:pPr>
            <w:pStyle w:val="Tabledesmatiresniveau1"/>
            <w:ind w:left="0" w:right="0" w:hanging="0"/>
            <w:rPr/>
          </w:pPr>
          <w:r>
            <w:fldChar w:fldCharType="begin"/>
          </w:r>
          <w:r>
            <w:rPr>
              <w:rStyle w:val="Sautdindex"/>
            </w:rPr>
            <w:instrText> TOC \f \o "1-9" \h</w:instrText>
          </w:r>
          <w:r>
            <w:rPr>
              <w:rStyle w:val="Sautdindex"/>
            </w:rPr>
            <w:fldChar w:fldCharType="separate"/>
          </w:r>
          <w:hyperlink w:anchor="__RefHeading___Toc224319_703985265">
            <w:r>
              <w:rPr>
                <w:rStyle w:val="Sautdindex"/>
              </w:rPr>
              <w:t xml:space="preserve">​ </w:t>
            </w:r>
            <w:r>
              <w:rPr>
                <w:rStyle w:val="Sautdindex"/>
              </w:rPr>
              <w:t>Enkonduko</w:t>
              <w:tab/>
              <w:t>3</w:t>
            </w:r>
          </w:hyperlink>
        </w:p>
        <w:p>
          <w:pPr>
            <w:pStyle w:val="Tabledesmatiresniveau1"/>
            <w:rPr/>
          </w:pPr>
          <w:hyperlink w:anchor="__RefHeading___Toc224321_703985265">
            <w:r>
              <w:rPr>
                <w:rStyle w:val="Sautdindex"/>
              </w:rPr>
              <w:t xml:space="preserve">​ </w:t>
            </w:r>
            <w:r>
              <w:rPr>
                <w:rStyle w:val="Sautdindex"/>
              </w:rPr>
              <w:t>A. Nuna Statuso kaj Tendencoj</w:t>
              <w:tab/>
              <w:t>4</w:t>
            </w:r>
          </w:hyperlink>
        </w:p>
        <w:p>
          <w:pPr>
            <w:pStyle w:val="Tabledesmatiresniveau1"/>
            <w:rPr/>
          </w:pPr>
          <w:hyperlink w:anchor="__RefHeading___Toc79269_355317784">
            <w:r>
              <w:rPr>
                <w:rStyle w:val="Sautdindex"/>
              </w:rPr>
              <w:t xml:space="preserve">​ </w:t>
            </w:r>
            <w:r>
              <w:rPr>
                <w:rStyle w:val="Sautdindex"/>
              </w:rPr>
              <w:t>Skatolo SPM.1 La uzo de scenaroj kaj modeligitaj vojoj en la AR6 Sinteza Raporto</w:t>
              <w:tab/>
              <w:t>8</w:t>
            </w:r>
          </w:hyperlink>
        </w:p>
        <w:p>
          <w:pPr>
            <w:pStyle w:val="Tabledesmatiresniveau1"/>
            <w:rPr/>
          </w:pPr>
          <w:hyperlink w:anchor="__RefHeading___Toc76387_355317784">
            <w:r>
              <w:rPr>
                <w:rStyle w:val="Sautdindex"/>
              </w:rPr>
              <w:t xml:space="preserve">​ </w:t>
            </w:r>
            <w:r>
              <w:rPr>
                <w:rStyle w:val="Sautdindex"/>
              </w:rPr>
              <w:t>B. Estonta Klimata Ŝanĝo, Riskoj kaj Longtempaj Respondoj</w:t>
              <w:tab/>
              <w:t>12</w:t>
            </w:r>
          </w:hyperlink>
        </w:p>
        <w:p>
          <w:pPr>
            <w:pStyle w:val="Tabledesmatiresniveau1"/>
            <w:rPr/>
          </w:pPr>
          <w:hyperlink w:anchor="__RefHeading___Toc76389_355317784">
            <w:r>
              <w:rPr>
                <w:rStyle w:val="Sautdindex"/>
              </w:rPr>
              <w:t xml:space="preserve">​ </w:t>
            </w:r>
            <w:r>
              <w:rPr>
                <w:rStyle w:val="Sautdindex"/>
              </w:rPr>
              <w:t>C. Respondoj en la Proksima Termino</w:t>
              <w:tab/>
              <w:t>26</w:t>
            </w:r>
          </w:hyperlink>
          <w:r>
            <w:rPr>
              <w:rStyle w:val="Sautdindex"/>
            </w:rPr>
            <w:fldChar w:fldCharType="end"/>
          </w:r>
        </w:p>
      </w:sdtContent>
    </w:sdt>
    <w:p>
      <w:pPr>
        <w:pStyle w:val="ParagrapheBlanc"/>
        <w:shd w:fill="FFFFFF" w:val="clear"/>
        <w:spacing w:before="57" w:after="57"/>
        <w:rPr/>
      </w:pPr>
      <w:r>
        <mc:AlternateContent>
          <mc:Choice Requires="wps">
            <w:drawing>
              <wp:anchor behindDoc="0" distT="6350" distB="6350" distL="6350" distR="6350" simplePos="0" locked="0" layoutInCell="0" allowOverlap="1" relativeHeight="54">
                <wp:simplePos x="0" y="0"/>
                <wp:positionH relativeFrom="page">
                  <wp:posOffset>6798310</wp:posOffset>
                </wp:positionH>
                <wp:positionV relativeFrom="paragraph">
                  <wp:posOffset>120015</wp:posOffset>
                </wp:positionV>
                <wp:extent cx="19050" cy="19050"/>
                <wp:effectExtent l="0" t="0" r="0" b="0"/>
                <wp:wrapNone/>
                <wp:docPr id="1" name="Freeform 107"/>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t>Fontoj cititaj en ĉi tiu Resumo por Politikistoj (SPM)</w:t>
      </w:r>
    </w:p>
    <w:p>
      <w:pPr>
        <w:pStyle w:val="ParagrapheBlanc"/>
        <w:shd w:val="clear" w:fill="FFFFFF"/>
        <w:spacing w:before="57" w:after="57"/>
        <w:rPr/>
      </w:pPr>
      <w:r>
        <w:rPr/>
        <w:t>Referencoj por materialo enhavita en ĉi tiu raporto estas donitaj en krampoj {} ĉe la fino de ĉiu alineo.</w:t>
      </w:r>
    </w:p>
    <w:p>
      <w:pPr>
        <w:pStyle w:val="ParagrapheBlanc"/>
        <w:shd w:val="clear" w:fill="FFFFFF"/>
        <w:spacing w:before="57" w:after="57"/>
        <w:rPr/>
      </w:pPr>
      <w:r>
        <w:rPr/>
        <w:t>En la Resumo por Politikfaristoj, la referencoj rilatas al la nombroj de la Sekcioj, figuroj, tabeloj kaj kestoj en la subesta Pli Longa Raporto de la Sinteza Raporto, aŭ al aliaj sekcioj de la SPM mem (en rondaj krampoj).</w:t>
      </w:r>
    </w:p>
    <w:p>
      <w:pPr>
        <w:pStyle w:val="ParagrapheBlanc"/>
        <w:shd w:val="clear" w:fill="FFFFFF"/>
        <w:spacing w:before="57" w:after="57"/>
        <w:rPr/>
      </w:pPr>
      <w:r>
        <w:rPr/>
        <w:t>Aliaj IPCC-raportoj cititaj en ĉi tiu Sinteza Raporto:</w:t>
      </w:r>
    </w:p>
    <w:p>
      <w:pPr>
        <w:pStyle w:val="ParagrapheBlanc"/>
        <w:shd w:val="clear" w:fill="FFFFFF"/>
        <w:spacing w:before="57" w:after="57"/>
        <w:rPr/>
      </w:pPr>
      <w:r>
        <mc:AlternateContent>
          <mc:Choice Requires="wps">
            <w:drawing>
              <wp:anchor behindDoc="0" distT="6350" distB="6350" distL="6350" distR="6350" simplePos="0" locked="0" layoutInCell="0" allowOverlap="1" relativeHeight="58">
                <wp:simplePos x="0" y="0"/>
                <wp:positionH relativeFrom="page">
                  <wp:posOffset>682625</wp:posOffset>
                </wp:positionH>
                <wp:positionV relativeFrom="paragraph">
                  <wp:posOffset>-188595</wp:posOffset>
                </wp:positionV>
                <wp:extent cx="19050" cy="19050"/>
                <wp:effectExtent l="0" t="0" r="0" b="0"/>
                <wp:wrapNone/>
                <wp:docPr id="2" name="Freeform 112"/>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59">
                <wp:simplePos x="0" y="0"/>
                <wp:positionH relativeFrom="page">
                  <wp:posOffset>682625</wp:posOffset>
                </wp:positionH>
                <wp:positionV relativeFrom="paragraph">
                  <wp:posOffset>-188595</wp:posOffset>
                </wp:positionV>
                <wp:extent cx="19050" cy="19050"/>
                <wp:effectExtent l="0" t="0" r="0" b="0"/>
                <wp:wrapNone/>
                <wp:docPr id="3" name="Freeform 111"/>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0">
                <wp:simplePos x="0" y="0"/>
                <wp:positionH relativeFrom="page">
                  <wp:posOffset>6798310</wp:posOffset>
                </wp:positionH>
                <wp:positionV relativeFrom="paragraph">
                  <wp:posOffset>-188595</wp:posOffset>
                </wp:positionV>
                <wp:extent cx="19050" cy="19050"/>
                <wp:effectExtent l="0" t="0" r="0" b="0"/>
                <wp:wrapNone/>
                <wp:docPr id="4" name="Freeform 115"/>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3">
                <wp:simplePos x="0" y="0"/>
                <wp:positionH relativeFrom="page">
                  <wp:posOffset>6798310</wp:posOffset>
                </wp:positionH>
                <wp:positionV relativeFrom="paragraph">
                  <wp:posOffset>-188595</wp:posOffset>
                </wp:positionV>
                <wp:extent cx="19050" cy="19050"/>
                <wp:effectExtent l="0" t="0" r="0" b="0"/>
                <wp:wrapNone/>
                <wp:docPr id="5" name="Freeform 114"/>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t>AR5 Kvina Taksa Raporto</w:t>
      </w:r>
    </w:p>
    <w:p>
      <w:pPr>
        <w:pStyle w:val="Lignehorizontale"/>
        <w:rPr/>
      </w:pPr>
      <w:r>
        <w:rPr/>
      </w:r>
    </w:p>
    <w:p>
      <w:pPr>
        <w:pStyle w:val="ParagrapheBlanc"/>
        <w:rPr/>
      </w:pPr>
      <w:r>
        <w:rPr/>
        <w:drawing>
          <wp:inline distT="0" distB="0" distL="0" distR="0">
            <wp:extent cx="4069080" cy="1244600"/>
            <wp:effectExtent l="0" t="0" r="0" b="0"/>
            <wp:docPr id="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 descr=""/>
                    <pic:cNvPicPr>
                      <a:picLocks noChangeAspect="1" noChangeArrowheads="1"/>
                    </pic:cNvPicPr>
                  </pic:nvPicPr>
                  <pic:blipFill>
                    <a:blip r:embed="rId2"/>
                    <a:stretch>
                      <a:fillRect/>
                    </a:stretch>
                  </pic:blipFill>
                  <pic:spPr bwMode="auto">
                    <a:xfrm>
                      <a:off x="0" y="0"/>
                      <a:ext cx="4069080" cy="1244600"/>
                    </a:xfrm>
                    <a:prstGeom prst="rect">
                      <a:avLst/>
                    </a:prstGeom>
                  </pic:spPr>
                </pic:pic>
              </a:graphicData>
            </a:graphic>
          </wp:inline>
        </w:drawing>
      </w:r>
    </w:p>
    <w:p>
      <w:pPr>
        <w:pStyle w:val="ParagrapheBlanc"/>
        <w:rPr/>
      </w:pPr>
      <w:r>
        <w:rPr>
          <w:lang w:val="en-US"/>
        </w:rPr>
        <w:t xml:space="preserve">Dokumento preparita de Pierre Dieumegard por </w:t>
      </w:r>
      <w:hyperlink r:id="rId3">
        <w:r>
          <w:rPr>
            <w:rStyle w:val="LienInternet"/>
          </w:rPr>
          <w:t>Eŭropo-Demokratio-Espe</w:t>
        </w:r>
      </w:hyperlink>
      <w:hyperlink r:id="rId4">
        <w:r>
          <w:rPr>
            <w:rStyle w:val="LienInternet"/>
            <w:lang w:val="en-US"/>
          </w:rPr>
          <w:t>ranto</w:t>
        </w:r>
      </w:hyperlink>
    </w:p>
    <w:p>
      <w:pPr>
        <w:pStyle w:val="ParagrapheBlanc"/>
        <w:rPr/>
      </w:pPr>
      <w:r>
        <w:rPr>
          <w:lang w:val="en-US"/>
        </w:rPr>
        <w:t xml:space="preserve">La celo de ĉi tiu "provizora" dokumento estas permesi al pli da homoj en la Eŭropa Unio ekkonscii pri </w:t>
      </w:r>
      <w:r>
        <w:rPr>
          <w:rFonts w:eastAsia="Times New Roman" w:cs="Times New Roman"/>
          <w:color w:val="00000A"/>
          <w:kern w:val="0"/>
          <w:sz w:val="22"/>
          <w:szCs w:val="22"/>
          <w:lang w:val="en-US" w:eastAsia="zh-CN" w:bidi="ar-SA"/>
        </w:rPr>
        <w:t>gravaj dokumentoj.</w:t>
      </w:r>
      <w:r>
        <w:rPr>
          <w:lang w:val="en-US"/>
        </w:rPr>
        <w:t xml:space="preserve"> </w:t>
      </w:r>
      <w:r>
        <w:rPr>
          <w:rFonts w:ascii="Arial" w:hAnsi="Arial"/>
          <w:sz w:val="18"/>
          <w:lang w:val="en-US"/>
        </w:rPr>
        <w:t xml:space="preserve">Sen </w:t>
      </w:r>
      <w:r>
        <w:rPr>
          <w:lang w:val="en-US"/>
        </w:rPr>
        <w:t>tradukoj, homoj estas ekskluditaj de la debato.</w:t>
      </w:r>
    </w:p>
    <w:p>
      <w:pPr>
        <w:pStyle w:val="ParagrapheBlanc"/>
        <w:rPr/>
      </w:pPr>
      <w:r>
        <w:rPr>
          <w:lang w:val="en-US"/>
        </w:rPr>
        <w:t xml:space="preserve">Ĉi tiu dokumento pri klimata ŝanĝo estis </w:t>
      </w:r>
      <w:hyperlink r:id="rId5">
        <w:r>
          <w:rPr>
            <w:rStyle w:val="LienInternet"/>
          </w:rPr>
          <w:t xml:space="preserve">nur en la angla </w:t>
        </w:r>
      </w:hyperlink>
      <w:r>
        <w:rPr/>
        <w:t>en pdf-dosiero.</w:t>
      </w:r>
      <w:r>
        <w:rPr>
          <w:lang w:val="en-US"/>
        </w:rPr>
        <w:t xml:space="preserve"> El ĉi tiu komenca dosiero, ni faris odt-dosieron (aŭ docx-dosieron), preparitan de Libre Office-programaro, por maŝintradukado al aliaj lingvoj. Nun la rezultoj estas </w:t>
      </w:r>
      <w:hyperlink r:id="rId6">
        <w:r>
          <w:rPr>
            <w:rStyle w:val="LienInternet"/>
          </w:rPr>
          <w:t>disponeblaj en ĉiuj oficialaj lingvoj.</w:t>
        </w:r>
      </w:hyperlink>
    </w:p>
    <w:p>
      <w:pPr>
        <w:pStyle w:val="ParagrapheBlanc"/>
        <w:rPr/>
      </w:pPr>
      <w:r>
        <w:rPr/>
        <w:t>Estas dezirinde, ke la EU-administracio transprenu la tradukon de gravaj dokumentoj. "Gravaj dokumentoj" estas ne nur leĝoj kaj regularoj, sed ankaŭ la gravaj informoj bezonataj por fari informitajn decidojn kune.</w:t>
      </w:r>
    </w:p>
    <w:p>
      <w:pPr>
        <w:pStyle w:val="ParagrapheBlanc"/>
        <w:rPr/>
      </w:pPr>
      <w:r>
        <w:rPr/>
        <w:t>Por kune diskuti pri nia komuna estonteco, kaj ebligi fidindajn tradukojn, la internacia lingvo Esperanto estus tre utila pro sia simpleco, reguleco kaj precizeco.</w:t>
      </w:r>
    </w:p>
    <w:p>
      <w:pPr>
        <w:pStyle w:val="ParagrapheBlanc"/>
        <w:shd w:val="clear" w:fill="FFFFFF"/>
        <w:rPr>
          <w:lang w:val="en-US"/>
        </w:rPr>
      </w:pPr>
      <w:r>
        <w:rPr>
          <w:lang w:val="en-US"/>
        </w:rPr>
      </w:r>
    </w:p>
    <w:p>
      <w:pPr>
        <w:pStyle w:val="ParagrapheBlanc"/>
        <w:rPr/>
      </w:pPr>
      <w:r>
        <w:rPr/>
        <w:t>Kontaktu nin:</w:t>
      </w:r>
    </w:p>
    <w:p>
      <w:pPr>
        <w:pStyle w:val="ParagrapheBlanc"/>
        <w:rPr/>
      </w:pPr>
      <w:hyperlink r:id="rId7">
        <w:r>
          <w:rPr>
            <w:rStyle w:val="LienInternet"/>
          </w:rPr>
          <w:t>Kontakto (europokune.eu)</w:t>
        </w:r>
      </w:hyperlink>
      <w:r>
        <w:rPr/>
        <w:t xml:space="preserve"> </w:t>
      </w:r>
    </w:p>
    <w:p>
      <w:pPr>
        <w:pStyle w:val="ParagrapheBlanc"/>
        <w:rPr/>
      </w:pPr>
      <w:hyperlink r:id="rId8">
        <w:r>
          <w:rPr>
            <w:rStyle w:val="LienInternet"/>
            <w:lang w:val="en-US"/>
          </w:rPr>
          <w:t>https://ede.org/-Kontakti-EDE</w:t>
        </w:r>
      </w:hyperlink>
      <w:r>
        <w:rPr>
          <w:lang w:val="en-US"/>
        </w:rPr>
        <w:t xml:space="preserve"> </w:t>
      </w:r>
      <w:r>
        <w:br w:type="page"/>
      </w:r>
    </w:p>
    <w:p>
      <w:pPr>
        <w:pStyle w:val="Normal"/>
        <w:rPr/>
      </w:pPr>
      <w:r>
        <w:rPr/>
      </w:r>
    </w:p>
    <w:p>
      <w:pPr>
        <w:pStyle w:val="Normal"/>
        <w:rPr>
          <w:rFonts w:ascii="TimesNewRomanPS-BoldMT" w:hAnsi="TimesNewRomanPS-BoldMT" w:cs="TimesNewRomanPS-BoldMT"/>
          <w:b/>
          <w:b/>
          <w:bCs/>
          <w:color w:val="010302"/>
          <w:sz w:val="18"/>
          <w:szCs w:val="18"/>
        </w:rPr>
      </w:pPr>
      <w:r>
        <w:rPr>
          <w:rFonts w:cs="TimesNewRomanPS-BoldMT" w:ascii="TimesNewRomanPS-BoldMT" w:hAnsi="TimesNewRomanPS-BoldMT"/>
          <w:b/>
          <w:bCs/>
          <w:color w:val="010302"/>
          <w:sz w:val="18"/>
          <w:szCs w:val="18"/>
        </w:rPr>
      </w:r>
    </w:p>
    <w:p>
      <w:pPr>
        <w:pStyle w:val="Titre1"/>
        <w:numPr>
          <w:ilvl w:val="0"/>
          <w:numId w:val="2"/>
        </w:numPr>
        <w:ind w:left="630" w:right="0" w:hanging="0"/>
        <w:rPr/>
      </w:pPr>
      <w:bookmarkStart w:id="0" w:name="__RefHeading___Toc224319_703985265"/>
      <w:bookmarkEnd w:id="0"/>
      <w:r>
        <w:rPr/>
        <w:t>Enkonduko</w:t>
      </w:r>
    </w:p>
    <w:p>
      <w:pPr>
        <w:pStyle w:val="ParagrapheBlanc"/>
        <w:shd w:val="clear" w:fill="FFFFFF"/>
        <w:rPr/>
      </w:pPr>
      <w:r>
        <w:rPr/>
        <w:t xml:space="preserve">Ĉi tiu Sinteza Raporto (SYR) de la IPCC Sixth Assessment Report (AR6) resumas la staton de scio pri klimata ŝanĝo, ĝiaj ĝeneraligitaj efikoj kaj riskoj, kaj klimatŝanĝa mildigo kaj adaptado. Ĝi integras la ĉefajn rezultojn de la Sesa Takso-Raporto (AR6) bazita sur kontribuoj de la tri Laborgrupoj </w:t>
      </w:r>
      <w:r>
        <w:rPr>
          <w:rStyle w:val="Ancredenotedebasdepage"/>
        </w:rPr>
        <w:footnoteReference w:id="2"/>
      </w:r>
      <w:r>
        <w:rPr/>
        <w:t xml:space="preserve">, kaj la tri Specialaj Raportoj </w:t>
      </w:r>
      <w:r>
        <w:rPr>
          <w:rStyle w:val="Ancredenotedebasdepage"/>
        </w:rPr>
        <w:footnoteReference w:id="3"/>
      </w:r>
      <w:r>
        <w:rPr/>
        <w:t xml:space="preserve">. La resumo por Politikistoj (SPM) estas strukturita en tri partoj: SPM.A Nuna Statuso kaj Tendencoj, SPM.B Estonta Klimata Ŝanĝo, Riskoj kaj Longtempaj Respondoj, kaj SPM.C Respondoj en la Proksima Tempo </w:t>
      </w:r>
      <w:r>
        <w:rPr>
          <w:rStyle w:val="Ancredenotedebasdepage"/>
        </w:rPr>
        <w:footnoteReference w:id="4"/>
      </w:r>
      <w:r>
        <w:rPr/>
        <w:t>.</w:t>
      </w:r>
    </w:p>
    <w:p>
      <w:pPr>
        <w:pStyle w:val="ParagrapheBlanc"/>
        <w:rPr/>
      </w:pPr>
      <w:r>
        <w:rPr/>
        <w:t>Ĉi tiu raporto agnoskas la interdependecon de klimato, ekosistemoj kaj biodiverseco, kaj homaj socioj; la valoron de diversaj formoj de scio; kaj la proksimajn ligojn inter klimata ŝanĝiĝema adaptado, mildigo, ekosistemsano, homa bonfarto kaj daŭripovo, kaj reflektas la kreskantan diversecon de aktoroj implikitaj en klimata ago.</w:t>
      </w:r>
    </w:p>
    <w:p>
      <w:pPr>
        <w:pStyle w:val="ParagrapheBlanc"/>
        <w:rPr/>
      </w:pPr>
      <w:r>
        <w:rPr/>
        <w:t xml:space="preserve">Surbaze de scienca kompreno, esencaj rezultoj povas esti formulitaj kiel deklaroj de fakto aŭ asociitaj kun taksita nivelo de fido uzante la IPCC-kalibritan lingvon </w:t>
      </w:r>
      <w:r>
        <w:rPr>
          <w:rStyle w:val="Ancredenotedebasdepage"/>
        </w:rPr>
        <w:footnoteReference w:id="5"/>
      </w:r>
      <w:r>
        <w:rPr/>
        <w:t>.</w:t>
      </w:r>
      <w:r>
        <w:br w:type="page"/>
      </w:r>
    </w:p>
    <w:p>
      <w:pPr>
        <w:pStyle w:val="Titre1"/>
        <w:numPr>
          <w:ilvl w:val="0"/>
          <w:numId w:val="2"/>
        </w:numPr>
        <w:ind w:left="630" w:right="0" w:hanging="0"/>
        <w:rPr/>
      </w:pPr>
      <w:bookmarkStart w:id="1" w:name="__RefHeading___Toc224321_703985265"/>
      <w:bookmarkEnd w:id="1"/>
      <w:r>
        <w:rPr/>
        <w:t xml:space="preserve">A. </w:t>
        <w:tab/>
        <w:t>Nuna Statuso kaj Tendencoj</w:t>
      </w:r>
    </w:p>
    <w:p>
      <w:pPr>
        <w:pStyle w:val="ParagrapheBlanc"/>
        <w:rPr/>
      </w:pPr>
      <w:r>
        <mc:AlternateContent>
          <mc:Choice Requires="wps">
            <w:drawing>
              <wp:anchor behindDoc="1" distT="6350" distB="6350" distL="6350" distR="6350" simplePos="0" locked="0" layoutInCell="0" allowOverlap="1" relativeHeight="11">
                <wp:simplePos x="0" y="0"/>
                <wp:positionH relativeFrom="page">
                  <wp:posOffset>65405</wp:posOffset>
                </wp:positionH>
                <wp:positionV relativeFrom="paragraph">
                  <wp:posOffset>-648970</wp:posOffset>
                </wp:positionV>
                <wp:extent cx="13335" cy="13335"/>
                <wp:effectExtent l="0" t="0" r="0" b="0"/>
                <wp:wrapNone/>
                <wp:docPr id="7" name="Freeform 12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2">
                <wp:simplePos x="0" y="0"/>
                <wp:positionH relativeFrom="page">
                  <wp:posOffset>-6350</wp:posOffset>
                </wp:positionH>
                <wp:positionV relativeFrom="paragraph">
                  <wp:posOffset>963295</wp:posOffset>
                </wp:positionV>
                <wp:extent cx="13335" cy="13335"/>
                <wp:effectExtent l="0" t="0" r="0" b="0"/>
                <wp:wrapNone/>
                <wp:docPr id="8" name="Freeform 126"/>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3">
                <wp:simplePos x="0" y="0"/>
                <wp:positionH relativeFrom="page">
                  <wp:posOffset>-6350</wp:posOffset>
                </wp:positionH>
                <wp:positionV relativeFrom="paragraph">
                  <wp:posOffset>963295</wp:posOffset>
                </wp:positionV>
                <wp:extent cx="13335" cy="13335"/>
                <wp:effectExtent l="0" t="0" r="0" b="0"/>
                <wp:wrapNone/>
                <wp:docPr id="9" name="Freeform 125"/>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8">
                <wp:simplePos x="0" y="0"/>
                <wp:positionH relativeFrom="page">
                  <wp:posOffset>-6350</wp:posOffset>
                </wp:positionH>
                <wp:positionV relativeFrom="paragraph">
                  <wp:posOffset>-6350</wp:posOffset>
                </wp:positionV>
                <wp:extent cx="13335" cy="13335"/>
                <wp:effectExtent l="0" t="0" r="0" b="0"/>
                <wp:wrapNone/>
                <wp:docPr id="10" name="Freeform 124"/>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9">
                <wp:simplePos x="0" y="0"/>
                <wp:positionH relativeFrom="page">
                  <wp:posOffset>-6350</wp:posOffset>
                </wp:positionH>
                <wp:positionV relativeFrom="paragraph">
                  <wp:posOffset>-6350</wp:posOffset>
                </wp:positionV>
                <wp:extent cx="13335" cy="13335"/>
                <wp:effectExtent l="0" t="0" r="0" b="0"/>
                <wp:wrapNone/>
                <wp:docPr id="11" name="Freeform 123"/>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6">
                <wp:simplePos x="0" y="0"/>
                <wp:positionH relativeFrom="page">
                  <wp:posOffset>65405</wp:posOffset>
                </wp:positionH>
                <wp:positionV relativeFrom="paragraph">
                  <wp:posOffset>-648970</wp:posOffset>
                </wp:positionV>
                <wp:extent cx="13335" cy="13335"/>
                <wp:effectExtent l="0" t="0" r="0" b="0"/>
                <wp:wrapNone/>
                <wp:docPr id="12" name="Freeform 128"/>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4">
                <wp:simplePos x="0" y="0"/>
                <wp:positionH relativeFrom="page">
                  <wp:posOffset>65405</wp:posOffset>
                </wp:positionH>
                <wp:positionV relativeFrom="paragraph">
                  <wp:posOffset>160020</wp:posOffset>
                </wp:positionV>
                <wp:extent cx="13335" cy="13335"/>
                <wp:effectExtent l="0" t="0" r="0" b="0"/>
                <wp:wrapNone/>
                <wp:docPr id="13" name="Freeform 130"/>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5">
                <wp:simplePos x="0" y="0"/>
                <wp:positionH relativeFrom="page">
                  <wp:posOffset>65405</wp:posOffset>
                </wp:positionH>
                <wp:positionV relativeFrom="paragraph">
                  <wp:posOffset>160020</wp:posOffset>
                </wp:positionV>
                <wp:extent cx="13335" cy="13335"/>
                <wp:effectExtent l="0" t="0" r="0" b="0"/>
                <wp:wrapNone/>
                <wp:docPr id="14" name="Freeform 129"/>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Observita Varmiĝo kaj ĝiaj Kaŭzoj</w:t>
      </w:r>
    </w:p>
    <w:p>
      <w:pPr>
        <w:pStyle w:val="ParagrapheBistre"/>
        <w:rPr/>
      </w:pPr>
      <w:r>
        <w:rPr/>
        <w:t>A.1 Homaj agadoj, ĉefe per ellasoj de forcej-efikaj gasoj, sendube kaŭzis mondvarmiĝon, kun tutmonda surfactemperaturo atinganta 1.1°C super 1850–1900 en 2011–2020. Tutmondaj forcej-efikaj gasoj daŭre pliiĝis, kun neegalaj historiaj kaj daŭrantaj kontribuoj ekestiĝantaj de nedaŭrigebla energiuzo, teruzo kaj tera uzadoŝanĝo, vivstiloj kaj padronoj de konsumo kaj produktado trans regionoj, inter kaj ene de landoj, kaj inter individuoj (</w:t>
      </w:r>
      <w:r>
        <w:rPr>
          <w:rStyle w:val="StyleGrasItaliques"/>
          <w:b/>
        </w:rPr>
        <w:t>alta fido</w:t>
      </w:r>
      <w:r>
        <w:rPr>
          <w:rStyle w:val="StyleItaliques"/>
        </w:rPr>
        <w:t>)</w:t>
      </w:r>
      <w:r>
        <w:rPr/>
        <w:t>. {2.1, Figuro 2.1, Figuro 2.2}</w:t>
      </w:r>
    </w:p>
    <w:p>
      <w:pPr>
        <w:pStyle w:val="ParagrapheBlanc"/>
        <w:rPr/>
      </w:pPr>
      <w:r>
        <w:rPr>
          <w:rStyle w:val="StyleGras"/>
        </w:rPr>
        <w:t xml:space="preserve">A.1.1 </w:t>
      </w:r>
      <w:r>
        <w:rPr/>
        <w:t xml:space="preserve">Tutmonda surfactemperaturo estis 1.09°C [0.95°C–1.20°C] </w:t>
      </w:r>
      <w:r>
        <w:rPr>
          <w:rStyle w:val="Ancredenotedebasdepage"/>
        </w:rPr>
        <w:footnoteReference w:id="6"/>
      </w:r>
      <w:r>
        <w:rPr/>
        <w:t xml:space="preserve">pli alta en 2011–2020 ol 1850–1900 </w:t>
      </w:r>
      <w:r>
        <w:rPr>
          <w:rStyle w:val="Ancredenotedebasdepage"/>
        </w:rPr>
        <w:footnoteReference w:id="7"/>
      </w:r>
      <w:r>
        <w:rPr/>
        <w:t>, kun pli grandaj pliiĝoj super tero (1.59°C [1.34°C–1.83°C]) ol pli ol super oceano (0,88°C [0,68°C–1,01°C]). Tutmonda surfaca temperaturo en la unuaj du jardekoj de la 21-a jarcento (2001-2020) estis 0,99 [0,84 ĝis 1,10]°C pli alta ol 1850-1900. Tutmonda surfactemperaturo pliiĝis pli rapide ekde 1970 ol en iu alia 50-jara periodo dum almenaŭ la lastaj 2000 jaroj (</w:t>
      </w:r>
      <w:r>
        <w:rPr>
          <w:rStyle w:val="StyleItaliques"/>
        </w:rPr>
        <w:t>alta fido)</w:t>
      </w:r>
      <w:r>
        <w:rPr/>
        <w:t>. {2.1.1, Figuro 2.1}</w:t>
      </w:r>
    </w:p>
    <w:p>
      <w:pPr>
        <w:pStyle w:val="ParagrapheBlanc"/>
        <w:rPr/>
      </w:pPr>
      <w:r>
        <w:rPr>
          <w:rStyle w:val="StyleGras"/>
        </w:rPr>
        <w:t xml:space="preserve">A.1.2 </w:t>
      </w:r>
      <w:r>
        <w:rPr/>
        <w:t xml:space="preserve">La </w:t>
      </w:r>
      <w:r>
        <w:rPr>
          <w:rStyle w:val="StyleItaliques"/>
        </w:rPr>
        <w:t xml:space="preserve">verŝajna </w:t>
      </w:r>
      <w:r>
        <w:rPr/>
        <w:t xml:space="preserve">intervalo de totala hom-kaŭzata tutmonda surfactemperaturo pliiĝo de 1850–1900 ĝis 2010–2019 </w:t>
      </w:r>
      <w:r>
        <w:rPr>
          <w:rStyle w:val="Ancredenotedebasdepage"/>
        </w:rPr>
        <w:footnoteReference w:id="8"/>
      </w:r>
      <w:r>
        <w:rPr/>
        <w:t xml:space="preserve">estas 0.8°C–1.3°C, kun plej bona takso de 1.07°C. Dum ĉi tiu periodo, estas </w:t>
      </w:r>
      <w:r>
        <w:rPr>
          <w:rStyle w:val="StyleItaliques"/>
        </w:rPr>
        <w:t xml:space="preserve">verŝajne </w:t>
      </w:r>
      <w:r>
        <w:rPr/>
        <w:t xml:space="preserve">ke bone miksitaj forcej-efikaj gasoj (GHG) kontribuis varmiĝon de 1.0°C–2.0°C </w:t>
      </w:r>
      <w:r>
        <w:rPr>
          <w:rStyle w:val="Ancredenotedebasdepage"/>
        </w:rPr>
        <w:footnoteReference w:id="9"/>
      </w:r>
      <w:r>
        <w:rPr/>
        <w:t>, kaj aliaj homaj pelantaĵoj (ĉefe aerosoloj) kontribuis malvarmigon de 0.0°C–0.8°C, naturaj (sunaj kaj vulkanaj) pelantaĵoj ŝanĝis tutmondan surfactemperaturon je –0,1 °C al +0,1 °C, kaj interna ŝanĝebleco ŝanĝis ĝin je –0,2 °C al +0,2 °C. {2.1.1, Figuro 2.1}</w:t>
      </w:r>
    </w:p>
    <w:p>
      <w:pPr>
        <w:pStyle w:val="ParagrapheBlanc"/>
        <w:rPr/>
      </w:pPr>
      <w:r>
        <w:rPr>
          <w:rStyle w:val="StyleGras"/>
        </w:rPr>
        <w:t xml:space="preserve">A.1.3 </w:t>
      </w:r>
      <w:r>
        <w:rPr/>
        <w:t>Observitaj pliiĝoj en bone miksitaj GHG-koncentriĝoj ekde ĉirkaŭ 1750 estas sendube kaŭzitaj de GHG-emisioj de homaj agadoj dum ĉi tiu periodo. Historiaj akumulaj netaj CO</w:t>
      </w:r>
      <w:r>
        <w:rPr>
          <w:vertAlign w:val="subscript"/>
        </w:rPr>
        <w:t xml:space="preserve">2 </w:t>
      </w:r>
      <w:r>
        <w:rPr/>
        <w:t>emisioj de 1850 ĝis 2019 estis 2400±240 GtCO</w:t>
      </w:r>
      <w:r>
        <w:rPr>
          <w:vertAlign w:val="subscript"/>
        </w:rPr>
        <w:t xml:space="preserve">2 </w:t>
      </w:r>
      <w:r>
        <w:rPr/>
        <w:t>el kiuj pli ol duono (58%) okazis inter 1850 kaj 1989, kaj ĉirkaŭ 42% okazis inter 1990 kaj 2019 (</w:t>
      </w:r>
      <w:r>
        <w:rPr>
          <w:rStyle w:val="StyleItaliques"/>
        </w:rPr>
        <w:t>alta fido)</w:t>
      </w:r>
      <w:r>
        <w:rPr/>
        <w:t>. En 2019, atmosferaj CO</w:t>
      </w:r>
      <w:r>
        <w:rPr>
          <w:vertAlign w:val="subscript"/>
        </w:rPr>
        <w:t xml:space="preserve">2 </w:t>
      </w:r>
      <w:r>
        <w:rPr/>
        <w:t>koncentriĝoj (410 partoj per miliono) estis pli altaj ol iam ajn en almenaŭ 2 milionoj da jaroj (</w:t>
      </w:r>
      <w:r>
        <w:rPr>
          <w:rStyle w:val="StyleItaliques"/>
        </w:rPr>
        <w:t>alta fido)</w:t>
      </w:r>
      <w:r>
        <w:rPr/>
        <w:t xml:space="preserve">, kaj koncentriĝoj de metano (1866 partoj per miliardo) kaj nitrooksido (332 partoj per miliardo) estis. pli alta ol iam ajn en almenaŭ 800 000 jaroj </w:t>
      </w:r>
      <w:r>
        <w:rPr>
          <w:rStyle w:val="StyleItaliques"/>
        </w:rPr>
        <w:t>(tre alta konfido).</w:t>
      </w:r>
      <w:r>
        <w:rPr/>
        <w:t xml:space="preserve"> {2.1.1, Figuro 2.1}</w:t>
      </w:r>
    </w:p>
    <w:p>
      <w:pPr>
        <w:pStyle w:val="ParagrapheBlanc"/>
        <w:shd w:val="clear" w:fill="FFFFFF"/>
        <w:rPr/>
      </w:pPr>
      <w:r>
        <w:rPr>
          <w:rStyle w:val="StyleGras"/>
        </w:rPr>
        <w:t xml:space="preserve">A.1.4 </w:t>
      </w:r>
      <w:r>
        <w:rPr/>
        <w:t>Tutmondaj netaj antropogenaj GHG-emisioj estis taksitaj esti 59±6.6 GtCO</w:t>
      </w:r>
      <w:r>
        <w:rPr>
          <w:rStyle w:val="StyleNormalIndice"/>
        </w:rPr>
        <w:t xml:space="preserve">2 </w:t>
      </w:r>
      <w:r>
        <w:rPr/>
        <w:t xml:space="preserve">-eq </w:t>
      </w:r>
      <w:r>
        <w:rPr>
          <w:rStyle w:val="Ancredenotedebasdepage"/>
        </w:rPr>
        <w:footnoteReference w:id="10"/>
      </w:r>
      <w:r>
        <w:rPr/>
        <w:t>en 2019, proksimume 12% (6.5 GtCO</w:t>
      </w:r>
      <w:r>
        <w:rPr>
          <w:rStyle w:val="StyleNormalIndice"/>
        </w:rPr>
        <w:t xml:space="preserve">2 </w:t>
      </w:r>
      <w:r>
        <w:rPr/>
        <w:t>-eq) pli alta ol en 2010 kaj 54% (21 GtCO</w:t>
      </w:r>
      <w:r>
        <w:rPr>
          <w:rStyle w:val="StyleNormalIndice"/>
        </w:rPr>
        <w:t xml:space="preserve">2 </w:t>
      </w:r>
      <w:r>
        <w:rPr/>
        <w:t>-eq) pli alta ol en 2010. 1990, kun la plej granda parto kaj kresko en malnetaj GHG-emisioj okazantaj en CO</w:t>
      </w:r>
      <w:r>
        <w:rPr>
          <w:rStyle w:val="StyleNormalIndice"/>
        </w:rPr>
        <w:t xml:space="preserve">2 </w:t>
      </w:r>
      <w:r>
        <w:rPr/>
        <w:t xml:space="preserve">de bruligado de fosiliaj fueloj kaj industriaj procezoj (CO </w:t>
      </w:r>
      <w:r>
        <w:rPr>
          <w:rStyle w:val="StyleNormalIndice"/>
        </w:rPr>
        <w:t xml:space="preserve">2 </w:t>
      </w:r>
      <w:r>
        <w:rPr/>
        <w:t xml:space="preserve">-FFI) sekvita per metano, dum la plej alta relativa kresko okazis en fluorigitaj gasoj (F-gasoj), komencante de malaltaj niveloj en 1990. Mezaj ĉiujaraj GHG-emisioj dum 2010-2019 estis pli altaj ol en iu ajn antaŭa jardeko registrite, dum la kreskorapideco inter 2010 kaj 2019 (1,3% jaro -1) estis pli malalta ol tiu inter 2000 kaj 2009 (2,1%). jaro </w:t>
      </w:r>
      <w:r>
        <w:rPr>
          <w:rStyle w:val="StyleNormalExposant"/>
        </w:rPr>
        <w:t>-1</w:t>
      </w:r>
      <w:r>
        <w:rPr/>
        <w:t xml:space="preserve">). En 2019, proksimume 79% de tutmondaj GHG-emisioj venis de la sektoroj de energio, industrio, transporto kaj konstruaĵoj kune kaj 22% </w:t>
      </w:r>
      <w:r>
        <w:rPr>
          <w:rStyle w:val="Ancredenotedebasdepage"/>
        </w:rPr>
        <w:footnoteReference w:id="11"/>
      </w:r>
      <w:r>
        <w:rPr/>
        <w:t>de agrikulturo, forstado kaj alia kultivado (AFOLU). Emisio-reduktoj en CO</w:t>
      </w:r>
      <w:r>
        <w:rPr>
          <w:rStyle w:val="StyleNormalIndice"/>
        </w:rPr>
        <w:t xml:space="preserve">2 </w:t>
      </w:r>
      <w:r>
        <w:rPr/>
        <w:t>-FFI pro plibonigoj en energiintenso de MEP kaj karbonintenso de energio, estis malpli ol emisiopliiĝoj de altiĝantaj tutmondaj agadniveloj en industrio, energiprovizo, transporto, agrikulturo kaj konstruaĵoj. (</w:t>
      </w:r>
      <w:r>
        <w:rPr>
          <w:rStyle w:val="StyleItaliques"/>
        </w:rPr>
        <w:t>alta konfido)</w:t>
      </w:r>
      <w:r>
        <w:rPr/>
        <w:t xml:space="preserve"> {2.1.1}</w:t>
      </w:r>
    </w:p>
    <w:p>
      <w:pPr>
        <w:pStyle w:val="ParagrapheBlanc"/>
        <w:rPr/>
      </w:pPr>
      <w:r>
        <w:rPr>
          <w:rStyle w:val="StyleGras"/>
        </w:rPr>
        <w:t xml:space="preserve">A.1.5 </w:t>
      </w:r>
      <w:r>
        <w:rPr/>
        <w:t>Historiaj kontribuoj de CO</w:t>
      </w:r>
      <w:r>
        <w:rPr>
          <w:rStyle w:val="StyleNormalIndice"/>
        </w:rPr>
        <w:t xml:space="preserve">2 </w:t>
      </w:r>
      <w:r>
        <w:rPr/>
        <w:t>ellasoj varias multe trans regionoj laŭ totala grandeco, sed ankaŭ laŭ kontribuoj al CO</w:t>
      </w:r>
      <w:r>
        <w:rPr>
          <w:rStyle w:val="StyleNormalIndice"/>
        </w:rPr>
        <w:t xml:space="preserve">2 </w:t>
      </w:r>
      <w:r>
        <w:rPr/>
        <w:t>-FFI kaj netaj CO</w:t>
      </w:r>
      <w:r>
        <w:rPr>
          <w:rStyle w:val="StyleNormalIndice"/>
        </w:rPr>
        <w:t xml:space="preserve">2 </w:t>
      </w:r>
      <w:r>
        <w:rPr/>
        <w:t>ellasoj de teruzo, kultiva ŝanĝo kaj forstado (CO</w:t>
      </w:r>
      <w:r>
        <w:rPr>
          <w:rStyle w:val="StyleNormalIndice"/>
        </w:rPr>
        <w:t xml:space="preserve">2 </w:t>
      </w:r>
      <w:r>
        <w:rPr/>
        <w:t>-LULUCF). En 2019, ĉirkaŭ 35% de la tutmonda loĝantaro loĝas en landoj elsendantaj pli ol 9 tCO</w:t>
      </w:r>
      <w:r>
        <w:rPr>
          <w:rStyle w:val="StyleNormalIndice"/>
        </w:rPr>
        <w:t xml:space="preserve">2 </w:t>
      </w:r>
      <w:r>
        <w:rPr/>
        <w:t xml:space="preserve">-eq pokape </w:t>
      </w:r>
      <w:r>
        <w:rPr>
          <w:rStyle w:val="Ancredenotedebasdepage"/>
        </w:rPr>
        <w:footnoteReference w:id="12"/>
      </w:r>
      <w:r>
        <w:rPr/>
        <w:t>(ekskludante CO</w:t>
      </w:r>
      <w:r>
        <w:rPr>
          <w:rStyle w:val="StyleNormalIndice"/>
        </w:rPr>
        <w:t xml:space="preserve">2 </w:t>
      </w:r>
      <w:r>
        <w:rPr/>
        <w:t>-LULUCF) dum 41% loĝas en landoj elsendantaj malpli ol 3 tCO</w:t>
      </w:r>
      <w:r>
        <w:rPr>
          <w:rStyle w:val="StyleNormalIndice"/>
        </w:rPr>
        <w:t xml:space="preserve">2 </w:t>
      </w:r>
      <w:r>
        <w:rPr/>
        <w:t>-eq pokape; de ĉi-lasta granda parto mankas aliro al modernaj energiservoj. Malplej evoluintaj landoj (LDCoj) kaj Malgrandaj Insulaj Evoluantaj Ŝtatoj (SIDS) havas multe pli malaltajn pokapajn emisiojn (1.7 tCO</w:t>
      </w:r>
      <w:r>
        <w:rPr>
          <w:rStyle w:val="StyleNormalIndice"/>
        </w:rPr>
        <w:t xml:space="preserve">2 </w:t>
      </w:r>
      <w:r>
        <w:rPr/>
        <w:t>-eq kaj 4.6 tCO</w:t>
      </w:r>
      <w:r>
        <w:rPr>
          <w:rStyle w:val="StyleNormalIndice"/>
        </w:rPr>
        <w:t xml:space="preserve">2 </w:t>
      </w:r>
      <w:r>
        <w:rPr/>
        <w:t>-eq, respektive) ol la tutmonda mezumo (6.9 tCO</w:t>
      </w:r>
      <w:r>
        <w:rPr>
          <w:rStyle w:val="StyleNormalIndice"/>
        </w:rPr>
        <w:t xml:space="preserve">2 </w:t>
      </w:r>
      <w:r>
        <w:rPr/>
        <w:t>-eq), ekskludante CO</w:t>
      </w:r>
      <w:r>
        <w:rPr>
          <w:rStyle w:val="StyleNormalIndice"/>
        </w:rPr>
        <w:t xml:space="preserve">2 </w:t>
      </w:r>
      <w:r>
        <w:rPr/>
        <w:t>-LULUCF. La 10% de domanaroj kun la plej altaj pokapaj emisioj kontribuas 34-45% de tutmondaj konsum-bazitaj domanaraj GHG-emisioj, dum la malsupraj 50% kontribuas 13-15%. (</w:t>
      </w:r>
      <w:r>
        <w:rPr>
          <w:rStyle w:val="StyleItaliques"/>
        </w:rPr>
        <w:t>alta konfido)</w:t>
      </w:r>
      <w:r>
        <w:rPr/>
        <w:t xml:space="preserve"> {2.1.1, Figuro 2.2}</w:t>
      </w:r>
    </w:p>
    <w:p>
      <w:pPr>
        <w:pStyle w:val="ParagrapheBlanc"/>
        <w:rPr/>
      </w:pPr>
      <w:r>
        <mc:AlternateContent>
          <mc:Choice Requires="wps">
            <w:drawing>
              <wp:anchor behindDoc="1" distT="6350" distB="6350" distL="6350" distR="6350" simplePos="0" locked="0" layoutInCell="0" allowOverlap="1" relativeHeight="23">
                <wp:simplePos x="0" y="0"/>
                <wp:positionH relativeFrom="page">
                  <wp:posOffset>65405</wp:posOffset>
                </wp:positionH>
                <wp:positionV relativeFrom="paragraph">
                  <wp:posOffset>-808990</wp:posOffset>
                </wp:positionV>
                <wp:extent cx="13335" cy="13335"/>
                <wp:effectExtent l="0" t="0" r="0" b="0"/>
                <wp:wrapNone/>
                <wp:docPr id="15" name="Freeform 139"/>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24">
                <wp:simplePos x="0" y="0"/>
                <wp:positionH relativeFrom="page">
                  <wp:posOffset>-6350</wp:posOffset>
                </wp:positionH>
                <wp:positionV relativeFrom="paragraph">
                  <wp:posOffset>-6350</wp:posOffset>
                </wp:positionV>
                <wp:extent cx="13335" cy="13335"/>
                <wp:effectExtent l="0" t="0" r="0" b="0"/>
                <wp:wrapNone/>
                <wp:docPr id="16" name="Freeform 136"/>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25">
                <wp:simplePos x="0" y="0"/>
                <wp:positionH relativeFrom="page">
                  <wp:posOffset>-6350</wp:posOffset>
                </wp:positionH>
                <wp:positionV relativeFrom="paragraph">
                  <wp:posOffset>-6350</wp:posOffset>
                </wp:positionV>
                <wp:extent cx="13335" cy="13335"/>
                <wp:effectExtent l="0" t="0" r="0" b="0"/>
                <wp:wrapNone/>
                <wp:docPr id="17" name="Freeform 135"/>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7">
                <wp:simplePos x="0" y="0"/>
                <wp:positionH relativeFrom="page">
                  <wp:posOffset>65405</wp:posOffset>
                </wp:positionH>
                <wp:positionV relativeFrom="paragraph">
                  <wp:posOffset>-808990</wp:posOffset>
                </wp:positionV>
                <wp:extent cx="13335" cy="13335"/>
                <wp:effectExtent l="0" t="0" r="0" b="0"/>
                <wp:wrapNone/>
                <wp:docPr id="18" name="Freeform 140"/>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8">
                <wp:simplePos x="0" y="0"/>
                <wp:positionH relativeFrom="page">
                  <wp:posOffset>7620</wp:posOffset>
                </wp:positionH>
                <wp:positionV relativeFrom="paragraph">
                  <wp:posOffset>226060</wp:posOffset>
                </wp:positionV>
                <wp:extent cx="13335" cy="13335"/>
                <wp:effectExtent l="0" t="0" r="0" b="0"/>
                <wp:wrapNone/>
                <wp:docPr id="19" name="Freeform 138"/>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9">
                <wp:simplePos x="0" y="0"/>
                <wp:positionH relativeFrom="page">
                  <wp:posOffset>7620</wp:posOffset>
                </wp:positionH>
                <wp:positionV relativeFrom="paragraph">
                  <wp:posOffset>226060</wp:posOffset>
                </wp:positionV>
                <wp:extent cx="13335" cy="13335"/>
                <wp:effectExtent l="0" t="0" r="0" b="0"/>
                <wp:wrapNone/>
                <wp:docPr id="20" name="Freeform 13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6">
                <wp:simplePos x="0" y="0"/>
                <wp:positionH relativeFrom="page">
                  <wp:posOffset>6720840</wp:posOffset>
                </wp:positionH>
                <wp:positionV relativeFrom="paragraph">
                  <wp:posOffset>139700</wp:posOffset>
                </wp:positionV>
                <wp:extent cx="13335" cy="13335"/>
                <wp:effectExtent l="0" t="0" r="0" b="0"/>
                <wp:wrapNone/>
                <wp:docPr id="21" name="Freeform 142"/>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7">
                <wp:simplePos x="0" y="0"/>
                <wp:positionH relativeFrom="page">
                  <wp:posOffset>6720840</wp:posOffset>
                </wp:positionH>
                <wp:positionV relativeFrom="paragraph">
                  <wp:posOffset>139700</wp:posOffset>
                </wp:positionV>
                <wp:extent cx="13335" cy="13335"/>
                <wp:effectExtent l="0" t="0" r="0" b="0"/>
                <wp:wrapNone/>
                <wp:docPr id="22" name="Freeform 141"/>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Observataj Ŝanĝoj kaj Efikoj</w:t>
      </w:r>
    </w:p>
    <w:p>
      <w:pPr>
        <w:pStyle w:val="ParagrapheBistre"/>
        <w:rPr/>
      </w:pPr>
      <w:r>
        <mc:AlternateContent>
          <mc:Choice Requires="wps">
            <w:drawing>
              <wp:anchor behindDoc="1" distT="6350" distB="6350" distL="6350" distR="6350" simplePos="0" locked="0" layoutInCell="0" allowOverlap="1" relativeHeight="3">
                <wp:simplePos x="0" y="0"/>
                <wp:positionH relativeFrom="page">
                  <wp:posOffset>666115</wp:posOffset>
                </wp:positionH>
                <wp:positionV relativeFrom="paragraph">
                  <wp:posOffset>144780</wp:posOffset>
                </wp:positionV>
                <wp:extent cx="6232525" cy="13335"/>
                <wp:effectExtent l="0" t="0" r="0" b="0"/>
                <wp:wrapNone/>
                <wp:docPr id="23" name="Freeform 144"/>
                <a:graphic xmlns:a="http://schemas.openxmlformats.org/drawingml/2006/main">
                  <a:graphicData uri="http://schemas.microsoft.com/office/word/2010/wordprocessingShape">
                    <wps:wsp>
                      <wps:cNvSpPr/>
                      <wps:spPr>
                        <a:xfrm>
                          <a:off x="0" y="0"/>
                          <a:ext cx="6231960" cy="12600"/>
                        </a:xfrm>
                        <a:custGeom>
                          <a:avLst/>
                          <a:gdLst/>
                          <a:ahLst/>
                          <a:rect l="l" t="t" r="r" b="b"/>
                          <a:pathLst>
                            <a:path w="6225540" h="6350">
                              <a:moveTo>
                                <a:pt x="0" y="6350"/>
                              </a:moveTo>
                              <a:lnTo>
                                <a:pt x="6225540" y="6350"/>
                              </a:lnTo>
                              <a:lnTo>
                                <a:pt x="622554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t>A.2 Ĝenerale kaj rapidaj ŝanĝoj en la atmosfero, oceano, kriosfero kaj biosfero okazis. Hom-kaŭzita klimata ŝanĝo jam influas multajn veterojn kaj klimatajn ekstremaĵojn en ĉiu regiono tra la globo. Ĉi tio kaŭzis ĝeneraligitajn negativajn efikojn kaj rilatajn perdojn kaj damaĝojn al naturo kaj homoj (</w:t>
      </w:r>
      <w:r>
        <w:rPr>
          <w:rStyle w:val="StyleItaliques"/>
        </w:rPr>
        <w:t>alta fido)</w:t>
      </w:r>
      <w:r>
        <w:rPr/>
        <w:t>. Vundeblaj komunumoj kiuj historie malplej kontribuis al nuna klimata ŝanĝo estas misproporcie trafitaj (</w:t>
      </w:r>
      <w:r>
        <w:rPr>
          <w:rStyle w:val="StyleItaliques"/>
        </w:rPr>
        <w:t>alta fido)</w:t>
      </w:r>
      <w:r>
        <w:rPr/>
        <w:t>. {2.1, Tabelo 2.1, Figuro 2.2 kaj 2.3} (Figuro SPM.1)</w:t>
      </w:r>
    </w:p>
    <w:p>
      <w:pPr>
        <w:pStyle w:val="ParagrapheBlanc"/>
        <w:rPr/>
      </w:pPr>
      <w:r>
        <w:rPr>
          <w:rStyle w:val="StyleGras"/>
        </w:rPr>
        <w:t xml:space="preserve">A.2.1 </w:t>
      </w:r>
      <w:r>
        <w:rPr/>
        <w:t>Estas sendube, ke homa influo varmigis la atmosferon, oceanon kaj teron. Tutmonda averaĝa marnivelo pliiĝis je 0,20 [0,15–0,25] m inter 1901 kaj 2018. La averaĝa rapideco de marnivela pliiĝo estis 1,3 [0,6 ĝis 2,1] mm yr</w:t>
      </w:r>
      <w:r>
        <w:rPr>
          <w:rStyle w:val="StyleNormalExposant"/>
        </w:rPr>
        <w:t xml:space="preserve"> -1</w:t>
      </w:r>
      <w:r>
        <w:rPr/>
        <w:t xml:space="preserve"> inter</w:t>
      </w:r>
      <w:r>
        <w:rPr>
          <w:vertAlign w:val="superscript"/>
        </w:rPr>
        <w:t xml:space="preserve"> </w:t>
      </w:r>
      <w:r>
        <w:rPr/>
        <w:t xml:space="preserve">1901 kaj 1971, pliiĝante ĝis 1,9 [0,8 ĝis 2,9] mm. yr </w:t>
      </w:r>
      <w:r>
        <w:rPr>
          <w:vertAlign w:val="superscript"/>
        </w:rPr>
        <w:t xml:space="preserve">-1 </w:t>
      </w:r>
      <w:r>
        <w:rPr/>
        <w:t>inter 1971 kaj 2006, kaj plu pliiĝanta ĝis 3,7 [3,2 ĝis 4,2] mm yr</w:t>
      </w:r>
      <w:r>
        <w:rPr>
          <w:rStyle w:val="StyleNormalExposant"/>
        </w:rPr>
        <w:t>-1</w:t>
      </w:r>
      <w:r>
        <w:rPr>
          <w:vertAlign w:val="superscript"/>
        </w:rPr>
        <w:t xml:space="preserve"> </w:t>
      </w:r>
      <w:r>
        <w:rPr/>
        <w:t>inter 2006 kaj 2018 (</w:t>
      </w:r>
      <w:r>
        <w:rPr>
          <w:rStyle w:val="StyleItaliques"/>
        </w:rPr>
        <w:t>alta fido)</w:t>
      </w:r>
      <w:r>
        <w:rPr/>
        <w:t xml:space="preserve">. Homa influo estis </w:t>
      </w:r>
      <w:r>
        <w:rPr>
          <w:rStyle w:val="StyleItaliques"/>
        </w:rPr>
        <w:t xml:space="preserve">tre verŝajne </w:t>
      </w:r>
      <w:r>
        <w:rPr/>
        <w:t xml:space="preserve">la ĉefa ŝoforo de tiuj pliiĝoj ekde almenaŭ 1971. Indico de observitaj ŝanĝoj en ekstremaĵoj kiel varmondoj, peza precipitaĵo, aridoj, kaj tropikaj ciklonoj, kaj, aparte, ilia atribuo al homa influo, plifortiĝis ekde tiam. AR5. Homa influo </w:t>
      </w:r>
      <w:r>
        <w:rPr>
          <w:rStyle w:val="StyleItaliques"/>
        </w:rPr>
        <w:t xml:space="preserve">verŝajne </w:t>
      </w:r>
      <w:r>
        <w:rPr/>
        <w:t>pliigis la eblecon de kunmetitaj ekstremaj okazaĵoj ekde la 1950-aj jaroj, inkluzive de pliiĝoj en la ofteco de samtempaj varmondoj kaj aridoj (</w:t>
      </w:r>
      <w:r>
        <w:rPr>
          <w:rStyle w:val="StyleItaliques"/>
        </w:rPr>
        <w:t>alta fido)</w:t>
      </w:r>
      <w:r>
        <w:rPr/>
        <w:t>. {2.1.2, Tabelo 2.1, Figuro 2.3, Figuro 3.4} (Figuro SPM.1)</w:t>
      </w:r>
    </w:p>
    <w:p>
      <w:pPr>
        <w:pStyle w:val="ParagrapheBlanc"/>
        <w:rPr/>
      </w:pPr>
      <w:r>
        <w:rPr>
          <w:rStyle w:val="StyleGras"/>
        </w:rPr>
        <w:t xml:space="preserve">A.2.2 </w:t>
      </w:r>
      <w:r>
        <w:rPr/>
        <w:t xml:space="preserve">Proksimume 3,3–3,6 miliardoj da homoj vivas en kuntekstoj tre vundeblaj al klimata ŝanĝo. Homa kaj ekosistema vundebleco estas interdependaj. Regionoj kaj homoj kun konsiderindaj evoluaj limoj havas altan vundeblecon al klimataj danĝeroj. Kreskanta vetero- kaj klimataj ekstremaj eventoj eksponis milionojn da homoj al akuta manĝa nesekureco </w:t>
      </w:r>
      <w:r>
        <w:rPr>
          <w:rStyle w:val="Ancredenotedebasdepage"/>
        </w:rPr>
        <w:footnoteReference w:id="13"/>
      </w:r>
      <w:r>
        <w:rPr/>
        <w:t>kaj reduktita akvosekureco, kun la plej grandaj malfavoraj efikoj observitaj en multaj lokoj kaj/aŭ komunumoj en Afriko, Azio, Centra kaj Sudameriko, LDCoj, Insuloj kaj Arkto. , kaj tutmonde por Indiĝenaj Popoloj, malgrand-skalaj manĝproduktantoj kaj malriĉaj domanaroj. Inter 2010 kaj 2020, homa morteco pro inundoj, sekecoj kaj ŝtormoj estis 15 fojojn pli alta en tre vundeblaj regionoj, kompare kun regionoj kun tre malalta vundebleco. (</w:t>
      </w:r>
      <w:r>
        <w:rPr>
          <w:rStyle w:val="StyleItaliques"/>
        </w:rPr>
        <w:t>alta konfido)</w:t>
      </w:r>
      <w:r>
        <w:rPr/>
        <w:t xml:space="preserve"> {2.1.2, 4.4} (Figuro SPM.1)</w:t>
      </w:r>
    </w:p>
    <w:p>
      <w:pPr>
        <w:pStyle w:val="ParagrapheBlanc"/>
        <w:rPr/>
      </w:pPr>
      <w:r>
        <w:rPr>
          <w:rStyle w:val="StyleGras"/>
        </w:rPr>
        <w:t xml:space="preserve">A.2.3 </w:t>
      </w:r>
      <w:r>
        <w:rPr/>
        <w:t>Klimata ŝanĝo kaŭzis grandajn damaĝojn, kaj ĉiam pli nemaligeblajn perdojn, en teraj, dolĉakvaj, kriosferaj, kaj marbordaj kaj malfermaj oceanaj ekosistemoj (</w:t>
      </w:r>
      <w:r>
        <w:rPr>
          <w:rStyle w:val="StyleItaliques"/>
        </w:rPr>
        <w:t>alta fido)</w:t>
      </w:r>
      <w:r>
        <w:rPr/>
        <w:t>. Centoj da lokaj perdoj de specioj estis kaŭzitaj de pliiĝoj en la grandeco de varmegaj ekstremaĵoj (</w:t>
      </w:r>
      <w:r>
        <w:rPr>
          <w:rStyle w:val="StyleItaliques"/>
        </w:rPr>
        <w:t>alta fido)</w:t>
      </w:r>
      <w:r>
        <w:rPr/>
        <w:t xml:space="preserve"> kun amasaj mortokazaĵoj registritaj surtere kaj en la oceano </w:t>
      </w:r>
      <w:r>
        <w:rPr>
          <w:rStyle w:val="StyleItaliques"/>
        </w:rPr>
        <w:t>(tre alta fido).</w:t>
      </w:r>
      <w:r>
        <w:rPr/>
        <w:t xml:space="preserve"> Efikoj sur iuj ekosistemoj alproksimiĝas al neinversigebleco kiel ekzemple la efikoj de hidrologiaj ŝanĝoj rezultiĝantaj el la retiriĝo de glaĉeroj, aŭ la ŝanĝoj en iu monto </w:t>
      </w:r>
      <w:r>
        <w:rPr>
          <w:rStyle w:val="StyleItaliques"/>
        </w:rPr>
        <w:t xml:space="preserve">(meza fido) </w:t>
      </w:r>
      <w:r>
        <w:rPr/>
        <w:t>kaj arktaj ekosistemoj pelitaj de permafrosta degelo (</w:t>
      </w:r>
      <w:r>
        <w:rPr>
          <w:rStyle w:val="StyleItaliques"/>
        </w:rPr>
        <w:t>alta fido)</w:t>
      </w:r>
      <w:r>
        <w:rPr/>
        <w:t>. {2.1.2, Figuro 2.3} (Figuro SPM.1)</w:t>
      </w:r>
    </w:p>
    <w:p>
      <w:pPr>
        <w:pStyle w:val="ParagrapheBlanc"/>
        <w:rPr/>
      </w:pPr>
      <w:r>
        <w:rPr>
          <w:rStyle w:val="StyleGras"/>
        </w:rPr>
        <w:t xml:space="preserve">A.2.4 </w:t>
      </w:r>
      <w:r>
        <w:rPr/>
        <w:t>Klimata ŝanĝo reduktis manĝaĵsekurecon kaj influis akvosekurecon, malhelpante klopodojn atingi Daŭripovajn Evoluigajn Celojn (</w:t>
      </w:r>
      <w:r>
        <w:rPr>
          <w:rStyle w:val="StyleItaliques"/>
        </w:rPr>
        <w:t>alta fido)</w:t>
      </w:r>
      <w:r>
        <w:rPr/>
        <w:t xml:space="preserve">. Kvankam totala agrikultura produktiveco pliiĝis, klimata ŝanĝo bremsis ĉi tiun kreskon dum la pasintaj 50 jaroj tutmonde </w:t>
      </w:r>
      <w:r>
        <w:rPr>
          <w:rStyle w:val="StyleItaliques"/>
        </w:rPr>
        <w:t xml:space="preserve">(meza fido) </w:t>
      </w:r>
      <w:r>
        <w:rPr/>
        <w:t>, kun rilataj negativaj efikoj plejparte en mez- kaj malaltaj latitudoj sed pozitivaj efikoj en kelkaj altaj latitudoj (</w:t>
      </w:r>
      <w:r>
        <w:rPr>
          <w:rStyle w:val="StyleItaliques"/>
        </w:rPr>
        <w:t>alta fido)</w:t>
      </w:r>
      <w:r>
        <w:rPr/>
        <w:t>. Oceanvarmiĝo kaj oceana acidiĝo negative influis manĝaĵproduktadon de fiŝfarmoj kaj mariskakvokulturo en kelkaj oceanaj regionoj (</w:t>
      </w:r>
      <w:r>
        <w:rPr>
          <w:rStyle w:val="StyleItaliques"/>
        </w:rPr>
        <w:t>alta fido)</w:t>
      </w:r>
      <w:r>
        <w:rPr/>
        <w:t xml:space="preserve">. Ĉirkaŭ duono de la monda loĝantaro nuntempe spertas severan akvomankon dum almenaŭ parto de la jaro pro kombinaĵo de klimataj kaj ne-klimataj pelantaĵoj </w:t>
      </w:r>
      <w:r>
        <w:rPr>
          <w:rStyle w:val="StyleItaliques"/>
        </w:rPr>
        <w:t>(meza fido).</w:t>
      </w:r>
      <w:r>
        <w:rPr/>
        <w:t xml:space="preserve"> {2.1.2, Figuro 2.3} (Figuro SPM.1)</w:t>
      </w:r>
    </w:p>
    <w:p>
      <w:pPr>
        <w:pStyle w:val="ParagrapheBlanc"/>
        <w:rPr/>
      </w:pPr>
      <w:r>
        <w:rPr>
          <w:rStyle w:val="StyleGras"/>
        </w:rPr>
        <w:t xml:space="preserve">A.2.5 </w:t>
      </w:r>
      <w:r>
        <w:rPr/>
        <w:t xml:space="preserve">En ĉiuj regionoj pliiĝo de ekstremaj varmokazaĵoj rezultigis homan mortecon kaj malsanecon </w:t>
      </w:r>
      <w:r>
        <w:rPr>
          <w:rStyle w:val="StyleItaliques"/>
        </w:rPr>
        <w:t>(tre alta fido).</w:t>
      </w:r>
      <w:r>
        <w:rPr/>
        <w:t xml:space="preserve"> Pliiĝis la okazo de klimat-rilataj manĝaĵoj kaj akvotransportitaj malsanoj </w:t>
      </w:r>
      <w:r>
        <w:rPr>
          <w:rStyle w:val="StyleItaliques"/>
        </w:rPr>
        <w:t xml:space="preserve">(tre alta fido) </w:t>
      </w:r>
      <w:r>
        <w:rPr/>
        <w:t>kaj la incidenco de vektorportitaj malsanoj (</w:t>
      </w:r>
      <w:r>
        <w:rPr>
          <w:rStyle w:val="StyleItaliques"/>
        </w:rPr>
        <w:t xml:space="preserve">alta fido). </w:t>
      </w:r>
      <w:r>
        <w:rPr/>
        <w:t>En taksitaj regionoj, kelkaj menshigiendefioj estas rilataj al kreskantaj temperaturoj (</w:t>
      </w:r>
      <w:r>
        <w:rPr>
          <w:rStyle w:val="StyleItaliques"/>
        </w:rPr>
        <w:t>alta fido)</w:t>
      </w:r>
      <w:r>
        <w:rPr/>
        <w:t xml:space="preserve">, traŭmato de ekstremaj eventoj </w:t>
      </w:r>
      <w:r>
        <w:rPr>
          <w:rStyle w:val="StyleItaliques"/>
        </w:rPr>
        <w:t xml:space="preserve">(tre alta fido) </w:t>
      </w:r>
      <w:r>
        <w:rPr/>
        <w:t>kaj perdo de vivrimedoj kaj kulturo (</w:t>
      </w:r>
      <w:r>
        <w:rPr>
          <w:rStyle w:val="StyleItaliques"/>
        </w:rPr>
        <w:t>alta fido)</w:t>
      </w:r>
      <w:r>
        <w:rPr/>
        <w:t>. Klimato kaj veterekstremaĵoj ĉiam pli kaŭzas delokiĝon en Afriko, Azio, Nordameriko (</w:t>
      </w:r>
      <w:r>
        <w:rPr>
          <w:rStyle w:val="StyleItaliques"/>
        </w:rPr>
        <w:t>alta fido)</w:t>
      </w:r>
      <w:r>
        <w:rPr/>
        <w:t xml:space="preserve">, kaj Centra kaj Sudameriko </w:t>
      </w:r>
      <w:r>
        <w:rPr>
          <w:rStyle w:val="StyleItaliques"/>
        </w:rPr>
        <w:t xml:space="preserve">(meza fido) </w:t>
      </w:r>
      <w:r>
        <w:rPr/>
        <w:t>, kun malgrandaj insulaj ŝtatoj en la Karibio kaj Suda Pacifiko estas misproporcie trafitaj relative al sia malgranda loĝantargrandeco (</w:t>
      </w:r>
      <w:r>
        <w:rPr>
          <w:rStyle w:val="StyleItaliques"/>
        </w:rPr>
        <w:t>alta konfido)</w:t>
      </w:r>
      <w:r>
        <w:rPr/>
        <w:t>. {2.1.2, Figuro 2.3} (Figuro SPM.1)</w:t>
      </w:r>
    </w:p>
    <w:p>
      <w:pPr>
        <w:pStyle w:val="ParagrapheBlanc"/>
        <w:rPr/>
      </w:pPr>
      <w:r>
        <w:rPr>
          <w:rStyle w:val="StyleGras"/>
        </w:rPr>
        <w:t xml:space="preserve">A.2.6 </w:t>
      </w:r>
      <w:r>
        <w:rPr/>
        <w:t xml:space="preserve">Klimata ŝanĝo kaŭzis vastajn malfavorajn efikojn kaj rilatajn perdojn kaj damaĝojn </w:t>
      </w:r>
      <w:r>
        <w:rPr>
          <w:rStyle w:val="Ancredenotedebasdepage"/>
        </w:rPr>
        <w:footnoteReference w:id="14"/>
      </w:r>
      <w:r>
        <w:rPr/>
        <w:t>al naturo kaj homoj, kiuj estas malegale distribuitaj trans sistemoj, regionoj kaj sektoroj. Ekonomiaj damaĝoj de klimata ŝanĝo estis detektitaj en klimat-senŝirmaj sektoroj, kiel ekzemple agrikulturo, forstado, fiŝfarmo, energio, kaj turismo. Individuaj vivrimedoj estis trafitaj tra, ekzemple, detruo de hejmoj kaj infrastrukturo, kaj perdo de posedaĵo kaj enspezo, homa sano kaj manĝaĵsekureco, kun malfavoraj efikoj al sekso kaj socia egaleco. (</w:t>
      </w:r>
      <w:r>
        <w:rPr>
          <w:rStyle w:val="StyleItaliques"/>
        </w:rPr>
        <w:t>alta konfido)</w:t>
      </w:r>
      <w:r>
        <w:rPr/>
        <w:t xml:space="preserve"> {2.1.2} (Figuro SPM.1)</w:t>
      </w:r>
    </w:p>
    <w:p>
      <w:pPr>
        <w:pStyle w:val="ParagrapheBlanc"/>
        <w:rPr/>
      </w:pPr>
      <w:r>
        <w:rPr>
          <w:rStyle w:val="StyleGras"/>
        </w:rPr>
        <w:t xml:space="preserve">A.2.7 </w:t>
      </w:r>
      <w:r>
        <w:rPr/>
        <w:t xml:space="preserve">En urbaj areoj, observita klimata ŝanĝo kaŭzis malfavorajn efikojn al homa sano, vivrimedoj kaj ŝlosila infrastrukturo. Varmaj ekstremoj plifortiĝis en urboj. Urba infrastrukturo, inkluzive de transportado, akvo, kloakigo kaj energisistemoj estis endanĝerigitaj per ekstremaj kaj malrapidaj eventoj </w:t>
      </w:r>
      <w:r>
        <w:rPr>
          <w:rStyle w:val="Ancredenotedebasdepage"/>
        </w:rPr>
        <w:footnoteReference w:id="15"/>
      </w:r>
      <w:r>
        <w:rPr/>
        <w:t>, kun rezultaj ekonomiaj perdoj, interrompoj de servoj kaj negativaj efikoj al bonfarto. Observitaj negativaj efikoj estas koncentritaj inter ekonomie kaj socie marĝenigitaj urbaj loĝantoj. (</w:t>
      </w:r>
      <w:r>
        <w:rPr>
          <w:rStyle w:val="StyleItaliques"/>
        </w:rPr>
        <w:t>alta konfido)</w:t>
      </w:r>
      <w:r>
        <w:rPr/>
        <w:t xml:space="preserve"> {2.1.2}</w:t>
      </w:r>
    </w:p>
    <w:p>
      <w:pPr>
        <w:pStyle w:val="ParagrapheBlanc"/>
        <w:rPr/>
      </w:pPr>
      <w:r>
        <w:rPr>
          <w:rStyle w:val="StyleGras"/>
        </w:rPr>
        <w:t>[KOMENCU FIGURON SPM.1 ĈI TIE]</w:t>
      </w:r>
      <w:r>
        <w:br w:type="page"/>
      </w:r>
    </w:p>
    <w:p>
      <w:pPr>
        <w:pStyle w:val="ParagrapheBlanc"/>
        <w:shd w:val="clear" w:fill="FFFFFF"/>
        <w:rPr>
          <w:rStyle w:val="StyleGras"/>
        </w:rPr>
      </w:pPr>
      <w:r>
        <w:rPr/>
        <mc:AlternateContent>
          <mc:Choice Requires="wpg">
            <w:drawing>
              <wp:anchor behindDoc="0" distT="0" distB="0" distL="0" distR="0" simplePos="0" locked="0" layoutInCell="0" allowOverlap="1" relativeHeight="71">
                <wp:simplePos x="0" y="0"/>
                <wp:positionH relativeFrom="column">
                  <wp:posOffset>133985</wp:posOffset>
                </wp:positionH>
                <wp:positionV relativeFrom="paragraph">
                  <wp:posOffset>99060</wp:posOffset>
                </wp:positionV>
                <wp:extent cx="6988175" cy="9292590"/>
                <wp:effectExtent l="0" t="0" r="0" b="0"/>
                <wp:wrapNone/>
                <wp:docPr id="24" name="Forme23"/>
                <a:graphic xmlns:a="http://schemas.openxmlformats.org/drawingml/2006/main">
                  <a:graphicData uri="http://schemas.microsoft.com/office/word/2010/wordprocessingGroup">
                    <wpg:wgp>
                      <wpg:cNvGrpSpPr/>
                      <wpg:grpSpPr>
                        <a:xfrm>
                          <a:off x="0" y="0"/>
                          <a:ext cx="6987600" cy="9291960"/>
                          <a:chOff x="133920" y="99000"/>
                          <a:chExt cx="6987600" cy="9291960"/>
                        </a:xfrm>
                      </wpg:grpSpPr>
                      <pic:pic xmlns:pic="http://schemas.openxmlformats.org/drawingml/2006/picture">
                        <pic:nvPicPr>
                          <pic:cNvPr id="0" name="" descr=""/>
                          <pic:cNvPicPr/>
                        </pic:nvPicPr>
                        <pic:blipFill>
                          <a:blip r:embed="rId9"/>
                          <a:stretch/>
                        </pic:blipFill>
                        <pic:spPr>
                          <a:xfrm>
                            <a:off x="0" y="170280"/>
                            <a:ext cx="6843960" cy="9121680"/>
                          </a:xfrm>
                          <a:prstGeom prst="rect">
                            <a:avLst/>
                          </a:prstGeom>
                          <a:ln w="0">
                            <a:noFill/>
                          </a:ln>
                        </pic:spPr>
                      </pic:pic>
                      <wps:wsp>
                        <wps:cNvSpPr/>
                        <wps:spPr>
                          <a:xfrm>
                            <a:off x="71640" y="0"/>
                            <a:ext cx="6502320" cy="500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ascii="Arial" w:hAnsi="Arial" w:eastAsia="Microsoft YaHei" w:cs="Lucida Sans"/>
                                  <w:color w:val="00000A"/>
                                  <w:lang w:val="eo"/>
                                </w:rPr>
                                <w:t>Malfavoraj efikoj de hom-kaŭzita klimata ŝanĝo daŭre intensiĝos</w:t>
                              </w:r>
                            </w:p>
                          </w:txbxContent>
                        </wps:txbx>
                        <wps:bodyPr lIns="90000" rIns="90000" tIns="45000" bIns="45000" anchor="t">
                          <a:noAutofit/>
                        </wps:bodyPr>
                      </wps:wsp>
                      <wps:wsp>
                        <wps:cNvSpPr/>
                        <wps:spPr>
                          <a:xfrm>
                            <a:off x="108000" y="612000"/>
                            <a:ext cx="6466320" cy="427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a) Observitaj vastaj kaj grandaj efikoj kaj rilataj perdoj kaj damaĝoj atribuitaj al klimata ŝanĝo</w:t>
                              </w:r>
                            </w:p>
                          </w:txbxContent>
                        </wps:txbx>
                        <wps:bodyPr lIns="90000" rIns="90000" tIns="45000" bIns="45000" anchor="t">
                          <a:noAutofit/>
                        </wps:bodyPr>
                      </wps:wsp>
                      <wps:wsp>
                        <wps:cNvSpPr/>
                        <wps:spPr>
                          <a:xfrm>
                            <a:off x="44280" y="1080000"/>
                            <a:ext cx="2726640" cy="256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Akva havebleco kaj manĝaĵproduktado</w:t>
                              </w:r>
                            </w:p>
                          </w:txbxContent>
                        </wps:txbx>
                        <wps:bodyPr lIns="90000" rIns="90000" tIns="45000" bIns="45000" anchor="t">
                          <a:noAutofit/>
                        </wps:bodyPr>
                      </wps:wsp>
                      <wps:wsp>
                        <wps:cNvSpPr/>
                        <wps:spPr>
                          <a:xfrm>
                            <a:off x="2308320" y="1115640"/>
                            <a:ext cx="1646640" cy="213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Sano kaj bonfarto</w:t>
                              </w:r>
                            </w:p>
                          </w:txbxContent>
                        </wps:txbx>
                        <wps:bodyPr lIns="90000" rIns="90000" tIns="45000" bIns="45000" anchor="t">
                          <a:noAutofit/>
                        </wps:bodyPr>
                      </wps:wsp>
                      <wps:wsp>
                        <wps:cNvSpPr/>
                        <wps:spPr>
                          <a:xfrm>
                            <a:off x="50760" y="1872000"/>
                            <a:ext cx="556200" cy="4672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Fizika akva havebleco</w:t>
                              </w:r>
                            </w:p>
                          </w:txbxContent>
                        </wps:txbx>
                        <wps:bodyPr lIns="90000" rIns="90000" tIns="45000" bIns="45000" anchor="t">
                          <a:noAutofit/>
                        </wps:bodyPr>
                      </wps:wsp>
                      <wps:wsp>
                        <wps:cNvSpPr/>
                        <wps:spPr>
                          <a:xfrm>
                            <a:off x="503640" y="1835640"/>
                            <a:ext cx="556200" cy="463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Agrikulturo / kultivaĵoproduktado</w:t>
                              </w:r>
                            </w:p>
                          </w:txbxContent>
                        </wps:txbx>
                        <wps:bodyPr lIns="90000" rIns="90000" tIns="45000" bIns="45000" anchor="t">
                          <a:noAutofit/>
                        </wps:bodyPr>
                      </wps:wsp>
                      <wps:wsp>
                        <wps:cNvSpPr/>
                        <wps:spPr>
                          <a:xfrm>
                            <a:off x="1007640" y="1800360"/>
                            <a:ext cx="591840" cy="428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Sano kaj produktiveco de bestoj kaj brutoj</w:t>
                              </w:r>
                            </w:p>
                          </w:txbxContent>
                        </wps:txbx>
                        <wps:bodyPr lIns="90000" rIns="90000" tIns="45000" bIns="45000" anchor="t">
                          <a:noAutofit/>
                        </wps:bodyPr>
                      </wps:wsp>
                      <wps:wsp>
                        <wps:cNvSpPr/>
                        <wps:spPr>
                          <a:xfrm>
                            <a:off x="1547640" y="1800360"/>
                            <a:ext cx="596880" cy="428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Fiŝfarmrendimento kaj akvokulturproduktado</w:t>
                              </w:r>
                            </w:p>
                          </w:txbxContent>
                        </wps:txbx>
                        <wps:bodyPr lIns="90000" rIns="90000" tIns="45000" bIns="45000" anchor="t">
                          <a:noAutofit/>
                        </wps:bodyPr>
                      </wps:wsp>
                      <wps:wsp>
                        <wps:cNvSpPr/>
                        <wps:spPr>
                          <a:xfrm>
                            <a:off x="2163960" y="1798920"/>
                            <a:ext cx="591840" cy="391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Infektaj malsanoj</w:t>
                              </w:r>
                            </w:p>
                          </w:txbxContent>
                        </wps:txbx>
                        <wps:bodyPr lIns="90000" rIns="90000" tIns="45000" bIns="45000" anchor="t">
                          <a:noAutofit/>
                        </wps:bodyPr>
                      </wps:wsp>
                      <wps:wsp>
                        <wps:cNvSpPr/>
                        <wps:spPr>
                          <a:xfrm>
                            <a:off x="2719080" y="1800360"/>
                            <a:ext cx="592560" cy="428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Varmo, subnutrado kaj damaĝo pro fajro</w:t>
                              </w:r>
                            </w:p>
                          </w:txbxContent>
                        </wps:txbx>
                        <wps:bodyPr lIns="90000" rIns="90000" tIns="45000" bIns="45000" anchor="t">
                          <a:noAutofit/>
                        </wps:bodyPr>
                      </wps:wsp>
                      <wps:wsp>
                        <wps:cNvSpPr/>
                        <wps:spPr>
                          <a:xfrm>
                            <a:off x="3259440" y="1800360"/>
                            <a:ext cx="591840" cy="391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mensa sano</w:t>
                              </w:r>
                            </w:p>
                          </w:txbxContent>
                        </wps:txbx>
                        <wps:bodyPr lIns="90000" rIns="90000" tIns="45000" bIns="45000" anchor="t">
                          <a:noAutofit/>
                        </wps:bodyPr>
                      </wps:wsp>
                      <wps:wsp>
                        <wps:cNvSpPr/>
                        <wps:spPr>
                          <a:xfrm>
                            <a:off x="3712320" y="1800360"/>
                            <a:ext cx="664200" cy="391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Movo</w:t>
                              </w:r>
                            </w:p>
                          </w:txbxContent>
                        </wps:txbx>
                        <wps:bodyPr lIns="90000" rIns="90000" tIns="45000" bIns="45000" anchor="t">
                          <a:noAutofit/>
                        </wps:bodyPr>
                      </wps:wsp>
                      <wps:wsp>
                        <wps:cNvSpPr/>
                        <wps:spPr>
                          <a:xfrm>
                            <a:off x="4503960" y="1260000"/>
                            <a:ext cx="643320" cy="213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ŝlosilo</w:t>
                              </w:r>
                            </w:p>
                          </w:txbxContent>
                        </wps:txbx>
                        <wps:bodyPr lIns="90000" rIns="90000" tIns="45000" bIns="45000" anchor="t">
                          <a:noAutofit/>
                        </wps:bodyPr>
                      </wps:wsp>
                      <wps:wsp>
                        <wps:cNvSpPr/>
                        <wps:spPr>
                          <a:xfrm>
                            <a:off x="4503960" y="1475640"/>
                            <a:ext cx="2159640" cy="47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ascii="Arial" w:hAnsi="Arial" w:eastAsia="Microsoft YaHei" w:cs="Lucida Sans"/>
                                  <w:color w:val="00000A"/>
                                  <w:lang w:val="eo"/>
                                </w:rPr>
                                <w:t>Observita pliiĝo en klimataj efikoj al homaj sistemoj kaj ekosistemoj taksitaj je tutmonda nivelo</w:t>
                              </w:r>
                            </w:p>
                          </w:txbxContent>
                        </wps:txbx>
                        <wps:bodyPr lIns="90000" rIns="90000" tIns="45000" bIns="45000" anchor="t">
                          <a:noAutofit/>
                        </wps:bodyPr>
                      </wps:wsp>
                      <wps:wsp>
                        <wps:cNvSpPr/>
                        <wps:spPr>
                          <a:xfrm>
                            <a:off x="4827960" y="1911960"/>
                            <a:ext cx="93600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Malfavora efiko</w:t>
                              </w:r>
                            </w:p>
                          </w:txbxContent>
                        </wps:txbx>
                        <wps:bodyPr lIns="90000" rIns="90000" tIns="45000" bIns="45000" anchor="t">
                          <a:noAutofit/>
                        </wps:bodyPr>
                      </wps:wsp>
                      <wps:wsp>
                        <wps:cNvSpPr/>
                        <wps:spPr>
                          <a:xfrm>
                            <a:off x="4827960" y="2380680"/>
                            <a:ext cx="1691640" cy="256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Klimat-movitaj ŝanĝoj observitaj,</w:t>
                              </w:r>
                            </w:p>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neniu tutmonda takso de efikdirekto</w:t>
                              </w:r>
                            </w:p>
                          </w:txbxContent>
                        </wps:txbx>
                        <wps:bodyPr lIns="90000" rIns="90000" tIns="45000" bIns="45000" anchor="t">
                          <a:noAutofit/>
                        </wps:bodyPr>
                      </wps:wsp>
                      <wps:wsp>
                        <wps:cNvSpPr/>
                        <wps:spPr>
                          <a:xfrm>
                            <a:off x="4827960" y="2160360"/>
                            <a:ext cx="1367640" cy="261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Adversaj kaj pozitivaj efikoj</w:t>
                              </w:r>
                            </w:p>
                          </w:txbxContent>
                        </wps:txbx>
                        <wps:bodyPr lIns="90000" rIns="90000" tIns="45000" bIns="45000" anchor="t">
                          <a:noAutofit/>
                        </wps:bodyPr>
                      </wps:wsp>
                      <wps:wsp>
                        <wps:cNvSpPr/>
                        <wps:spPr>
                          <a:xfrm>
                            <a:off x="35640" y="2344320"/>
                            <a:ext cx="2209320" cy="213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Urboj, setlejoj kaj infrastrukturoj</w:t>
                              </w:r>
                            </w:p>
                          </w:txbxContent>
                        </wps:txbx>
                        <wps:bodyPr lIns="90000" rIns="90000" tIns="45000" bIns="45000" anchor="t">
                          <a:noAutofit/>
                        </wps:bodyPr>
                      </wps:wsp>
                      <wps:wsp>
                        <wps:cNvSpPr/>
                        <wps:spPr>
                          <a:xfrm>
                            <a:off x="2200320" y="2344320"/>
                            <a:ext cx="2077200" cy="204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Biodiverseco kaj ekosistemoj</w:t>
                              </w:r>
                            </w:p>
                          </w:txbxContent>
                        </wps:txbx>
                        <wps:bodyPr lIns="90000" rIns="90000" tIns="45000" bIns="45000" anchor="t">
                          <a:noAutofit/>
                        </wps:bodyPr>
                      </wps:wsp>
                      <wps:wsp>
                        <wps:cNvSpPr/>
                        <wps:spPr>
                          <a:xfrm>
                            <a:off x="35640" y="2992680"/>
                            <a:ext cx="571680" cy="599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Enlanda inundado kaj rilata difekto</w:t>
                              </w:r>
                            </w:p>
                          </w:txbxContent>
                        </wps:txbx>
                        <wps:bodyPr lIns="90000" rIns="90000" tIns="45000" bIns="45000" anchor="t">
                          <a:noAutofit/>
                        </wps:bodyPr>
                      </wps:wsp>
                      <wps:wsp>
                        <wps:cNvSpPr/>
                        <wps:spPr>
                          <a:xfrm>
                            <a:off x="611640" y="2999880"/>
                            <a:ext cx="571680" cy="600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Inundo/ŝtormo induktis difekton en marbordaj regionoj</w:t>
                              </w:r>
                            </w:p>
                          </w:txbxContent>
                        </wps:txbx>
                        <wps:bodyPr lIns="90000" rIns="90000" tIns="45000" bIns="45000" anchor="t">
                          <a:noAutofit/>
                        </wps:bodyPr>
                      </wps:wsp>
                      <wps:wsp>
                        <wps:cNvSpPr/>
                        <wps:spPr>
                          <a:xfrm>
                            <a:off x="1064160" y="2992680"/>
                            <a:ext cx="658440" cy="599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Damaĝo al infrastrukturo</w:t>
                              </w:r>
                            </w:p>
                          </w:txbxContent>
                        </wps:txbx>
                        <wps:bodyPr lIns="90000" rIns="90000" tIns="45000" bIns="45000" anchor="t">
                          <a:noAutofit/>
                        </wps:bodyPr>
                      </wps:wsp>
                      <wps:wsp>
                        <wps:cNvSpPr/>
                        <wps:spPr>
                          <a:xfrm>
                            <a:off x="1655280" y="2999880"/>
                            <a:ext cx="576000" cy="428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Damaĝo al ŝlosilaj ekonomiaj sektoroj</w:t>
                              </w:r>
                            </w:p>
                          </w:txbxContent>
                        </wps:txbx>
                        <wps:bodyPr lIns="90000" rIns="90000" tIns="45000" bIns="45000" anchor="t">
                          <a:noAutofit/>
                        </wps:bodyPr>
                      </wps:wsp>
                      <wps:wsp>
                        <wps:cNvSpPr/>
                        <wps:spPr>
                          <a:xfrm>
                            <a:off x="2271960" y="2991600"/>
                            <a:ext cx="606960" cy="256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Teraj ekosistemoj</w:t>
                              </w:r>
                            </w:p>
                          </w:txbxContent>
                        </wps:txbx>
                        <wps:bodyPr lIns="90000" rIns="90000" tIns="45000" bIns="45000" anchor="t">
                          <a:noAutofit/>
                        </wps:bodyPr>
                      </wps:wsp>
                      <wps:wsp>
                        <wps:cNvSpPr/>
                        <wps:spPr>
                          <a:xfrm>
                            <a:off x="2884320" y="2982600"/>
                            <a:ext cx="606960" cy="257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Dolĉakvaj ekosistemoj</w:t>
                              </w:r>
                            </w:p>
                          </w:txbxContent>
                        </wps:txbx>
                        <wps:bodyPr lIns="90000" rIns="90000" tIns="45000" bIns="45000" anchor="t">
                          <a:noAutofit/>
                        </wps:bodyPr>
                      </wps:wsp>
                      <wps:wsp>
                        <wps:cNvSpPr/>
                        <wps:spPr>
                          <a:xfrm>
                            <a:off x="2271960" y="2991600"/>
                            <a:ext cx="606960" cy="257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Teraj ekosistemoj</w:t>
                              </w:r>
                            </w:p>
                          </w:txbxContent>
                        </wps:txbx>
                        <wps:bodyPr lIns="90000" rIns="90000" tIns="45000" bIns="45000" anchor="t">
                          <a:noAutofit/>
                        </wps:bodyPr>
                      </wps:wsp>
                      <wps:wsp>
                        <wps:cNvSpPr/>
                        <wps:spPr>
                          <a:xfrm>
                            <a:off x="3423960" y="2992680"/>
                            <a:ext cx="606960" cy="256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Oceanaj ekosistemoj</w:t>
                              </w:r>
                            </w:p>
                          </w:txbxContent>
                        </wps:txbx>
                        <wps:bodyPr lIns="90000" rIns="90000" tIns="45000" bIns="45000" anchor="t">
                          <a:noAutofit/>
                        </wps:bodyPr>
                      </wps:wsp>
                      <wps:wsp>
                        <wps:cNvSpPr/>
                        <wps:spPr>
                          <a:xfrm>
                            <a:off x="2343960" y="3208680"/>
                            <a:ext cx="1723320" cy="256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Inkludas ŝanĝojn en ekosistemstrukturo, speciogamoj kaj laŭsezona ritmo</w:t>
                              </w:r>
                            </w:p>
                          </w:txbxContent>
                        </wps:txbx>
                        <wps:bodyPr lIns="90000" rIns="90000" tIns="45000" bIns="45000" anchor="t">
                          <a:noAutofit/>
                        </wps:bodyPr>
                      </wps:wsp>
                      <wps:wsp>
                        <wps:cNvSpPr/>
                        <wps:spPr>
                          <a:xfrm>
                            <a:off x="35640" y="3856320"/>
                            <a:ext cx="4212000" cy="342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b) Efikoj estas pelitaj de ŝanĝoj en multobla fizika klimato</w:t>
                              </w:r>
                            </w:p>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kondiĉoj, kiuj estas ĉiam pli atribuitaj al homa influo</w:t>
                              </w:r>
                            </w:p>
                          </w:txbxContent>
                        </wps:txbx>
                        <wps:bodyPr lIns="90000" rIns="90000" tIns="45000" bIns="45000" anchor="t">
                          <a:noAutofit/>
                        </wps:bodyPr>
                      </wps:wsp>
                      <wps:wsp>
                        <wps:cNvSpPr/>
                        <wps:spPr>
                          <a:xfrm>
                            <a:off x="71640" y="4170600"/>
                            <a:ext cx="255528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Atribuo de observitaj fizikaj klimataj ŝanĝoj al homa influo:</w:t>
                              </w:r>
                            </w:p>
                          </w:txbxContent>
                        </wps:txbx>
                        <wps:bodyPr lIns="90000" rIns="90000" tIns="45000" bIns="45000" anchor="t">
                          <a:noAutofit/>
                        </wps:bodyPr>
                      </wps:wsp>
                      <wps:wsp>
                        <wps:cNvSpPr/>
                        <wps:spPr>
                          <a:xfrm>
                            <a:off x="71640" y="4288320"/>
                            <a:ext cx="8593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meza konfido</w:t>
                              </w:r>
                            </w:p>
                          </w:txbxContent>
                        </wps:txbx>
                        <wps:bodyPr lIns="90000" rIns="90000" tIns="45000" bIns="45000" anchor="t">
                          <a:noAutofit/>
                        </wps:bodyPr>
                      </wps:wsp>
                      <wps:wsp>
                        <wps:cNvSpPr/>
                        <wps:spPr>
                          <a:xfrm>
                            <a:off x="1691640" y="4324320"/>
                            <a:ext cx="86364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Verŝajne</w:t>
                              </w:r>
                            </w:p>
                          </w:txbxContent>
                        </wps:txbx>
                        <wps:bodyPr lIns="90000" rIns="90000" tIns="45000" bIns="45000" anchor="t">
                          <a:noAutofit/>
                        </wps:bodyPr>
                      </wps:wsp>
                      <wps:wsp>
                        <wps:cNvSpPr/>
                        <wps:spPr>
                          <a:xfrm>
                            <a:off x="2416320" y="4288320"/>
                            <a:ext cx="8593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Tre verŝajna</w:t>
                              </w:r>
                            </w:p>
                          </w:txbxContent>
                        </wps:txbx>
                        <wps:bodyPr lIns="90000" rIns="90000" tIns="45000" bIns="45000" anchor="t">
                          <a:noAutofit/>
                        </wps:bodyPr>
                      </wps:wsp>
                      <wps:wsp>
                        <wps:cNvSpPr/>
                        <wps:spPr>
                          <a:xfrm>
                            <a:off x="1691640" y="4325040"/>
                            <a:ext cx="86364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Verŝajne</w:t>
                              </w:r>
                            </w:p>
                          </w:txbxContent>
                        </wps:txbx>
                        <wps:bodyPr lIns="90000" rIns="90000" tIns="45000" bIns="45000" anchor="t">
                          <a:noAutofit/>
                        </wps:bodyPr>
                      </wps:wsp>
                      <wps:wsp>
                        <wps:cNvSpPr/>
                        <wps:spPr>
                          <a:xfrm>
                            <a:off x="3459960" y="4256280"/>
                            <a:ext cx="8593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Preskaŭ certa</w:t>
                              </w:r>
                            </w:p>
                          </w:txbxContent>
                        </wps:txbx>
                        <wps:bodyPr lIns="90000" rIns="90000" tIns="45000" bIns="45000" anchor="t">
                          <a:noAutofit/>
                        </wps:bodyPr>
                      </wps:wsp>
                      <wps:wsp>
                        <wps:cNvSpPr/>
                        <wps:spPr>
                          <a:xfrm>
                            <a:off x="179640" y="4836240"/>
                            <a:ext cx="570960" cy="599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de agrikultura kaj ekologia sekeco</w:t>
                              </w:r>
                            </w:p>
                          </w:txbxContent>
                        </wps:txbx>
                        <wps:bodyPr lIns="90000" rIns="90000" tIns="45000" bIns="45000" anchor="t">
                          <a:noAutofit/>
                        </wps:bodyPr>
                      </wps:wsp>
                      <wps:wsp>
                        <wps:cNvSpPr/>
                        <wps:spPr>
                          <a:xfrm>
                            <a:off x="684000" y="4828680"/>
                            <a:ext cx="570960" cy="599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de fajrovetero</w:t>
                              </w:r>
                            </w:p>
                          </w:txbxContent>
                        </wps:txbx>
                        <wps:bodyPr lIns="90000" rIns="90000" tIns="45000" bIns="45000" anchor="t">
                          <a:noAutofit/>
                        </wps:bodyPr>
                      </wps:wsp>
                      <wps:wsp>
                        <wps:cNvSpPr/>
                        <wps:spPr>
                          <a:xfrm>
                            <a:off x="1223640" y="4828680"/>
                            <a:ext cx="576000" cy="342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en kunmetita inundo</w:t>
                              </w:r>
                            </w:p>
                          </w:txbxContent>
                        </wps:txbx>
                        <wps:bodyPr lIns="90000" rIns="90000" tIns="45000" bIns="45000" anchor="t">
                          <a:noAutofit/>
                        </wps:bodyPr>
                      </wps:wsp>
                      <wps:wsp>
                        <wps:cNvSpPr/>
                        <wps:spPr>
                          <a:xfrm>
                            <a:off x="1728000" y="4836240"/>
                            <a:ext cx="647640" cy="599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de forta precipitaĵo</w:t>
                              </w:r>
                            </w:p>
                          </w:txbxContent>
                        </wps:txbx>
                        <wps:bodyPr lIns="90000" rIns="90000" tIns="45000" bIns="45000" anchor="t">
                          <a:noAutofit/>
                        </wps:bodyPr>
                      </wps:wsp>
                      <wps:wsp>
                        <wps:cNvSpPr/>
                        <wps:spPr>
                          <a:xfrm>
                            <a:off x="2266920" y="4836240"/>
                            <a:ext cx="504360" cy="256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Retiriĝo de glaĉero</w:t>
                              </w:r>
                            </w:p>
                          </w:txbxContent>
                        </wps:txbx>
                        <wps:bodyPr lIns="90000" rIns="90000" tIns="45000" bIns="45000" anchor="t">
                          <a:noAutofit/>
                        </wps:bodyPr>
                      </wps:wsp>
                      <wps:wsp>
                        <wps:cNvSpPr/>
                        <wps:spPr>
                          <a:xfrm>
                            <a:off x="2689920" y="4864680"/>
                            <a:ext cx="564480" cy="428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Tutmonda altiĝo de la marnivelo</w:t>
                              </w:r>
                            </w:p>
                          </w:txbxContent>
                        </wps:txbx>
                        <wps:bodyPr lIns="90000" rIns="90000" tIns="45000" bIns="45000" anchor="t">
                          <a:noAutofit/>
                        </wps:bodyPr>
                      </wps:wsp>
                      <wps:wsp>
                        <wps:cNvSpPr/>
                        <wps:spPr>
                          <a:xfrm>
                            <a:off x="3255480" y="4863600"/>
                            <a:ext cx="523800" cy="428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Supra oceana acidiĝo</w:t>
                              </w:r>
                            </w:p>
                          </w:txbxContent>
                        </wps:txbx>
                        <wps:bodyPr lIns="90000" rIns="90000" tIns="45000" bIns="45000" anchor="t">
                          <a:noAutofit/>
                        </wps:bodyPr>
                      </wps:wsp>
                      <wps:wsp>
                        <wps:cNvSpPr/>
                        <wps:spPr>
                          <a:xfrm>
                            <a:off x="3820320" y="4900320"/>
                            <a:ext cx="527040" cy="428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en varmaj ekstremoj</w:t>
                              </w:r>
                            </w:p>
                          </w:txbxContent>
                        </wps:txbx>
                        <wps:bodyPr lIns="90000" rIns="90000" tIns="45000" bIns="45000" anchor="t">
                          <a:noAutofit/>
                        </wps:bodyPr>
                      </wps:wsp>
                      <wps:wsp>
                        <wps:cNvSpPr/>
                        <wps:spPr>
                          <a:xfrm>
                            <a:off x="71640" y="5476320"/>
                            <a:ext cx="4823640" cy="391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c) Kiom nunaj kaj estontaj generacioj spertos pli varman kaj malsaman mondon dependas de elektoj nun kaj baldaŭ.</w:t>
                              </w:r>
                            </w:p>
                          </w:txbxContent>
                        </wps:txbx>
                        <wps:bodyPr lIns="90000" rIns="90000" tIns="45000" bIns="45000" anchor="t">
                          <a:noAutofit/>
                        </wps:bodyPr>
                      </wps:wsp>
                      <wps:wsp>
                        <wps:cNvSpPr/>
                        <wps:spPr>
                          <a:xfrm>
                            <a:off x="2668320" y="6124680"/>
                            <a:ext cx="966960" cy="342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2011-2020 estis ĉirkaŭ 1.1 °C pli varma ol 1850-1900</w:t>
                              </w:r>
                            </w:p>
                          </w:txbxContent>
                        </wps:txbx>
                        <wps:bodyPr lIns="90000" rIns="90000" tIns="45000" bIns="45000" anchor="t">
                          <a:noAutofit/>
                        </wps:bodyPr>
                      </wps:wsp>
                      <wps:wsp>
                        <wps:cNvSpPr/>
                        <wps:spPr>
                          <a:xfrm>
                            <a:off x="3927960" y="6304320"/>
                            <a:ext cx="966960" cy="270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Estontaj emisioscenaroj:</w:t>
                              </w:r>
                            </w:p>
                          </w:txbxContent>
                        </wps:txbx>
                        <wps:bodyPr lIns="90000" rIns="90000" tIns="45000" bIns="45000" anchor="t">
                          <a:noAutofit/>
                        </wps:bodyPr>
                      </wps:wsp>
                      <wps:wsp>
                        <wps:cNvSpPr/>
                        <wps:spPr>
                          <a:xfrm>
                            <a:off x="3927960" y="6627960"/>
                            <a:ext cx="7513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Tre alta</w:t>
                              </w:r>
                            </w:p>
                          </w:txbxContent>
                        </wps:txbx>
                        <wps:bodyPr lIns="90000" rIns="90000" tIns="45000" bIns="45000" anchor="t">
                          <a:noAutofit/>
                        </wps:bodyPr>
                      </wps:wsp>
                      <wps:wsp>
                        <wps:cNvSpPr/>
                        <wps:spPr>
                          <a:xfrm>
                            <a:off x="3927960" y="7428960"/>
                            <a:ext cx="7513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tre malalta</w:t>
                              </w:r>
                            </w:p>
                          </w:txbxContent>
                        </wps:txbx>
                        <wps:bodyPr lIns="90000" rIns="90000" tIns="45000" bIns="45000" anchor="t">
                          <a:noAutofit/>
                        </wps:bodyPr>
                      </wps:wsp>
                      <wps:wsp>
                        <wps:cNvSpPr/>
                        <wps:spPr>
                          <a:xfrm>
                            <a:off x="3927960" y="7212960"/>
                            <a:ext cx="75132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malalta</w:t>
                              </w:r>
                            </w:p>
                          </w:txbxContent>
                        </wps:txbx>
                        <wps:bodyPr lIns="90000" rIns="90000" tIns="45000" bIns="45000" anchor="t">
                          <a:noAutofit/>
                        </wps:bodyPr>
                      </wps:wsp>
                      <wps:wsp>
                        <wps:cNvSpPr/>
                        <wps:spPr>
                          <a:xfrm>
                            <a:off x="3927960" y="7032600"/>
                            <a:ext cx="7513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meza</w:t>
                              </w:r>
                            </w:p>
                          </w:txbxContent>
                        </wps:txbx>
                        <wps:bodyPr lIns="90000" rIns="90000" tIns="45000" bIns="45000" anchor="t">
                          <a:noAutofit/>
                        </wps:bodyPr>
                      </wps:wsp>
                      <wps:wsp>
                        <wps:cNvSpPr/>
                        <wps:spPr>
                          <a:xfrm>
                            <a:off x="3927960" y="6844680"/>
                            <a:ext cx="751320" cy="175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alta</w:t>
                              </w:r>
                            </w:p>
                          </w:txbxContent>
                        </wps:txbx>
                        <wps:bodyPr lIns="90000" rIns="90000" tIns="45000" bIns="45000" anchor="t">
                          <a:noAutofit/>
                        </wps:bodyPr>
                      </wps:wsp>
                      <wps:wsp>
                        <wps:cNvSpPr/>
                        <wps:spPr>
                          <a:xfrm>
                            <a:off x="4827960" y="3064680"/>
                            <a:ext cx="117864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Alta aŭ tre alta konfido</w:t>
                              </w:r>
                            </w:p>
                          </w:txbxContent>
                        </wps:txbx>
                        <wps:bodyPr lIns="90000" rIns="90000" tIns="45000" bIns="45000" anchor="t">
                          <a:noAutofit/>
                        </wps:bodyPr>
                      </wps:wsp>
                      <wps:wsp>
                        <wps:cNvSpPr/>
                        <wps:spPr>
                          <a:xfrm>
                            <a:off x="4827960" y="3208680"/>
                            <a:ext cx="117864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Meza konfido</w:t>
                              </w:r>
                            </w:p>
                          </w:txbxContent>
                        </wps:txbx>
                        <wps:bodyPr lIns="90000" rIns="90000" tIns="45000" bIns="45000" anchor="t">
                          <a:noAutofit/>
                        </wps:bodyPr>
                      </wps:wsp>
                      <wps:wsp>
                        <wps:cNvSpPr/>
                        <wps:spPr>
                          <a:xfrm>
                            <a:off x="4801320" y="3316680"/>
                            <a:ext cx="117864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Malalta konfido</w:t>
                              </w:r>
                            </w:p>
                          </w:txbxContent>
                        </wps:txbx>
                        <wps:bodyPr lIns="90000" rIns="90000" tIns="45000" bIns="45000" anchor="t">
                          <a:noAutofit/>
                        </wps:bodyPr>
                      </wps:wsp>
                      <wps:wsp>
                        <wps:cNvSpPr/>
                        <wps:spPr>
                          <a:xfrm>
                            <a:off x="4585320" y="2776320"/>
                            <a:ext cx="1610280" cy="342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ascii="Arial" w:hAnsi="Arial" w:eastAsia="Microsoft YaHei" w:cs="Lucida Sans"/>
                                  <w:color w:val="00000A"/>
                                  <w:lang w:val="eo"/>
                                </w:rPr>
                                <w:t>Konfido je atribuo</w:t>
                              </w:r>
                            </w:p>
                            <w:p>
                              <w:pPr>
                                <w:overflowPunct w:val="false"/>
                                <w:spacing w:before="0"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ascii="Arial" w:hAnsi="Arial" w:eastAsia="Microsoft YaHei" w:cs="Lucida Sans"/>
                                  <w:color w:val="00000A"/>
                                  <w:lang w:val="eo"/>
                                </w:rPr>
                                <w:t>al klimata ŝanĝo</w:t>
                              </w:r>
                            </w:p>
                          </w:txbxContent>
                        </wps:txbx>
                        <wps:bodyPr lIns="90000" rIns="90000" tIns="45000" bIns="45000" anchor="t">
                          <a:noAutofit/>
                        </wps:bodyPr>
                      </wps:wsp>
                      <wps:wsp>
                        <wps:cNvSpPr/>
                        <wps:spPr>
                          <a:xfrm>
                            <a:off x="4909320" y="6088320"/>
                            <a:ext cx="1394640" cy="283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estontaj spertoj dependas de kiel ni traktas klimatan ŝanĝon</w:t>
                              </w:r>
                            </w:p>
                          </w:txbxContent>
                        </wps:txbx>
                        <wps:bodyPr lIns="90000" rIns="90000" tIns="45000" bIns="45000" anchor="t">
                          <a:noAutofit/>
                        </wps:bodyPr>
                      </wps:wsp>
                      <wps:wsp>
                        <wps:cNvSpPr/>
                        <wps:spPr>
                          <a:xfrm>
                            <a:off x="6452280" y="6807240"/>
                            <a:ext cx="535320" cy="433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varmiĝo daŭras preter 2100</w:t>
                              </w:r>
                            </w:p>
                          </w:txbxContent>
                        </wps:txbx>
                        <wps:bodyPr lIns="90000" rIns="90000" tIns="45000" bIns="45000" anchor="t">
                          <a:noAutofit/>
                        </wps:bodyPr>
                      </wps:wsp>
                      <wps:wsp>
                        <wps:cNvSpPr/>
                        <wps:spPr>
                          <a:xfrm>
                            <a:off x="6093000" y="7749000"/>
                            <a:ext cx="534600" cy="427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70 jarojn aĝa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2090</w:t>
                              </w:r>
                            </w:p>
                          </w:txbxContent>
                        </wps:txbx>
                        <wps:bodyPr lIns="90000" rIns="90000" tIns="45000" bIns="45000" anchor="t">
                          <a:noAutofit/>
                        </wps:bodyPr>
                      </wps:wsp>
                      <wps:wsp>
                        <wps:cNvSpPr/>
                        <wps:spPr>
                          <a:xfrm>
                            <a:off x="4863960" y="8325000"/>
                            <a:ext cx="539640" cy="427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70 jarojn aĝa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2050</w:t>
                              </w:r>
                            </w:p>
                          </w:txbxContent>
                        </wps:txbx>
                        <wps:bodyPr lIns="90000" rIns="90000" tIns="45000" bIns="45000" anchor="t">
                          <a:noAutofit/>
                        </wps:bodyPr>
                      </wps:wsp>
                      <wps:wsp>
                        <wps:cNvSpPr/>
                        <wps:spPr>
                          <a:xfrm>
                            <a:off x="3964320" y="8793000"/>
                            <a:ext cx="534600" cy="427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70 jarojn aĝa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2020</w:t>
                              </w:r>
                            </w:p>
                          </w:txbxContent>
                        </wps:txbx>
                        <wps:bodyPr lIns="90000" rIns="90000" tIns="45000" bIns="45000" anchor="t">
                          <a:noAutofit/>
                        </wps:bodyPr>
                      </wps:wsp>
                      <wps:wsp>
                        <wps:cNvSpPr/>
                        <wps:spPr>
                          <a:xfrm>
                            <a:off x="1367640" y="8900640"/>
                            <a:ext cx="539640" cy="319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naskita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1950</w:t>
                              </w:r>
                            </w:p>
                          </w:txbxContent>
                        </wps:txbx>
                        <wps:bodyPr lIns="90000" rIns="90000" tIns="45000" bIns="45000" anchor="t">
                          <a:noAutofit/>
                        </wps:bodyPr>
                      </wps:wsp>
                      <wps:wsp>
                        <wps:cNvSpPr/>
                        <wps:spPr>
                          <a:xfrm>
                            <a:off x="2092320" y="8396640"/>
                            <a:ext cx="534600" cy="319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naskita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1980</w:t>
                              </w:r>
                            </w:p>
                          </w:txbxContent>
                        </wps:txbx>
                        <wps:bodyPr lIns="90000" rIns="90000" tIns="45000" bIns="45000" anchor="t">
                          <a:noAutofit/>
                        </wps:bodyPr>
                      </wps:wsp>
                      <wps:wsp>
                        <wps:cNvSpPr/>
                        <wps:spPr>
                          <a:xfrm>
                            <a:off x="3279600" y="7964640"/>
                            <a:ext cx="535320" cy="319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naskita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2020</w:t>
                              </w:r>
                            </w:p>
                          </w:txbxContent>
                        </wps:txbx>
                        <wps:bodyPr lIns="90000" rIns="90000" tIns="45000" bIns="45000" anchor="t">
                          <a:noAutofit/>
                        </wps:bodyPr>
                      </wps:wsp>
                      <wps:wsp>
                        <wps:cNvSpPr/>
                        <wps:spPr>
                          <a:xfrm>
                            <a:off x="448200" y="7696080"/>
                            <a:ext cx="205164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Tutmonda temperaturo ŝanĝiĝas super 1850-1900 niveloj</w:t>
                              </w:r>
                            </w:p>
                          </w:txbxContent>
                        </wps:txbx>
                        <wps:bodyPr lIns="90000" rIns="90000" tIns="45000" bIns="45000" anchor="t">
                          <a:noAutofit/>
                        </wps:bodyPr>
                      </wps:wsp>
                    </wpg:wgp>
                  </a:graphicData>
                </a:graphic>
              </wp:anchor>
            </w:drawing>
          </mc:Choice>
          <mc:Fallback>
            <w:pict>
              <v:group id="shape_0" alt="Forme23" style="position:absolute;margin-left:10.55pt;margin-top:7.8pt;width:550.2pt;height:731.65pt" coordorigin="211,156" coordsize="11004,14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211;top:424;width:10777;height:14364;mso-wrap-style:none;v-text-anchor:middle" type="_x0000_t75">
                  <v:imagedata r:id="rId9" o:detectmouseclick="t"/>
                  <v:stroke color="#3465a4" joinstyle="round" endcap="flat"/>
                  <w10:wrap type="none"/>
                </v:shape>
                <v:rect id="shape_0" path="m0,0l-2147483645,0l-2147483645,-2147483646l0,-2147483646xe" stroked="f" o:allowincell="f" style="position:absolute;left:324;top:156;width:10239;height:787;mso-wrap-style:square;v-text-anchor:top">
                  <v:textbo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ascii="Arial" w:hAnsi="Arial" w:eastAsia="Microsoft YaHei" w:cs="Lucida Sans"/>
                            <w:color w:val="00000A"/>
                            <w:lang w:val="eo"/>
                          </w:rPr>
                          <w:t>Malfavoraj efikoj de hom-kaŭzita klimata ŝanĝo daŭre intensiĝos</w:t>
                        </w:r>
                      </w:p>
                    </w:txbxContent>
                  </v:textbox>
                  <v:fill o:detectmouseclick="t" on="false"/>
                  <v:stroke color="#3465a4" joinstyle="round" endcap="flat"/>
                  <w10:wrap type="none"/>
                </v:rect>
                <v:rect id="shape_0" path="m0,0l-2147483645,0l-2147483645,-2147483646l0,-2147483646xe" stroked="f" o:allowincell="f" style="position:absolute;left:381;top:1120;width:10182;height:672;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a) Observitaj vastaj kaj grandaj efikoj kaj rilataj perdoj kaj damaĝoj atribuitaj al klimata ŝanĝo</w:t>
                        </w:r>
                      </w:p>
                    </w:txbxContent>
                  </v:textbox>
                  <v:fill o:detectmouseclick="t" on="false"/>
                  <v:stroke color="#3465a4" joinstyle="round" endcap="flat"/>
                  <w10:wrap type="none"/>
                </v:rect>
                <v:rect id="shape_0" path="m0,0l-2147483645,0l-2147483645,-2147483646l0,-2147483646xe" stroked="f" o:allowincell="f" style="position:absolute;left:281;top:1857;width:4293;height:403;mso-wrap-style:square;v-text-anchor:top">
                  <v:textbo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Akva havebleco kaj manĝaĵproduktado</w:t>
                        </w:r>
                      </w:p>
                    </w:txbxContent>
                  </v:textbox>
                  <v:fill o:detectmouseclick="t" on="false"/>
                  <v:stroke color="#3465a4" joinstyle="round" endcap="flat"/>
                  <w10:wrap type="none"/>
                </v:rect>
                <v:rect id="shape_0" path="m0,0l-2147483645,0l-2147483645,-2147483646l0,-2147483646xe" stroked="f" o:allowincell="f" style="position:absolute;left:3846;top:1913;width:2592;height:336;mso-wrap-style:square;v-text-anchor:top">
                  <v:textbo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Sano kaj bonfarto</w:t>
                        </w:r>
                      </w:p>
                    </w:txbxContent>
                  </v:textbox>
                  <v:fill o:detectmouseclick="t" on="false"/>
                  <v:stroke color="#3465a4" joinstyle="round" endcap="flat"/>
                  <w10:wrap type="none"/>
                </v:rect>
                <v:rect id="shape_0" path="m0,0l-2147483645,0l-2147483645,-2147483646l0,-2147483646xe" stroked="f" o:allowincell="f" style="position:absolute;left:291;top:3104;width:875;height:735;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Fizika akva havebleco</w:t>
                        </w:r>
                      </w:p>
                    </w:txbxContent>
                  </v:textbox>
                  <v:fill o:detectmouseclick="t" on="false"/>
                  <v:stroke color="#3465a4" joinstyle="round" endcap="flat"/>
                  <w10:wrap type="none"/>
                </v:rect>
                <v:rect id="shape_0" path="m0,0l-2147483645,0l-2147483645,-2147483646l0,-2147483646xe" stroked="f" o:allowincell="f" style="position:absolute;left:1004;top:3047;width:875;height:72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Agrikulturo / kultivaĵoproduktado</w:t>
                        </w:r>
                      </w:p>
                    </w:txbxContent>
                  </v:textbox>
                  <v:fill o:detectmouseclick="t" on="false"/>
                  <v:stroke color="#3465a4" joinstyle="round" endcap="flat"/>
                  <w10:wrap type="none"/>
                </v:rect>
                <v:rect id="shape_0" path="m0,0l-2147483645,0l-2147483645,-2147483646l0,-2147483646xe" stroked="f" o:allowincell="f" style="position:absolute;left:1798;top:2991;width:931;height:67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Sano kaj produktiveco de bestoj kaj brutoj</w:t>
                        </w:r>
                      </w:p>
                    </w:txbxContent>
                  </v:textbox>
                  <v:fill o:detectmouseclick="t" on="false"/>
                  <v:stroke color="#3465a4" joinstyle="round" endcap="flat"/>
                  <w10:wrap type="none"/>
                </v:rect>
                <v:rect id="shape_0" path="m0,0l-2147483645,0l-2147483645,-2147483646l0,-2147483646xe" stroked="f" o:allowincell="f" style="position:absolute;left:2648;top:2991;width:939;height:67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Fiŝfarmrendimento kaj akvokulturproduktado</w:t>
                        </w:r>
                      </w:p>
                    </w:txbxContent>
                  </v:textbox>
                  <v:fill o:detectmouseclick="t" on="false"/>
                  <v:stroke color="#3465a4" joinstyle="round" endcap="flat"/>
                  <w10:wrap type="none"/>
                </v:rect>
                <v:rect id="shape_0" path="m0,0l-2147483645,0l-2147483645,-2147483646l0,-2147483646xe" stroked="f" o:allowincell="f" style="position:absolute;left:3619;top:2989;width:931;height:615;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Infektaj malsanoj</w:t>
                        </w:r>
                      </w:p>
                    </w:txbxContent>
                  </v:textbox>
                  <v:fill o:detectmouseclick="t" on="false"/>
                  <v:stroke color="#3465a4" joinstyle="round" endcap="flat"/>
                  <w10:wrap type="none"/>
                </v:rect>
                <v:rect id="shape_0" path="m0,0l-2147483645,0l-2147483645,-2147483646l0,-2147483646xe" stroked="f" o:allowincell="f" style="position:absolute;left:4493;top:2991;width:932;height:67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Varmo, subnutrado kaj damaĝo pro fajro</w:t>
                        </w:r>
                      </w:p>
                    </w:txbxContent>
                  </v:textbox>
                  <v:fill o:detectmouseclick="t" on="false"/>
                  <v:stroke color="#3465a4" joinstyle="round" endcap="flat"/>
                  <w10:wrap type="none"/>
                </v:rect>
                <v:rect id="shape_0" path="m0,0l-2147483645,0l-2147483645,-2147483646l0,-2147483646xe" stroked="f" o:allowincell="f" style="position:absolute;left:5344;top:2991;width:931;height:615;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mensa sano</w:t>
                        </w:r>
                      </w:p>
                    </w:txbxContent>
                  </v:textbox>
                  <v:fill o:detectmouseclick="t" on="false"/>
                  <v:stroke color="#3465a4" joinstyle="round" endcap="flat"/>
                  <w10:wrap type="none"/>
                </v:rect>
                <v:rect id="shape_0" path="m0,0l-2147483645,0l-2147483645,-2147483646l0,-2147483646xe" stroked="f" o:allowincell="f" style="position:absolute;left:6057;top:2991;width:1045;height:615;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Movo</w:t>
                        </w:r>
                      </w:p>
                    </w:txbxContent>
                  </v:textbox>
                  <v:fill o:detectmouseclick="t" on="false"/>
                  <v:stroke color="#3465a4" joinstyle="round" endcap="flat"/>
                  <w10:wrap type="none"/>
                </v:rect>
                <v:rect id="shape_0" path="m0,0l-2147483645,0l-2147483645,-2147483646l0,-2147483646xe" stroked="f" o:allowincell="f" style="position:absolute;left:7304;top:2140;width:1012;height:336;mso-wrap-style:square;v-text-anchor:top">
                  <v:textbo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ŝlosilo</w:t>
                        </w:r>
                      </w:p>
                    </w:txbxContent>
                  </v:textbox>
                  <v:fill o:detectmouseclick="t" on="false"/>
                  <v:stroke color="#3465a4" joinstyle="round" endcap="flat"/>
                  <w10:wrap type="none"/>
                </v:rect>
                <v:rect id="shape_0" path="m0,0l-2147483645,0l-2147483645,-2147483646l0,-2147483646xe" stroked="f" o:allowincell="f" style="position:absolute;left:7304;top:2480;width:3400;height:740;mso-wrap-style:square;v-text-anchor:top">
                  <v:textbox>
                    <w:txbxContent>
                      <w:p>
                        <w:pPr>
                          <w:overflowPunct w:val="false"/>
                          <w:spacing w:before="0"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ascii="Arial" w:hAnsi="Arial" w:eastAsia="Microsoft YaHei" w:cs="Lucida Sans"/>
                            <w:color w:val="00000A"/>
                            <w:lang w:val="eo"/>
                          </w:rPr>
                          <w:t>Observita pliiĝo en klimataj efikoj al homaj sistemoj kaj ekosistemoj taksitaj je tutmonda nivelo</w:t>
                        </w:r>
                      </w:p>
                    </w:txbxContent>
                  </v:textbox>
                  <v:fill o:detectmouseclick="t" on="false"/>
                  <v:stroke color="#3465a4" joinstyle="round" endcap="flat"/>
                  <w10:wrap type="none"/>
                </v:rect>
                <v:rect id="shape_0" path="m0,0l-2147483645,0l-2147483645,-2147483646l0,-2147483646xe" stroked="f" o:allowincell="f" style="position:absolute;left:7814;top:3167;width:1473;height:26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Malfavora efiko</w:t>
                        </w:r>
                      </w:p>
                    </w:txbxContent>
                  </v:textbox>
                  <v:fill o:detectmouseclick="t" on="false"/>
                  <v:stroke color="#3465a4" joinstyle="round" endcap="flat"/>
                  <w10:wrap type="none"/>
                </v:rect>
                <v:rect id="shape_0" path="m0,0l-2147483645,0l-2147483645,-2147483646l0,-2147483646xe" stroked="f" o:allowincell="f" style="position:absolute;left:7814;top:3905;width:2663;height:40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Klimat-movitaj ŝanĝoj observitaj,</w:t>
                        </w:r>
                      </w:p>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neniu tutmonda takso de efikdirekto</w:t>
                        </w:r>
                      </w:p>
                    </w:txbxContent>
                  </v:textbox>
                  <v:fill o:detectmouseclick="t" on="false"/>
                  <v:stroke color="#3465a4" joinstyle="round" endcap="flat"/>
                  <w10:wrap type="none"/>
                </v:rect>
                <v:rect id="shape_0" path="m0,0l-2147483645,0l-2147483645,-2147483646l0,-2147483646xe" stroked="f" o:allowincell="f" style="position:absolute;left:7814;top:3558;width:2153;height:410;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Adversaj kaj pozitivaj efikoj</w:t>
                        </w:r>
                      </w:p>
                    </w:txbxContent>
                  </v:textbox>
                  <v:fill o:detectmouseclick="t" on="false"/>
                  <v:stroke color="#3465a4" joinstyle="round" endcap="flat"/>
                  <w10:wrap type="none"/>
                </v:rect>
                <v:rect id="shape_0" path="m0,0l-2147483645,0l-2147483645,-2147483646l0,-2147483646xe" stroked="f" o:allowincell="f" style="position:absolute;left:267;top:3848;width:3478;height:336;mso-wrap-style:square;v-text-anchor:top">
                  <v:textbo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Urboj, setlejoj kaj infrastrukturoj</w:t>
                        </w:r>
                      </w:p>
                    </w:txbxContent>
                  </v:textbox>
                  <v:fill o:detectmouseclick="t" on="false"/>
                  <v:stroke color="#3465a4" joinstyle="round" endcap="flat"/>
                  <w10:wrap type="none"/>
                </v:rect>
                <v:rect id="shape_0" path="m0,0l-2147483645,0l-2147483645,-2147483646l0,-2147483646xe" stroked="f" o:allowincell="f" style="position:absolute;left:3676;top:3848;width:3270;height:321;mso-wrap-style:square;v-text-anchor:top">
                  <v:textbo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Biodiverseco kaj ekosistemoj</w:t>
                        </w:r>
                      </w:p>
                    </w:txbxContent>
                  </v:textbox>
                  <v:fill o:detectmouseclick="t" on="false"/>
                  <v:stroke color="#3465a4" joinstyle="round" endcap="flat"/>
                  <w10:wrap type="none"/>
                </v:rect>
                <v:rect id="shape_0" path="m0,0l-2147483645,0l-2147483645,-2147483646l0,-2147483646xe" stroked="f" o:allowincell="f" style="position:absolute;left:267;top:4869;width:899;height:94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Enlanda inundado kaj rilata difekto</w:t>
                        </w:r>
                      </w:p>
                    </w:txbxContent>
                  </v:textbox>
                  <v:fill o:detectmouseclick="t" on="false"/>
                  <v:stroke color="#3465a4" joinstyle="round" endcap="flat"/>
                  <w10:wrap type="none"/>
                </v:rect>
                <v:rect id="shape_0" path="m0,0l-2147483645,0l-2147483645,-2147483646l0,-2147483646xe" stroked="f" o:allowincell="f" style="position:absolute;left:1174;top:4880;width:899;height:944;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Inundo/ŝtormo induktis difekton en marbordaj regionoj</w:t>
                        </w:r>
                      </w:p>
                    </w:txbxContent>
                  </v:textbox>
                  <v:fill o:detectmouseclick="t" on="false"/>
                  <v:stroke color="#3465a4" joinstyle="round" endcap="flat"/>
                  <w10:wrap type="none"/>
                </v:rect>
                <v:rect id="shape_0" path="m0,0l-2147483645,0l-2147483645,-2147483646l0,-2147483646xe" stroked="f" o:allowincell="f" style="position:absolute;left:1887;top:4869;width:1036;height:94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Damaĝo al infrastrukturo</w:t>
                        </w:r>
                      </w:p>
                    </w:txbxContent>
                  </v:textbox>
                  <v:fill o:detectmouseclick="t" on="false"/>
                  <v:stroke color="#3465a4" joinstyle="round" endcap="flat"/>
                  <w10:wrap type="none"/>
                </v:rect>
                <v:rect id="shape_0" path="m0,0l-2147483645,0l-2147483645,-2147483646l0,-2147483646xe" stroked="f" o:allowincell="f" style="position:absolute;left:2818;top:4880;width:906;height:674;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Damaĝo al ŝlosilaj ekonomiaj sektoroj</w:t>
                        </w:r>
                      </w:p>
                    </w:txbxContent>
                  </v:textbox>
                  <v:fill o:detectmouseclick="t" on="false"/>
                  <v:stroke color="#3465a4" joinstyle="round" endcap="flat"/>
                  <w10:wrap type="none"/>
                </v:rect>
                <v:rect id="shape_0" path="m0,0l-2147483645,0l-2147483645,-2147483646l0,-2147483646xe" stroked="f" o:allowincell="f" style="position:absolute;left:3789;top:4867;width:955;height:40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Teraj ekosistemoj</w:t>
                        </w:r>
                      </w:p>
                    </w:txbxContent>
                  </v:textbox>
                  <v:fill o:detectmouseclick="t" on="false"/>
                  <v:stroke color="#3465a4" joinstyle="round" endcap="flat"/>
                  <w10:wrap type="none"/>
                </v:rect>
                <v:rect id="shape_0" path="m0,0l-2147483645,0l-2147483645,-2147483646l0,-2147483646xe" stroked="f" o:allowincell="f" style="position:absolute;left:4753;top:4853;width:955;height:404;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Dolĉakvaj ekosistemoj</w:t>
                        </w:r>
                      </w:p>
                    </w:txbxContent>
                  </v:textbox>
                  <v:fill o:detectmouseclick="t" on="false"/>
                  <v:stroke color="#3465a4" joinstyle="round" endcap="flat"/>
                  <w10:wrap type="none"/>
                </v:rect>
                <v:rect id="shape_0" path="m0,0l-2147483645,0l-2147483645,-2147483646l0,-2147483646xe" stroked="f" o:allowincell="f" style="position:absolute;left:3789;top:4867;width:955;height:404;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Teraj ekosistemoj</w:t>
                        </w:r>
                      </w:p>
                    </w:txbxContent>
                  </v:textbox>
                  <v:fill o:detectmouseclick="t" on="false"/>
                  <v:stroke color="#3465a4" joinstyle="round" endcap="flat"/>
                  <w10:wrap type="none"/>
                </v:rect>
                <v:rect id="shape_0" path="m0,0l-2147483645,0l-2147483645,-2147483646l0,-2147483646xe" stroked="f" o:allowincell="f" style="position:absolute;left:5603;top:4869;width:955;height:40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Oceanaj ekosistemoj</w:t>
                        </w:r>
                      </w:p>
                    </w:txbxContent>
                  </v:textbox>
                  <v:fill o:detectmouseclick="t" on="false"/>
                  <v:stroke color="#3465a4" joinstyle="round" endcap="flat"/>
                  <w10:wrap type="none"/>
                </v:rect>
                <v:rect id="shape_0" path="m0,0l-2147483645,0l-2147483645,-2147483646l0,-2147483646xe" stroked="f" o:allowincell="f" style="position:absolute;left:3902;top:5209;width:2713;height:40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Inkludas ŝanĝojn en ekosistemstrukturo, speciogamoj kaj laŭsezona ritmo</w:t>
                        </w:r>
                      </w:p>
                    </w:txbxContent>
                  </v:textbox>
                  <v:fill o:detectmouseclick="t" on="false"/>
                  <v:stroke color="#3465a4" joinstyle="round" endcap="flat"/>
                  <w10:wrap type="none"/>
                </v:rect>
                <v:rect id="shape_0" path="m0,0l-2147483645,0l-2147483645,-2147483646l0,-2147483646xe" stroked="f" o:allowincell="f" style="position:absolute;left:267;top:6229;width:6632;height:538;mso-wrap-style:square;v-text-anchor:top">
                  <v:textbo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b) Efikoj estas pelitaj de ŝanĝoj en multobla fizika klimato</w:t>
                        </w:r>
                      </w:p>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kondiĉoj, kiuj estas ĉiam pli atribuitaj al homa influo</w:t>
                        </w:r>
                      </w:p>
                    </w:txbxContent>
                  </v:textbox>
                  <v:fill o:detectmouseclick="t" on="false"/>
                  <v:stroke color="#3465a4" joinstyle="round" endcap="flat"/>
                  <w10:wrap type="none"/>
                </v:rect>
                <v:rect id="shape_0" path="m0,0l-2147483645,0l-2147483645,-2147483646l0,-2147483646xe" stroked="f" o:allowincell="f" style="position:absolute;left:324;top:6724;width:4023;height:26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Atribuo de observitaj fizikaj klimataj ŝanĝoj al homa influo:</w:t>
                        </w:r>
                      </w:p>
                    </w:txbxContent>
                  </v:textbox>
                  <v:fill o:detectmouseclick="t" on="false"/>
                  <v:stroke color="#3465a4" joinstyle="round" endcap="flat"/>
                  <w10:wrap type="none"/>
                </v:rect>
                <v:rect id="shape_0" path="m0,0l-2147483645,0l-2147483645,-2147483646l0,-2147483646xe" stroked="f" o:allowincell="f" style="position:absolute;left:324;top:6909;width:1352;height:269;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meza konfido</w:t>
                        </w:r>
                      </w:p>
                    </w:txbxContent>
                  </v:textbox>
                  <v:fill o:detectmouseclick="t" on="false"/>
                  <v:stroke color="#3465a4" joinstyle="round" endcap="flat"/>
                  <w10:wrap type="none"/>
                </v:rect>
                <v:rect id="shape_0" path="m0,0l-2147483645,0l-2147483645,-2147483646l0,-2147483646xe" stroked="f" o:allowincell="f" style="position:absolute;left:2875;top:6966;width:1359;height:269;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Verŝajne</w:t>
                        </w:r>
                      </w:p>
                    </w:txbxContent>
                  </v:textbox>
                  <v:fill o:detectmouseclick="t" on="false"/>
                  <v:stroke color="#3465a4" joinstyle="round" endcap="flat"/>
                  <w10:wrap type="none"/>
                </v:rect>
                <v:rect id="shape_0" path="m0,0l-2147483645,0l-2147483645,-2147483646l0,-2147483646xe" stroked="f" o:allowincell="f" style="position:absolute;left:4016;top:6909;width:1352;height:269;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Tre verŝajna</w:t>
                        </w:r>
                      </w:p>
                    </w:txbxContent>
                  </v:textbox>
                  <v:fill o:detectmouseclick="t" on="false"/>
                  <v:stroke color="#3465a4" joinstyle="round" endcap="flat"/>
                  <w10:wrap type="none"/>
                </v:rect>
                <v:rect id="shape_0" path="m0,0l-2147483645,0l-2147483645,-2147483646l0,-2147483646xe" stroked="f" o:allowincell="f" style="position:absolute;left:2875;top:6967;width:1359;height:268;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Verŝajne</w:t>
                        </w:r>
                      </w:p>
                    </w:txbxContent>
                  </v:textbox>
                  <v:fill o:detectmouseclick="t" on="false"/>
                  <v:stroke color="#3465a4" joinstyle="round" endcap="flat"/>
                  <w10:wrap type="none"/>
                </v:rect>
                <v:rect id="shape_0" path="m0,0l-2147483645,0l-2147483645,-2147483646l0,-2147483646xe" stroked="f" o:allowincell="f" style="position:absolute;left:5660;top:6859;width:1352;height:269;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Preskaŭ certa</w:t>
                        </w:r>
                      </w:p>
                    </w:txbxContent>
                  </v:textbox>
                  <v:fill o:detectmouseclick="t" on="false"/>
                  <v:stroke color="#3465a4" joinstyle="round" endcap="flat"/>
                  <w10:wrap type="none"/>
                </v:rect>
                <v:rect id="shape_0" path="m0,0l-2147483645,0l-2147483645,-2147483646l0,-2147483646xe" stroked="f" o:allowincell="f" style="position:absolute;left:494;top:7772;width:898;height:94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de agrikultura kaj ekologia sekeco</w:t>
                        </w:r>
                      </w:p>
                    </w:txbxContent>
                  </v:textbox>
                  <v:fill o:detectmouseclick="t" on="false"/>
                  <v:stroke color="#3465a4" joinstyle="round" endcap="flat"/>
                  <w10:wrap type="none"/>
                </v:rect>
                <v:rect id="shape_0" path="m0,0l-2147483645,0l-2147483645,-2147483646l0,-2147483646xe" stroked="f" o:allowincell="f" style="position:absolute;left:1288;top:7760;width:898;height:94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de fajrovetero</w:t>
                        </w:r>
                      </w:p>
                    </w:txbxContent>
                  </v:textbox>
                  <v:fill o:detectmouseclick="t" on="false"/>
                  <v:stroke color="#3465a4" joinstyle="round" endcap="flat"/>
                  <w10:wrap type="none"/>
                </v:rect>
                <v:rect id="shape_0" path="m0,0l-2147483645,0l-2147483645,-2147483646l0,-2147483646xe" stroked="f" o:allowincell="f" style="position:absolute;left:2138;top:7760;width:906;height:538;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en kunmetita inundo</w:t>
                        </w:r>
                      </w:p>
                    </w:txbxContent>
                  </v:textbox>
                  <v:fill o:detectmouseclick="t" on="false"/>
                  <v:stroke color="#3465a4" joinstyle="round" endcap="flat"/>
                  <w10:wrap type="none"/>
                </v:rect>
                <v:rect id="shape_0" path="m0,0l-2147483645,0l-2147483645,-2147483646l0,-2147483646xe" stroked="f" o:allowincell="f" style="position:absolute;left:2932;top:7772;width:1019;height:94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de forta precipitaĵo</w:t>
                        </w:r>
                      </w:p>
                    </w:txbxContent>
                  </v:textbox>
                  <v:fill o:detectmouseclick="t" on="false"/>
                  <v:stroke color="#3465a4" joinstyle="round" endcap="flat"/>
                  <w10:wrap type="none"/>
                </v:rect>
                <v:rect id="shape_0" path="m0,0l-2147483645,0l-2147483645,-2147483646l0,-2147483646xe" stroked="f" o:allowincell="f" style="position:absolute;left:3781;top:7772;width:793;height:40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Retiriĝo de glaĉero</w:t>
                        </w:r>
                      </w:p>
                    </w:txbxContent>
                  </v:textbox>
                  <v:fill o:detectmouseclick="t" on="false"/>
                  <v:stroke color="#3465a4" joinstyle="round" endcap="flat"/>
                  <w10:wrap type="none"/>
                </v:rect>
                <v:rect id="shape_0" path="m0,0l-2147483645,0l-2147483645,-2147483646l0,-2147483646xe" stroked="f" o:allowincell="f" style="position:absolute;left:4447;top:7817;width:888;height:67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Tutmonda altiĝo de la marnivelo</w:t>
                        </w:r>
                      </w:p>
                    </w:txbxContent>
                  </v:textbox>
                  <v:fill o:detectmouseclick="t" on="false"/>
                  <v:stroke color="#3465a4" joinstyle="round" endcap="flat"/>
                  <w10:wrap type="none"/>
                </v:rect>
                <v:rect id="shape_0" path="m0,0l-2147483645,0l-2147483645,-2147483646l0,-2147483646xe" stroked="f" o:allowincell="f" style="position:absolute;left:5338;top:7815;width:824;height:673;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Supra oceana acidiĝo</w:t>
                        </w:r>
                      </w:p>
                    </w:txbxContent>
                  </v:textbox>
                  <v:fill o:detectmouseclick="t" on="false"/>
                  <v:stroke color="#3465a4" joinstyle="round" endcap="flat"/>
                  <w10:wrap type="none"/>
                </v:rect>
                <v:rect id="shape_0" path="m0,0l-2147483645,0l-2147483645,-2147483646l0,-2147483646xe" stroked="f" o:allowincell="f" style="position:absolute;left:6227;top:7873;width:829;height:674;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Pliiĝo en varmaj ekstremoj</w:t>
                        </w:r>
                      </w:p>
                    </w:txbxContent>
                  </v:textbox>
                  <v:fill o:detectmouseclick="t" on="false"/>
                  <v:stroke color="#3465a4" joinstyle="round" endcap="flat"/>
                  <w10:wrap type="none"/>
                </v:rect>
                <v:rect id="shape_0" path="m0,0l-2147483645,0l-2147483645,-2147483646l0,-2147483646xe" stroked="f" o:allowincell="f" style="position:absolute;left:324;top:8780;width:7595;height:615;mso-wrap-style:square;v-text-anchor:top">
                  <v:textbox>
                    <w:txbxContent>
                      <w:p>
                        <w:pPr>
                          <w:overflowPunct w:val="false"/>
                          <w:spacing w:before="0" w:after="0" w:lineRule="auto" w:line="240"/>
                          <w:ind w:hanging="0"/>
                          <w:jc w:val="left"/>
                          <w:rPr/>
                        </w:pPr>
                        <w:r>
                          <w:rPr>
                            <w:sz w:val="18"/>
                            <w:b/>
                            <w:u w:val="none"/>
                            <w:dstrike w:val="false"/>
                            <w:strike w:val="false"/>
                            <w:i w:val="false"/>
                            <w:vertAlign w:val="baseline"/>
                            <w:position w:val="0"/>
                            <w:spacing w:val="0"/>
                            <w:szCs w:val="18"/>
                            <w:bCs/>
                            <w:iCs w:val="false"/>
                            <w:smallCaps w:val="false"/>
                            <w:caps w:val="false"/>
                            <w:rFonts w:ascii="Arial" w:hAnsi="Arial" w:eastAsia="Microsoft YaHei" w:cs="Lucida Sans"/>
                            <w:color w:val="00000A"/>
                            <w:lang w:val="eo"/>
                          </w:rPr>
                          <w:t>c) Kiom nunaj kaj estontaj generacioj spertos pli varman kaj malsaman mondon dependas de elektoj nun kaj baldaŭ.</w:t>
                        </w:r>
                      </w:p>
                    </w:txbxContent>
                  </v:textbox>
                  <v:fill o:detectmouseclick="t" on="false"/>
                  <v:stroke color="#3465a4" joinstyle="round" endcap="flat"/>
                  <w10:wrap type="none"/>
                </v:rect>
                <v:rect id="shape_0" path="m0,0l-2147483645,0l-2147483645,-2147483646l0,-2147483646xe" stroked="f" o:allowincell="f" style="position:absolute;left:4413;top:9801;width:1522;height:538;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2011-2020 estis ĉirkaŭ 1.1 °C pli varma ol 1850-1900</w:t>
                        </w:r>
                      </w:p>
                    </w:txbxContent>
                  </v:textbox>
                  <v:fill o:detectmouseclick="t" on="false"/>
                  <v:stroke color="#3465a4" joinstyle="round" endcap="flat"/>
                  <w10:wrap type="none"/>
                </v:rect>
                <v:rect id="shape_0" path="m0,0l-2147483645,0l-2147483645,-2147483646l0,-2147483646xe" stroked="f" o:allowincell="f" style="position:absolute;left:6397;top:10084;width:1522;height:425;mso-wrap-style:square;v-text-anchor:top">
                  <v:textbo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Estontaj emisioscenaroj:</w:t>
                        </w:r>
                      </w:p>
                    </w:txbxContent>
                  </v:textbox>
                  <v:fill o:detectmouseclick="t" on="false"/>
                  <v:stroke color="#3465a4" joinstyle="round" endcap="flat"/>
                  <w10:wrap type="none"/>
                </v:rect>
                <v:rect id="shape_0" path="m0,0l-2147483645,0l-2147483645,-2147483646l0,-2147483646xe" stroked="f" o:allowincell="f" style="position:absolute;left:6397;top:10594;width:1182;height:26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Tre alta</w:t>
                        </w:r>
                      </w:p>
                    </w:txbxContent>
                  </v:textbox>
                  <v:fill o:detectmouseclick="t" on="false"/>
                  <v:stroke color="#3465a4" joinstyle="round" endcap="flat"/>
                  <w10:wrap type="none"/>
                </v:rect>
                <v:rect id="shape_0" path="m0,0l-2147483645,0l-2147483645,-2147483646l0,-2147483646xe" stroked="f" o:allowincell="f" style="position:absolute;left:6397;top:11855;width:1182;height:26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tre malalta</w:t>
                        </w:r>
                      </w:p>
                    </w:txbxContent>
                  </v:textbox>
                  <v:fill o:detectmouseclick="t" on="false"/>
                  <v:stroke color="#3465a4" joinstyle="round" endcap="flat"/>
                  <w10:wrap type="none"/>
                </v:rect>
                <v:rect id="shape_0" path="m0,0l-2147483645,0l-2147483645,-2147483646l0,-2147483646xe" stroked="f" o:allowincell="f" style="position:absolute;left:6397;top:11515;width:1182;height:268;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malalta</w:t>
                        </w:r>
                      </w:p>
                    </w:txbxContent>
                  </v:textbox>
                  <v:fill o:detectmouseclick="t" on="false"/>
                  <v:stroke color="#3465a4" joinstyle="round" endcap="flat"/>
                  <w10:wrap type="none"/>
                </v:rect>
                <v:rect id="shape_0" path="m0,0l-2147483645,0l-2147483645,-2147483646l0,-2147483646xe" stroked="f" o:allowincell="f" style="position:absolute;left:6397;top:11231;width:1182;height:26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meza</w:t>
                        </w:r>
                      </w:p>
                    </w:txbxContent>
                  </v:textbox>
                  <v:fill o:detectmouseclick="t" on="false"/>
                  <v:stroke color="#3465a4" joinstyle="round" endcap="flat"/>
                  <w10:wrap type="none"/>
                </v:rect>
                <v:rect id="shape_0" path="m0,0l-2147483645,0l-2147483645,-2147483646l0,-2147483646xe" stroked="f" o:allowincell="f" style="position:absolute;left:6397;top:10935;width:1182;height:275;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FFFFFF"/>
                            <w:lang w:val="eo"/>
                          </w:rPr>
                          <w:t>alta</w:t>
                        </w:r>
                      </w:p>
                    </w:txbxContent>
                  </v:textbox>
                  <v:fill o:detectmouseclick="t" on="false"/>
                  <v:stroke color="#3465a4" joinstyle="round" endcap="flat"/>
                  <w10:wrap type="none"/>
                </v:rect>
                <v:rect id="shape_0" path="m0,0l-2147483645,0l-2147483645,-2147483646l0,-2147483646xe" stroked="f" o:allowincell="f" style="position:absolute;left:7814;top:4982;width:1855;height:269;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Alta aŭ tre alta konfido</w:t>
                        </w:r>
                      </w:p>
                    </w:txbxContent>
                  </v:textbox>
                  <v:fill o:detectmouseclick="t" on="false"/>
                  <v:stroke color="#3465a4" joinstyle="round" endcap="flat"/>
                  <w10:wrap type="none"/>
                </v:rect>
                <v:rect id="shape_0" path="m0,0l-2147483645,0l-2147483645,-2147483646l0,-2147483646xe" stroked="f" o:allowincell="f" style="position:absolute;left:7814;top:5209;width:1855;height:268;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Meza konfido</w:t>
                        </w:r>
                      </w:p>
                    </w:txbxContent>
                  </v:textbox>
                  <v:fill o:detectmouseclick="t" on="false"/>
                  <v:stroke color="#3465a4" joinstyle="round" endcap="flat"/>
                  <w10:wrap type="none"/>
                </v:rect>
                <v:rect id="shape_0" path="m0,0l-2147483645,0l-2147483645,-2147483646l0,-2147483646xe" stroked="f" o:allowincell="f" style="position:absolute;left:7772;top:5379;width:1855;height:268;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Malalta konfido</w:t>
                        </w:r>
                      </w:p>
                    </w:txbxContent>
                  </v:textbox>
                  <v:fill o:detectmouseclick="t" on="false"/>
                  <v:stroke color="#3465a4" joinstyle="round" endcap="flat"/>
                  <w10:wrap type="none"/>
                </v:rect>
                <v:rect id="shape_0" path="m0,0l-2147483645,0l-2147483645,-2147483646l0,-2147483646xe" stroked="f" o:allowincell="f" style="position:absolute;left:7432;top:4528;width:2535;height:538;mso-wrap-style:square;v-text-anchor:top">
                  <v:textbox>
                    <w:txbxContent>
                      <w:p>
                        <w:pPr>
                          <w:overflowPunct w:val="false"/>
                          <w:spacing w:before="0"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ascii="Arial" w:hAnsi="Arial" w:eastAsia="Microsoft YaHei" w:cs="Lucida Sans"/>
                            <w:color w:val="00000A"/>
                            <w:lang w:val="eo"/>
                          </w:rPr>
                          <w:t>Konfido je atribuo</w:t>
                        </w:r>
                      </w:p>
                      <w:p>
                        <w:pPr>
                          <w:overflowPunct w:val="false"/>
                          <w:spacing w:before="0" w:after="0" w:lineRule="auto" w:line="240"/>
                          <w:ind w:hanging="0"/>
                          <w:jc w:val="left"/>
                          <w:rPr/>
                        </w:pPr>
                        <w:r>
                          <w:rPr>
                            <w:sz w:val="18"/>
                            <w:b w:val="false"/>
                            <w:u w:val="none"/>
                            <w:dstrike w:val="false"/>
                            <w:strike w:val="false"/>
                            <w:i w:val="false"/>
                            <w:vertAlign w:val="baseline"/>
                            <w:position w:val="0"/>
                            <w:spacing w:val="0"/>
                            <w:szCs w:val="18"/>
                            <w:bCs w:val="false"/>
                            <w:iCs w:val="false"/>
                            <w:smallCaps w:val="false"/>
                            <w:caps w:val="false"/>
                            <w:rFonts w:ascii="Arial" w:hAnsi="Arial" w:eastAsia="Microsoft YaHei" w:cs="Lucida Sans"/>
                            <w:color w:val="00000A"/>
                            <w:lang w:val="eo"/>
                          </w:rPr>
                          <w:t>al klimata ŝanĝo</w:t>
                        </w:r>
                      </w:p>
                    </w:txbxContent>
                  </v:textbox>
                  <v:fill o:detectmouseclick="t" on="false"/>
                  <v:stroke color="#3465a4" joinstyle="round" endcap="flat"/>
                  <w10:wrap type="none"/>
                </v:rect>
                <v:rect id="shape_0" path="m0,0l-2147483645,0l-2147483645,-2147483646l0,-2147483646xe" stroked="f" o:allowincell="f" style="position:absolute;left:7942;top:9744;width:2195;height:445;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estontaj spertoj dependas de kiel ni traktas klimatan ŝanĝon</w:t>
                        </w:r>
                      </w:p>
                    </w:txbxContent>
                  </v:textbox>
                  <v:fill o:detectmouseclick="t" on="false"/>
                  <v:stroke color="#3465a4" joinstyle="round" endcap="flat"/>
                  <w10:wrap type="none"/>
                </v:rect>
                <v:rect id="shape_0" path="m0,0l-2147483645,0l-2147483645,-2147483646l0,-2147483646xe" stroked="f" o:allowincell="f" style="position:absolute;left:10372;top:10876;width:842;height:681;mso-wrap-style:square;v-text-anchor:top">
                  <v:textbox>
                    <w:txbxContent>
                      <w:p>
                        <w:pPr>
                          <w:overflowPunct w:val="false"/>
                          <w:spacing w:before="0" w:after="0" w:lineRule="auto" w:line="240"/>
                          <w:ind w:hanging="0"/>
                          <w:jc w:val="left"/>
                          <w:rPr/>
                        </w:pPr>
                        <w:r>
                          <w:rPr>
                            <w:sz w:val="12"/>
                            <w:b w:val="false"/>
                            <w:u w:val="none"/>
                            <w:dstrike w:val="false"/>
                            <w:strike w:val="false"/>
                            <w:i/>
                            <w:vertAlign w:val="baseline"/>
                            <w:position w:val="0"/>
                            <w:spacing w:val="0"/>
                            <w:szCs w:val="12"/>
                            <w:bCs w:val="false"/>
                            <w:iCs/>
                            <w:smallCaps w:val="false"/>
                            <w:caps w:val="false"/>
                            <w:rFonts w:ascii="Arial" w:hAnsi="Arial" w:eastAsia="Microsoft YaHei" w:cs="Lucida Sans"/>
                            <w:color w:val="00000A"/>
                            <w:lang w:val="eo"/>
                          </w:rPr>
                          <w:t>varmiĝo daŭras preter 2100</w:t>
                        </w:r>
                      </w:p>
                    </w:txbxContent>
                  </v:textbox>
                  <v:fill o:detectmouseclick="t" on="false"/>
                  <v:stroke color="#3465a4" joinstyle="round" endcap="flat"/>
                  <w10:wrap type="none"/>
                </v:rect>
                <v:rect id="shape_0" path="m0,0l-2147483645,0l-2147483645,-2147483646l0,-2147483646xe" stroked="f" o:allowincell="f" style="position:absolute;left:9806;top:12359;width:841;height:672;mso-wrap-style:square;v-text-anchor:top">
                  <v:textbo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70 jarojn aĝa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2090</w:t>
                        </w:r>
                      </w:p>
                    </w:txbxContent>
                  </v:textbox>
                  <v:fill o:detectmouseclick="t" on="false"/>
                  <v:stroke color="#3465a4" joinstyle="round" endcap="flat"/>
                  <w10:wrap type="none"/>
                </v:rect>
                <v:rect id="shape_0" path="m0,0l-2147483645,0l-2147483645,-2147483646l0,-2147483646xe" stroked="f" o:allowincell="f" style="position:absolute;left:7871;top:13266;width:849;height:672;mso-wrap-style:square;v-text-anchor:top">
                  <v:textbo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70 jarojn aĝa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2050</w:t>
                        </w:r>
                      </w:p>
                    </w:txbxContent>
                  </v:textbox>
                  <v:fill o:detectmouseclick="t" on="false"/>
                  <v:stroke color="#3465a4" joinstyle="round" endcap="flat"/>
                  <w10:wrap type="none"/>
                </v:rect>
                <v:rect id="shape_0" path="m0,0l-2147483645,0l-2147483645,-2147483646l0,-2147483646xe" stroked="f" o:allowincell="f" style="position:absolute;left:6454;top:14003;width:841;height:672;mso-wrap-style:square;v-text-anchor:top">
                  <v:textbo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70 jarojn aĝa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2020</w:t>
                        </w:r>
                      </w:p>
                    </w:txbxContent>
                  </v:textbox>
                  <v:fill o:detectmouseclick="t" on="false"/>
                  <v:stroke color="#3465a4" joinstyle="round" endcap="flat"/>
                  <w10:wrap type="none"/>
                </v:rect>
                <v:rect id="shape_0" path="m0,0l-2147483645,0l-2147483645,-2147483646l0,-2147483646xe" stroked="f" o:allowincell="f" style="position:absolute;left:2365;top:14173;width:849;height:502;mso-wrap-style:square;v-text-anchor:top">
                  <v:textbo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naskita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1950</w:t>
                        </w:r>
                      </w:p>
                    </w:txbxContent>
                  </v:textbox>
                  <v:fill o:detectmouseclick="t" on="false"/>
                  <v:stroke color="#3465a4" joinstyle="round" endcap="flat"/>
                  <w10:wrap type="none"/>
                </v:rect>
                <v:rect id="shape_0" path="m0,0l-2147483645,0l-2147483645,-2147483646l0,-2147483646xe" stroked="f" o:allowincell="f" style="position:absolute;left:3506;top:13379;width:841;height:502;mso-wrap-style:square;v-text-anchor:top">
                  <v:textbo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naskita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1980</w:t>
                        </w:r>
                      </w:p>
                    </w:txbxContent>
                  </v:textbox>
                  <v:fill o:detectmouseclick="t" on="false"/>
                  <v:stroke color="#3465a4" joinstyle="round" endcap="flat"/>
                  <w10:wrap type="none"/>
                </v:rect>
                <v:rect id="shape_0" path="m0,0l-2147483645,0l-2147483645,-2147483646l0,-2147483646xe" stroked="f" o:allowincell="f" style="position:absolute;left:5376;top:12699;width:842;height:502;mso-wrap-style:square;v-text-anchor:top">
                  <v:textbox>
                    <w:txbxContent>
                      <w:p>
                        <w:pPr>
                          <w:overflowPunct w:val="false"/>
                          <w:spacing w:before="0" w:after="0" w:lineRule="auto" w:line="240"/>
                          <w:ind w:hanging="0"/>
                          <w:jc w:val="left"/>
                          <w:rPr/>
                        </w:pPr>
                        <w:r>
                          <w:rPr>
                            <w:sz w:val="12"/>
                            <w:b/>
                            <w:u w:val="none"/>
                            <w:dstrike w:val="false"/>
                            <w:strike w:val="false"/>
                            <w:i w:val="false"/>
                            <w:vertAlign w:val="baseline"/>
                            <w:position w:val="0"/>
                            <w:spacing w:val="0"/>
                            <w:szCs w:val="12"/>
                            <w:bCs/>
                            <w:iCs w:val="false"/>
                            <w:smallCaps w:val="false"/>
                            <w:caps w:val="false"/>
                            <w:rFonts w:ascii="Arial" w:hAnsi="Arial" w:eastAsia="Microsoft YaHei" w:cs="Lucida Sans"/>
                            <w:color w:val="00000A"/>
                            <w:lang w:val="eo"/>
                          </w:rPr>
                          <w:t xml:space="preserve">naskita </w:t>
                        </w:r>
                        <w:r>
                          <w:rPr>
                            <w:sz w:val="12"/>
                            <w:u w:val="none"/>
                            <w:dstrike w:val="false"/>
                            <w:strike w:val="false"/>
                            <w:i w:val="false"/>
                            <w:vertAlign w:val="baseline"/>
                            <w:position w:val="0"/>
                            <w:spacing w:val="0"/>
                            <w:szCs w:val="12"/>
                            <w:iCs w:val="false"/>
                            <w:smallCaps w:val="false"/>
                            <w:caps w:val="false"/>
                            <w:b w:val="false"/>
                            <w:bCs w:val="false"/>
                            <w:rFonts w:ascii="Arial" w:hAnsi="Arial" w:eastAsia="Microsoft YaHei" w:cs="Lucida Sans"/>
                            <w:color w:val="00000A"/>
                            <w:lang w:val="eo"/>
                          </w:rPr>
                          <w:t>en 2020</w:t>
                        </w:r>
                      </w:p>
                    </w:txbxContent>
                  </v:textbox>
                  <v:fill o:detectmouseclick="t" on="false"/>
                  <v:stroke color="#3465a4" joinstyle="round" endcap="flat"/>
                  <w10:wrap type="none"/>
                </v:rect>
                <v:rect id="shape_0" path="m0,0l-2147483645,0l-2147483645,-2147483646l0,-2147483646xe" stroked="f" o:allowincell="f" style="position:absolute;left:917;top:12276;width:3230;height:26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Tutmonda temperaturo ŝanĝiĝas super 1850-1900 niveloj</w:t>
                        </w:r>
                      </w:p>
                    </w:txbxContent>
                  </v:textbox>
                  <v:fill o:detectmouseclick="t" on="false"/>
                  <v:stroke color="#3465a4" joinstyle="round" endcap="flat"/>
                  <w10:wrap type="none"/>
                </v:rect>
              </v:group>
            </w:pict>
          </mc:Fallback>
        </mc:AlternateContent>
      </w:r>
    </w:p>
    <w:p>
      <w:pPr>
        <w:pStyle w:val="ParagrapheBlancPetit"/>
        <w:rPr/>
      </w:pPr>
      <w:r>
        <mc:AlternateContent>
          <mc:Choice Requires="wps">
            <w:drawing>
              <wp:anchor behindDoc="1" distT="6350" distB="6350" distL="6350" distR="6350" simplePos="0" locked="0" layoutInCell="0" allowOverlap="1" relativeHeight="4">
                <wp:simplePos x="0" y="0"/>
                <wp:positionH relativeFrom="page">
                  <wp:posOffset>7139940</wp:posOffset>
                </wp:positionH>
                <wp:positionV relativeFrom="paragraph">
                  <wp:posOffset>140970</wp:posOffset>
                </wp:positionV>
                <wp:extent cx="13335" cy="13335"/>
                <wp:effectExtent l="0" t="0" r="0" b="0"/>
                <wp:wrapNone/>
                <wp:docPr id="25" name="Freeform 308"/>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5">
                <wp:simplePos x="0" y="0"/>
                <wp:positionH relativeFrom="page">
                  <wp:posOffset>684530</wp:posOffset>
                </wp:positionH>
                <wp:positionV relativeFrom="paragraph">
                  <wp:posOffset>66675</wp:posOffset>
                </wp:positionV>
                <wp:extent cx="19050" cy="19050"/>
                <wp:effectExtent l="0" t="0" r="0" b="0"/>
                <wp:wrapNone/>
                <wp:docPr id="26" name="Freeform 259"/>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6">
                <wp:simplePos x="0" y="0"/>
                <wp:positionH relativeFrom="page">
                  <wp:posOffset>684530</wp:posOffset>
                </wp:positionH>
                <wp:positionV relativeFrom="paragraph">
                  <wp:posOffset>66675</wp:posOffset>
                </wp:positionV>
                <wp:extent cx="19050" cy="19050"/>
                <wp:effectExtent l="0" t="0" r="0" b="0"/>
                <wp:wrapNone/>
                <wp:docPr id="27" name="Freeform 260"/>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7">
                <wp:simplePos x="0" y="0"/>
                <wp:positionH relativeFrom="page">
                  <wp:posOffset>7139940</wp:posOffset>
                </wp:positionH>
                <wp:positionV relativeFrom="paragraph">
                  <wp:posOffset>158115</wp:posOffset>
                </wp:positionV>
                <wp:extent cx="13335" cy="13335"/>
                <wp:effectExtent l="0" t="0" r="0" b="0"/>
                <wp:wrapNone/>
                <wp:docPr id="28" name="Freeform 306"/>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8">
                <wp:simplePos x="0" y="0"/>
                <wp:positionH relativeFrom="page">
                  <wp:posOffset>7139940</wp:posOffset>
                </wp:positionH>
                <wp:positionV relativeFrom="paragraph">
                  <wp:posOffset>-9525</wp:posOffset>
                </wp:positionV>
                <wp:extent cx="13335" cy="13335"/>
                <wp:effectExtent l="0" t="0" r="0" b="0"/>
                <wp:wrapNone/>
                <wp:docPr id="29" name="Freeform 305"/>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9">
                <wp:simplePos x="0" y="0"/>
                <wp:positionH relativeFrom="page">
                  <wp:posOffset>7139940</wp:posOffset>
                </wp:positionH>
                <wp:positionV relativeFrom="paragraph">
                  <wp:posOffset>-175895</wp:posOffset>
                </wp:positionV>
                <wp:extent cx="13335" cy="13335"/>
                <wp:effectExtent l="0" t="0" r="0" b="0"/>
                <wp:wrapNone/>
                <wp:docPr id="30" name="Freeform 304"/>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0">
                <wp:simplePos x="0" y="0"/>
                <wp:positionH relativeFrom="page">
                  <wp:posOffset>7139940</wp:posOffset>
                </wp:positionH>
                <wp:positionV relativeFrom="paragraph">
                  <wp:posOffset>-175895</wp:posOffset>
                </wp:positionV>
                <wp:extent cx="13335" cy="13335"/>
                <wp:effectExtent l="0" t="0" r="0" b="0"/>
                <wp:wrapNone/>
                <wp:docPr id="31" name="Freeform 303"/>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28">
                <wp:simplePos x="0" y="0"/>
                <wp:positionH relativeFrom="page">
                  <wp:posOffset>7139940</wp:posOffset>
                </wp:positionH>
                <wp:positionV relativeFrom="paragraph">
                  <wp:posOffset>148590</wp:posOffset>
                </wp:positionV>
                <wp:extent cx="13335" cy="13335"/>
                <wp:effectExtent l="0" t="0" r="0" b="0"/>
                <wp:wrapNone/>
                <wp:docPr id="32" name="Freeform 30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48">
                <wp:simplePos x="0" y="0"/>
                <wp:positionH relativeFrom="page">
                  <wp:posOffset>6800215</wp:posOffset>
                </wp:positionH>
                <wp:positionV relativeFrom="paragraph">
                  <wp:posOffset>66675</wp:posOffset>
                </wp:positionV>
                <wp:extent cx="19050" cy="19050"/>
                <wp:effectExtent l="0" t="0" r="0" b="0"/>
                <wp:wrapNone/>
                <wp:docPr id="33" name="Freeform 261"/>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49">
                <wp:simplePos x="0" y="0"/>
                <wp:positionH relativeFrom="page">
                  <wp:posOffset>6800215</wp:posOffset>
                </wp:positionH>
                <wp:positionV relativeFrom="paragraph">
                  <wp:posOffset>66675</wp:posOffset>
                </wp:positionV>
                <wp:extent cx="19050" cy="19050"/>
                <wp:effectExtent l="0" t="0" r="0" b="0"/>
                <wp:wrapNone/>
                <wp:docPr id="34" name="Freeform 262"/>
                <a:graphic xmlns:a="http://schemas.openxmlformats.org/drawingml/2006/main">
                  <a:graphicData uri="http://schemas.microsoft.com/office/word/2010/wordprocessingShape">
                    <wps:wsp>
                      <wps:cNvSpPr/>
                      <wps:spPr>
                        <a:xfrm>
                          <a:off x="0" y="0"/>
                          <a:ext cx="18360" cy="18360"/>
                        </a:xfrm>
                        <a:custGeom>
                          <a:avLst/>
                          <a:gdLst/>
                          <a:ahLst/>
                          <a:rect l="l" t="t" r="r" b="b"/>
                          <a:pathLst>
                            <a:path w="12065" h="12065">
                              <a:moveTo>
                                <a:pt x="0" y="12065"/>
                              </a:moveTo>
                              <a:lnTo>
                                <a:pt x="12065" y="12065"/>
                              </a:lnTo>
                              <a:lnTo>
                                <a:pt x="12065" y="0"/>
                              </a:lnTo>
                              <a:lnTo>
                                <a:pt x="0" y="0"/>
                              </a:lnTo>
                              <a:lnTo>
                                <a:pt x="0" y="12065"/>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 xml:space="preserve">Figuro SPM.1: (a) </w:t>
      </w:r>
      <w:r>
        <w:rPr/>
        <w:t xml:space="preserve">Klimata ŝanĝo jam kaŭzis vastajn efikojn kaj rilatajn perdojn kaj damaĝojn sur homaj sistemoj kaj ŝanĝis terajn, dolĉakvajn kaj oceanajn ekosistemojn tutmonde. Fizika akvohavebleco inkludas ekvilibron de akvo havebla de diversaj fontoj inkluzive de subtera akvo, akvokvalito kaj postulo je akvo. Tutmondaj taksoj pri menshigieno kaj delokiĝo reflektas nur taksitajn regionojn. Konfidoniveloj reflektas la takson de atribuo de la observita efiko al klimata ŝanĝo. </w:t>
      </w:r>
      <w:r>
        <w:rPr>
          <w:rStyle w:val="StyleGras"/>
        </w:rPr>
        <w:t xml:space="preserve">(b) </w:t>
      </w:r>
      <w:r>
        <w:rPr/>
        <w:t>Observitaj efikoj estas ligitaj al fizikaj klimataj ŝanĝoj inkluzive de multaj kiuj estis atribuitaj al homa influo kiel ekzemple la elektitaj klimataj efikmotoroj montritaj. Fido- kaj verŝajnecniveloj reflektas la takson de atribuo de la observita klimata efikmotoro al homa influo. (c) Observataj (1900–2020) kaj projekciitaj (2021–2100) ŝanĝoj en tutmonda surfactemperaturo (rilate al 1850–1900), kiuj estas ligitaj al ŝanĝoj en klimataj kondiĉoj kaj efikoj, ilustras kiel la klimato jam ŝanĝiĝis kaj ŝanĝos laŭ la vivdaŭro de tri reprezentaj generacioj (naskitaj en 1950, 1980 kaj 2020). Estontaj projekcioj (2021-2100) de ŝanĝoj en tutmonda surfactemperaturo estas montritaj por tre malalta (SSP1-1.9), malalta (SSP1-2.6), meza (SSP2-4.5), alta (SSP3-7.0) kaj tre alta (SSP5-). 8.5) Scenaroj de emisio de GHG. Ŝanĝoj en ĉiujaraj tutmondaj surfactemperaturoj estas prezentitaj kiel "klimatstrioj", kun estontaj projekcioj montrantaj la hom-kaŭzitaj longperspektivajn tendencojn kaj daŭran moduladon per natura ŝanĝebleco (reprezentita ĉi tie uzante observitajn nivelojn de pasinta natura ŝanĝebleco). Koloroj sur la generaciaj ikonoj egalrilatas al la tutmondaj surfactemperaturaj strioj por ĉiu jaro, kun segmentoj sur estontaj ikonoj diferencantaj eblajn estontajn spertojn. {2.1, 2.1.2, Figuro 2.1, Tabelo 2.1, Figuro 2.3, Sekcia Skatolo.2, 3.1, Figuro 3.3, 4.1, 4.3} (Kesto SPM.1)</w:t>
      </w:r>
    </w:p>
    <w:p>
      <w:pPr>
        <w:pStyle w:val="ParagrapheBlanc"/>
        <w:rPr/>
      </w:pPr>
      <w:r>
        <w:rPr>
          <w:rStyle w:val="StyleGras"/>
        </w:rPr>
        <w:t>[FINO FIGURO SPM.1 ĈI TIE]</w:t>
      </w:r>
    </w:p>
    <w:p>
      <w:pPr>
        <w:pStyle w:val="ParagrapheBlanc"/>
        <w:rPr/>
      </w:pPr>
      <w:r>
        <mc:AlternateContent>
          <mc:Choice Requires="wps">
            <w:drawing>
              <wp:anchor behindDoc="1" distT="6350" distB="6350" distL="6350" distR="6350" simplePos="0" locked="0" layoutInCell="0" allowOverlap="1" relativeHeight="14">
                <wp:simplePos x="0" y="0"/>
                <wp:positionH relativeFrom="page">
                  <wp:posOffset>65405</wp:posOffset>
                </wp:positionH>
                <wp:positionV relativeFrom="paragraph">
                  <wp:posOffset>-648970</wp:posOffset>
                </wp:positionV>
                <wp:extent cx="13335" cy="13335"/>
                <wp:effectExtent l="0" t="0" r="0" b="0"/>
                <wp:wrapNone/>
                <wp:docPr id="35" name="Freeform 15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5">
                <wp:simplePos x="0" y="0"/>
                <wp:positionH relativeFrom="page">
                  <wp:posOffset>65405</wp:posOffset>
                </wp:positionH>
                <wp:positionV relativeFrom="paragraph">
                  <wp:posOffset>-648970</wp:posOffset>
                </wp:positionV>
                <wp:extent cx="13335" cy="13335"/>
                <wp:effectExtent l="0" t="0" r="0" b="0"/>
                <wp:wrapNone/>
                <wp:docPr id="36" name="Freeform 158"/>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6">
                <wp:simplePos x="0" y="0"/>
                <wp:positionH relativeFrom="page">
                  <wp:posOffset>-6350</wp:posOffset>
                </wp:positionH>
                <wp:positionV relativeFrom="paragraph">
                  <wp:posOffset>964565</wp:posOffset>
                </wp:positionV>
                <wp:extent cx="13335" cy="13335"/>
                <wp:effectExtent l="0" t="0" r="0" b="0"/>
                <wp:wrapNone/>
                <wp:docPr id="37" name="Freeform 155"/>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17">
                <wp:simplePos x="0" y="0"/>
                <wp:positionH relativeFrom="page">
                  <wp:posOffset>-6350</wp:posOffset>
                </wp:positionH>
                <wp:positionV relativeFrom="paragraph">
                  <wp:posOffset>964565</wp:posOffset>
                </wp:positionV>
                <wp:extent cx="13335" cy="13335"/>
                <wp:effectExtent l="0" t="0" r="0" b="0"/>
                <wp:wrapNone/>
                <wp:docPr id="38" name="Freeform 156"/>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29">
                <wp:simplePos x="0" y="0"/>
                <wp:positionH relativeFrom="page">
                  <wp:posOffset>-6350</wp:posOffset>
                </wp:positionH>
                <wp:positionV relativeFrom="paragraph">
                  <wp:posOffset>-6350</wp:posOffset>
                </wp:positionV>
                <wp:extent cx="13335" cy="13335"/>
                <wp:effectExtent l="0" t="0" r="0" b="0"/>
                <wp:wrapNone/>
                <wp:docPr id="39" name="Freeform 154"/>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2">
                <wp:simplePos x="0" y="0"/>
                <wp:positionH relativeFrom="page">
                  <wp:posOffset>-6350</wp:posOffset>
                </wp:positionH>
                <wp:positionV relativeFrom="paragraph">
                  <wp:posOffset>-6350</wp:posOffset>
                </wp:positionV>
                <wp:extent cx="13335" cy="13335"/>
                <wp:effectExtent l="0" t="0" r="0" b="0"/>
                <wp:wrapNone/>
                <wp:docPr id="40" name="Freeform 153"/>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50">
                <wp:simplePos x="0" y="0"/>
                <wp:positionH relativeFrom="page">
                  <wp:posOffset>65405</wp:posOffset>
                </wp:positionH>
                <wp:positionV relativeFrom="paragraph">
                  <wp:posOffset>160020</wp:posOffset>
                </wp:positionV>
                <wp:extent cx="13335" cy="13335"/>
                <wp:effectExtent l="0" t="0" r="0" b="0"/>
                <wp:wrapNone/>
                <wp:docPr id="41" name="Freeform 160"/>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51">
                <wp:simplePos x="0" y="0"/>
                <wp:positionH relativeFrom="page">
                  <wp:posOffset>65405</wp:posOffset>
                </wp:positionH>
                <wp:positionV relativeFrom="paragraph">
                  <wp:posOffset>160020</wp:posOffset>
                </wp:positionV>
                <wp:extent cx="13335" cy="13335"/>
                <wp:effectExtent l="0" t="0" r="0" b="0"/>
                <wp:wrapNone/>
                <wp:docPr id="42" name="Freeform 159"/>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Nuna Progreso en Adaptado kaj Interspacoj kaj Defioj</w:t>
      </w:r>
    </w:p>
    <w:p>
      <w:pPr>
        <w:pStyle w:val="ParagrapheBistre"/>
        <w:rPr/>
      </w:pPr>
      <w:r>
        <w:rPr/>
        <w:t>A.3 Adaptoplanado kaj efektivigo progresis tra ĉiuj sektoroj kaj regionoj, kun dokumentitaj avantaĝoj kaj ŝanĝiĝanta efikeco. Malgraŭ progreso, adaptaj mankoj ekzistas, kaj daŭre kreskos laŭ nunaj rapidoj de efektivigo. Malmolaj kaj molaj limoj al adaptado estis atingitaj en kelkaj ekosistemoj kaj regionoj. Maladaptado okazas en iuj sektoroj kaj regionoj. Nunaj tutmondaj financaj fluoj por adaptado estas nesufiĉaj por, kaj limigas efektivigon de, adaptaj elektoj, precipe en evolulandoj (</w:t>
      </w:r>
      <w:r>
        <w:rPr>
          <w:rStyle w:val="StyleItaliques"/>
        </w:rPr>
        <w:t>alta fido)</w:t>
      </w:r>
      <w:r>
        <w:rPr/>
        <w:t>. {2.2, 2.3}</w:t>
      </w:r>
    </w:p>
    <w:p>
      <w:pPr>
        <w:pStyle w:val="ParagrapheBlanc"/>
        <w:rPr/>
      </w:pPr>
      <w:r>
        <w:rPr>
          <w:rStyle w:val="StyleGras"/>
        </w:rPr>
        <w:t xml:space="preserve">A.3.1 </w:t>
      </w:r>
      <w:r>
        <w:rPr/>
        <w:t xml:space="preserve">Progreso en adaptoplanado kaj efektivigo estis observita tra ĉiuj sektoroj kaj regionoj, generante multoblajn avantaĝojn </w:t>
      </w:r>
      <w:r>
        <w:rPr>
          <w:rStyle w:val="StyleItaliques"/>
        </w:rPr>
        <w:t>(tre alta fido).</w:t>
      </w:r>
      <w:r>
        <w:rPr/>
        <w:t xml:space="preserve"> Kreskanta publika kaj politika konscio pri klimataj efikoj kaj riskoj rezultigis almenaŭ 170 landojn kaj multajn urbojn inkluzive de adaptado en iliaj klimataj politikoj kaj planadprocezoj (</w:t>
      </w:r>
      <w:r>
        <w:rPr>
          <w:rStyle w:val="StyleItaliques"/>
        </w:rPr>
        <w:t>alta fido)</w:t>
      </w:r>
      <w:r>
        <w:rPr/>
        <w:t>. {2.2.3}</w:t>
      </w:r>
    </w:p>
    <w:p>
      <w:pPr>
        <w:pStyle w:val="ParagrapheBlanc"/>
        <w:rPr/>
      </w:pPr>
      <w:r>
        <w:rPr>
          <w:rStyle w:val="StyleGras"/>
        </w:rPr>
        <w:t xml:space="preserve">A.3.2 </w:t>
      </w:r>
      <w:r>
        <w:rPr/>
        <w:t xml:space="preserve">Efikeco </w:t>
      </w:r>
      <w:r>
        <w:rPr>
          <w:rStyle w:val="Ancredenotedebasdepage"/>
        </w:rPr>
        <w:footnoteReference w:id="16"/>
      </w:r>
      <w:r>
        <w:rPr/>
        <w:t xml:space="preserve">de adaptado en reduktado de klimataj riskoj </w:t>
      </w:r>
      <w:r>
        <w:rPr>
          <w:rStyle w:val="Ancredenotedebasdepage"/>
        </w:rPr>
        <w:footnoteReference w:id="17"/>
      </w:r>
      <w:r>
        <w:rPr/>
        <w:t>estas dokumentita por specifaj kuntekstoj, sektoroj kaj regionoj (</w:t>
      </w:r>
      <w:r>
        <w:rPr>
          <w:rStyle w:val="StyleItaliques"/>
        </w:rPr>
        <w:t>alta fido)</w:t>
      </w:r>
      <w:r>
        <w:rPr/>
        <w:t>. Ekzemploj de efikaj adaptadelektoj inkludas: kultur-plibonigoj, en-biena akvoadministrado kaj stokado, grunda humidkonservado, irigacio, agroforstado, komunum-bazita adaptado, bieno kaj pejzaĝnivela diversigo en agrikulturo, daŭrigeblaj teradministradaliroj, uzo de agroekologiaj principoj kaj praktikoj. kaj aliaj aliroj kiuj funkcias kun naturaj procezoj (</w:t>
      </w:r>
      <w:r>
        <w:rPr>
          <w:rStyle w:val="StyleItaliques"/>
        </w:rPr>
        <w:t>alta fido)</w:t>
      </w:r>
      <w:r>
        <w:rPr/>
        <w:t xml:space="preserve">. Ekosistem-bazitaj adaptaj </w:t>
      </w:r>
      <w:r>
        <w:rPr>
          <w:rStyle w:val="Ancredenotedebasdepage"/>
        </w:rPr>
        <w:footnoteReference w:id="18"/>
      </w:r>
      <w:r>
        <w:rPr/>
        <w:t>aliroj kiel ekzemple urba verdigo, restarigo de malsekregionoj kaj kontraŭfluaj arbarekosistemoj estis efikaj en reduktado de inundoriskoj kaj urba varmeco (</w:t>
      </w:r>
      <w:r>
        <w:rPr>
          <w:rStyle w:val="StyleItaliques"/>
        </w:rPr>
        <w:t>alta fido)</w:t>
      </w:r>
      <w:r>
        <w:rPr/>
        <w:t xml:space="preserve">. Kombinaĵoj de ne-strukturaj iniciatoj kiel fruaj avertaj sistemoj kaj strukturaj iniciatoj kiel digoj reduktis perdon de vivoj en kazo de enlanda inundado </w:t>
      </w:r>
      <w:r>
        <w:rPr>
          <w:rStyle w:val="StyleItaliques"/>
        </w:rPr>
        <w:t>(meza fido).</w:t>
      </w:r>
      <w:r>
        <w:rPr/>
        <w:t xml:space="preserve"> Adaptaj elektoj kiel administrado de risko de katastrofo, fruaj avertaj sistemoj, klimataj servoj kaj sociaj sekurecaj retoj havas larĝan aplikeblecon tra pluraj sektoroj (</w:t>
      </w:r>
      <w:r>
        <w:rPr>
          <w:rStyle w:val="StyleItaliques"/>
        </w:rPr>
        <w:t>alta fido)</w:t>
      </w:r>
      <w:r>
        <w:rPr/>
        <w:t>. {2.2.3}</w:t>
      </w:r>
    </w:p>
    <w:p>
      <w:pPr>
        <w:pStyle w:val="ParagrapheBlanc"/>
        <w:rPr/>
      </w:pPr>
      <w:r>
        <w:rPr>
          <w:rStyle w:val="StyleGras"/>
        </w:rPr>
        <w:t xml:space="preserve">A.3.3 </w:t>
      </w:r>
      <w:r>
        <w:rPr/>
        <w:t>Plej observitaj adaptaj respondoj estas fragmentaj, pliigaj</w:t>
      </w:r>
      <w:r>
        <w:rPr>
          <w:rStyle w:val="Ancredenotedebasdepage"/>
        </w:rPr>
        <w:footnoteReference w:id="19"/>
      </w:r>
      <w:r>
        <w:rPr/>
        <w:t>, sektorspecifaj kaj malegale distribuitaj trans regionoj. Malgraŭ progreso, adaptadinterspacoj ekzistas trans sektoroj kaj regionoj, kaj daŭre kreskos sub nunaj niveloj de efektivigo, kun la plej grandaj adaptadinterspacoj inter pli malaltaj enspezgrupoj. (</w:t>
      </w:r>
      <w:r>
        <w:rPr>
          <w:rStyle w:val="StyleItaliques"/>
        </w:rPr>
        <w:t>alta konfido)</w:t>
      </w:r>
      <w:r>
        <w:rPr/>
        <w:t xml:space="preserve"> {2.3.2}</w:t>
      </w:r>
    </w:p>
    <w:p>
      <w:pPr>
        <w:pStyle w:val="ParagrapheBlanc"/>
        <w:rPr/>
      </w:pPr>
      <w:r>
        <w:rPr>
          <w:rStyle w:val="StyleGras"/>
        </w:rPr>
        <w:t xml:space="preserve">A.3.4 </w:t>
      </w:r>
      <w:r>
        <w:rPr/>
        <w:t>Pliiĝas pruvoj pri misadaptiĝo en diversaj sektoroj kaj regionoj (</w:t>
      </w:r>
      <w:r>
        <w:rPr>
          <w:rStyle w:val="StyleItaliques"/>
        </w:rPr>
        <w:t>alta fido)</w:t>
      </w:r>
      <w:r>
        <w:rPr/>
        <w:t>. Maladaptado precipe influas marĝenigitajn kaj vundeblajn grupojn negative (</w:t>
      </w:r>
      <w:r>
        <w:rPr>
          <w:rStyle w:val="StyleItaliques"/>
        </w:rPr>
        <w:t>alta fido)</w:t>
      </w:r>
      <w:r>
        <w:rPr/>
        <w:t>. {2.3.2}</w:t>
      </w:r>
    </w:p>
    <w:p>
      <w:pPr>
        <w:pStyle w:val="ParagrapheBlanc"/>
        <w:rPr/>
      </w:pPr>
      <w:r>
        <w:rPr>
          <w:rStyle w:val="StyleGras"/>
        </w:rPr>
        <w:t xml:space="preserve">A.3.5 </w:t>
      </w:r>
      <w:r>
        <w:rPr/>
        <w:t xml:space="preserve">Malgrandaj farmistoj kaj domanaroj nuntempe spertas molajn limojn al adapto laŭ kelkaj malaltaj marbordaj regionoj </w:t>
      </w:r>
      <w:r>
        <w:rPr>
          <w:rStyle w:val="StyleItaliques"/>
        </w:rPr>
        <w:t xml:space="preserve">(meza fido) </w:t>
      </w:r>
      <w:r>
        <w:rPr/>
        <w:t>rezultantaj de financaj, regado, instituciaj kaj politikaj limoj (</w:t>
      </w:r>
      <w:r>
        <w:rPr>
          <w:rStyle w:val="StyleItaliques"/>
        </w:rPr>
        <w:t>alta fido)</w:t>
      </w:r>
      <w:r>
        <w:rPr/>
        <w:t>. Kelkaj tropikaj, marbordaj, polusaj kaj montaj ekosistemoj atingis malmolajn adaptajn limojn (</w:t>
      </w:r>
      <w:r>
        <w:rPr>
          <w:rStyle w:val="StyleItaliques"/>
        </w:rPr>
        <w:t>alta fido)</w:t>
      </w:r>
      <w:r>
        <w:rPr/>
        <w:t>. Adapto ne malhelpas ĉiujn perdojn kaj damaĝojn, eĉ kun efika adaptado kaj antaŭ ol atingi molajn kaj malmolajn limojn (</w:t>
      </w:r>
      <w:r>
        <w:rPr>
          <w:rStyle w:val="StyleItaliques"/>
        </w:rPr>
        <w:t>alta fido)</w:t>
      </w:r>
      <w:r>
        <w:rPr/>
        <w:t>. {2.3.2}</w:t>
      </w:r>
    </w:p>
    <w:p>
      <w:pPr>
        <w:pStyle w:val="ParagrapheBlanc"/>
        <w:rPr/>
      </w:pPr>
      <w:r>
        <w:rPr>
          <w:rStyle w:val="StyleGras"/>
        </w:rPr>
        <w:t xml:space="preserve">A.3.6 </w:t>
      </w:r>
      <w:r>
        <w:rPr/>
        <w:t>Ŝlosilaj barieroj al adaptado estas limigitaj rimedoj, manko de privata sektoro kaj civitana engaĝiĝo, nesufiĉa mobilizado de financo (inkluzive por esplorado), malalta klimatlegopovo, manko de politika engaĝiĝo, limigita esplorado kaj/aŭ malrapida kaj malalta konsumado de adaptadscienco, kaj malalta sento de urĝeco. Estas pligrandiĝantaj diferencoj inter la laŭtaksaj kostoj de adaptado kaj la financo asignita al adaptado (</w:t>
      </w:r>
      <w:r>
        <w:rPr>
          <w:rStyle w:val="StyleItaliques"/>
        </w:rPr>
        <w:t>alta fido)</w:t>
      </w:r>
      <w:r>
        <w:rPr/>
        <w:t xml:space="preserve">. Adapta financado venis ĉefe de publikaj fontoj, kaj malgranda proporcio de tutmonda spurita klimata financo estis celita al adaptado kaj superforta plimulto al mildigo </w:t>
      </w:r>
      <w:r>
        <w:rPr>
          <w:rStyle w:val="StyleItaliques"/>
        </w:rPr>
        <w:t>(tre alta fido).</w:t>
      </w:r>
      <w:r>
        <w:rPr/>
        <w:t xml:space="preserve"> Kvankam tutmonda spurita klimata financo montris suprenan tendencon ekde AR5, nunaj tutmondaj financaj fluoj por adaptado, inkluzive de publikaj kaj privataj financaj fontoj, estas nesufiĉaj kaj limigas efektivigon de adaptaj elektoj, precipe en evolulandoj (alta fido)</w:t>
      </w:r>
      <w:r>
        <w:rPr>
          <w:rStyle w:val="StyleItaliques"/>
        </w:rPr>
        <w:t>.</w:t>
      </w:r>
      <w:r>
        <w:rPr/>
        <w:t xml:space="preserve"> Malfavoraj klimataj efikoj povas redukti la haveblecon de financaj resursoj per perdoj kaj damaĝoj kaj per malhelpado de nacia ekonomia kresko, tiel pliigante financajn limojn por adaptado, precipe por evolulandoj kaj malplej evoluintaj landoj (meza fido)</w:t>
      </w:r>
      <w:r>
        <w:rPr>
          <w:rStyle w:val="StyleItaliques"/>
        </w:rPr>
        <w:t>.</w:t>
      </w:r>
      <w:r>
        <w:rPr/>
        <w:t xml:space="preserve"> {2.3.2; 2.3.3}</w:t>
      </w:r>
    </w:p>
    <w:p>
      <w:pPr>
        <w:pStyle w:val="ParagrapheBlanc"/>
        <w:rPr/>
      </w:pPr>
      <w:r>
        <w:rPr>
          <w:rStyle w:val="StyleGras"/>
        </w:rPr>
        <w:t>[START KESTO SPM.1 ĈI TIE]</w:t>
      </w:r>
    </w:p>
    <w:p>
      <w:pPr>
        <w:pStyle w:val="Titre1"/>
        <w:ind w:left="630" w:right="0" w:hanging="0"/>
        <w:rPr/>
      </w:pPr>
      <w:bookmarkStart w:id="2" w:name="__RefHeading___Toc79269_355317784"/>
      <w:bookmarkEnd w:id="2"/>
      <w:r>
        <w:rPr/>
        <w:t>Skatolo SPM.1 La uzo de scenaroj kaj modeligitaj vojoj en la AR6 Sinteza Raporto</w:t>
      </w:r>
    </w:p>
    <w:p>
      <w:pPr>
        <w:pStyle w:val="ParagrapheBleu"/>
        <w:rPr/>
      </w:pPr>
      <w:r>
        <w:rPr/>
        <w:t>Modeligitaj scenaroj kaj padoj</w:t>
      </w:r>
      <w:r>
        <w:rPr>
          <w:rStyle w:val="Ancredenotedebasdepage"/>
        </w:rPr>
        <w:footnoteReference w:id="20"/>
      </w:r>
      <w:r>
        <w:rPr/>
        <w:t xml:space="preserve"> estas utiligitaj por esplori estontajn emisiojn, klimatan ŝanĝon, rilatajn efikojn kaj riskojn, kaj eblajn mildigajn kaj adaptajn strategiojn kaj estas bazitaj sur gamo da supozoj, inkluzive de sociekonomikaj variabloj kaj mildigaj opcioj. Ĉi tiuj estas kvantaj projekcioj kaj estas nek antaŭdiroj nek prognozoj. Tutmondaj modeligitaj emisiovojoj, inkluzive de tiuj bazitaj sur kostefikaj aliroj enhavas regione diferencigitajn supozojn kaj rezultojn, kaj devas esti taksitaj kun la zorgema rekono de tiuj supozoj. La plej multaj ne faras eksplicitajn supozojn pri tutmonda egaleco, media justeco aŭ intra-regiona enspezdistribuo. IPCC estas neŭtrala koncerne la supozojn subestajn la scenarojn en la literaturo taksita en ĉi tiu raporto, kiuj ne kovras ĉiujn eblajn estontecojn. </w:t>
      </w:r>
      <w:r>
        <w:rPr>
          <w:rStyle w:val="Ancredenotedebasdepage"/>
        </w:rPr>
        <w:footnoteReference w:id="21"/>
      </w:r>
      <w:r>
        <w:rPr/>
        <w:t>{Transsekca Skatolo.2}</w:t>
      </w:r>
    </w:p>
    <w:p>
      <w:pPr>
        <w:pStyle w:val="ParagrapheBleu"/>
        <w:rPr/>
      </w:pPr>
      <w:r>
        <w:rPr/>
      </w:r>
    </w:p>
    <w:p>
      <w:pPr>
        <w:pStyle w:val="ParagrapheBleu"/>
        <w:rPr/>
      </w:pPr>
      <w:r>
        <w:rPr/>
        <w:t xml:space="preserve">WGI taksis la klimatan respondon al kvin ilustraj scenaroj bazitaj sur Shared Socio-economic Pathways (SSPoj) </w:t>
      </w:r>
      <w:r>
        <w:rPr>
          <w:rStyle w:val="Ancredenotedebasdepage"/>
        </w:rPr>
        <w:footnoteReference w:id="22"/>
      </w:r>
      <w:r>
        <w:rPr/>
        <w:t xml:space="preserve">kiuj kovras la gamon de ebla estonta evoluo de antropogenaj pelantaĵoj de klimata ŝanĝo trovita en la literaturo. Altaj kaj tre altaj GHG-emisioscenaroj (SSP3-7.0 kaj SSP5-8.5 </w:t>
      </w:r>
      <w:r>
        <w:rPr>
          <w:rStyle w:val="Ancredenotedebasdepage"/>
        </w:rPr>
        <w:footnoteReference w:id="23"/>
      </w:r>
      <w:r>
        <w:rPr/>
        <w:t>) havas CO</w:t>
      </w:r>
      <w:r>
        <w:rPr>
          <w:vertAlign w:val="subscript"/>
        </w:rPr>
        <w:t xml:space="preserve">2 </w:t>
      </w:r>
      <w:r>
        <w:rPr/>
        <w:t>emisiojn kiuj proksimume duobliĝas de nunaj niveloj antaŭ 2100 kaj 2050, respektive. La meza GHG-emisioscenaro (SSP2-4.5) havas CO</w:t>
      </w:r>
      <w:r>
        <w:rPr>
          <w:vertAlign w:val="subscript"/>
        </w:rPr>
        <w:t xml:space="preserve">2 </w:t>
      </w:r>
      <w:r>
        <w:rPr/>
        <w:t xml:space="preserve">emisiojn restantajn ĉirkaŭ nunaj niveloj ĝis la mezo de la jarcento. La tre malaltaj kaj malaltaj GHG-emisioscenaroj (SSP1-1.9 kaj SSP1-2.6) havas CO2 </w:t>
      </w:r>
      <w:r>
        <w:rPr>
          <w:vertAlign w:val="subscript"/>
        </w:rPr>
        <w:t xml:space="preserve">- </w:t>
      </w:r>
      <w:r>
        <w:rPr/>
        <w:t>emisiojn malpliiĝantajn al neta nulo ĉirkaŭ 2050 kaj 2070, respektive, sekvita per ŝanĝiĝantaj niveloj de netaj negativaj CO</w:t>
      </w:r>
      <w:r>
        <w:rPr>
          <w:rStyle w:val="StyleNormalIndice"/>
        </w:rPr>
        <w:t>2</w:t>
      </w:r>
      <w:r>
        <w:rPr/>
        <w:t xml:space="preserve">- emisioj. Krome, Reprezentaj Koncentraj Vojetoj (RCP) </w:t>
      </w:r>
      <w:r>
        <w:rPr>
          <w:rStyle w:val="Ancredenotedebasdepage"/>
        </w:rPr>
        <w:footnoteReference w:id="24"/>
      </w:r>
      <w:r>
        <w:rPr/>
        <w:t>estis uzataj de WGI kaj WGII por taksi regionajn klimatajn ŝanĝojn, efikojn kaj riskojn. En WGIII, granda nombro da tutmondaj modeligitaj emisiovojoj estis taksita, de kiuj 1202 padoj kategoriiĝis surbaze de sia taksita mondvarmiĝo dum la 21-a jarcento; kategorioj intervalas de padoj kiuj limigas varmiĝon al 1.5 °C kun pli ol 50% verŝajneco (notita &gt;50% en ĉi tiu raporto) kun neniu aŭ limigita transpaso (C1) ĝis padoj kiuj superas 4 °C (C8). (Kesto SPM.1, Tabelo 1). {Transsekca Skatolo.2}</w:t>
      </w:r>
    </w:p>
    <w:p>
      <w:pPr>
        <w:pStyle w:val="ParagrapheBleu"/>
        <w:rPr/>
      </w:pPr>
      <w:r>
        <w:rPr/>
        <w:t>Mondvarmiĝoniveloj (GWLoj) relative al 1850-1900 kutimas integri la takson de klimata ŝanĝo kaj rilatajn efikojn kaj riskojn ĉar padronoj de ŝanĝoj por multaj variabloj ĉe antaŭfiksita GWL estas oftaj al ĉiuj scenaroj pripensitaj kaj sendependaj de tempigo kiam tiu nivelo estas. atingita. {Transsekca Skatolo.2}</w:t>
      </w:r>
    </w:p>
    <w:p>
      <w:pPr>
        <w:pStyle w:val="ParagrapheBleu"/>
        <w:rPr/>
      </w:pPr>
      <w:r>
        <w:rPr/>
        <w:t>[START KESTO SPM.1, TABLO 1 ĈI TIE]</w:t>
      </w:r>
    </w:p>
    <w:p>
      <w:pPr>
        <w:pStyle w:val="ParagrapheBleu"/>
        <w:rPr/>
      </w:pPr>
      <w:r>
        <w:rPr>
          <w:b/>
          <w:bCs/>
        </w:rPr>
        <w:t xml:space="preserve">Skatolo SPM.1, Tabelo 1: </w:t>
      </w:r>
      <w:r>
        <w:rPr/>
        <w:t>Priskribo kaj rilato de scenaroj kaj modeligitaj vojoj konsiderataj tra la raportoj de la Laborgrupo AR6. {Transsekca Skatolo.2, Figuro 1}</w:t>
      </w:r>
    </w:p>
    <w:p>
      <w:pPr>
        <w:pStyle w:val="ParagrapheBleu"/>
        <w:rPr/>
      </w:pPr>
      <w:r>
        <w:rPr/>
      </w:r>
    </w:p>
    <w:tbl>
      <w:tblPr>
        <w:tblW w:w="10906" w:type="dxa"/>
        <w:jc w:val="left"/>
        <w:tblInd w:w="-5" w:type="dxa"/>
        <w:tblLayout w:type="fixed"/>
        <w:tblCellMar>
          <w:top w:w="55" w:type="dxa"/>
          <w:left w:w="55" w:type="dxa"/>
          <w:bottom w:w="55" w:type="dxa"/>
          <w:right w:w="55" w:type="dxa"/>
        </w:tblCellMar>
      </w:tblPr>
      <w:tblGrid>
        <w:gridCol w:w="2726"/>
        <w:gridCol w:w="2721"/>
        <w:gridCol w:w="2732"/>
        <w:gridCol w:w="2726"/>
      </w:tblGrid>
      <w:tr>
        <w:trPr/>
        <w:tc>
          <w:tcPr>
            <w:tcW w:w="2726" w:type="dxa"/>
            <w:tcBorders>
              <w:top w:val="single" w:sz="4" w:space="0" w:color="000001"/>
              <w:left w:val="single" w:sz="4" w:space="0" w:color="000001"/>
              <w:bottom w:val="single" w:sz="4" w:space="0" w:color="000001"/>
            </w:tcBorders>
            <w:shd w:fill="EEEEEE"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Kategorio en WGIII</w:t>
            </w:r>
          </w:p>
        </w:tc>
        <w:tc>
          <w:tcPr>
            <w:tcW w:w="2721" w:type="dxa"/>
            <w:tcBorders>
              <w:top w:val="single" w:sz="4" w:space="0" w:color="000001"/>
              <w:left w:val="single" w:sz="4" w:space="0" w:color="000001"/>
              <w:bottom w:val="single" w:sz="4" w:space="0" w:color="000001"/>
            </w:tcBorders>
            <w:shd w:fill="EEEEEE"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Kategoria priskribo</w:t>
            </w:r>
          </w:p>
        </w:tc>
        <w:tc>
          <w:tcPr>
            <w:tcW w:w="2732" w:type="dxa"/>
            <w:tcBorders>
              <w:top w:val="single" w:sz="4" w:space="0" w:color="000001"/>
              <w:left w:val="single" w:sz="4" w:space="0" w:color="000001"/>
              <w:bottom w:val="single" w:sz="4" w:space="0" w:color="000001"/>
            </w:tcBorders>
            <w:shd w:fill="EEEEEE"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GHG-emisioscenaroj (SSPx-y*) en WGI &amp; WGII</w:t>
            </w:r>
          </w:p>
        </w:tc>
        <w:tc>
          <w:tcPr>
            <w:tcW w:w="2726" w:type="dxa"/>
            <w:tcBorders>
              <w:top w:val="single" w:sz="4" w:space="0" w:color="000001"/>
              <w:left w:val="single" w:sz="4" w:space="0" w:color="000001"/>
              <w:bottom w:val="single" w:sz="4" w:space="0" w:color="000001"/>
              <w:right w:val="single" w:sz="4" w:space="0" w:color="000001"/>
            </w:tcBorders>
            <w:shd w:fill="EEEEEE"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RCPy** en WGI &amp; WGII</w:t>
            </w:r>
          </w:p>
        </w:tc>
      </w:tr>
      <w:tr>
        <w:trPr/>
        <w:tc>
          <w:tcPr>
            <w:tcW w:w="2726" w:type="dxa"/>
            <w:tcBorders>
              <w:top w:val="single" w:sz="4" w:space="0" w:color="000001"/>
              <w:left w:val="single" w:sz="4" w:space="0" w:color="000001"/>
              <w:bottom w:val="single" w:sz="4" w:space="0" w:color="000001"/>
            </w:tcBorders>
            <w:shd w:fill="BCE4E5"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C1</w:t>
            </w:r>
          </w:p>
        </w:tc>
        <w:tc>
          <w:tcPr>
            <w:tcW w:w="2721" w:type="dxa"/>
            <w:tcBorders>
              <w:top w:val="single" w:sz="4" w:space="0" w:color="000001"/>
              <w:left w:val="single" w:sz="4" w:space="0" w:color="000001"/>
              <w:bottom w:val="single" w:sz="4" w:space="0" w:color="000001"/>
            </w:tcBorders>
            <w:shd w:fill="BCE4E5"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limigu varmiĝon al 1,5 °C (&gt;50%) kun neniu aŭ limigita superfluo*</w:t>
            </w:r>
          </w:p>
        </w:tc>
        <w:tc>
          <w:tcPr>
            <w:tcW w:w="2732" w:type="dxa"/>
            <w:tcBorders>
              <w:top w:val="single" w:sz="4" w:space="0" w:color="000001"/>
              <w:left w:val="single" w:sz="4" w:space="0" w:color="000001"/>
              <w:bottom w:val="single" w:sz="4" w:space="0" w:color="000001"/>
            </w:tcBorders>
            <w:shd w:fill="BCE4E5"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Tre malalta (SSP1-1.9)</w:t>
            </w:r>
          </w:p>
        </w:tc>
        <w:tc>
          <w:tcPr>
            <w:tcW w:w="2726" w:type="dxa"/>
            <w:tcBorders>
              <w:top w:val="single" w:sz="4" w:space="0" w:color="000001"/>
              <w:left w:val="single" w:sz="4" w:space="0" w:color="000001"/>
              <w:bottom w:val="single" w:sz="4" w:space="0" w:color="000001"/>
              <w:right w:val="single" w:sz="4" w:space="0" w:color="000001"/>
            </w:tcBorders>
            <w:shd w:fill="BCE4E5"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726" w:type="dxa"/>
            <w:tcBorders>
              <w:top w:val="single" w:sz="4" w:space="0" w:color="000001"/>
              <w:left w:val="single" w:sz="4" w:space="0" w:color="000001"/>
              <w:bottom w:val="single" w:sz="4" w:space="0" w:color="000001"/>
            </w:tcBorders>
            <w:shd w:fill="00B27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C2</w:t>
            </w:r>
          </w:p>
        </w:tc>
        <w:tc>
          <w:tcPr>
            <w:tcW w:w="2721" w:type="dxa"/>
            <w:tcBorders>
              <w:top w:val="single" w:sz="4" w:space="0" w:color="000001"/>
              <w:left w:val="single" w:sz="4" w:space="0" w:color="000001"/>
              <w:bottom w:val="single" w:sz="4" w:space="0" w:color="000001"/>
            </w:tcBorders>
            <w:shd w:fill="00B27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redonu varmiĝon al 1,5 °C (&gt;50%) post alta superfluo***</w:t>
            </w:r>
          </w:p>
        </w:tc>
        <w:tc>
          <w:tcPr>
            <w:tcW w:w="2732" w:type="dxa"/>
            <w:tcBorders>
              <w:top w:val="single" w:sz="4" w:space="0" w:color="000001"/>
              <w:left w:val="single" w:sz="4" w:space="0" w:color="000001"/>
              <w:bottom w:val="single" w:sz="4" w:space="0" w:color="000001"/>
            </w:tcBorders>
            <w:shd w:fill="00B27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726" w:type="dxa"/>
            <w:tcBorders>
              <w:top w:val="single" w:sz="4" w:space="0" w:color="000001"/>
              <w:left w:val="single" w:sz="4" w:space="0" w:color="000001"/>
              <w:bottom w:val="single" w:sz="4" w:space="0" w:color="000001"/>
              <w:right w:val="single" w:sz="4" w:space="0" w:color="000001"/>
            </w:tcBorders>
            <w:shd w:fill="00B27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726" w:type="dxa"/>
            <w:tcBorders>
              <w:top w:val="single" w:sz="4" w:space="0" w:color="000001"/>
              <w:left w:val="single" w:sz="4" w:space="0" w:color="000001"/>
              <w:bottom w:val="single" w:sz="4" w:space="0" w:color="000001"/>
            </w:tcBorders>
            <w:shd w:fill="DFCCE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C3</w:t>
            </w:r>
          </w:p>
        </w:tc>
        <w:tc>
          <w:tcPr>
            <w:tcW w:w="2721" w:type="dxa"/>
            <w:tcBorders>
              <w:top w:val="single" w:sz="4" w:space="0" w:color="000001"/>
              <w:left w:val="single" w:sz="4" w:space="0" w:color="000001"/>
              <w:bottom w:val="single" w:sz="4" w:space="0" w:color="000001"/>
            </w:tcBorders>
            <w:shd w:fill="DFCCE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limigu varmiĝon al 2 °C (&gt;67%)</w:t>
            </w:r>
          </w:p>
        </w:tc>
        <w:tc>
          <w:tcPr>
            <w:tcW w:w="2732" w:type="dxa"/>
            <w:tcBorders>
              <w:top w:val="single" w:sz="4" w:space="0" w:color="000001"/>
              <w:left w:val="single" w:sz="4" w:space="0" w:color="000001"/>
              <w:bottom w:val="single" w:sz="4" w:space="0" w:color="000001"/>
            </w:tcBorders>
            <w:shd w:fill="DFCCE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Malalta (SSP</w:t>
            </w:r>
          </w:p>
        </w:tc>
        <w:tc>
          <w:tcPr>
            <w:tcW w:w="2726" w:type="dxa"/>
            <w:tcBorders>
              <w:top w:val="single" w:sz="4" w:space="0" w:color="000001"/>
              <w:left w:val="single" w:sz="4" w:space="0" w:color="000001"/>
              <w:bottom w:val="single" w:sz="4" w:space="0" w:color="000001"/>
              <w:right w:val="single" w:sz="4" w:space="0" w:color="000001"/>
            </w:tcBorders>
            <w:shd w:fill="DFCCE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P2.6</w:t>
            </w:r>
          </w:p>
        </w:tc>
      </w:tr>
      <w:tr>
        <w:trPr/>
        <w:tc>
          <w:tcPr>
            <w:tcW w:w="2726" w:type="dxa"/>
            <w:tcBorders>
              <w:top w:val="single" w:sz="4" w:space="0" w:color="000001"/>
              <w:left w:val="single" w:sz="4" w:space="0" w:color="000001"/>
              <w:bottom w:val="single" w:sz="4" w:space="0" w:color="000001"/>
            </w:tcBorders>
            <w:shd w:fill="E0EFD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C4</w:t>
            </w:r>
          </w:p>
        </w:tc>
        <w:tc>
          <w:tcPr>
            <w:tcW w:w="2721" w:type="dxa"/>
            <w:tcBorders>
              <w:top w:val="single" w:sz="4" w:space="0" w:color="000001"/>
              <w:left w:val="single" w:sz="4" w:space="0" w:color="000001"/>
              <w:bottom w:val="single" w:sz="4" w:space="0" w:color="000001"/>
            </w:tcBorders>
            <w:shd w:fill="E0EFD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limigu varmiĝon al 2 °C (&gt;50%)</w:t>
            </w:r>
          </w:p>
        </w:tc>
        <w:tc>
          <w:tcPr>
            <w:tcW w:w="2732" w:type="dxa"/>
            <w:tcBorders>
              <w:top w:val="single" w:sz="4" w:space="0" w:color="000001"/>
              <w:left w:val="single" w:sz="4" w:space="0" w:color="000001"/>
              <w:bottom w:val="single" w:sz="4" w:space="0" w:color="000001"/>
            </w:tcBorders>
            <w:shd w:fill="E0EFD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726" w:type="dxa"/>
            <w:tcBorders>
              <w:top w:val="single" w:sz="4" w:space="0" w:color="000001"/>
              <w:left w:val="single" w:sz="4" w:space="0" w:color="000001"/>
              <w:bottom w:val="single" w:sz="4" w:space="0" w:color="000001"/>
              <w:right w:val="single" w:sz="4" w:space="0" w:color="000001"/>
            </w:tcBorders>
            <w:shd w:fill="E0EFD4"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726" w:type="dxa"/>
            <w:tcBorders>
              <w:top w:val="single" w:sz="4" w:space="0" w:color="000001"/>
              <w:left w:val="single" w:sz="4" w:space="0" w:color="000001"/>
              <w:bottom w:val="single" w:sz="4" w:space="0" w:color="000001"/>
            </w:tcBorders>
            <w:shd w:fill="ADC5E7"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C5</w:t>
            </w:r>
          </w:p>
        </w:tc>
        <w:tc>
          <w:tcPr>
            <w:tcW w:w="2721" w:type="dxa"/>
            <w:tcBorders>
              <w:top w:val="single" w:sz="4" w:space="0" w:color="000001"/>
              <w:left w:val="single" w:sz="4" w:space="0" w:color="000001"/>
              <w:bottom w:val="single" w:sz="4" w:space="0" w:color="000001"/>
            </w:tcBorders>
            <w:shd w:fill="ADC5E7"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limigu varmiĝon al 25 °C (&gt;50%)</w:t>
            </w:r>
          </w:p>
        </w:tc>
        <w:tc>
          <w:tcPr>
            <w:tcW w:w="2732" w:type="dxa"/>
            <w:tcBorders>
              <w:top w:val="single" w:sz="4" w:space="0" w:color="000001"/>
              <w:left w:val="single" w:sz="4" w:space="0" w:color="000001"/>
              <w:bottom w:val="single" w:sz="4" w:space="0" w:color="000001"/>
            </w:tcBorders>
            <w:shd w:fill="ADC5E7"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2726" w:type="dxa"/>
            <w:tcBorders>
              <w:top w:val="single" w:sz="4" w:space="0" w:color="000001"/>
              <w:left w:val="single" w:sz="4" w:space="0" w:color="000001"/>
              <w:bottom w:val="single" w:sz="4" w:space="0" w:color="000001"/>
              <w:right w:val="single" w:sz="4" w:space="0" w:color="000001"/>
            </w:tcBorders>
            <w:shd w:fill="ADC5E7"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726" w:type="dxa"/>
            <w:tcBorders>
              <w:top w:val="single" w:sz="4" w:space="0" w:color="000001"/>
              <w:left w:val="single" w:sz="4" w:space="0" w:color="000001"/>
              <w:bottom w:val="single" w:sz="4" w:space="0" w:color="000001"/>
            </w:tcBorders>
            <w:shd w:fill="FDC578"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C6</w:t>
            </w:r>
          </w:p>
        </w:tc>
        <w:tc>
          <w:tcPr>
            <w:tcW w:w="2721" w:type="dxa"/>
            <w:tcBorders>
              <w:top w:val="single" w:sz="4" w:space="0" w:color="000001"/>
              <w:left w:val="single" w:sz="4" w:space="0" w:color="000001"/>
              <w:bottom w:val="single" w:sz="4" w:space="0" w:color="000001"/>
            </w:tcBorders>
            <w:shd w:fill="FDC578"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limigu varmiĝon al 3 °C (&gt;50%)</w:t>
            </w:r>
          </w:p>
        </w:tc>
        <w:tc>
          <w:tcPr>
            <w:tcW w:w="2732" w:type="dxa"/>
            <w:tcBorders>
              <w:top w:val="single" w:sz="4" w:space="0" w:color="000001"/>
              <w:left w:val="single" w:sz="4" w:space="0" w:color="000001"/>
              <w:bottom w:val="single" w:sz="4" w:space="0" w:color="000001"/>
            </w:tcBorders>
            <w:shd w:fill="FDC578"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Meza (SSP2-4.5)</w:t>
            </w:r>
          </w:p>
        </w:tc>
        <w:tc>
          <w:tcPr>
            <w:tcW w:w="2726" w:type="dxa"/>
            <w:tcBorders>
              <w:top w:val="single" w:sz="4" w:space="0" w:color="000001"/>
              <w:left w:val="single" w:sz="4" w:space="0" w:color="000001"/>
              <w:bottom w:val="single" w:sz="4" w:space="0" w:color="000001"/>
              <w:right w:val="single" w:sz="4" w:space="0" w:color="000001"/>
            </w:tcBorders>
            <w:shd w:fill="FDC578"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CPR 4.5</w:t>
            </w:r>
          </w:p>
        </w:tc>
      </w:tr>
      <w:tr>
        <w:trPr/>
        <w:tc>
          <w:tcPr>
            <w:tcW w:w="2726" w:type="dxa"/>
            <w:tcBorders>
              <w:top w:val="single" w:sz="4" w:space="0" w:color="000001"/>
              <w:left w:val="single" w:sz="4" w:space="0" w:color="000001"/>
              <w:bottom w:val="single" w:sz="4" w:space="0" w:color="000001"/>
            </w:tcBorders>
            <w:shd w:fill="F68E7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C7</w:t>
            </w:r>
          </w:p>
        </w:tc>
        <w:tc>
          <w:tcPr>
            <w:tcW w:w="2721" w:type="dxa"/>
            <w:tcBorders>
              <w:top w:val="single" w:sz="4" w:space="0" w:color="000001"/>
              <w:left w:val="single" w:sz="4" w:space="0" w:color="000001"/>
              <w:bottom w:val="single" w:sz="4" w:space="0" w:color="000001"/>
            </w:tcBorders>
            <w:shd w:fill="F68E7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limigu varmiĝon al 4 °C (&gt;50%)</w:t>
            </w:r>
          </w:p>
        </w:tc>
        <w:tc>
          <w:tcPr>
            <w:tcW w:w="2732" w:type="dxa"/>
            <w:tcBorders>
              <w:top w:val="single" w:sz="4" w:space="0" w:color="000001"/>
              <w:left w:val="single" w:sz="4" w:space="0" w:color="000001"/>
              <w:bottom w:val="single" w:sz="4" w:space="0" w:color="000001"/>
            </w:tcBorders>
            <w:shd w:fill="F68E7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Alta (SSP3-7.0)</w:t>
            </w:r>
          </w:p>
        </w:tc>
        <w:tc>
          <w:tcPr>
            <w:tcW w:w="2726" w:type="dxa"/>
            <w:tcBorders>
              <w:top w:val="single" w:sz="4" w:space="0" w:color="000001"/>
              <w:left w:val="single" w:sz="4" w:space="0" w:color="000001"/>
              <w:bottom w:val="single" w:sz="4" w:space="0" w:color="000001"/>
              <w:right w:val="single" w:sz="4" w:space="0" w:color="000001"/>
            </w:tcBorders>
            <w:shd w:fill="F68E7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r>
        <w:trPr/>
        <w:tc>
          <w:tcPr>
            <w:tcW w:w="2726" w:type="dxa"/>
            <w:tcBorders>
              <w:top w:val="single" w:sz="4" w:space="0" w:color="000001"/>
              <w:left w:val="single" w:sz="4" w:space="0" w:color="000001"/>
              <w:bottom w:val="single" w:sz="4" w:space="0" w:color="000001"/>
            </w:tcBorders>
            <w:shd w:fill="D9911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C8</w:t>
            </w:r>
          </w:p>
        </w:tc>
        <w:tc>
          <w:tcPr>
            <w:tcW w:w="2721" w:type="dxa"/>
            <w:tcBorders>
              <w:top w:val="single" w:sz="4" w:space="0" w:color="000001"/>
              <w:left w:val="single" w:sz="4" w:space="0" w:color="000001"/>
              <w:bottom w:val="single" w:sz="4" w:space="0" w:color="000001"/>
            </w:tcBorders>
            <w:shd w:fill="D9911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superi varmiĝon de 4 °C (&gt;50%)</w:t>
            </w:r>
          </w:p>
        </w:tc>
        <w:tc>
          <w:tcPr>
            <w:tcW w:w="2732" w:type="dxa"/>
            <w:tcBorders>
              <w:top w:val="single" w:sz="4" w:space="0" w:color="000001"/>
              <w:left w:val="single" w:sz="4" w:space="0" w:color="000001"/>
              <w:bottom w:val="single" w:sz="4" w:space="0" w:color="000001"/>
            </w:tcBorders>
            <w:shd w:fill="D9911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Tre alta (SSP5-8.5)</w:t>
            </w:r>
          </w:p>
        </w:tc>
        <w:tc>
          <w:tcPr>
            <w:tcW w:w="2726" w:type="dxa"/>
            <w:tcBorders>
              <w:top w:val="single" w:sz="4" w:space="0" w:color="000001"/>
              <w:left w:val="single" w:sz="4" w:space="0" w:color="000001"/>
              <w:bottom w:val="single" w:sz="4" w:space="0" w:color="000001"/>
              <w:right w:val="single" w:sz="4" w:space="0" w:color="000001"/>
            </w:tcBorders>
            <w:shd w:fill="D99116" w:val="clear"/>
          </w:tcPr>
          <w:p>
            <w:pPr>
              <w:pStyle w:val="Contenudetableau"/>
              <w:widowControl w:val="false"/>
              <w:spacing w:before="156" w:after="156"/>
              <w:ind w:left="105" w:right="105" w:hanging="0"/>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t>CPR 8.5</w:t>
            </w:r>
          </w:p>
        </w:tc>
      </w:tr>
    </w:tbl>
    <w:p>
      <w:pPr>
        <w:pStyle w:val="ParagrapheBleu"/>
        <w:rPr/>
      </w:pPr>
      <w:r>
        <w:rPr/>
        <w:t>* Vidu piednoton 27 por la terminologio de SSPx-y.</w:t>
      </w:r>
    </w:p>
    <w:p>
      <w:pPr>
        <w:pStyle w:val="ParagrapheBleu"/>
        <w:rPr/>
      </w:pPr>
      <w:r>
        <w:rPr/>
        <w:t>** Vidu piednoton 28 por la terminologio de RCPy.</w:t>
      </w:r>
    </w:p>
    <w:p>
      <w:pPr>
        <w:pStyle w:val="ParagrapheBleu"/>
        <w:rPr/>
      </w:pPr>
      <w:r>
        <w:rPr/>
        <w:t>*** Limigita superfluo rilatas al superado de 1.5°C tutmonda varmiĝo je ĉirkaŭ 0.1°C, alta superfluo je 0.1°C-0.3°C, en ambaŭ kazoj dum ĝis pluraj jardekoj.</w:t>
      </w:r>
    </w:p>
    <w:p>
      <w:pPr>
        <w:pStyle w:val="ParagrapheBleu"/>
        <w:rPr/>
      </w:pPr>
      <w:r>
        <w:rPr/>
      </w:r>
    </w:p>
    <w:p>
      <w:pPr>
        <w:pStyle w:val="ParagrapheBlanc"/>
        <w:rPr/>
      </w:pPr>
      <w:r>
        <w:rPr>
          <w:rFonts w:cs="TimesNewRomanPS-BoldMT" w:ascii="TimesNewRomanPS-BoldMT" w:hAnsi="TimesNewRomanPS-BoldMT"/>
          <w:b/>
          <w:bCs/>
          <w:color w:val="000000"/>
          <w:sz w:val="19"/>
          <w:szCs w:val="19"/>
        </w:rPr>
        <w:t xml:space="preserve">[ </w:t>
      </w:r>
      <w:r>
        <w:rPr>
          <w:rStyle w:val="StyleGras"/>
        </w:rPr>
        <w:t>FIN KESTO SPM.1 ĈI TIE]</w:t>
      </w:r>
    </w:p>
    <w:p>
      <w:pPr>
        <w:pStyle w:val="ParagrapheBlanc"/>
        <w:shd w:val="clear" w:fill="FFFFFF"/>
        <w:rPr>
          <w:rStyle w:val="StyleGras"/>
        </w:rPr>
      </w:pPr>
      <w:r>
        <w:rPr/>
      </w:r>
    </w:p>
    <w:p>
      <w:pPr>
        <w:pStyle w:val="ParagrapheBlanc"/>
        <w:rPr/>
      </w:pPr>
      <w:r>
        <w:rPr>
          <w:rStyle w:val="StyleGras"/>
        </w:rPr>
        <w:t>Nuna Mildiga Progreso, Interspacoj kaj Defioj</w:t>
      </w:r>
    </w:p>
    <w:p>
      <w:pPr>
        <w:pStyle w:val="ParagrapheBistre"/>
        <w:rPr/>
      </w:pPr>
      <w:r>
        <w:rPr/>
        <w:t xml:space="preserve">A.4 Politikoj kaj leĝoj pri mildigo konstante disetendiĝis ekde AR5. Tutmondaj GHG-emisioj en 2030 implicitaj per nacie determinitaj kontribuoj (NDC) anoncitaj antaŭ oktobro 2021 faras verŝajne </w:t>
      </w:r>
      <w:r>
        <w:rPr>
          <w:rStyle w:val="StyleItaliques"/>
        </w:rPr>
        <w:t xml:space="preserve">ke </w:t>
      </w:r>
      <w:r>
        <w:rPr/>
        <w:t>varmiĝo superos 1.5 °C dum la 21-a jarcento kaj malfaciligos limigi varmiĝon sub 2 °C. Estas interspacoj inter projekciitaj emisioj de efektivigitaj politikoj kaj tiuj de NDCoj kaj financaj fluoj mankas al la niveloj necesaj por renkonti klimatajn celojn tra ĉiuj sektoroj kaj regionoj. (</w:t>
      </w:r>
      <w:r>
        <w:rPr>
          <w:rStyle w:val="StyleItaliques"/>
        </w:rPr>
        <w:t>alta konfido)</w:t>
      </w:r>
      <w:r>
        <w:rPr/>
        <w:t xml:space="preserve"> {2.2, 2.3, Figuro 2.5, Tabelo 2.2}</w:t>
      </w:r>
    </w:p>
    <w:p>
      <w:pPr>
        <w:pStyle w:val="ParagrapheBlanc"/>
        <w:rPr/>
      </w:pPr>
      <w:r>
        <mc:AlternateContent>
          <mc:Choice Requires="wps">
            <w:drawing>
              <wp:anchor behindDoc="1" distT="6350" distB="6350" distL="6350" distR="6350" simplePos="0" locked="0" layoutInCell="0" allowOverlap="1" relativeHeight="20">
                <wp:simplePos x="0" y="0"/>
                <wp:positionH relativeFrom="page">
                  <wp:posOffset>-6350</wp:posOffset>
                </wp:positionH>
                <wp:positionV relativeFrom="paragraph">
                  <wp:posOffset>-6350</wp:posOffset>
                </wp:positionV>
                <wp:extent cx="13335" cy="13335"/>
                <wp:effectExtent l="0" t="0" r="0" b="0"/>
                <wp:wrapNone/>
                <wp:docPr id="43" name="Freeform 171"/>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21">
                <wp:simplePos x="0" y="0"/>
                <wp:positionH relativeFrom="page">
                  <wp:posOffset>65405</wp:posOffset>
                </wp:positionH>
                <wp:positionV relativeFrom="paragraph">
                  <wp:posOffset>-808990</wp:posOffset>
                </wp:positionV>
                <wp:extent cx="13335" cy="13335"/>
                <wp:effectExtent l="0" t="0" r="0" b="0"/>
                <wp:wrapNone/>
                <wp:docPr id="44" name="Freeform 174"/>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0">
                <wp:simplePos x="0" y="0"/>
                <wp:positionH relativeFrom="page">
                  <wp:posOffset>-6350</wp:posOffset>
                </wp:positionH>
                <wp:positionV relativeFrom="paragraph">
                  <wp:posOffset>-6350</wp:posOffset>
                </wp:positionV>
                <wp:extent cx="13335" cy="13335"/>
                <wp:effectExtent l="0" t="0" r="0" b="0"/>
                <wp:wrapNone/>
                <wp:docPr id="45" name="Freeform 170"/>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5">
                <wp:simplePos x="0" y="0"/>
                <wp:positionH relativeFrom="page">
                  <wp:posOffset>-6350</wp:posOffset>
                </wp:positionH>
                <wp:positionV relativeFrom="paragraph">
                  <wp:posOffset>999490</wp:posOffset>
                </wp:positionV>
                <wp:extent cx="13335" cy="13335"/>
                <wp:effectExtent l="0" t="0" r="0" b="0"/>
                <wp:wrapNone/>
                <wp:docPr id="46" name="Freeform 173"/>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6">
                <wp:simplePos x="0" y="0"/>
                <wp:positionH relativeFrom="page">
                  <wp:posOffset>65405</wp:posOffset>
                </wp:positionH>
                <wp:positionV relativeFrom="paragraph">
                  <wp:posOffset>-808990</wp:posOffset>
                </wp:positionV>
                <wp:extent cx="13335" cy="13335"/>
                <wp:effectExtent l="0" t="0" r="0" b="0"/>
                <wp:wrapNone/>
                <wp:docPr id="47" name="Freeform 175"/>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7">
                <wp:simplePos x="0" y="0"/>
                <wp:positionH relativeFrom="page">
                  <wp:posOffset>-6350</wp:posOffset>
                </wp:positionH>
                <wp:positionV relativeFrom="paragraph">
                  <wp:posOffset>999490</wp:posOffset>
                </wp:positionV>
                <wp:extent cx="13335" cy="13335"/>
                <wp:effectExtent l="0" t="0" r="0" b="0"/>
                <wp:wrapNone/>
                <wp:docPr id="48" name="Freeform 172"/>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52">
                <wp:simplePos x="0" y="0"/>
                <wp:positionH relativeFrom="page">
                  <wp:posOffset>65405</wp:posOffset>
                </wp:positionH>
                <wp:positionV relativeFrom="paragraph">
                  <wp:posOffset>196850</wp:posOffset>
                </wp:positionV>
                <wp:extent cx="13335" cy="13335"/>
                <wp:effectExtent l="0" t="0" r="0" b="0"/>
                <wp:wrapNone/>
                <wp:docPr id="49" name="Freeform 17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53">
                <wp:simplePos x="0" y="0"/>
                <wp:positionH relativeFrom="page">
                  <wp:posOffset>65405</wp:posOffset>
                </wp:positionH>
                <wp:positionV relativeFrom="paragraph">
                  <wp:posOffset>196850</wp:posOffset>
                </wp:positionV>
                <wp:extent cx="13335" cy="13335"/>
                <wp:effectExtent l="0" t="0" r="0" b="0"/>
                <wp:wrapNone/>
                <wp:docPr id="50" name="Freeform 176"/>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 xml:space="preserve">A.4.1 </w:t>
      </w:r>
      <w:r>
        <w:rPr/>
        <w:t>La UNFCCC, Kioto-Protokolo, kaj la Pariza Interkonsento subtenas altiĝantajn nivelojn de nacia ambicio. La Pariza Interkonsento, adoptita sub la UNFCCC, kun preskaŭ universala partopreno, kaŭzis politikan evoluon kaj celfikson sur naciaj kaj subnaciaj niveloj, precipe rilate al mildigo, same kiel plifortigitan travideblecon de klimata ago kaj subteno (</w:t>
      </w:r>
      <w:r>
        <w:rPr>
          <w:rStyle w:val="StyleItaliques"/>
        </w:rPr>
        <w:t>meza fidu).</w:t>
      </w:r>
      <w:r>
        <w:rPr/>
        <w:t xml:space="preserve"> Multaj reguligaj kaj ekonomiaj instrumentoj jam estis deplojitaj sukcese (</w:t>
      </w:r>
      <w:r>
        <w:rPr>
          <w:rStyle w:val="StyleItaliques"/>
        </w:rPr>
        <w:t>alta fido)</w:t>
      </w:r>
      <w:r>
        <w:rPr/>
        <w:t>. En multaj landoj, politikoj plibonigis energiefikecon, reduktis indicojn de senarbarigo kaj akcelis teknologian deplojon, kondukante al evititaj kaj en kelkaj kazoj reduktitaj aŭ forigitaj emisioj (</w:t>
      </w:r>
      <w:r>
        <w:rPr>
          <w:rStyle w:val="StyleItaliques"/>
        </w:rPr>
        <w:t>alta fido)</w:t>
      </w:r>
      <w:r>
        <w:rPr/>
        <w:t xml:space="preserve">. Multoblaj pruvlinioj sugestas, ke mildigaj politikoj kondukis al pluraj </w:t>
      </w:r>
      <w:r>
        <w:rPr>
          <w:rStyle w:val="Ancredenotedebasdepage"/>
        </w:rPr>
        <w:footnoteReference w:id="25"/>
      </w:r>
      <w:r>
        <w:rPr/>
        <w:t>Gt CO</w:t>
      </w:r>
      <w:r>
        <w:rPr>
          <w:vertAlign w:val="subscript"/>
        </w:rPr>
        <w:t xml:space="preserve">2 </w:t>
      </w:r>
      <w:r>
        <w:rPr/>
        <w:t>-eq yr</w:t>
      </w:r>
      <w:r>
        <w:rPr>
          <w:vertAlign w:val="superscript"/>
        </w:rPr>
        <w:t xml:space="preserve">-1 </w:t>
      </w:r>
      <w:r>
        <w:rPr/>
        <w:t xml:space="preserve">de evititaj tutmondaj emisioj </w:t>
      </w:r>
      <w:r>
        <w:rPr>
          <w:rStyle w:val="StyleItaliques"/>
        </w:rPr>
        <w:t>(meza fido).</w:t>
      </w:r>
      <w:r>
        <w:rPr/>
        <w:t xml:space="preserve"> Almenaŭ 18 landoj subtenis absolutan produktad-bazitan GHG kaj konsum-bazitan CO</w:t>
      </w:r>
      <w:r>
        <w:rPr>
          <w:vertAlign w:val="subscript"/>
        </w:rPr>
        <w:t xml:space="preserve">2 </w:t>
      </w:r>
      <w:r>
        <w:rPr/>
        <w:t xml:space="preserve">reduktojn </w:t>
      </w:r>
      <w:r>
        <w:rPr>
          <w:rStyle w:val="Ancredenotedebasdepage"/>
        </w:rPr>
        <w:footnoteReference w:id="26"/>
      </w:r>
      <w:r>
        <w:rPr/>
        <w:t>dum pli ol 10 jaroj. Tiuj reduktoj nur parte kompensis tutmondan emisiokreskon (</w:t>
      </w:r>
      <w:r>
        <w:rPr>
          <w:rStyle w:val="StyleItaliques"/>
        </w:rPr>
        <w:t>alta fido)</w:t>
      </w:r>
      <w:r>
        <w:rPr/>
        <w:t>. {2.2.1, 2.2.2}</w:t>
      </w:r>
    </w:p>
    <w:p>
      <w:pPr>
        <w:pStyle w:val="ParagrapheBlanc"/>
        <w:rPr/>
      </w:pPr>
      <w:r>
        <w:rPr>
          <w:rStyle w:val="StyleGras"/>
        </w:rPr>
        <w:t xml:space="preserve">A.4.2 </w:t>
      </w:r>
      <w:r>
        <w:rPr/>
        <w:t>Pluraj mildigaj opcioj, precipe sunenergio, ventoenergio, elektrizo de urbaj sistemoj, urba verda infrastrukturo, energiefikeco, postul-flanka administrado, plibonigita arbara kaj kultivaĵo/herbeja administrado, kaj reduktita manĝmalŝparo kaj perdo, estas teknike realigeblaj, iĝas ĉiam pli koste efikaj kaj estas ĝenerale subtenataj de publiko. De 2010–2019 estis daŭrantaj malkreskoj en la unuokostoj de sunenergio (85%), ventoenergio (55%), kaj litiojonbaterioj (85%), kaj grandaj pliiĝoj en ilia deplojo, ekz. &gt;10x por suna. kaj &gt;100x por elektraj veturiloj (EVs), variante vaste trans regionoj. La miksaĵo de strategiinstrumentoj kiuj reduktis kostojn kaj stimulis adopton inkludas publikan R&amp;D, financadon por manifestacio kaj pilotprojektoj, kaj postultirinstrumentojn kiel ekzemple deplojsubvencioj por ekhavi skalon. Konservi emisiointensajn sistemojn povas, en kelkaj regionoj kaj sektoroj, esti pli multekosta ol transiro al malaltaj emisiosistemoj. (</w:t>
      </w:r>
      <w:r>
        <w:rPr>
          <w:rStyle w:val="StyleItaliques"/>
        </w:rPr>
        <w:t>alta konfido)</w:t>
      </w:r>
      <w:r>
        <w:rPr/>
        <w:t xml:space="preserve"> {2.2.2, Figuro 2.4}</w:t>
      </w:r>
    </w:p>
    <w:p>
      <w:pPr>
        <w:pStyle w:val="ParagrapheBlanc"/>
        <w:rPr/>
      </w:pPr>
      <w:r>
        <w:rPr>
          <w:rStyle w:val="StyleGras"/>
        </w:rPr>
        <w:t xml:space="preserve">A.4.3 </w:t>
      </w:r>
      <w:r>
        <w:rPr/>
        <w:t xml:space="preserve">Granda "emisiointerspaco" ekzistas inter tutmondaj GHG-emisioj en 2030 asociita kun la efektivigo de NDCoj anoncitaj antaŭ COP26 </w:t>
      </w:r>
      <w:r>
        <w:rPr>
          <w:rStyle w:val="Ancredenotedebasdepage"/>
        </w:rPr>
        <w:footnoteReference w:id="27"/>
      </w:r>
      <w:r>
        <w:rPr/>
        <w:t>kaj tiuj asociitaj kun modeligitaj mildigaj vojoj kiuj limigas varmiĝon al 1.5 °C (&gt;50%) kun neniu aŭ limigita superpaso. aŭ limigu varmiĝon al 2 °C (&gt;67%) supozante tujan agon (</w:t>
      </w:r>
      <w:r>
        <w:rPr>
          <w:rStyle w:val="StyleItaliques"/>
        </w:rPr>
        <w:t>alta konfido)</w:t>
      </w:r>
      <w:r>
        <w:rPr/>
        <w:t>. Ĉi tio igus verŝajne ke varmiĝo superos 1.5 °C dum la 21-a jarcento (</w:t>
      </w:r>
      <w:r>
        <w:rPr>
          <w:rStyle w:val="StyleItaliques"/>
        </w:rPr>
        <w:t>alta fido)</w:t>
      </w:r>
      <w:r>
        <w:rPr/>
        <w:t>. Tutmondaj modeligitaj mildigaj vojoj kiuj limigas varmiĝon al 1.5 °C (&gt;50%) kun neniu aŭ limigita superpaso aŭ limigas varmiĝon al 2 °C (&gt;67%) supozante tujan agon implicas profundajn tutmondajn GHG-emisioreduktojn ĉi tiun jardekon (</w:t>
      </w:r>
      <w:r>
        <w:rPr>
          <w:rStyle w:val="StyleItaliques"/>
        </w:rPr>
        <w:t>alta fido</w:t>
      </w:r>
      <w:r>
        <w:rPr/>
        <w:t>) (vidu SPM-Skatolo 1, Tabelo 1, B.6)</w:t>
      </w:r>
      <w:r>
        <w:rPr>
          <w:rStyle w:val="Ancredenotedebasdepage"/>
        </w:rPr>
        <w:footnoteReference w:id="28"/>
      </w:r>
      <w:r>
        <w:rPr/>
        <w:t>. Modeligitaj padoj kiuj estas kongruaj kun NDCoj anoncitaj antaŭ COP26 ĝis 2030 kaj supozas neniun pliiĝon en ambicio poste havas pli altajn emisiojn, kondukante al mediana mondvarmiĝo de 2.8 [2.1-3.4] °C antaŭ 2100 (meza fido)</w:t>
      </w:r>
      <w:r>
        <w:rPr>
          <w:rStyle w:val="StyleItaliques"/>
        </w:rPr>
        <w:t>.</w:t>
      </w:r>
      <w:r>
        <w:rPr/>
        <w:t xml:space="preserve"> Multaj landoj montris intencon atingi netan GHG aŭ net-nul CO</w:t>
      </w:r>
      <w:r>
        <w:rPr>
          <w:vertAlign w:val="subscript"/>
        </w:rPr>
        <w:t xml:space="preserve">2 </w:t>
      </w:r>
      <w:r>
        <w:rPr/>
        <w:t>ĉirkaŭ meze de jarcento sed promesoj malsamas trans landoj laŭ amplekso kaj specifeco, kaj limigitaj politikoj estas ĝis nun en loko por plenumi ilin. {2.3.1, Tabelo 2.2, Figuro 2.5; Tabelo 3.1; 4.1}</w:t>
      </w:r>
    </w:p>
    <w:p>
      <w:pPr>
        <w:pStyle w:val="ParagrapheBlanc"/>
        <w:rPr/>
      </w:pPr>
      <w:r>
        <w:rPr>
          <w:rStyle w:val="StyleGras"/>
        </w:rPr>
        <w:t xml:space="preserve">A.4.4 </w:t>
      </w:r>
      <w:r>
        <w:rPr/>
        <w:t>Politikkovrado estas neegala trans sektoroj (</w:t>
      </w:r>
      <w:r>
        <w:rPr>
          <w:rStyle w:val="StyleItaliques"/>
        </w:rPr>
        <w:t>alta fido)</w:t>
      </w:r>
      <w:r>
        <w:rPr/>
        <w:t>. Politikoj efektivigitaj antaŭ la fino de 2020 estas projekciitaj rezultigi pli altajn tutmondajn GHG-emisiojn en 2030 ol emisioj implicitaj de NDCoj, indikante "efektivigan breĉon" (</w:t>
      </w:r>
      <w:r>
        <w:rPr>
          <w:rStyle w:val="StyleItaliques"/>
        </w:rPr>
        <w:t>alta fido)</w:t>
      </w:r>
      <w:r>
        <w:rPr/>
        <w:t xml:space="preserve">. Sen plifortigo de politikoj, tutmonda varmiĝo de 3,2 [2,2–3,5]°C estas projektita antaŭ 2100 </w:t>
      </w:r>
      <w:r>
        <w:rPr>
          <w:rStyle w:val="StyleItaliques"/>
        </w:rPr>
        <w:t>(meza fido).</w:t>
      </w:r>
      <w:r>
        <w:rPr/>
        <w:t xml:space="preserve"> {2.2.2, 2.3.1, 3.1.1, Figuro 2.5} (Kesto SPM.1, Figuro SPM.5)</w:t>
      </w:r>
    </w:p>
    <w:p>
      <w:pPr>
        <w:pStyle w:val="ParagrapheBlanc"/>
        <w:rPr/>
      </w:pPr>
      <w:r>
        <w:rPr>
          <w:rStyle w:val="StyleGras"/>
        </w:rPr>
        <w:t xml:space="preserve">A.4.5 </w:t>
      </w:r>
      <w:r>
        <w:rPr/>
        <w:t xml:space="preserve">La adopto de malalt-emisaj teknologioj postrestas en la plej multaj evolulandoj, precipe la malplej evoluintaj, parte pro limigita financo, teknologio-disvolvo kaj translokigo, kaj kapablo </w:t>
      </w:r>
      <w:r>
        <w:rPr>
          <w:rStyle w:val="StyleItaliques"/>
        </w:rPr>
        <w:t>(meza fido).</w:t>
      </w:r>
      <w:r>
        <w:rPr/>
        <w:t xml:space="preserve"> La grandeco de klimataj financaj fluoj pliiĝis dum la lasta jardeko kaj financaj kanaloj pligrandiĝis, sed kresko malrapidiĝis ekde 2018 (</w:t>
      </w:r>
      <w:r>
        <w:rPr>
          <w:rStyle w:val="StyleItaliques"/>
        </w:rPr>
        <w:t>alta fido)</w:t>
      </w:r>
      <w:r>
        <w:rPr/>
        <w:t>. Financaj fluoj evoluis heterogene tra regionoj kaj sektoroj (</w:t>
      </w:r>
      <w:r>
        <w:rPr>
          <w:rStyle w:val="StyleItaliques"/>
        </w:rPr>
        <w:t>alta fido)</w:t>
      </w:r>
      <w:r>
        <w:rPr/>
        <w:t>. Publikaj kaj privataj financaj fluoj por fosiliaj fueloj estas ankoraŭ pli grandaj ol tiuj por klimata adapto kaj mildigo (</w:t>
      </w:r>
      <w:r>
        <w:rPr>
          <w:rStyle w:val="StyleItaliques"/>
        </w:rPr>
        <w:t>alta fido)</w:t>
      </w:r>
      <w:r>
        <w:rPr/>
        <w:t>. La superforta plimulto de spurita klimata financo estas direktita al mildigo, sed tamen malsuperas la nivelojn necesajn por limigi varmiĝon sub 2°C aŭ ĝis 1,5 °C tra ĉiuj sektoroj kaj regionoj (vidu C7.2) (tre alta fido)</w:t>
      </w:r>
      <w:r>
        <w:rPr>
          <w:rStyle w:val="StyleItaliques"/>
        </w:rPr>
        <w:t>.</w:t>
      </w:r>
      <w:r>
        <w:rPr/>
        <w:t xml:space="preserve"> En 2018, publikaj kaj publike mobilizitaj privataj klimataj financaj fluoj de evoluintaj al evolulandoj estis sub la kolektiva celo sub la UNFCCC kaj Pariza Interkonsento mobilizi USD 100 miliardojn jare antaŭ 2020 en la kunteksto de signifa mildiga agado kaj travidebleco pri efektivigo (</w:t>
      </w:r>
      <w:r>
        <w:rPr>
          <w:rStyle w:val="StyleItaliques"/>
        </w:rPr>
        <w:t>meza fido</w:t>
      </w:r>
      <w:r>
        <w:rPr/>
        <w:t>)</w:t>
      </w:r>
      <w:r>
        <w:rPr>
          <w:rStyle w:val="StyleItaliques"/>
        </w:rPr>
        <w:t>.</w:t>
      </w:r>
      <w:r>
        <w:rPr/>
        <w:t xml:space="preserve"> {2.2.2, 2.3.1, 2.3.3}</w:t>
      </w:r>
      <w:r>
        <w:rPr>
          <w:rFonts w:cs="TimesNewRomanPSMT"/>
          <w:color w:val="000000"/>
        </w:rPr>
        <w:t xml:space="preserve"> </w:t>
      </w:r>
      <w:r>
        <w:br w:type="page"/>
      </w:r>
    </w:p>
    <w:p>
      <w:pPr>
        <w:pStyle w:val="Titre1"/>
        <w:numPr>
          <w:ilvl w:val="0"/>
          <w:numId w:val="2"/>
        </w:numPr>
        <w:ind w:left="630" w:right="0" w:hanging="0"/>
        <w:rPr/>
      </w:pPr>
      <w:bookmarkStart w:id="3" w:name="__RefHeading___Toc76387_355317784"/>
      <w:bookmarkEnd w:id="3"/>
      <w:r>
        <w:rPr/>
        <w:t xml:space="preserve">B. </w:t>
        <w:tab/>
        <w:t>Estonta Klimata Ŝanĝo, Riskoj kaj Longtempaj Respondoj</w:t>
      </w:r>
    </w:p>
    <w:p>
      <w:pPr>
        <w:pStyle w:val="ParagrapheBlanc"/>
        <w:rPr/>
      </w:pPr>
      <w:r>
        <mc:AlternateContent>
          <mc:Choice Requires="wps">
            <w:drawing>
              <wp:anchor behindDoc="1" distT="6350" distB="6350" distL="6350" distR="6350" simplePos="0" locked="0" layoutInCell="0" allowOverlap="1" relativeHeight="22">
                <wp:simplePos x="0" y="0"/>
                <wp:positionH relativeFrom="page">
                  <wp:posOffset>0</wp:posOffset>
                </wp:positionH>
                <wp:positionV relativeFrom="paragraph">
                  <wp:posOffset>-6350</wp:posOffset>
                </wp:positionV>
                <wp:extent cx="13335" cy="13335"/>
                <wp:effectExtent l="0" t="0" r="0" b="0"/>
                <wp:wrapNone/>
                <wp:docPr id="51" name="Freeform 186"/>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26">
                <wp:simplePos x="0" y="0"/>
                <wp:positionH relativeFrom="page">
                  <wp:posOffset>65405</wp:posOffset>
                </wp:positionH>
                <wp:positionV relativeFrom="paragraph">
                  <wp:posOffset>-808990</wp:posOffset>
                </wp:positionV>
                <wp:extent cx="13335" cy="13335"/>
                <wp:effectExtent l="0" t="0" r="0" b="0"/>
                <wp:wrapNone/>
                <wp:docPr id="52" name="Freeform 190"/>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27">
                <wp:simplePos x="0" y="0"/>
                <wp:positionH relativeFrom="page">
                  <wp:posOffset>65405</wp:posOffset>
                </wp:positionH>
                <wp:positionV relativeFrom="paragraph">
                  <wp:posOffset>-808990</wp:posOffset>
                </wp:positionV>
                <wp:extent cx="13335" cy="13335"/>
                <wp:effectExtent l="0" t="0" r="0" b="0"/>
                <wp:wrapNone/>
                <wp:docPr id="53" name="Freeform 191"/>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0">
                <wp:simplePos x="0" y="0"/>
                <wp:positionH relativeFrom="page">
                  <wp:posOffset>0</wp:posOffset>
                </wp:positionH>
                <wp:positionV relativeFrom="paragraph">
                  <wp:posOffset>1124585</wp:posOffset>
                </wp:positionV>
                <wp:extent cx="13335" cy="13335"/>
                <wp:effectExtent l="0" t="0" r="0" b="0"/>
                <wp:wrapNone/>
                <wp:docPr id="54" name="Freeform 188"/>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1">
                <wp:simplePos x="0" y="0"/>
                <wp:positionH relativeFrom="page">
                  <wp:posOffset>0</wp:posOffset>
                </wp:positionH>
                <wp:positionV relativeFrom="paragraph">
                  <wp:posOffset>1124585</wp:posOffset>
                </wp:positionV>
                <wp:extent cx="13335" cy="13335"/>
                <wp:effectExtent l="0" t="0" r="0" b="0"/>
                <wp:wrapNone/>
                <wp:docPr id="55" name="Freeform 189"/>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4">
                <wp:simplePos x="0" y="0"/>
                <wp:positionH relativeFrom="page">
                  <wp:posOffset>0</wp:posOffset>
                </wp:positionH>
                <wp:positionV relativeFrom="paragraph">
                  <wp:posOffset>-6350</wp:posOffset>
                </wp:positionV>
                <wp:extent cx="13335" cy="13335"/>
                <wp:effectExtent l="0" t="0" r="0" b="0"/>
                <wp:wrapNone/>
                <wp:docPr id="56" name="Freeform 18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55">
                <wp:simplePos x="0" y="0"/>
                <wp:positionH relativeFrom="page">
                  <wp:posOffset>65405</wp:posOffset>
                </wp:positionH>
                <wp:positionV relativeFrom="paragraph">
                  <wp:posOffset>161290</wp:posOffset>
                </wp:positionV>
                <wp:extent cx="13335" cy="13335"/>
                <wp:effectExtent l="0" t="0" r="0" b="0"/>
                <wp:wrapNone/>
                <wp:docPr id="57" name="Freeform 193"/>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56">
                <wp:simplePos x="0" y="0"/>
                <wp:positionH relativeFrom="page">
                  <wp:posOffset>65405</wp:posOffset>
                </wp:positionH>
                <wp:positionV relativeFrom="paragraph">
                  <wp:posOffset>161290</wp:posOffset>
                </wp:positionV>
                <wp:extent cx="13335" cy="13335"/>
                <wp:effectExtent l="0" t="0" r="0" b="0"/>
                <wp:wrapNone/>
                <wp:docPr id="58" name="Freeform 192"/>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Estonta Klimata Ŝanĝo</w:t>
      </w:r>
    </w:p>
    <w:p>
      <w:pPr>
        <w:pStyle w:val="ParagrapheBistre"/>
        <w:rPr/>
      </w:pPr>
      <w:r>
        <w:rPr>
          <w:rFonts w:ascii="TimesNewRomanPS-BoldMT;serif" w:hAnsi="TimesNewRomanPS-BoldMT;serif"/>
          <w:b/>
          <w:color w:val="1D1C1D"/>
        </w:rPr>
        <w:t xml:space="preserve">B.1 </w:t>
      </w:r>
      <w:r>
        <w:rPr/>
        <w:t>Daŭraj emisioj de forcej-efikaj gasoj kondukos al kreskanta mondvarmiĝo, kun la plej bona takso atingi 1,5 °C baldaŭ en pripensitaj scenaroj kaj modeligitaj vojoj. Ĉiu pliiĝo de mondvarmiĝo intensigos multoblajn kaj samtempajn danĝerojn (</w:t>
      </w:r>
      <w:r>
        <w:rPr>
          <w:rStyle w:val="StyleItaliques"/>
        </w:rPr>
        <w:t>alta fido)</w:t>
      </w:r>
      <w:r>
        <w:rPr/>
        <w:t>. Profundaj, rapidaj kaj daŭrantaj reduktoj en forcej-efikaj gasoj kondukus al videbla malrapidiĝo de mondvarmiĝo ene de proksimume du jardekoj, kaj ankaŭ al videblaj ŝanĝoj en atmosfera kunmetaĵo ene de kelkaj jaroj (alta fido)</w:t>
      </w:r>
      <w:r>
        <w:rPr>
          <w:rStyle w:val="StyleItaliques"/>
        </w:rPr>
        <w:t>.</w:t>
      </w:r>
      <w:r>
        <w:rPr/>
        <w:t xml:space="preserve"> {Trans-Sekciaj Kestoj 1 kaj 2, 3.1, 3.3, Tabelo 3.1, Figuro 3.1, 4.3} (Figuro SPM.2, Kesto SPM.1)</w:t>
      </w:r>
    </w:p>
    <w:p>
      <w:pPr>
        <w:pStyle w:val="ParagrapheBlanc"/>
        <w:rPr/>
      </w:pPr>
      <w:r>
        <w:rPr>
          <w:rStyle w:val="StyleGras"/>
        </w:rPr>
        <w:t xml:space="preserve">B.1.1 </w:t>
      </w:r>
      <w:r>
        <w:rPr/>
        <w:t xml:space="preserve">Mondvarmiĝo </w:t>
      </w:r>
      <w:r>
        <w:rPr>
          <w:rStyle w:val="Ancredenotedebasdepage"/>
        </w:rPr>
        <w:footnoteReference w:id="29"/>
      </w:r>
      <w:r>
        <w:rPr/>
        <w:t>daŭre pliiĝos baldaŭ (2021-2040) ĉefe pro pliigitaj akumulaj CO</w:t>
      </w:r>
      <w:r>
        <w:rPr>
          <w:rStyle w:val="StyleNormalIndice"/>
        </w:rPr>
        <w:t>2</w:t>
      </w:r>
      <w:r>
        <w:rPr/>
        <w:t xml:space="preserve">-emisioj en preskaŭ ĉiuj konsiderataj scenaroj kaj modeligitaj vojoj. Baldaŭ, mondvarmiĝo </w:t>
      </w:r>
      <w:r>
        <w:rPr>
          <w:rStyle w:val="StyleItaliques"/>
        </w:rPr>
        <w:t xml:space="preserve">pli probable ol ne </w:t>
      </w:r>
      <w:r>
        <w:rPr/>
        <w:t xml:space="preserve">atingas 1.5 °C eĉ sub la tre malalta GHG-emisioscenaro (SSP1-1.9) kaj </w:t>
      </w:r>
      <w:r>
        <w:rPr>
          <w:rStyle w:val="StyleItaliques"/>
        </w:rPr>
        <w:t xml:space="preserve">verŝajne </w:t>
      </w:r>
      <w:r>
        <w:rPr/>
        <w:t xml:space="preserve">aŭ </w:t>
      </w:r>
      <w:r>
        <w:rPr>
          <w:rStyle w:val="StyleItaliques"/>
        </w:rPr>
        <w:t xml:space="preserve">tre verŝajne </w:t>
      </w:r>
      <w:r>
        <w:rPr/>
        <w:t xml:space="preserve">superos 1.5 °C sub pli altaj emisioscenaroj. En la pripensitaj scenaroj kaj modeligitaj vojoj, la plej bonaj taksoj de la tempo kiam la nivelo de mondvarmiĝo de 1.5 °C estas atingita kuŝas en la baldaŭa </w:t>
      </w:r>
      <w:r>
        <w:rPr>
          <w:rStyle w:val="Ancredenotedebasdepage"/>
        </w:rPr>
        <w:footnoteReference w:id="30"/>
      </w:r>
      <w:r>
        <w:rPr/>
        <w:t xml:space="preserve">. Mondvarmiĝo malpliiĝas sub 1.5°C antaŭ la fino de la 21-a jarcento en kelkaj scenaroj kaj modeligitaj vojoj (vidu B.7). La taksita klimata respondo al GHG-emisioscenaroj rezultigas plej bonan takson de varmiĝo por 2081-2100 kiu ampleksas intervalon de 1.4°C por tre malalta GHG-emisioscenaro (SSP1-1.9) ĝis 2.7°C por meza GHG-emisioscenaro (SSP2-4.5) kaj 4.4°C por tre alta GHG-emisio-scenaro (SSP5-8.5) </w:t>
      </w:r>
      <w:r>
        <w:rPr>
          <w:rStyle w:val="Ancredenotedebasdepage"/>
        </w:rPr>
        <w:footnoteReference w:id="31"/>
      </w:r>
      <w:r>
        <w:rPr/>
        <w:t xml:space="preserve">, kun pli mallarĝaj necertecintervaloj </w:t>
      </w:r>
      <w:r>
        <w:rPr>
          <w:rStyle w:val="Ancredenotedebasdepage"/>
        </w:rPr>
        <w:footnoteReference w:id="32"/>
      </w:r>
      <w:r>
        <w:rPr/>
        <w:t>ol por ekvivalentaj scenaroj en AR5. {Transsekcaj Kestoj 1 kaj 2, 3.1.1, 3.3.4, Tabelo 3.1, 4.3} (Kesto SPM.1)</w:t>
      </w:r>
    </w:p>
    <w:p>
      <w:pPr>
        <w:pStyle w:val="ParagrapheBlanc"/>
        <w:rPr/>
      </w:pPr>
      <w:r>
        <w:rPr>
          <w:rStyle w:val="StyleGras"/>
        </w:rPr>
        <w:t xml:space="preserve">B.1.2 </w:t>
      </w:r>
      <w:r>
        <w:rPr/>
        <w:t xml:space="preserve">Percepteblaj diferencoj en tendencoj de tutmonda surfactemperaturo inter kontrastaj GHG-emisioscenaroj (SSP1-1.9 kaj SSP1-2.6 kontraŭ SSP3-7.0 kaj SSP5-8.5) komencus eliri el natura ŝanĝebleco </w:t>
      </w:r>
      <w:r>
        <w:rPr>
          <w:rStyle w:val="Ancredenotedebasdepage"/>
        </w:rPr>
        <w:footnoteReference w:id="33"/>
      </w:r>
      <w:r>
        <w:rPr/>
        <w:t xml:space="preserve">ene de proksimume 20 jaroj. Sub tiuj kontrastaj scenaroj, videblaj efikoj aperus ene de jaroj por GHG-koncentriĝoj, kaj pli frue por aerkvalitoplibonigoj, pro la kombinitaj laŭcelaj aerpoluokontroloj kaj fortaj kaj daŭrantaj metanemisioreduktoj. Laŭcelaj reduktoj de aerpoluaĵemisioj kondukas al pli rapidaj plibonigoj en aerkvalito ene de jaroj komparite kun reduktoj en GHG-emisioj nur, sed longperspektive, pliaj plibonigoj estas projekciitaj en scenaroj kiuj kombinas laborojn por redukti aerajn poluaĵojn same kiel GHG-emisiojn </w:t>
      </w:r>
      <w:r>
        <w:rPr>
          <w:rStyle w:val="Ancredenotedebasdepage"/>
        </w:rPr>
        <w:footnoteReference w:id="34"/>
      </w:r>
      <w:r>
        <w:rPr/>
        <w:t>. (</w:t>
      </w:r>
      <w:r>
        <w:rPr>
          <w:rStyle w:val="StyleItaliques"/>
        </w:rPr>
        <w:t>alta konfido)</w:t>
      </w:r>
      <w:r>
        <w:rPr/>
        <w:t xml:space="preserve"> {3.1.1} (Kesto SPM.1)</w:t>
      </w:r>
    </w:p>
    <w:p>
      <w:pPr>
        <w:pStyle w:val="ParagrapheBlanc"/>
        <w:rPr/>
      </w:pPr>
      <w:r>
        <w:rPr>
          <w:rStyle w:val="StyleGras"/>
        </w:rPr>
        <w:t xml:space="preserve">B.1.3 </w:t>
      </w:r>
      <w:r>
        <w:rPr/>
        <w:t>Daŭraj emisioj plue influos ĉiujn ĉefajn klimatsistemojn. Kun ĉiu plia pliiĝo de mondvarmiĝo, ŝanĝoj en ekstremaĵoj daŭre iĝas pli grandaj. Daŭra mondvarmiĝo estas projekciita plu intensigi la tutmondan akvociklon, inkluzive de ĝia ŝanĝebleco, tutmonda musonpluvo, kaj tre malseka kaj tre seka vetero kaj klimataj eventoj kaj sezonoj (</w:t>
      </w:r>
      <w:r>
        <w:rPr>
          <w:rStyle w:val="StyleItaliques"/>
        </w:rPr>
        <w:t>alta fido</w:t>
      </w:r>
      <w:r>
        <w:rPr/>
        <w:t>)</w:t>
      </w:r>
      <w:r>
        <w:rPr>
          <w:rStyle w:val="StyleItaliques"/>
        </w:rPr>
        <w:t>.</w:t>
      </w:r>
      <w:r>
        <w:rPr/>
        <w:t xml:space="preserve"> En scenaroj kun kreskantaj CO</w:t>
      </w:r>
      <w:r>
        <w:rPr>
          <w:vertAlign w:val="subscript"/>
        </w:rPr>
        <w:t xml:space="preserve">2 </w:t>
      </w:r>
      <w:r>
        <w:rPr/>
        <w:t>emisioj, natura tero kaj oceano karbonvujoj estas projekciitaj preni malpliiĝantan proporcion de tiuj emisioj (</w:t>
      </w:r>
      <w:r>
        <w:rPr>
          <w:rStyle w:val="StyleItaliques"/>
        </w:rPr>
        <w:t>alta fido)</w:t>
      </w:r>
      <w:r>
        <w:rPr/>
        <w:t xml:space="preserve">. Aliaj projekciitaj ŝanĝoj inkludas plu reduktitajn ampleksojn kaj/aŭ volumojn de preskaŭ ĉiuj kriosferaj elementoj </w:t>
      </w:r>
      <w:r>
        <w:rPr>
          <w:rStyle w:val="Ancredenotedebasdepage"/>
        </w:rPr>
        <w:footnoteReference w:id="35"/>
      </w:r>
      <w:r>
        <w:rPr/>
        <w:t>(</w:t>
      </w:r>
      <w:r>
        <w:rPr>
          <w:rStyle w:val="StyleItaliques"/>
        </w:rPr>
        <w:t>alta fido)</w:t>
      </w:r>
      <w:r>
        <w:rPr/>
        <w:t>, plian tutmondan mezan marnivelpliiĝon (</w:t>
      </w:r>
      <w:r>
        <w:rPr>
          <w:rStyle w:val="StyleItaliques"/>
        </w:rPr>
        <w:t>praktike certa)</w:t>
      </w:r>
      <w:r>
        <w:rPr/>
        <w:t>, kaj pliigitan oceanacidiĝon (</w:t>
      </w:r>
      <w:r>
        <w:rPr>
          <w:rStyle w:val="StyleItaliques"/>
        </w:rPr>
        <w:t>praktike certa)</w:t>
      </w:r>
      <w:r>
        <w:rPr/>
        <w:t xml:space="preserve"> kaj senoksigenadon (</w:t>
      </w:r>
      <w:r>
        <w:rPr>
          <w:rStyle w:val="StyleItaliques"/>
        </w:rPr>
        <w:t>alta fido)</w:t>
      </w:r>
      <w:r>
        <w:rPr/>
        <w:t>. {3.1.1, 3.3.1, Figuro 3.4} (Figuro SPM.2)</w:t>
      </w:r>
    </w:p>
    <w:p>
      <w:pPr>
        <w:pStyle w:val="ParagrapheBlanc"/>
        <w:rPr/>
      </w:pPr>
      <w:r>
        <w:rPr>
          <w:rStyle w:val="StyleGras"/>
        </w:rPr>
        <w:t xml:space="preserve">B.1.4 </w:t>
      </w:r>
      <w:r>
        <w:rPr/>
        <w:t>Kun plia varmiĝo, ĉiu regiono estas projekciita ĉiam pli sperti samtempajn kaj multoblajn ŝanĝojn en klimataj efiko-motoroj. Kunmetitaj varmondoj kaj aridoj estas projekciitaj iĝi pli oftaj, inkluzive de samtempaj okazaĵoj trans multoblaj lokoj (</w:t>
      </w:r>
      <w:r>
        <w:rPr>
          <w:rStyle w:val="StyleItaliques"/>
        </w:rPr>
        <w:t>alta fido)</w:t>
      </w:r>
      <w:r>
        <w:rPr/>
        <w:t>. Pro relativa marnivelaltiĝo, nunaj 1-en-100-jaraj ekstremaj marnivelokazaĵoj estas projekciitaj okazi almenaŭ ĉiujare en pli ol duono de ĉiuj tajdomezurlokoj antaŭ 2100 sub ĉiuj pripensitaj scenaroj (alta fido)</w:t>
      </w:r>
      <w:r>
        <w:rPr>
          <w:rStyle w:val="StyleItaliques"/>
        </w:rPr>
        <w:t>.</w:t>
      </w:r>
      <w:r>
        <w:rPr/>
        <w:t xml:space="preserve"> Aliaj projekciitaj regionaj ŝanĝoj inkludas intensigon de tropikaj ciklonoj kaj/aŭ ekstertropikaj ŝtormoj </w:t>
      </w:r>
      <w:r>
        <w:rPr>
          <w:rStyle w:val="StyleItaliques"/>
        </w:rPr>
        <w:t xml:space="preserve">(meza fido) </w:t>
      </w:r>
      <w:r>
        <w:rPr/>
        <w:t>, kaj pliiĝoj en arideco kaj fajrovetero (</w:t>
      </w:r>
      <w:r>
        <w:rPr>
          <w:rStyle w:val="StyleItaliques"/>
        </w:rPr>
        <w:t>meza</w:t>
      </w:r>
      <w:r>
        <w:rPr/>
        <w:t xml:space="preserve"> ĝis </w:t>
      </w:r>
      <w:r>
        <w:rPr>
          <w:rStyle w:val="StyleItaliques"/>
        </w:rPr>
        <w:t>alta fido)</w:t>
      </w:r>
      <w:r>
        <w:rPr/>
        <w:t xml:space="preserve"> {3.1.1, 3.1.3}</w:t>
      </w:r>
    </w:p>
    <w:p>
      <w:pPr>
        <w:pStyle w:val="ParagrapheBlanc"/>
        <w:rPr/>
      </w:pPr>
      <w:r>
        <w:rPr>
          <w:rStyle w:val="StyleGras"/>
        </w:rPr>
        <w:t xml:space="preserve">B.1.5 </w:t>
      </w:r>
      <w:r>
        <w:rPr/>
        <w:t>Natura ŝanĝebleco daŭre modulos klimatajn ŝanĝojn kaŭzitajn de homoj, aŭ mildigante aŭ plifortigante projektitajn ŝanĝojn, kun malmulte da efiko al jarcentskala mondvarmiĝo (</w:t>
      </w:r>
      <w:r>
        <w:rPr>
          <w:rStyle w:val="StyleItaliques"/>
        </w:rPr>
        <w:t>alta fido)</w:t>
      </w:r>
      <w:r>
        <w:rPr/>
        <w:t xml:space="preserve">. Ĉi tiuj moduladoj estas grave konsideri en adaptadoplanado, precipe ĉe la regiona skalo kaj baldaŭ. Se granda eksplodema vulkana erupcio okazus </w:t>
      </w:r>
      <w:r>
        <w:rPr>
          <w:rStyle w:val="Ancredenotedebasdepage"/>
        </w:rPr>
        <w:footnoteReference w:id="36"/>
      </w:r>
      <w:r>
        <w:rPr/>
        <w:t xml:space="preserve">, ĝi provizore kaj parte maskus hom-kaŭzitan klimatan ŝanĝon reduktante tutmondan surfactemperaturon kaj precipitaĵon dum unu ĝis tri jaroj </w:t>
      </w:r>
      <w:r>
        <w:rPr>
          <w:rStyle w:val="StyleItaliques"/>
        </w:rPr>
        <w:t>(meza fido).</w:t>
      </w:r>
      <w:r>
        <w:rPr/>
        <w:t xml:space="preserve"> {4.3}</w:t>
      </w:r>
    </w:p>
    <w:p>
      <w:pPr>
        <w:pStyle w:val="ParagrapheBlanc"/>
        <w:rPr/>
      </w:pPr>
      <w:r>
        <mc:AlternateContent>
          <mc:Choice Requires="wps">
            <w:drawing>
              <wp:anchor behindDoc="0" distT="6350" distB="6350" distL="6350" distR="6350" simplePos="0" locked="0" layoutInCell="0" allowOverlap="1" relativeHeight="57">
                <wp:simplePos x="0" y="0"/>
                <wp:positionH relativeFrom="page">
                  <wp:posOffset>6720840</wp:posOffset>
                </wp:positionH>
                <wp:positionV relativeFrom="paragraph">
                  <wp:posOffset>-5715</wp:posOffset>
                </wp:positionV>
                <wp:extent cx="13335" cy="13335"/>
                <wp:effectExtent l="0" t="0" r="0" b="0"/>
                <wp:wrapNone/>
                <wp:docPr id="59" name="Freeform 35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8">
                <wp:simplePos x="0" y="0"/>
                <wp:positionH relativeFrom="page">
                  <wp:posOffset>6720840</wp:posOffset>
                </wp:positionH>
                <wp:positionV relativeFrom="paragraph">
                  <wp:posOffset>-5715</wp:posOffset>
                </wp:positionV>
                <wp:extent cx="13335" cy="13335"/>
                <wp:effectExtent l="0" t="0" r="0" b="0"/>
                <wp:wrapNone/>
                <wp:docPr id="60" name="Freeform 356"/>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[KOMENCU FIGURON SPM.2 ĈI TIE]</w:t>
      </w:r>
      <w:r>
        <w:br w:type="page"/>
      </w:r>
    </w:p>
    <w:p>
      <w:pPr>
        <w:pStyle w:val="Normal"/>
        <w:rPr>
          <w:color w:val="000000"/>
          <w:sz w:val="24"/>
          <w:szCs w:val="24"/>
        </w:rPr>
      </w:pPr>
      <w:r>
        <w:rPr>
          <w:color w:val="000000"/>
          <w:sz w:val="24"/>
          <w:szCs w:val="24"/>
        </w:rPr>
        <mc:AlternateContent>
          <mc:Choice Requires="wpg">
            <w:drawing>
              <wp:anchor behindDoc="0" distT="0" distB="0" distL="0" distR="0" simplePos="0" locked="0" layoutInCell="0" allowOverlap="1" relativeHeight="70">
                <wp:simplePos x="0" y="0"/>
                <wp:positionH relativeFrom="column">
                  <wp:posOffset>347980</wp:posOffset>
                </wp:positionH>
                <wp:positionV relativeFrom="paragraph">
                  <wp:posOffset>218440</wp:posOffset>
                </wp:positionV>
                <wp:extent cx="6931660" cy="8194040"/>
                <wp:effectExtent l="0" t="0" r="0" b="0"/>
                <wp:wrapNone/>
                <wp:docPr id="61" name="Image1"/>
                <a:graphic xmlns:a="http://schemas.openxmlformats.org/drawingml/2006/main">
                  <a:graphicData uri="http://schemas.microsoft.com/office/word/2010/wordprocessingGroup">
                    <wpg:wgp>
                      <wpg:cNvGrpSpPr/>
                      <wpg:grpSpPr>
                        <a:xfrm>
                          <a:off x="0" y="0"/>
                          <a:ext cx="6931080" cy="8193240"/>
                          <a:chOff x="348120" y="218520"/>
                          <a:chExt cx="6931080" cy="8193240"/>
                        </a:xfrm>
                      </wpg:grpSpPr>
                      <pic:pic xmlns:pic="http://schemas.openxmlformats.org/drawingml/2006/picture">
                        <pic:nvPicPr>
                          <pic:cNvPr id="1" name="" descr=""/>
                          <pic:cNvPicPr/>
                        </pic:nvPicPr>
                        <pic:blipFill>
                          <a:blip r:embed="rId10"/>
                          <a:stretch/>
                        </pic:blipFill>
                        <pic:spPr>
                          <a:xfrm>
                            <a:off x="1440" y="1689120"/>
                            <a:ext cx="6858720" cy="6504480"/>
                          </a:xfrm>
                          <a:prstGeom prst="rect">
                            <a:avLst/>
                          </a:prstGeom>
                          <a:ln w="0">
                            <a:noFill/>
                          </a:ln>
                        </pic:spPr>
                      </pic:pic>
                      <wps:wsp>
                        <wps:cNvSpPr/>
                        <wps:spPr>
                          <a:xfrm>
                            <a:off x="504720" y="1419840"/>
                            <a:ext cx="1406520" cy="761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val="false"/>
                                  <w:u w:val="none"/>
                                  <w:dstrike w:val="false"/>
                                  <w:strike w:val="false"/>
                                  <w:i/>
                                  <w:vertAlign w:val="baseline"/>
                                  <w:position w:val="0"/>
                                  <w:spacing w:val="0"/>
                                  <w:szCs w:val="24"/>
                                  <w:bCs w:val="false"/>
                                  <w:iCs/>
                                  <w:smallCaps w:val="false"/>
                                  <w:caps w:val="false"/>
                                  <w:rFonts w:ascii="Arial" w:hAnsi="Arial" w:eastAsia="Microsoft YaHei" w:cs="Lucida Sans"/>
                                  <w:color w:val="00000A"/>
                                  <w:lang w:val="eo"/>
                                </w:rPr>
                                <w:t>2011-2020 estis ĉirkaŭ 1.1 °C pli varma ol 1850-1900</w:t>
                              </w:r>
                            </w:p>
                          </w:txbxContent>
                        </wps:txbx>
                        <wps:bodyPr lIns="90000" rIns="90000" tIns="45000" bIns="45000" anchor="t">
                          <a:noAutofit/>
                        </wps:bodyPr>
                      </wps:wsp>
                      <wps:wsp>
                        <wps:cNvSpPr/>
                        <wps:spPr>
                          <a:xfrm>
                            <a:off x="1477800" y="609120"/>
                            <a:ext cx="4112280" cy="7462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val="false"/>
                                  <w:u w:val="none"/>
                                  <w:dstrike w:val="false"/>
                                  <w:strike w:val="false"/>
                                  <w:i w:val="false"/>
                                  <w:vertAlign w:val="baseline"/>
                                  <w:position w:val="0"/>
                                  <w:spacing w:val="0"/>
                                  <w:szCs w:val="24"/>
                                  <w:bCs w:val="false"/>
                                  <w:iCs w:val="false"/>
                                  <w:smallCaps w:val="false"/>
                                  <w:caps w:val="false"/>
                                  <w:rFonts w:ascii="Arial" w:hAnsi="Arial" w:eastAsia="Microsoft YaHei" w:cs="Lucida Sans"/>
                                  <w:color w:val="00000A"/>
                                  <w:lang w:val="eo"/>
                                </w:rPr>
                                <w:t>Lastfoje kiam la tutmonda surfactemperaturo estis daŭrigita je aŭ super 2.5 °C estis antaŭ pli ol 3 milionoj da jaroj</w:t>
                              </w:r>
                            </w:p>
                          </w:txbxContent>
                        </wps:txbx>
                        <wps:bodyPr lIns="90000" rIns="90000" tIns="45000" bIns="45000" anchor="t">
                          <a:noAutofit/>
                        </wps:bodyPr>
                      </wps:wsp>
                      <wps:wsp>
                        <wps:cNvSpPr/>
                        <wps:spPr>
                          <a:xfrm>
                            <a:off x="180360" y="0"/>
                            <a:ext cx="6426360" cy="7099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30"/>
                                  <w:b/>
                                  <w:u w:val="none"/>
                                  <w:dstrike w:val="false"/>
                                  <w:strike w:val="false"/>
                                  <w:i w:val="false"/>
                                  <w:vertAlign w:val="baseline"/>
                                  <w:position w:val="0"/>
                                  <w:spacing w:val="0"/>
                                  <w:szCs w:val="30"/>
                                  <w:bCs/>
                                  <w:iCs w:val="false"/>
                                  <w:smallCaps w:val="false"/>
                                  <w:caps w:val="false"/>
                                  <w:rFonts w:ascii="Arial" w:hAnsi="Arial" w:eastAsia="Microsoft YaHei" w:cs="Lucida Sans"/>
                                  <w:color w:val="00000A"/>
                                  <w:lang w:val="eo"/>
                                </w:rPr>
                                <w:t>Kun ĉiu pliiĝo de mondvarmiĝo, regionaj ŝanĝoj en averaĝa klimato kaj ekstremoj iĝas pli disvastigitaj kaj prononcitaj.</w:t>
                              </w:r>
                            </w:p>
                          </w:txbxContent>
                        </wps:txbx>
                        <wps:bodyPr lIns="90000" rIns="90000" tIns="45000" bIns="45000" anchor="t">
                          <a:noAutofit/>
                        </wps:bodyPr>
                      </wps:wsp>
                      <wps:wsp>
                        <wps:cNvSpPr/>
                        <wps:spPr>
                          <a:xfrm>
                            <a:off x="2169720" y="1967400"/>
                            <a:ext cx="788040" cy="410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wps:txbx>
                        <wps:bodyPr lIns="90000" rIns="90000" tIns="45000" bIns="45000" anchor="t">
                          <a:noAutofit/>
                        </wps:bodyPr>
                      </wps:wsp>
                      <wps:wsp>
                        <wps:cNvSpPr/>
                        <wps:spPr>
                          <a:xfrm>
                            <a:off x="2169720" y="1967760"/>
                            <a:ext cx="788040" cy="410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wps:txbx>
                        <wps:bodyPr lIns="90000" rIns="90000" tIns="45000" bIns="45000" anchor="t">
                          <a:noAutofit/>
                        </wps:bodyPr>
                      </wps:wsp>
                      <wps:wsp>
                        <wps:cNvSpPr/>
                        <wps:spPr>
                          <a:xfrm>
                            <a:off x="2169720" y="1967760"/>
                            <a:ext cx="788040" cy="410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wps:txbx>
                        <wps:bodyPr lIns="90000" rIns="90000" tIns="45000" bIns="45000" anchor="t">
                          <a:noAutofit/>
                        </wps:bodyPr>
                      </wps:wsp>
                      <wps:wsp>
                        <wps:cNvSpPr/>
                        <wps:spPr>
                          <a:xfrm>
                            <a:off x="2890440" y="1967400"/>
                            <a:ext cx="789480" cy="410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+2°C</w:t>
                              </w:r>
                            </w:p>
                          </w:txbxContent>
                        </wps:txbx>
                        <wps:bodyPr lIns="90000" rIns="90000" tIns="45000" bIns="45000" anchor="t">
                          <a:noAutofit/>
                        </wps:bodyPr>
                      </wps:wsp>
                      <wps:wsp>
                        <wps:cNvSpPr/>
                        <wps:spPr>
                          <a:xfrm>
                            <a:off x="2169720" y="1967760"/>
                            <a:ext cx="788040" cy="410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wps:txbx>
                        <wps:bodyPr lIns="90000" rIns="90000" tIns="45000" bIns="45000" anchor="t">
                          <a:noAutofit/>
                        </wps:bodyPr>
                      </wps:wsp>
                      <wps:wsp>
                        <wps:cNvSpPr/>
                        <wps:spPr>
                          <a:xfrm>
                            <a:off x="4261320" y="1952640"/>
                            <a:ext cx="789480" cy="409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+3°C</w:t>
                              </w:r>
                            </w:p>
                          </w:txbxContent>
                        </wps:txbx>
                        <wps:bodyPr lIns="90000" rIns="90000" tIns="45000" bIns="45000" anchor="t">
                          <a:noAutofit/>
                        </wps:bodyPr>
                      </wps:wsp>
                      <wps:wsp>
                        <wps:cNvSpPr/>
                        <wps:spPr>
                          <a:xfrm>
                            <a:off x="5600880" y="1967400"/>
                            <a:ext cx="789480" cy="410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+4°C</w:t>
                              </w:r>
                            </w:p>
                          </w:txbxContent>
                        </wps:txbx>
                        <wps:bodyPr lIns="90000" rIns="90000" tIns="45000" bIns="45000" anchor="t">
                          <a:noAutofit/>
                        </wps:bodyPr>
                      </wps:wsp>
                      <wps:wsp>
                        <wps:cNvSpPr/>
                        <wps:spPr>
                          <a:xfrm>
                            <a:off x="1951920" y="2560320"/>
                            <a:ext cx="3500280" cy="2235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FFFFFF"/>
                                  <w:lang w:val="eo"/>
                                </w:rPr>
                                <w:t>Mondvarmiĝo-nivelo (GWL) super 1850-1900</w:t>
                              </w:r>
                            </w:p>
                          </w:txbxContent>
                        </wps:txbx>
                        <wps:bodyPr lIns="90000" rIns="90000" tIns="45000" bIns="45000" anchor="t">
                          <a:noAutofit/>
                        </wps:bodyPr>
                      </wps:wsp>
                      <wps:wsp>
                        <wps:cNvSpPr/>
                        <wps:spPr>
                          <a:xfrm>
                            <a:off x="71640" y="3340080"/>
                            <a:ext cx="3088800" cy="253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a) Jara plej varma taga temperaturŝanĝo</w:t>
                              </w:r>
                            </w:p>
                          </w:txbxContent>
                        </wps:txbx>
                        <wps:bodyPr lIns="90000" rIns="90000" tIns="45000" bIns="45000" anchor="t">
                          <a:noAutofit/>
                        </wps:bodyPr>
                      </wps:wsp>
                      <wps:wsp>
                        <wps:cNvSpPr/>
                        <wps:spPr>
                          <a:xfrm>
                            <a:off x="1951920" y="3553560"/>
                            <a:ext cx="1050840" cy="2242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 (°C)</w:t>
                              </w:r>
                            </w:p>
                          </w:txbxContent>
                        </wps:txbx>
                        <wps:bodyPr lIns="90000" rIns="90000" tIns="45000" bIns="45000" anchor="t">
                          <a:noAutofit/>
                        </wps:bodyPr>
                      </wps:wsp>
                      <wps:wsp>
                        <wps:cNvSpPr/>
                        <wps:spPr>
                          <a:xfrm>
                            <a:off x="2907000" y="3340080"/>
                            <a:ext cx="2996640" cy="477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Ĉiujara plej varma tagtemperaturo estas projekciita pliiĝi plej (1.5 - 2 fojojn la GWL) en kelkaj mez-latitudaj kaj semi-aridaj regionoj, kaj en la sudamerika musonregiono.</w:t>
                              </w:r>
                            </w:p>
                          </w:txbxContent>
                        </wps:txbx>
                        <wps:bodyPr lIns="90000" rIns="90000" tIns="45000" bIns="45000" anchor="t">
                          <a:noAutofit/>
                        </wps:bodyPr>
                      </wps:wsp>
                      <wps:wsp>
                        <wps:cNvSpPr/>
                        <wps:spPr>
                          <a:xfrm>
                            <a:off x="0" y="5034960"/>
                            <a:ext cx="3579480" cy="2527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b) Jara averaĝo de tuta humidŝanĝo en grunda kolumno</w:t>
                              </w:r>
                            </w:p>
                          </w:txbxContent>
                        </wps:txbx>
                        <wps:bodyPr lIns="90000" rIns="90000" tIns="45000" bIns="45000" anchor="t">
                          <a:noAutofit/>
                        </wps:bodyPr>
                      </wps:wsp>
                      <wps:wsp>
                        <wps:cNvSpPr/>
                        <wps:spPr>
                          <a:xfrm>
                            <a:off x="1904400" y="5222160"/>
                            <a:ext cx="909360" cy="2527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 xml:space="preserve">ŝanĝo ( </w:t>
                              </w:r>
                              <w:r>
                                <w:rPr>
                                  <w:sz w:val="20"/>
                                  <w:b w:val="false"/>
                                  <w:u w:val="none"/>
                                  <w:dstrike w:val="false"/>
                                  <w:strike w:val="false"/>
                                  <w:i w:val="false"/>
                                  <w:vertAlign w:val="baseline"/>
                                  <w:position w:val="0"/>
                                  <w:spacing w:val="0"/>
                                  <w:szCs w:val="20"/>
                                  <w:bCs w:val="false"/>
                                  <w:iCs w:val="false"/>
                                  <w:smallCaps w:val="false"/>
                                  <w:caps w:val="false"/>
                                  <w:rFonts w:ascii="Arial" w:hAnsi="Arial" w:cs="Lucida Sans" w:eastAsia="Arial"/>
                                  <w:color w:val="00000A"/>
                                  <w:lang w:val="eo"/>
                                </w:rPr>
                                <w:t>σ )</w:t>
                              </w:r>
                            </w:p>
                          </w:txbxContent>
                        </wps:txbx>
                        <wps:bodyPr lIns="90000" rIns="90000" tIns="45000" bIns="45000" anchor="t">
                          <a:noAutofit/>
                        </wps:bodyPr>
                      </wps:wsp>
                      <wps:wsp>
                        <wps:cNvSpPr/>
                        <wps:spPr>
                          <a:xfrm>
                            <a:off x="3483720" y="4965120"/>
                            <a:ext cx="2473200" cy="536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Projekcioj de ĉiujara averaĝa grundhumido plejparte sekvas projekciojn en ĉiujara averaĝa precipitaĵo sed ankaŭ montras kelkajn diferencojn pro la influo de evapotranspirado.</w:t>
                              </w:r>
                            </w:p>
                          </w:txbxContent>
                        </wps:txbx>
                        <wps:bodyPr lIns="90000" rIns="90000" tIns="45000" bIns="45000" anchor="t">
                          <a:noAutofit/>
                        </wps:bodyPr>
                      </wps:wsp>
                      <wps:wsp>
                        <wps:cNvSpPr/>
                        <wps:spPr>
                          <a:xfrm>
                            <a:off x="7560" y="6636960"/>
                            <a:ext cx="3094920" cy="252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C) Ĉiujara plej malseka-taga precipitaĵoŝanĝo</w:t>
                              </w:r>
                            </w:p>
                          </w:txbxContent>
                        </wps:txbx>
                        <wps:bodyPr lIns="90000" rIns="90000" tIns="45000" bIns="45000" anchor="t">
                          <a:noAutofit/>
                        </wps:bodyPr>
                      </wps:wsp>
                      <wps:wsp>
                        <wps:cNvSpPr/>
                        <wps:spPr>
                          <a:xfrm>
                            <a:off x="1916280" y="6842880"/>
                            <a:ext cx="1050120" cy="224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 (°C)</w:t>
                              </w:r>
                            </w:p>
                          </w:txbxContent>
                        </wps:txbx>
                        <wps:bodyPr lIns="90000" rIns="90000" tIns="45000" bIns="45000" anchor="t">
                          <a:noAutofit/>
                        </wps:bodyPr>
                      </wps:wsp>
                      <wps:wsp>
                        <wps:cNvSpPr/>
                        <wps:spPr>
                          <a:xfrm>
                            <a:off x="2962440" y="6681600"/>
                            <a:ext cx="2994840" cy="423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Ĉiujara plej malseka tagpluvo estas prognozita pliiĝi en preskaŭ ĉiuj kontinentaj regionoj, eĉ en regionoj kie prognozita ĉiujara averaĝa grunda humideco malpliiĝas.</w:t>
                              </w:r>
                            </w:p>
                          </w:txbxContent>
                        </wps:txbx>
                        <wps:bodyPr lIns="90000" rIns="90000" tIns="45000" bIns="45000" anchor="t">
                          <a:noAutofit/>
                        </wps:bodyPr>
                      </wps:wsp>
                      <wps:wsp>
                        <wps:cNvSpPr/>
                        <wps:spPr>
                          <a:xfrm>
                            <a:off x="6141600" y="6539760"/>
                            <a:ext cx="789480" cy="704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urbanizado plu intensigas varmegajn ekstremojn</w:t>
                              </w:r>
                            </w:p>
                          </w:txbxContent>
                        </wps:txbx>
                        <wps:bodyPr lIns="90000" rIns="90000" tIns="45000" bIns="45000" anchor="t">
                          <a:noAutofit/>
                        </wps:bodyPr>
                      </wps:wsp>
                      <wps:wsp>
                        <wps:cNvSpPr/>
                        <wps:spPr>
                          <a:xfrm>
                            <a:off x="6141600" y="3021480"/>
                            <a:ext cx="789480" cy="704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urbanizado plu intensigas varmegajn ekstremojn</w:t>
                              </w:r>
                            </w:p>
                          </w:txbxContent>
                        </wps:txbx>
                        <wps:bodyPr lIns="90000" rIns="90000" tIns="45000" bIns="45000" anchor="t">
                          <a:noAutofit/>
                        </wps:bodyPr>
                      </wps:wsp>
                    </wpg:wgp>
                  </a:graphicData>
                </a:graphic>
              </wp:anchor>
            </w:drawing>
          </mc:Choice>
          <mc:Fallback>
            <w:pict>
              <v:group id="shape_0" alt="Image1" style="position:absolute;margin-left:27.4pt;margin-top:17.2pt;width:545.75pt;height:645.15pt" coordorigin="548,344" coordsize="10915,12903">
                <v:shape id="shape_0" stroked="f" o:allowincell="f" style="position:absolute;left:550;top:3004;width:10800;height:10242;mso-wrap-style:none;v-text-anchor:middle" type="_x0000_t75">
                  <v:imagedata r:id="rId10" o:detectmouseclick="t"/>
                  <v:stroke color="#3465a4" joinstyle="round" endcap="flat"/>
                  <w10:wrap type="none"/>
                </v:shape>
                <v:rect id="shape_0" path="m0,0l-2147483645,0l-2147483645,-2147483646l0,-2147483646xe" stroked="f" o:allowincell="f" style="position:absolute;left:1343;top:2580;width:2214;height:1198;mso-wrap-style:square;v-text-anchor:top">
                  <v:textbox>
                    <w:txbxContent>
                      <w:p>
                        <w:pPr>
                          <w:overflowPunct w:val="false"/>
                          <w:spacing w:before="0" w:after="0" w:lineRule="auto" w:line="240"/>
                          <w:ind w:hanging="0"/>
                          <w:jc w:val="left"/>
                          <w:rPr/>
                        </w:pPr>
                        <w:r>
                          <w:rPr>
                            <w:sz w:val="24"/>
                            <w:b w:val="false"/>
                            <w:u w:val="none"/>
                            <w:dstrike w:val="false"/>
                            <w:strike w:val="false"/>
                            <w:i/>
                            <w:vertAlign w:val="baseline"/>
                            <w:position w:val="0"/>
                            <w:spacing w:val="0"/>
                            <w:szCs w:val="24"/>
                            <w:bCs w:val="false"/>
                            <w:iCs/>
                            <w:smallCaps w:val="false"/>
                            <w:caps w:val="false"/>
                            <w:rFonts w:ascii="Arial" w:hAnsi="Arial" w:eastAsia="Microsoft YaHei" w:cs="Lucida Sans"/>
                            <w:color w:val="00000A"/>
                            <w:lang w:val="eo"/>
                          </w:rPr>
                          <w:t>2011-2020 estis ĉirkaŭ 1.1 °C pli varma ol 1850-1900</w:t>
                        </w:r>
                      </w:p>
                    </w:txbxContent>
                  </v:textbox>
                  <v:fill o:detectmouseclick="t" on="false"/>
                  <v:stroke color="#3465a4" joinstyle="round" endcap="flat"/>
                  <w10:wrap type="none"/>
                </v:rect>
                <v:rect id="shape_0" path="m0,0l-2147483645,0l-2147483645,-2147483646l0,-2147483646xe" stroked="f" o:allowincell="f" style="position:absolute;left:2875;top:1303;width:6475;height:1174;mso-wrap-style:square;v-text-anchor:top">
                  <v:textbox>
                    <w:txbxContent>
                      <w:p>
                        <w:pPr>
                          <w:overflowPunct w:val="false"/>
                          <w:spacing w:before="0" w:after="0" w:lineRule="auto" w:line="240"/>
                          <w:ind w:hanging="0"/>
                          <w:jc w:val="left"/>
                          <w:rPr/>
                        </w:pPr>
                        <w:r>
                          <w:rPr>
                            <w:sz w:val="24"/>
                            <w:b w:val="false"/>
                            <w:u w:val="none"/>
                            <w:dstrike w:val="false"/>
                            <w:strike w:val="false"/>
                            <w:i w:val="false"/>
                            <w:vertAlign w:val="baseline"/>
                            <w:position w:val="0"/>
                            <w:spacing w:val="0"/>
                            <w:szCs w:val="24"/>
                            <w:bCs w:val="false"/>
                            <w:iCs w:val="false"/>
                            <w:smallCaps w:val="false"/>
                            <w:caps w:val="false"/>
                            <w:rFonts w:ascii="Arial" w:hAnsi="Arial" w:eastAsia="Microsoft YaHei" w:cs="Lucida Sans"/>
                            <w:color w:val="00000A"/>
                            <w:lang w:val="eo"/>
                          </w:rPr>
                          <w:t>Lastfoje kiam la tutmonda surfactemperaturo estis daŭrigita je aŭ super 2.5 °C estis antaŭ pli ol 3 milionoj da jaroj</w:t>
                        </w:r>
                      </w:p>
                    </w:txbxContent>
                  </v:textbox>
                  <v:fill o:detectmouseclick="t" on="false"/>
                  <v:stroke color="#3465a4" joinstyle="round" endcap="flat"/>
                  <w10:wrap type="none"/>
                </v:rect>
                <v:rect id="shape_0" path="m0,0l-2147483645,0l-2147483645,-2147483646l0,-2147483646xe" stroked="f" o:allowincell="f" style="position:absolute;left:832;top:344;width:10119;height:1117;mso-wrap-style:square;v-text-anchor:top">
                  <v:textbox>
                    <w:txbxContent>
                      <w:p>
                        <w:pPr>
                          <w:overflowPunct w:val="false"/>
                          <w:spacing w:before="0" w:after="0" w:lineRule="auto" w:line="240"/>
                          <w:ind w:hanging="0"/>
                          <w:jc w:val="left"/>
                          <w:rPr/>
                        </w:pPr>
                        <w:r>
                          <w:rPr>
                            <w:sz w:val="30"/>
                            <w:b/>
                            <w:u w:val="none"/>
                            <w:dstrike w:val="false"/>
                            <w:strike w:val="false"/>
                            <w:i w:val="false"/>
                            <w:vertAlign w:val="baseline"/>
                            <w:position w:val="0"/>
                            <w:spacing w:val="0"/>
                            <w:szCs w:val="30"/>
                            <w:bCs/>
                            <w:iCs w:val="false"/>
                            <w:smallCaps w:val="false"/>
                            <w:caps w:val="false"/>
                            <w:rFonts w:ascii="Arial" w:hAnsi="Arial" w:eastAsia="Microsoft YaHei" w:cs="Lucida Sans"/>
                            <w:color w:val="00000A"/>
                            <w:lang w:val="eo"/>
                          </w:rPr>
                          <w:t>Kun ĉiu pliiĝo de mondvarmiĝo, regionaj ŝanĝoj en averaĝa klimato kaj ekstremoj iĝas pli disvastigitaj kaj prononcitaj.</w:t>
                        </w:r>
                      </w:p>
                    </w:txbxContent>
                  </v:textbox>
                  <v:fill o:detectmouseclick="t" on="false"/>
                  <v:stroke color="#3465a4" joinstyle="round" endcap="flat"/>
                  <w10:wrap type="none"/>
                </v:rect>
                <v:rect id="shape_0" path="m0,0l-2147483645,0l-2147483645,-2147483646l0,-2147483646xe" stroked="f" o:allowincell="f" style="position:absolute;left:3965;top:3442;width:1240;height:646;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v:textbox>
                  <v:fill o:detectmouseclick="t" on="false"/>
                  <v:stroke color="#3465a4" joinstyle="round" endcap="flat"/>
                  <w10:wrap type="none"/>
                </v:rect>
                <v:rect id="shape_0" path="m0,0l-2147483645,0l-2147483645,-2147483646l0,-2147483646xe" stroked="f" o:allowincell="f" style="position:absolute;left:3965;top:3443;width:1240;height:645;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v:textbox>
                  <v:fill o:detectmouseclick="t" on="false"/>
                  <v:stroke color="#3465a4" joinstyle="round" endcap="flat"/>
                  <w10:wrap type="none"/>
                </v:rect>
                <v:rect id="shape_0" path="m0,0l-2147483645,0l-2147483645,-2147483646l0,-2147483646xe" stroked="f" o:allowincell="f" style="position:absolute;left:3965;top:3443;width:1240;height:645;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v:textbox>
                  <v:fill o:detectmouseclick="t" on="false"/>
                  <v:stroke color="#3465a4" joinstyle="round" endcap="flat"/>
                  <w10:wrap type="none"/>
                </v:rect>
                <v:rect id="shape_0" path="m0,0l-2147483645,0l-2147483645,-2147483646l0,-2147483646xe" stroked="f" o:allowincell="f" style="position:absolute;left:5100;top:3442;width:1242;height:646;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+2°C</w:t>
                        </w:r>
                      </w:p>
                    </w:txbxContent>
                  </v:textbox>
                  <v:fill o:detectmouseclick="t" on="false"/>
                  <v:stroke color="#3465a4" joinstyle="round" endcap="flat"/>
                  <w10:wrap type="none"/>
                </v:rect>
                <v:rect id="shape_0" path="m0,0l-2147483645,0l-2147483645,-2147483646l0,-2147483646xe" stroked="f" o:allowincell="f" style="position:absolute;left:3965;top:3443;width:1240;height:645;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+1,5 °C</w:t>
                        </w:r>
                      </w:p>
                    </w:txbxContent>
                  </v:textbox>
                  <v:fill o:detectmouseclick="t" on="false"/>
                  <v:stroke color="#3465a4" joinstyle="round" endcap="flat"/>
                  <w10:wrap type="none"/>
                </v:rect>
                <v:rect id="shape_0" path="m0,0l-2147483645,0l-2147483645,-2147483646l0,-2147483646xe" stroked="f" o:allowincell="f" style="position:absolute;left:7259;top:3419;width:1242;height:644;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+3°C</w:t>
                        </w:r>
                      </w:p>
                    </w:txbxContent>
                  </v:textbox>
                  <v:fill o:detectmouseclick="t" on="false"/>
                  <v:stroke color="#3465a4" joinstyle="round" endcap="flat"/>
                  <w10:wrap type="none"/>
                </v:rect>
                <v:rect id="shape_0" path="m0,0l-2147483645,0l-2147483645,-2147483646l0,-2147483646xe" stroked="f" o:allowincell="f" style="position:absolute;left:9369;top:3442;width:1242;height:646;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La mondo ĉe</w:t>
                        </w:r>
                        <w:r>
                          <w:rPr>
                            <w:b w:val="false"/>
                            <w:u w:val="none"/>
                            <w:dstrike w:val="false"/>
                            <w:strike w:val="false"/>
                            <w:i w:val="false"/>
                            <w:vertAlign w:val="baseline"/>
                            <w:position w:val="0"/>
                            <w:sz w:val="24"/>
                            <w:spacing w:val="0"/>
                            <w:bCs w:val="false"/>
                            <w:iCs w:val="false"/>
                            <w:smallCaps w:val="false"/>
                            <w:caps w:val="false"/>
                            <w:sz w:val="24"/>
                            <w:szCs w:val="24"/>
                            <w:rFonts w:ascii="Arial" w:hAnsi="Arial" w:eastAsia="Microsoft YaHei" w:cs="Lucida Sans"/>
                            <w:color w:val="00000A"/>
                            <w:lang w:val="eo"/>
                          </w:rPr>
                          <w:t xml:space="preserve"> </w:t>
                        </w:r>
                      </w:p>
                      <w:p>
                        <w:pPr>
                          <w:overflowPunct w:val="false"/>
                          <w:spacing w:before="0" w:after="0" w:lineRule="auto" w:line="240"/>
                          <w:ind w:hanging="0"/>
                          <w:jc w:val="center"/>
                          <w:rPr/>
                        </w:pPr>
                        <w:r>
                          <w:rPr>
                            <w:sz w:val="22"/>
                            <w:b/>
                            <w:u w:val="none"/>
                            <w:dstrike w:val="false"/>
                            <w:strike w:val="false"/>
                            <w:i w:val="false"/>
                            <w:vertAlign w:val="baseline"/>
                            <w:position w:val="0"/>
                            <w:spacing w:val="0"/>
                            <w:szCs w:val="22"/>
                            <w:bCs/>
                            <w:iCs w:val="false"/>
                            <w:smallCaps w:val="false"/>
                            <w:caps w:val="false"/>
                            <w:rFonts w:ascii="Arial" w:hAnsi="Arial" w:eastAsia="Microsoft YaHei" w:cs="Lucida Sans"/>
                            <w:color w:val="00000A"/>
                            <w:lang w:val="eo"/>
                          </w:rPr>
                          <w:t>+4°C</w:t>
                        </w:r>
                      </w:p>
                    </w:txbxContent>
                  </v:textbox>
                  <v:fill o:detectmouseclick="t" on="false"/>
                  <v:stroke color="#3465a4" joinstyle="round" endcap="flat"/>
                  <w10:wrap type="none"/>
                </v:rect>
                <v:rect id="shape_0" path="m0,0l-2147483645,0l-2147483645,-2147483646l0,-2147483646xe" stroked="f" o:allowincell="f" style="position:absolute;left:3622;top:4376;width:5511;height:351;mso-wrap-style:square;v-text-anchor:top">
                  <v:textbo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FFFFFF"/>
                            <w:lang w:val="eo"/>
                          </w:rPr>
                          <w:t>Mondvarmiĝo-nivelo (GWL) super 1850-1900</w:t>
                        </w:r>
                      </w:p>
                    </w:txbxContent>
                  </v:textbox>
                  <v:fill o:detectmouseclick="t" on="false"/>
                  <v:stroke color="#3465a4" joinstyle="round" endcap="flat"/>
                  <w10:wrap type="none"/>
                </v:rect>
                <v:rect id="shape_0" path="m0,0l-2147483645,0l-2147483645,-2147483646l0,-2147483646xe" stroked="f" o:allowincell="f" style="position:absolute;left:661;top:5604;width:4863;height:398;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a) Jara plej varma taga temperaturŝanĝo</w:t>
                        </w:r>
                      </w:p>
                    </w:txbxContent>
                  </v:textbox>
                  <v:fill o:detectmouseclick="t" on="false"/>
                  <v:stroke color="#3465a4" joinstyle="round" endcap="flat"/>
                  <w10:wrap type="none"/>
                </v:rect>
                <v:rect id="shape_0" path="m0,0l-2147483645,0l-2147483645,-2147483646l0,-2147483646xe" stroked="f" o:allowincell="f" style="position:absolute;left:3622;top:5940;width:1654;height:352;mso-wrap-style:square;v-text-anchor:top">
                  <v:textbo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 (°C)</w:t>
                        </w:r>
                      </w:p>
                    </w:txbxContent>
                  </v:textbox>
                  <v:fill o:detectmouseclick="t" on="false"/>
                  <v:stroke color="#3465a4" joinstyle="round" endcap="flat"/>
                  <w10:wrap type="none"/>
                </v:rect>
                <v:rect id="shape_0" path="m0,0l-2147483645,0l-2147483645,-2147483646l0,-2147483646xe" stroked="f" o:allowincell="f" style="position:absolute;left:5126;top:5604;width:4718;height:750;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Ĉiujara plej varma tagtemperaturo estas projekciita pliiĝi plej (1.5 - 2 fojojn la GWL) en kelkaj mez-latitudaj kaj semi-aridaj regionoj, kaj en la sudamerika musonregiono.</w:t>
                        </w:r>
                      </w:p>
                    </w:txbxContent>
                  </v:textbox>
                  <v:fill o:detectmouseclick="t" on="false"/>
                  <v:stroke color="#3465a4" joinstyle="round" endcap="flat"/>
                  <w10:wrap type="none"/>
                </v:rect>
                <v:rect id="shape_0" path="m0,0l-2147483645,0l-2147483645,-2147483646l0,-2147483646xe" stroked="f" o:allowincell="f" style="position:absolute;left:548;top:8273;width:5636;height:397;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b) Jara averaĝo de tuta humidŝanĝo en grunda kolumno</w:t>
                        </w:r>
                      </w:p>
                    </w:txbxContent>
                  </v:textbox>
                  <v:fill o:detectmouseclick="t" on="false"/>
                  <v:stroke color="#3465a4" joinstyle="round" endcap="flat"/>
                  <w10:wrap type="none"/>
                </v:rect>
                <v:rect id="shape_0" path="m0,0l-2147483645,0l-2147483645,-2147483646l0,-2147483646xe" stroked="f" o:allowincell="f" style="position:absolute;left:3547;top:8568;width:1431;height:397;mso-wrap-style:square;v-text-anchor:top">
                  <v:textbo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 xml:space="preserve">ŝanĝo ( </w:t>
                        </w:r>
                        <w:r>
                          <w:rPr>
                            <w:sz w:val="20"/>
                            <w:b w:val="false"/>
                            <w:u w:val="none"/>
                            <w:dstrike w:val="false"/>
                            <w:strike w:val="false"/>
                            <w:i w:val="false"/>
                            <w:vertAlign w:val="baseline"/>
                            <w:position w:val="0"/>
                            <w:spacing w:val="0"/>
                            <w:szCs w:val="20"/>
                            <w:bCs w:val="false"/>
                            <w:iCs w:val="false"/>
                            <w:smallCaps w:val="false"/>
                            <w:caps w:val="false"/>
                            <w:rFonts w:ascii="Arial" w:hAnsi="Arial" w:cs="Lucida Sans" w:eastAsia="Arial"/>
                            <w:color w:val="00000A"/>
                            <w:lang w:val="eo"/>
                          </w:rPr>
                          <w:t>σ )</w:t>
                        </w:r>
                      </w:p>
                    </w:txbxContent>
                  </v:textbox>
                  <v:fill o:detectmouseclick="t" on="false"/>
                  <v:stroke color="#3465a4" joinstyle="round" endcap="flat"/>
                  <w10:wrap type="none"/>
                </v:rect>
                <v:rect id="shape_0" path="m0,0l-2147483645,0l-2147483645,-2147483646l0,-2147483646xe" stroked="f" o:allowincell="f" style="position:absolute;left:6034;top:8163;width:3894;height:844;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Projekcioj de ĉiujara averaĝa grundhumido plejparte sekvas projekciojn en ĉiujara averaĝa precipitaĵo sed ankaŭ montras kelkajn diferencojn pro la influo de evapotranspirado.</w:t>
                        </w:r>
                      </w:p>
                    </w:txbxContent>
                  </v:textbox>
                  <v:fill o:detectmouseclick="t" on="false"/>
                  <v:stroke color="#3465a4" joinstyle="round" endcap="flat"/>
                  <w10:wrap type="none"/>
                </v:rect>
                <v:rect id="shape_0" path="m0,0l-2147483645,0l-2147483645,-2147483646l0,-2147483646xe" stroked="f" o:allowincell="f" style="position:absolute;left:560;top:10796;width:4873;height:396;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C) Ĉiujara plej malseka-taga precipitaĵoŝanĝo</w:t>
                        </w:r>
                      </w:p>
                    </w:txbxContent>
                  </v:textbox>
                  <v:fill o:detectmouseclick="t" on="false"/>
                  <v:stroke color="#3465a4" joinstyle="round" endcap="flat"/>
                  <w10:wrap type="none"/>
                </v:rect>
                <v:rect id="shape_0" path="m0,0l-2147483645,0l-2147483645,-2147483646l0,-2147483646xe" stroked="f" o:allowincell="f" style="position:absolute;left:3566;top:11120;width:1653;height:353;mso-wrap-style:square;v-text-anchor:top">
                  <v:textbo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 (°C)</w:t>
                        </w:r>
                      </w:p>
                    </w:txbxContent>
                  </v:textbox>
                  <v:fill o:detectmouseclick="t" on="false"/>
                  <v:stroke color="#3465a4" joinstyle="round" endcap="flat"/>
                  <w10:wrap type="none"/>
                </v:rect>
                <v:rect id="shape_0" path="m0,0l-2147483645,0l-2147483645,-2147483646l0,-2147483646xe" stroked="f" o:allowincell="f" style="position:absolute;left:5213;top:10866;width:4715;height:66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Ĉiujara plej malseka tagpluvo estas prognozita pliiĝi en preskaŭ ĉiuj kontinentaj regionoj, eĉ en regionoj kie prognozita ĉiujara averaĝa grunda humideco malpliiĝas.</w:t>
                        </w:r>
                      </w:p>
                    </w:txbxContent>
                  </v:textbox>
                  <v:fill o:detectmouseclick="t" on="false"/>
                  <v:stroke color="#3465a4" joinstyle="round" endcap="flat"/>
                  <w10:wrap type="none"/>
                </v:rect>
                <v:rect id="shape_0" path="m0,0l-2147483645,0l-2147483645,-2147483646l0,-2147483646xe" stroked="f" o:allowincell="f" style="position:absolute;left:10220;top:10643;width:1242;height:1109;mso-wrap-style:square;v-text-anchor:top">
                  <v:textbo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urbanizado plu intensigas varmegajn ekstremojn</w:t>
                        </w:r>
                      </w:p>
                    </w:txbxContent>
                  </v:textbox>
                  <v:fill o:detectmouseclick="t" on="false"/>
                  <v:stroke color="#3465a4" joinstyle="round" endcap="flat"/>
                  <w10:wrap type="none"/>
                </v:rect>
                <v:rect id="shape_0" path="m0,0l-2147483645,0l-2147483645,-2147483646l0,-2147483646xe" stroked="f" o:allowincell="f" style="position:absolute;left:10220;top:5102;width:1242;height:1109;mso-wrap-style:square;v-text-anchor:top">
                  <v:textbo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urbanizado plu intensigas varmegajn ekstremojn</w:t>
                        </w:r>
                      </w:p>
                    </w:txbxContent>
                  </v:textbox>
                  <v:fill o:detectmouseclick="t" on="false"/>
                  <v:stroke color="#3465a4" joinstyle="round" endcap="flat"/>
                  <w10:wrap type="none"/>
                </v:rect>
              </v:group>
            </w:pict>
          </mc:Fallback>
        </mc:AlternateContent>
      </w:r>
      <w:r>
        <w:br w:type="page"/>
      </w:r>
    </w:p>
    <w:p>
      <w:pPr>
        <w:pStyle w:val="Normal"/>
        <w:rPr>
          <w:color w:val="000000"/>
          <w:sz w:val="24"/>
          <w:szCs w:val="24"/>
        </w:rPr>
      </w:pPr>
      <w:r>
        <w:rPr>
          <w:color w:val="000000"/>
          <w:sz w:val="24"/>
          <w:szCs w:val="24"/>
        </w:rPr>
      </w:r>
    </w:p>
    <w:p>
      <w:pPr>
        <w:pStyle w:val="ParagrapheBlancPetit"/>
        <w:rPr/>
      </w:pPr>
      <w:r>
        <w:rPr>
          <w:rStyle w:val="StyleGras"/>
        </w:rPr>
        <w:t xml:space="preserve">Figuro SPM.2: Projektitaj ŝanĝoj de ĉiujara maksimuma ĉiutaga maksimumtemperaturo, ĉiujara averaĝa totala kolumna grunda humideco kaj ĉiujara maksimuma 1-taga precipitaĵo ĉe mondvarmiĝoniveloj de 1.5°C, 2°C, 3°C kaj 4°C rilate al 1850–1900. </w:t>
      </w:r>
      <w:r>
        <w:rPr/>
        <w:t xml:space="preserve">Projektita </w:t>
      </w:r>
      <w:r>
        <w:rPr>
          <w:rStyle w:val="StyleGras"/>
        </w:rPr>
        <w:t xml:space="preserve">(a) </w:t>
      </w:r>
      <w:r>
        <w:rPr/>
        <w:t xml:space="preserve">ĉiujara maksimuma ĉiutaga temperaturŝanĝo (°C), </w:t>
      </w:r>
      <w:r>
        <w:rPr>
          <w:rStyle w:val="StyleGras"/>
        </w:rPr>
        <w:t xml:space="preserve">(b) </w:t>
      </w:r>
      <w:r>
        <w:rPr/>
        <w:t xml:space="preserve">ĉiujara meza totala kolumna grunda humideco (norma devio), </w:t>
      </w:r>
      <w:r>
        <w:rPr>
          <w:rStyle w:val="StyleGras"/>
        </w:rPr>
        <w:t xml:space="preserve">(c) </w:t>
      </w:r>
      <w:r>
        <w:rPr/>
        <w:t>ĉiujara maksimuma 1-taga precipitaĵoŝanĝo (%). La paneloj montras CMIP6-multi-modelan mezajn ŝanĝojn. En paneloj (b) kaj (c), grandaj pozitivaj relativaj ŝanĝoj en sekaj regionoj povas egalrilati al malgrandaj absolutaj ŝanĝoj. En panelo (b), la unuo estas la norma devio de interjara ŝanĝebleco en grunda humideco dum 1850–1900. Norma devio estas vaste uzita metriko en karakterizado de sekeca severeco. Projekciita redukto de averaĝa grunda humideco je unu norma devio respondas al grundaj humidecaj kondiĉoj tipaj por aridoj kiuj okazis proksimume unufoje ĉiujn ses jarojn dum 1850–1900. La WGI Interactive Atlas (https://interactive-atlas.ipcc.ch/)</w:t>
      </w:r>
      <w:hyperlink r:id="rId11">
        <w:r>
          <w:rPr/>
          <w:t xml:space="preserve"> </w:t>
        </w:r>
      </w:hyperlink>
      <w:r>
        <w:rPr/>
        <w:t>povas estu uzata por esplori pliajn ŝanĝojn en la klimata sistemo tra la gamo de mondvarmiĝo-niveloj prezentitaj en ĉi tiu figuro. {Figuro 3.1, Sekca Skatolo.2}</w:t>
      </w:r>
    </w:p>
    <w:p>
      <w:pPr>
        <w:pStyle w:val="ParagrapheBlanc"/>
        <w:rPr/>
      </w:pPr>
      <w:r>
        <w:rPr>
          <w:rStyle w:val="StyleGras"/>
        </w:rPr>
        <w:t>[FINO FIGURO SPM.2 ĈI TIE]</w:t>
      </w:r>
    </w:p>
    <w:p>
      <w:pPr>
        <w:pStyle w:val="ParagrapheBlanc"/>
        <w:rPr/>
      </w:pPr>
      <w:r>
        <mc:AlternateContent>
          <mc:Choice Requires="wps">
            <w:drawing>
              <wp:anchor behindDoc="1" distT="6350" distB="6350" distL="6350" distR="6350" simplePos="0" locked="0" layoutInCell="0" allowOverlap="1" relativeHeight="31">
                <wp:simplePos x="0" y="0"/>
                <wp:positionH relativeFrom="page">
                  <wp:posOffset>-6350</wp:posOffset>
                </wp:positionH>
                <wp:positionV relativeFrom="paragraph">
                  <wp:posOffset>-6350</wp:posOffset>
                </wp:positionV>
                <wp:extent cx="13335" cy="13335"/>
                <wp:effectExtent l="0" t="0" r="0" b="0"/>
                <wp:wrapNone/>
                <wp:docPr id="62" name="Freeform 208"/>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2">
                <wp:simplePos x="0" y="0"/>
                <wp:positionH relativeFrom="page">
                  <wp:posOffset>-6350</wp:posOffset>
                </wp:positionH>
                <wp:positionV relativeFrom="paragraph">
                  <wp:posOffset>-6350</wp:posOffset>
                </wp:positionV>
                <wp:extent cx="13335" cy="13335"/>
                <wp:effectExtent l="0" t="0" r="0" b="0"/>
                <wp:wrapNone/>
                <wp:docPr id="63" name="Freeform 207"/>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3">
                <wp:simplePos x="0" y="0"/>
                <wp:positionH relativeFrom="page">
                  <wp:posOffset>-6350</wp:posOffset>
                </wp:positionH>
                <wp:positionV relativeFrom="paragraph">
                  <wp:posOffset>1126490</wp:posOffset>
                </wp:positionV>
                <wp:extent cx="13335" cy="13335"/>
                <wp:effectExtent l="0" t="0" r="0" b="0"/>
                <wp:wrapNone/>
                <wp:docPr id="64" name="Freeform 210"/>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4">
                <wp:simplePos x="0" y="0"/>
                <wp:positionH relativeFrom="page">
                  <wp:posOffset>65405</wp:posOffset>
                </wp:positionH>
                <wp:positionV relativeFrom="paragraph">
                  <wp:posOffset>-810895</wp:posOffset>
                </wp:positionV>
                <wp:extent cx="13335" cy="13335"/>
                <wp:effectExtent l="0" t="0" r="0" b="0"/>
                <wp:wrapNone/>
                <wp:docPr id="65" name="Freeform 211"/>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35">
                <wp:simplePos x="0" y="0"/>
                <wp:positionH relativeFrom="page">
                  <wp:posOffset>65405</wp:posOffset>
                </wp:positionH>
                <wp:positionV relativeFrom="paragraph">
                  <wp:posOffset>-810895</wp:posOffset>
                </wp:positionV>
                <wp:extent cx="13335" cy="13335"/>
                <wp:effectExtent l="0" t="0" r="0" b="0"/>
                <wp:wrapNone/>
                <wp:docPr id="66" name="Freeform 212"/>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6350" distB="6350" distL="6350" distR="6350" simplePos="0" locked="0" layoutInCell="0" allowOverlap="1" relativeHeight="43">
                <wp:simplePos x="0" y="0"/>
                <wp:positionH relativeFrom="page">
                  <wp:posOffset>-6350</wp:posOffset>
                </wp:positionH>
                <wp:positionV relativeFrom="paragraph">
                  <wp:posOffset>1126490</wp:posOffset>
                </wp:positionV>
                <wp:extent cx="13335" cy="13335"/>
                <wp:effectExtent l="0" t="0" r="0" b="0"/>
                <wp:wrapNone/>
                <wp:docPr id="67" name="Freeform 209"/>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1">
                <wp:simplePos x="0" y="0"/>
                <wp:positionH relativeFrom="page">
                  <wp:posOffset>65405</wp:posOffset>
                </wp:positionH>
                <wp:positionV relativeFrom="paragraph">
                  <wp:posOffset>161290</wp:posOffset>
                </wp:positionV>
                <wp:extent cx="13335" cy="13335"/>
                <wp:effectExtent l="0" t="0" r="0" b="0"/>
                <wp:wrapNone/>
                <wp:docPr id="68" name="Freeform 213"/>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0" distB="6350" distL="6350" distR="6350" simplePos="0" locked="0" layoutInCell="0" allowOverlap="1" relativeHeight="62">
                <wp:simplePos x="0" y="0"/>
                <wp:positionH relativeFrom="page">
                  <wp:posOffset>65405</wp:posOffset>
                </wp:positionH>
                <wp:positionV relativeFrom="paragraph">
                  <wp:posOffset>161290</wp:posOffset>
                </wp:positionV>
                <wp:extent cx="13335" cy="13335"/>
                <wp:effectExtent l="0" t="0" r="0" b="0"/>
                <wp:wrapNone/>
                <wp:docPr id="69" name="Freeform 214"/>
                <a:graphic xmlns:a="http://schemas.openxmlformats.org/drawingml/2006/main">
                  <a:graphicData uri="http://schemas.microsoft.com/office/word/2010/wordprocessingShape">
                    <wps:wsp>
                      <wps:cNvSpPr/>
                      <wps:spPr>
                        <a:xfrm>
                          <a:off x="0" y="0"/>
                          <a:ext cx="12600" cy="12600"/>
                        </a:xfrm>
                        <a:custGeom>
                          <a:avLst/>
                          <a:gdLst/>
                          <a:ahLst/>
                          <a:rect l="l" t="t" r="r" b="b"/>
                          <a:pathLst>
                            <a:path w="6350" h="6350">
                              <a:moveTo>
                                <a:pt x="0" y="6350"/>
                              </a:moveTo>
                              <a:lnTo>
                                <a:pt x="6350" y="6350"/>
                              </a:lnTo>
                              <a:lnTo>
                                <a:pt x="6350" y="0"/>
                              </a:lnTo>
                              <a:lnTo>
                                <a:pt x="0" y="0"/>
                              </a:lnTo>
                              <a:lnTo>
                                <a:pt x="0" y="6350"/>
                              </a:lnTo>
                              <a:close/>
                            </a:path>
                          </a:pathLst>
                        </a:custGeom>
                        <a:solidFill>
                          <a:srgbClr val="000000"/>
                        </a:solidFill>
                        <a:ln w="12600">
                          <a:noFill/>
                        </a:ln>
                      </wps:spPr>
                      <wps:style>
                        <a:lnRef idx="0"/>
                        <a:fillRef idx="0"/>
                        <a:effectRef idx="0"/>
                        <a:fontRef idx="minor"/>
                      </wps:style>
                      <wps:bodyPr/>
                    </wps:wsp>
                  </a:graphicData>
                </a:graphic>
              </wp:anchor>
            </w:drawing>
          </mc:Choice>
          <mc:Fallback>
            <w:pict/>
          </mc:Fallback>
        </mc:AlternateContent>
      </w:r>
      <w:r>
        <w:rPr>
          <w:rStyle w:val="StyleGras"/>
        </w:rPr>
        <w:t>Klimata Ŝanĝiĝo-Efikoj kaj Klimata Rilataj Riskoj</w:t>
      </w:r>
    </w:p>
    <w:p>
      <w:pPr>
        <w:pStyle w:val="ParagrapheBistre"/>
        <w:rPr/>
      </w:pPr>
      <w:r>
        <w:rPr/>
        <w:t>B.2 Por iu ajn estonta varmiĝonivelo, multaj klimat-rilataj riskoj estas pli altaj ol taksitaj en AR5, kaj projekciitaj longperspektivaj efikoj estas multoble pli altaj ol nuntempe observitaj (</w:t>
      </w:r>
      <w:r>
        <w:rPr>
          <w:rStyle w:val="StyleGrasItaliques"/>
          <w:b/>
        </w:rPr>
        <w:t>alta fido</w:t>
      </w:r>
      <w:r>
        <w:rPr/>
        <w:t xml:space="preserve">). Riskoj kaj projekciitaj malfavoraj efikoj kaj rilataj perdoj kaj damaĝoj de klimata ŝanĝo pliiĝas kun ĉiu pliigo de mondvarmiĝo </w:t>
      </w:r>
      <w:r>
        <w:rPr>
          <w:rStyle w:val="StyleGrasItaliques"/>
          <w:b/>
        </w:rPr>
        <w:t>(tre alta fido).</w:t>
      </w:r>
      <w:r>
        <w:rPr/>
        <w:t xml:space="preserve"> Klimataj kaj ne-klimataj riskoj ĉiam pli interagos, kreante kunmetitajn kaj kaskadajn riskojn kiuj estas pli kompleksaj kaj malfacile administreblaj </w:t>
      </w:r>
      <w:r>
        <w:rPr>
          <w:rStyle w:val="StyleGrasItaliques"/>
          <w:b/>
        </w:rPr>
        <w:t>(alta fido)</w:t>
      </w:r>
      <w:r>
        <w:rPr/>
        <w:t>. {Transsekca Skatolo.2, 3.1, 4.3, Figuro 3.3, Figuro 4.3} (Figuro SPM.3, Figuro SPM.4)</w:t>
      </w:r>
    </w:p>
    <w:p>
      <w:pPr>
        <w:pStyle w:val="ParagrapheBlanc"/>
        <w:rPr/>
      </w:pPr>
      <w:r>
        <w:rPr>
          <w:rStyle w:val="StyleGras"/>
        </w:rPr>
        <w:t xml:space="preserve">B.2.1 </w:t>
      </w:r>
      <w:r>
        <w:rPr/>
        <w:t>Baldaŭ, ĉiu regiono en la mondo estas antaŭvidita alfrontos pliajn pliiĝojn de klimataj danĝeroj (</w:t>
      </w:r>
      <w:r>
        <w:rPr>
          <w:rStyle w:val="StyleItaliques"/>
        </w:rPr>
        <w:t>meza</w:t>
      </w:r>
      <w:r>
        <w:rPr/>
        <w:t xml:space="preserve"> ĝis </w:t>
      </w:r>
      <w:r>
        <w:rPr>
          <w:rStyle w:val="StyleItaliques"/>
        </w:rPr>
        <w:t xml:space="preserve">alta fido </w:t>
      </w:r>
      <w:r>
        <w:rPr/>
        <w:t xml:space="preserve">, depende de regiono kaj danĝero), pliigante multoblajn riskojn al ekosistemoj kaj homoj </w:t>
      </w:r>
      <w:r>
        <w:rPr>
          <w:rStyle w:val="StyleItaliques"/>
        </w:rPr>
        <w:t>(tre alta fido).</w:t>
      </w:r>
      <w:r>
        <w:rPr/>
        <w:t xml:space="preserve"> Danĝeroj kaj rilataj riskoj atenditaj baldaŭ inkluzivas pliiĝon en varmo-rilata homa morteco kaj malsaneco (</w:t>
      </w:r>
      <w:r>
        <w:rPr>
          <w:rStyle w:val="StyleItaliques"/>
        </w:rPr>
        <w:t>alta fido)</w:t>
      </w:r>
      <w:r>
        <w:rPr/>
        <w:t>, manĝ-portitaj, akvo-portitaj, kaj vektor-portitaj malsanoj (</w:t>
      </w:r>
      <w:r>
        <w:rPr>
          <w:rStyle w:val="StyleItaliques"/>
        </w:rPr>
        <w:t>alta fido)</w:t>
      </w:r>
      <w:r>
        <w:rPr/>
        <w:t>, kaj menshigiendefioj.</w:t>
      </w:r>
      <w:r>
        <w:rPr>
          <w:rStyle w:val="Ancredenotedebasdepage"/>
        </w:rPr>
        <w:footnoteReference w:id="37"/>
      </w:r>
      <w:r>
        <w:rPr/>
        <w:t xml:space="preserve"> </w:t>
      </w:r>
      <w:r>
        <w:rPr>
          <w:rStyle w:val="StyleItaliques"/>
        </w:rPr>
        <w:t xml:space="preserve">(tre alta fido) </w:t>
      </w:r>
      <w:r>
        <w:rPr/>
        <w:t>, inundoj en marbordaj kaj aliaj malaltaj urboj kaj regionoj (</w:t>
      </w:r>
      <w:r>
        <w:rPr>
          <w:rStyle w:val="StyleItaliques"/>
        </w:rPr>
        <w:t>alta fido)</w:t>
      </w:r>
      <w:r>
        <w:rPr/>
        <w:t xml:space="preserve">, perdo de biodiverseco en teraj, dolĉakvaj kaj oceanaj ekosistemoj </w:t>
      </w:r>
      <w:r>
        <w:rPr>
          <w:rStyle w:val="StyleItaliques"/>
        </w:rPr>
        <w:t xml:space="preserve">(meza ĝis tre alta fido </w:t>
      </w:r>
      <w:r>
        <w:rPr/>
        <w:t>, depende de ekosistemo), kaj malkresko de nutraĵproduktado en iuj regionoj (</w:t>
      </w:r>
      <w:r>
        <w:rPr>
          <w:rStyle w:val="StyleItaliques"/>
        </w:rPr>
        <w:t>alta konfido)</w:t>
      </w:r>
      <w:r>
        <w:rPr/>
        <w:t>. Kriosfer-rilataj ŝanĝoj en inundoj, terglitoj, kaj akva havebleco havas la potencialon konduki al severaj sekvoj por homoj, infrastrukturo kaj la ekonomio en la plej multaj montaraj regionoj (</w:t>
      </w:r>
      <w:r>
        <w:rPr>
          <w:rStyle w:val="StyleItaliques"/>
        </w:rPr>
        <w:t>alta fido)</w:t>
      </w:r>
      <w:r>
        <w:rPr/>
        <w:t>. La projektita pliiĝo en ofteco kaj intenseco de peza precipitaĵo (</w:t>
      </w:r>
      <w:r>
        <w:rPr>
          <w:rStyle w:val="StyleItaliques"/>
        </w:rPr>
        <w:t>alta fido)</w:t>
      </w:r>
      <w:r>
        <w:rPr/>
        <w:t xml:space="preserve"> pliigos pluv-generitan lokan inundon </w:t>
      </w:r>
      <w:r>
        <w:rPr>
          <w:rStyle w:val="StyleItaliques"/>
        </w:rPr>
        <w:t>(meza fido).</w:t>
      </w:r>
      <w:r>
        <w:rPr/>
        <w:t xml:space="preserve"> {Figuro 3.2, Figuro 3.3, 4.3, Figuro 4.3} (Figuro SPM.3, Figuro SPM.4)</w:t>
      </w:r>
    </w:p>
    <w:p>
      <w:pPr>
        <w:pStyle w:val="ParagrapheBlanc"/>
        <w:rPr/>
      </w:pPr>
      <w:r>
        <w:rPr>
          <w:rStyle w:val="StyleGras"/>
        </w:rPr>
        <w:t xml:space="preserve">B.2.2 </w:t>
      </w:r>
      <w:r>
        <w:rPr/>
        <w:t xml:space="preserve">Riskoj kaj projekciitaj malfavoraj efikoj kaj rilataj perdoj kaj damaĝoj de klimata ŝanĝo pliiĝos kun ĉiu pliiĝo de mondvarmiĝo </w:t>
      </w:r>
      <w:r>
        <w:rPr>
          <w:rStyle w:val="StyleItaliques"/>
        </w:rPr>
        <w:t>(tre alta fido).</w:t>
      </w:r>
      <w:r>
        <w:rPr/>
        <w:t xml:space="preserve"> Ili estas pli altaj por mondvarmiĝo de 1,5 °C ol nuntempe, kaj eĉ pli altaj je 2 °C (</w:t>
      </w:r>
      <w:r>
        <w:rPr>
          <w:rStyle w:val="StyleItaliques"/>
        </w:rPr>
        <w:t>alta fido)</w:t>
      </w:r>
      <w:r>
        <w:rPr/>
        <w:t xml:space="preserve">. Kompare kun la AR5, tutmondaj agregitaj riskniveloj </w:t>
      </w:r>
      <w:r>
        <w:rPr>
          <w:rStyle w:val="Ancredenotedebasdepage"/>
        </w:rPr>
        <w:footnoteReference w:id="38"/>
      </w:r>
      <w:r>
        <w:rPr/>
        <w:t xml:space="preserve">(Reasons for Concern </w:t>
      </w:r>
      <w:r>
        <w:rPr>
          <w:rStyle w:val="Ancredenotedebasdepage"/>
        </w:rPr>
        <w:footnoteReference w:id="39"/>
      </w:r>
      <w:r>
        <w:rPr/>
        <w:t>) estas taksitaj iĝi altaj ĝis tre altaj ĉe pli malaltaj niveloj de mondvarmiĝo pro lastatempaj signoj de observitaj efikoj, plibonigita procezkompreno, kaj nova scio pri malkovro kaj vundebleco de homoj kaj homoj. naturaj sistemoj, inkluzive de limoj al adaptado (</w:t>
      </w:r>
      <w:r>
        <w:rPr>
          <w:rStyle w:val="StyleItaliques"/>
        </w:rPr>
        <w:t>alta fido)</w:t>
      </w:r>
      <w:r>
        <w:rPr/>
        <w:t>. Pro neevitebla altiĝo de la marnivelo (vidu ankaŭ B.3), riskoj por marbordaj ekosistemoj, homoj kaj infrastrukturoj daŭre pliiĝos post 2100 (</w:t>
      </w:r>
      <w:r>
        <w:rPr>
          <w:rStyle w:val="StyleItaliques"/>
        </w:rPr>
        <w:t>alta fido)</w:t>
      </w:r>
      <w:r>
        <w:rPr/>
        <w:t>. {3.1.2, 3.1.3, Figuro 3.4, Figuro 4.3} (Figuro SPM.3, Figuro SPM.4)</w:t>
      </w:r>
    </w:p>
    <w:p>
      <w:pPr>
        <w:pStyle w:val="ParagrapheBlanc"/>
        <w:rPr/>
      </w:pPr>
      <w:r>
        <w:rPr>
          <w:rStyle w:val="StyleGras"/>
        </w:rPr>
        <w:t xml:space="preserve">B.2.3 </w:t>
      </w:r>
      <w:r>
        <w:rPr/>
        <w:t>Kun plia varmiĝo, riskoj pri klimata ŝanĝiĝo fariĝos ĉiam pli kompleksaj kaj pli malfacile administreblaj. Multoblaj klimataj kaj ne-klimataj riskopelantaĵoj interagos, rezultigante kunmetadon de totala risko kaj riskoj kaskadante trans sektoroj kaj regionoj. Klimat-movita manĝa nesekureco kaj provizomalstabileco, ekzemple, estas projekciitaj pliiĝi kun kreskanta mondvarmiĝo, interagante kun ne-klimataj riskomotoroj kiel ekzemple konkurado pri tero inter urba ekspansio kaj manĝaĵproduktado, pandemioj kaj konflikto. (</w:t>
      </w:r>
      <w:r>
        <w:rPr>
          <w:rStyle w:val="StyleItaliques"/>
        </w:rPr>
        <w:t>alta konfido)</w:t>
      </w:r>
      <w:r>
        <w:rPr/>
        <w:t xml:space="preserve"> {3.1.2, 4.3, Figuro 4.3}</w:t>
      </w:r>
    </w:p>
    <w:p>
      <w:pPr>
        <w:pStyle w:val="ParagrapheBlanc"/>
        <w:rPr/>
      </w:pPr>
      <w:r>
        <w:rPr>
          <w:rStyle w:val="StyleGras"/>
        </w:rPr>
        <w:t xml:space="preserve">B.2.4 </w:t>
      </w:r>
      <w:r>
        <w:rPr/>
        <w:t>Por iu ajn varmnivelo, la nivelo de risko dependos ankaŭ de tendencoj en vundebleco kaj eksponiĝo de homoj kaj ekosistemoj. Estonta eksponiĝo al klimataj danĝeroj pliiĝas tutmonde pro sociekonomikaj evolutendencoj inkluzive de migrado, kreskanta malegaleco kaj urbigo. Homa vundebleco koncentriĝos en neformalaj setlejoj kaj rapide kreskantaj pli malgrandaj kompromisoj. En kamparaj areoj vundebleco pliiĝos pro alta dependeco de klimat</w:t>
      </w:r>
      <w:bookmarkStart w:id="4" w:name="__UnoMark__77100_3043413859"/>
      <w:bookmarkEnd w:id="4"/>
      <w:r>
        <w:rPr/>
        <w:t>-sentemaj vivrimedoj. Vundebleco de ekosistemoj estos forte influita de pasintaj, nunaj kaj estontaj ŝablonoj de nedaŭrigeblaj konsumado kaj produktado, kreskantaj demografiaj premoj, kaj konstanta nedaŭrigebla uzo kaj administrado de tero, oceano kaj akvo. Perdo de ekosistemoj kaj iliaj servoj havas kaskadajn kaj longperspektivajn efikojn sur homoj tutmonde, precipe por Indiĝenaj Popoloj kaj lokaj komunumoj kiuj estas rekte dependaj de ekosistemoj, por renkonti bazajn bezonojn. (</w:t>
      </w:r>
      <w:r>
        <w:rPr>
          <w:rStyle w:val="StyleItaliques"/>
        </w:rPr>
        <w:t>alta konfido)</w:t>
      </w:r>
      <w:r>
        <w:rPr/>
        <w:t xml:space="preserve"> {Transsekca Skatolo.2, Figuro 1c, 3.1.2, 4.3}</w:t>
      </w:r>
    </w:p>
    <w:p>
      <w:pPr>
        <w:pStyle w:val="ParagrapheBlanc"/>
        <w:rPr/>
      </w:pPr>
      <w:r>
        <w:rPr/>
        <w:t xml:space="preserve"> </w:t>
      </w:r>
      <w:r>
        <w:br w:type="page"/>
      </w:r>
    </w:p>
    <w:p>
      <w:pPr>
        <w:pStyle w:val="ParagrapheBlanc"/>
        <w:shd w:val="clear" w:fill="FFFFFF"/>
        <w:rPr/>
      </w:pPr>
      <w:r>
        <w:rPr>
          <w:rStyle w:val="StyleGras"/>
        </w:rPr>
        <w:t>[KOMENCU FIGURON SPM.3 ĈI TIE]</w:t>
      </w:r>
      <w:r>
        <w:rPr/>
        <w:t xml:space="preserve"> </w:t>
      </w:r>
    </w:p>
    <w:p>
      <w:pPr>
        <w:pStyle w:val="Normal"/>
        <w:widowControl w:val="false"/>
        <w:spacing w:lineRule="exact" w:line="367"/>
        <w:ind w:left="0" w:right="567" w:hanging="0"/>
        <w:jc w:val="left"/>
        <w:rPr>
          <w:b/>
          <w:b/>
          <w:color w:val="000000"/>
          <w:w w:val="100"/>
          <w:sz w:val="22"/>
        </w:rPr>
      </w:pPr>
      <w:r>
        <mc:AlternateContent>
          <mc:Choice Requires="wpg">
            <w:drawing>
              <wp:anchor behindDoc="0" distT="0" distB="0" distL="0" distR="0" simplePos="0" locked="0" layoutInCell="0" allowOverlap="1" relativeHeight="69">
                <wp:simplePos x="0" y="0"/>
                <wp:positionH relativeFrom="column">
                  <wp:posOffset>-169545</wp:posOffset>
                </wp:positionH>
                <wp:positionV relativeFrom="paragraph">
                  <wp:posOffset>24130</wp:posOffset>
                </wp:positionV>
                <wp:extent cx="7098030" cy="8490585"/>
                <wp:effectExtent l="0" t="0" r="0" b="0"/>
                <wp:wrapTopAndBottom/>
                <wp:docPr id="70" name="Image2"/>
                <a:graphic xmlns:a="http://schemas.openxmlformats.org/drawingml/2006/main">
                  <a:graphicData uri="http://schemas.microsoft.com/office/word/2010/wordprocessingGroup">
                    <wpg:wgp>
                      <wpg:cNvGrpSpPr/>
                      <wpg:grpSpPr>
                        <a:xfrm>
                          <a:off x="0" y="0"/>
                          <a:ext cx="7097400" cy="8489880"/>
                          <a:chOff x="-169560" y="24120"/>
                          <a:chExt cx="7097400" cy="8489880"/>
                        </a:xfrm>
                      </wpg:grpSpPr>
                      <pic:pic xmlns:pic="http://schemas.openxmlformats.org/drawingml/2006/picture">
                        <pic:nvPicPr>
                          <pic:cNvPr id="2" name="" descr=""/>
                          <pic:cNvPicPr/>
                        </pic:nvPicPr>
                        <pic:blipFill>
                          <a:blip r:embed="rId12"/>
                          <a:stretch/>
                        </pic:blipFill>
                        <pic:spPr>
                          <a:xfrm>
                            <a:off x="72360" y="865440"/>
                            <a:ext cx="6844680" cy="7612560"/>
                          </a:xfrm>
                          <a:prstGeom prst="rect">
                            <a:avLst/>
                          </a:prstGeom>
                          <a:ln w="0">
                            <a:noFill/>
                          </a:ln>
                        </pic:spPr>
                      </pic:pic>
                      <wps:wsp>
                        <wps:cNvSpPr/>
                        <wps:spPr>
                          <a:xfrm>
                            <a:off x="252000" y="0"/>
                            <a:ext cx="6521400" cy="685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Microsoft YaHei" w:cs="Lucida Sans"/>
                                  <w:color w:val="00000A"/>
                                  <w:lang w:val="eo"/>
                                </w:rPr>
                                <w:t>Estonta klimata ŝanĝo estas projekciita pliigi la severecon de efikoj trans naturaj kaj homaj sistemoj kaj pliigos regionajn diferencojn.</w:t>
                              </w:r>
                            </w:p>
                          </w:txbxContent>
                        </wps:txbx>
                        <wps:bodyPr lIns="90000" rIns="90000" tIns="45000" bIns="45000" anchor="t">
                          <a:noAutofit/>
                        </wps:bodyPr>
                      </wps:wsp>
                      <wps:wsp>
                        <wps:cNvSpPr/>
                        <wps:spPr>
                          <a:xfrm>
                            <a:off x="287640" y="495360"/>
                            <a:ext cx="3617640" cy="257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val="false"/>
                                  <w:u w:val="none"/>
                                  <w:dstrike w:val="false"/>
                                  <w:strike w:val="false"/>
                                  <w:i w:val="false"/>
                                  <w:vertAlign w:val="baseline"/>
                                  <w:position w:val="0"/>
                                  <w:spacing w:val="0"/>
                                  <w:szCs w:val="24"/>
                                  <w:bCs w:val="false"/>
                                  <w:iCs w:val="false"/>
                                  <w:smallCaps w:val="false"/>
                                  <w:caps w:val="false"/>
                                  <w:rFonts w:ascii="Arial" w:hAnsi="Arial" w:eastAsia="Microsoft YaHei" w:cs="Lucida Sans"/>
                                  <w:color w:val="00000A"/>
                                  <w:lang w:val="eo"/>
                                </w:rPr>
                                <w:t>Ekzemploj de efikoj sen plia adapto</w:t>
                              </w:r>
                            </w:p>
                          </w:txbxContent>
                        </wps:txbx>
                        <wps:bodyPr lIns="90000" rIns="90000" tIns="45000" bIns="45000" anchor="t">
                          <a:noAutofit/>
                        </wps:bodyPr>
                      </wps:wsp>
                      <wps:wsp>
                        <wps:cNvSpPr/>
                        <wps:spPr>
                          <a:xfrm>
                            <a:off x="0" y="1262520"/>
                            <a:ext cx="1980000" cy="1058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a) Risko de speciaj perdoj</w:t>
                              </w:r>
                              <w:r>
                                <w:rPr>
                                  <w:b/>
                                  <w:u w:val="none"/>
                                  <w:dstrike w:val="false"/>
                                  <w:strike w:val="false"/>
                                  <w:i w:val="false"/>
                                  <w:vertAlign w:val="baseline"/>
                                  <w:position w:val="0"/>
                                  <w:sz w:val="28"/>
                                  <w:spacing w:val="0"/>
                                  <w:bCs/>
                                  <w:iCs w:val="false"/>
                                  <w:smallCaps w:val="false"/>
                                  <w:caps w:val="false"/>
                                  <w:sz w:val="28"/>
                                  <w:szCs w:val="28"/>
                                  <w:rFonts w:ascii="Arial" w:hAnsi="Arial" w:eastAsia="Microsoft YaHei" w:cs="Lucida Sans"/>
                                  <w:color w:val="00000A"/>
                                  <w:lang w:val="eo"/>
                                </w:rPr>
                                <w:t xml:space="preserve"> </w:t>
                              </w:r>
                            </w:p>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Procento de bestospecioj kaj marherboj </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eksponitaj al potenciale danĝeraj temperaturkondiĉoj</w:t>
                              </w:r>
                              <w:r>
                                <w:rPr>
                                  <w:u w:val="none"/>
                                  <w:dstrike w:val="false"/>
                                  <w:strike w:val="false"/>
                                  <w:i w:val="false"/>
                                  <w:vertAlign w:val="baseline"/>
                                  <w:position w:val="0"/>
                                  <w:sz w:val="22"/>
                                  <w:spacing w:val="0"/>
                                  <w:iCs w:val="false"/>
                                  <w:smallCaps w:val="false"/>
                                  <w:caps w:val="false"/>
                                  <w:b w:val="false"/>
                                  <w:bCs w:val="false"/>
                                  <w:sz w:val="22"/>
                                  <w:szCs w:val="22"/>
                                  <w:rFonts w:ascii="Arial" w:hAnsi="Arial" w:eastAsia="Microsoft YaHei" w:cs="Lucida Sans"/>
                                  <w:color w:val="00000A"/>
                                  <w:lang w:val="eo"/>
                                </w:rPr>
                                <w:t xml:space="preserve">1, 2 </w:t>
                              </w:r>
                            </w:p>
                          </w:txbxContent>
                        </wps:txbx>
                        <wps:bodyPr lIns="90000" rIns="90000" tIns="45000" bIns="45000" anchor="t">
                          <a:noAutofit/>
                        </wps:bodyPr>
                      </wps:wsp>
                      <wps:wsp>
                        <wps:cNvSpPr/>
                        <wps:spPr>
                          <a:xfrm>
                            <a:off x="35640" y="4694040"/>
                            <a:ext cx="1980720" cy="96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Tagoj jare </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kie kombinitaj temperaturoj kaj humidecaj kondiĉoj prezentas riskon de morteco al individuoj 3</w:t>
                              </w:r>
                            </w:p>
                          </w:txbxContent>
                        </wps:txbx>
                        <wps:bodyPr lIns="90000" rIns="90000" tIns="45000" bIns="45000" anchor="t">
                          <a:noAutofit/>
                        </wps:bodyPr>
                      </wps:wsp>
                      <wps:wsp>
                        <wps:cNvSpPr/>
                        <wps:spPr>
                          <a:xfrm>
                            <a:off x="72360" y="3401640"/>
                            <a:ext cx="1605960" cy="969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b) Varmo humideco</w:t>
                              </w:r>
                            </w:p>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riskoj por homa sano</w:t>
                              </w:r>
                            </w:p>
                          </w:txbxContent>
                        </wps:txbx>
                        <wps:bodyPr lIns="90000" rIns="90000" tIns="45000" bIns="45000" anchor="t">
                          <a:noAutofit/>
                        </wps:bodyPr>
                      </wps:wsp>
                      <wps:wsp>
                        <wps:cNvSpPr/>
                        <wps:spPr>
                          <a:xfrm>
                            <a:off x="205200" y="4513680"/>
                            <a:ext cx="1554480" cy="257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Historia 1991—200</w:t>
                              </w:r>
                            </w:p>
                          </w:txbxContent>
                        </wps:txbx>
                        <wps:bodyPr lIns="90000" rIns="90000" tIns="45000" bIns="45000" anchor="t">
                          <a:noAutofit/>
                        </wps:bodyPr>
                      </wps:wsp>
                      <wps:wsp>
                        <wps:cNvSpPr/>
                        <wps:spPr>
                          <a:xfrm>
                            <a:off x="0" y="5703480"/>
                            <a:ext cx="1980000" cy="974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c) Manĝproduktado-efikoj</w:t>
                              </w:r>
                            </w:p>
                          </w:txbxContent>
                        </wps:txbx>
                        <wps:bodyPr lIns="90000" rIns="90000" tIns="45000" bIns="45000" anchor="t">
                          <a:noAutofit/>
                        </wps:bodyPr>
                      </wps:wsp>
                      <wps:wsp>
                        <wps:cNvSpPr/>
                        <wps:spPr>
                          <a:xfrm>
                            <a:off x="100800" y="6447960"/>
                            <a:ext cx="1633320" cy="499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c1) Rendimento de maizo </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4</w:t>
                              </w:r>
                            </w:p>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Ŝanĝoj (%) en rendimento</w:t>
                              </w:r>
                            </w:p>
                          </w:txbxContent>
                        </wps:txbx>
                        <wps:bodyPr lIns="90000" rIns="90000" tIns="45000" bIns="45000" anchor="t">
                          <a:noAutofit/>
                        </wps:bodyPr>
                      </wps:wsp>
                      <wps:wsp>
                        <wps:cNvSpPr/>
                        <wps:spPr>
                          <a:xfrm>
                            <a:off x="88920" y="7385040"/>
                            <a:ext cx="1496520" cy="599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c2) Fiŝkapta rendimento 5</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 xml:space="preserve"> </w:t>
                              </w:r>
                            </w:p>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Ŝanĝoj (%) en maksimuma kaptpotencialo</w:t>
                              </w:r>
                            </w:p>
                          </w:txbxContent>
                        </wps:txbx>
                        <wps:bodyPr lIns="90000" rIns="90000" tIns="45000" bIns="45000" anchor="t">
                          <a:noAutofit/>
                        </wps:bodyPr>
                      </wps:wsp>
                      <wps:wsp>
                        <wps:cNvSpPr/>
                        <wps:spPr>
                          <a:xfrm>
                            <a:off x="5081400" y="1303200"/>
                            <a:ext cx="2016000" cy="861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1 Projekciitaj temperaturkondiĉoj super la laŭtaksa historia (1850-2005) maksimuma averaĝa ĉiujara temperaturo travivita de ĉiu specio, supozante neniun speciotranslokigon.</w:t>
                              </w:r>
                            </w:p>
                          </w:txbxContent>
                        </wps:txbx>
                        <wps:bodyPr lIns="90000" rIns="90000" tIns="45000" bIns="45000" anchor="t">
                          <a:noAutofit/>
                        </wps:bodyPr>
                      </wps:wsp>
                      <wps:wsp>
                        <wps:cNvSpPr/>
                        <wps:spPr>
                          <a:xfrm>
                            <a:off x="1573560" y="2421360"/>
                            <a:ext cx="1558440" cy="774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2 Inkluzivas 30 652 speciojn de birdoj, mamuloj, reptilioj, amfibioj, maraj fiŝoj, bentaj maraj senvertebruloj, krilo, kapopieduloj, koraloj kaj marherboj.</w:t>
                              </w:r>
                            </w:p>
                          </w:txbxContent>
                        </wps:txbx>
                        <wps:bodyPr lIns="90000" rIns="90000" tIns="45000" bIns="45000" anchor="t">
                          <a:noAutofit/>
                        </wps:bodyPr>
                      </wps:wsp>
                      <wps:wsp>
                        <wps:cNvSpPr/>
                        <wps:spPr>
                          <a:xfrm>
                            <a:off x="1584360" y="3467160"/>
                            <a:ext cx="467280" cy="257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tagoj</w:t>
                              </w:r>
                            </w:p>
                          </w:txbxContent>
                        </wps:txbx>
                        <wps:bodyPr lIns="90000" rIns="90000" tIns="45000" bIns="45000" anchor="t">
                          <a:noAutofit/>
                        </wps:bodyPr>
                      </wps:wsp>
                      <wps:wsp>
                        <wps:cNvSpPr/>
                        <wps:spPr>
                          <a:xfrm>
                            <a:off x="1841040" y="4621680"/>
                            <a:ext cx="5148720" cy="681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3 Projekciitaj regionaj efikoj utiligas tutmondan sojlon preter kiu ĉiutaga averaĝa surfacaera temperaturo kaj relativa humideco povas indukti hipertermion kiu prezentas riskon de morteco. La daŭro kaj intenseco de varmondoj ne estas prezentitaj ĉi tie. Varmec-rilataj sanrezultoj varias je loko kaj estas tre moderigitaj per sociekonomikaj, profesiaj kaj aliaj ne-klimataj determinantoj de individua sano sociekonomika vundebleco. La sojlo uzita en tiuj mapoj estas bazita sur ununura studo kiu sintezis datenojn de 783 kazoj por determini la rilaton inter varmo-humidokondiĉoj kaj morteco desegnita plejparte de observaĵoj en temperitaj klimatoj.</w:t>
                              </w:r>
                            </w:p>
                          </w:txbxContent>
                        </wps:txbx>
                        <wps:bodyPr lIns="90000" rIns="90000" tIns="45000" bIns="45000" anchor="t">
                          <a:noAutofit/>
                        </wps:bodyPr>
                      </wps:wsp>
                      <wps:wsp>
                        <wps:cNvSpPr/>
                        <wps:spPr>
                          <a:xfrm>
                            <a:off x="1512000" y="6610320"/>
                            <a:ext cx="5405040" cy="428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4 Projekciitaj regionaj efikoj reflektas biofizikajn respondojn al ŝanĝiĝanta temperaturo, precipitaĵo, suna radiado, humideco, vento, kaj C02-plibonigo de kresko kaj akvoreteno en nuntempe kultivitaj lokoj. Modeloj supozas ke irigaciitaj areoj ne estas akvo-limigitaj. Modeloj ne reprezentas plagojn, malsanojn, estontajn agroteknologiajn ŝanĝojn kaj iujn ekstremajn klimatajn respondojn.</w:t>
                              </w:r>
                            </w:p>
                          </w:txbxContent>
                        </wps:txbx>
                        <wps:bodyPr lIns="90000" rIns="90000" tIns="45000" bIns="45000" anchor="t">
                          <a:noAutofit/>
                        </wps:bodyPr>
                      </wps:wsp>
                      <wps:wsp>
                        <wps:cNvSpPr/>
                        <wps:spPr>
                          <a:xfrm>
                            <a:off x="5553720" y="7187400"/>
                            <a:ext cx="1399680" cy="283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Areoj kun malgranda aŭ neniu produktado, aŭ ne taksitaj</w:t>
                              </w:r>
                            </w:p>
                          </w:txbxContent>
                        </wps:txbx>
                        <wps:bodyPr lIns="90000" rIns="90000" tIns="45000" bIns="45000" anchor="t">
                          <a:noAutofit/>
                        </wps:bodyPr>
                      </wps:wsp>
                      <wps:wsp>
                        <wps:cNvSpPr/>
                        <wps:spPr>
                          <a:xfrm>
                            <a:off x="5482080" y="7511400"/>
                            <a:ext cx="1399680" cy="185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Areoj kun modelaj malkonsentoj</w:t>
                              </w:r>
                            </w:p>
                          </w:txbxContent>
                        </wps:txbx>
                        <wps:bodyPr lIns="90000" rIns="90000" tIns="45000" bIns="45000" anchor="t">
                          <a:noAutofit/>
                        </wps:bodyPr>
                      </wps:wsp>
                      <wps:wsp>
                        <wps:cNvSpPr/>
                        <wps:spPr>
                          <a:xfrm>
                            <a:off x="1584360" y="8007840"/>
                            <a:ext cx="5045040" cy="482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5 Projekciitaj regionaj efikoj reflektas fiŝfarmojn kaj marajn ekosistemrespondojn al oceanaj fizikaj kaj biogeokemiaj kondiĉoj kiel ekzemple temperaturo, oksigennivelo kaj neta primara produktado. Modeloj ne reprezentas ŝanĝojn en fiŝkaptadagadoj kaj kelkajn ekstremajn klimatajn kondiĉojn. Projekciitaj ŝanĝoj en la arktaj regionoj havas malaltan fidon pro necertecoj asociitaj kun modeligado de multoblaj interagaj ŝoforoj kaj ekosistemrespondoj.</w:t>
                              </w:r>
                            </w:p>
                          </w:txbxContent>
                        </wps:txbx>
                        <wps:bodyPr lIns="90000" rIns="90000" tIns="45000" bIns="45000" anchor="t">
                          <a:noAutofit/>
                        </wps:bodyPr>
                      </wps:wsp>
                    </wpg:wgp>
                  </a:graphicData>
                </a:graphic>
              </wp:anchor>
            </w:drawing>
          </mc:Choice>
          <mc:Fallback>
            <w:pict>
              <v:group id="shape_0" alt="Image2" style="position:absolute;margin-left:-13.35pt;margin-top:1.9pt;width:558.85pt;height:668.5pt" coordorigin="-267,38" coordsize="11177,13370">
                <v:shape id="shape_0" stroked="f" o:allowincell="f" style="position:absolute;left:-153;top:1401;width:10778;height:11987;mso-wrap-style:none;v-text-anchor:middle" type="_x0000_t75">
                  <v:imagedata r:id="rId12" o:detectmouseclick="t"/>
                  <v:stroke color="#3465a4" joinstyle="round" endcap="flat"/>
                  <w10:wrap type="topAndBottom"/>
                </v:shape>
                <v:rect id="shape_0" path="m0,0l-2147483645,0l-2147483645,-2147483646l0,-2147483646xe" stroked="f" o:allowincell="f" style="position:absolute;left:130;top:38;width:10269;height:1079;mso-wrap-style:square;v-text-anchor:top">
                  <v:textbo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Microsoft YaHei" w:cs="Lucida Sans"/>
                            <w:color w:val="00000A"/>
                            <w:lang w:val="eo"/>
                          </w:rPr>
                          <w:t>Estonta klimata ŝanĝo estas projekciita pliigi la severecon de efikoj trans naturaj kaj homaj sistemoj kaj pliigos regionajn diferencojn.</w:t>
                        </w:r>
                      </w:p>
                    </w:txbxContent>
                  </v:textbox>
                  <v:fill o:detectmouseclick="t" on="false"/>
                  <v:stroke color="#3465a4" joinstyle="round" endcap="flat"/>
                  <w10:wrap type="topAndBottom"/>
                </v:rect>
                <v:rect id="shape_0" path="m0,0l-2147483645,0l-2147483645,-2147483646l0,-2147483646xe" stroked="f" o:allowincell="f" style="position:absolute;left:186;top:818;width:5696;height:404;mso-wrap-style:square;v-text-anchor:top">
                  <v:textbox>
                    <w:txbxContent>
                      <w:p>
                        <w:pPr>
                          <w:overflowPunct w:val="false"/>
                          <w:spacing w:before="0" w:after="0" w:lineRule="auto" w:line="240"/>
                          <w:ind w:hanging="0"/>
                          <w:jc w:val="left"/>
                          <w:rPr/>
                        </w:pPr>
                        <w:r>
                          <w:rPr>
                            <w:sz w:val="24"/>
                            <w:b w:val="false"/>
                            <w:u w:val="none"/>
                            <w:dstrike w:val="false"/>
                            <w:strike w:val="false"/>
                            <w:i w:val="false"/>
                            <w:vertAlign w:val="baseline"/>
                            <w:position w:val="0"/>
                            <w:spacing w:val="0"/>
                            <w:szCs w:val="24"/>
                            <w:bCs w:val="false"/>
                            <w:iCs w:val="false"/>
                            <w:smallCaps w:val="false"/>
                            <w:caps w:val="false"/>
                            <w:rFonts w:ascii="Arial" w:hAnsi="Arial" w:eastAsia="Microsoft YaHei" w:cs="Lucida Sans"/>
                            <w:color w:val="00000A"/>
                            <w:lang w:val="eo"/>
                          </w:rPr>
                          <w:t>Ekzemploj de efikoj sen plia adapto</w:t>
                        </w:r>
                      </w:p>
                    </w:txbxContent>
                  </v:textbox>
                  <v:fill o:detectmouseclick="t" on="false"/>
                  <v:stroke color="#3465a4" joinstyle="round" endcap="flat"/>
                  <w10:wrap type="topAndBottom"/>
                </v:rect>
                <v:rect id="shape_0" path="m0,0l-2147483645,0l-2147483645,-2147483646l0,-2147483646xe" stroked="f" o:allowincell="f" style="position:absolute;left:-267;top:2026;width:3117;height:1666;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a) Risko de speciaj perdoj</w:t>
                        </w:r>
                        <w:r>
                          <w:rPr>
                            <w:b/>
                            <w:u w:val="none"/>
                            <w:dstrike w:val="false"/>
                            <w:strike w:val="false"/>
                            <w:i w:val="false"/>
                            <w:vertAlign w:val="baseline"/>
                            <w:position w:val="0"/>
                            <w:sz w:val="28"/>
                            <w:spacing w:val="0"/>
                            <w:bCs/>
                            <w:iCs w:val="false"/>
                            <w:smallCaps w:val="false"/>
                            <w:caps w:val="false"/>
                            <w:sz w:val="28"/>
                            <w:szCs w:val="28"/>
                            <w:rFonts w:ascii="Arial" w:hAnsi="Arial" w:eastAsia="Microsoft YaHei" w:cs="Lucida Sans"/>
                            <w:color w:val="00000A"/>
                            <w:lang w:val="eo"/>
                          </w:rPr>
                          <w:t xml:space="preserve"> </w:t>
                        </w:r>
                      </w:p>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Procento de bestospecioj kaj marherboj </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eksponitaj al potenciale danĝeraj temperaturkondiĉoj</w:t>
                        </w:r>
                        <w:r>
                          <w:rPr>
                            <w:u w:val="none"/>
                            <w:dstrike w:val="false"/>
                            <w:strike w:val="false"/>
                            <w:i w:val="false"/>
                            <w:vertAlign w:val="baseline"/>
                            <w:position w:val="0"/>
                            <w:sz w:val="22"/>
                            <w:spacing w:val="0"/>
                            <w:iCs w:val="false"/>
                            <w:smallCaps w:val="false"/>
                            <w:caps w:val="false"/>
                            <w:b w:val="false"/>
                            <w:bCs w:val="false"/>
                            <w:sz w:val="22"/>
                            <w:szCs w:val="22"/>
                            <w:rFonts w:ascii="Arial" w:hAnsi="Arial" w:eastAsia="Microsoft YaHei" w:cs="Lucida Sans"/>
                            <w:color w:val="00000A"/>
                            <w:lang w:val="eo"/>
                          </w:rPr>
                          <w:t xml:space="preserve">1, 2 </w:t>
                        </w:r>
                      </w:p>
                    </w:txbxContent>
                  </v:textbox>
                  <v:fill o:detectmouseclick="t" on="false"/>
                  <v:stroke color="#3465a4" joinstyle="round" endcap="flat"/>
                  <w10:wrap type="topAndBottom"/>
                </v:rect>
                <v:rect id="shape_0" path="m0,0l-2147483645,0l-2147483645,-2147483646l0,-2147483646xe" stroked="f" o:allowincell="f" style="position:absolute;left:-211;top:7430;width:3118;height:1525;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Tagoj jare </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kie kombinitaj temperaturoj kaj humidecaj kondiĉoj prezentas riskon de morteco al individuoj 3</w:t>
                        </w:r>
                      </w:p>
                    </w:txbxContent>
                  </v:textbox>
                  <v:fill o:detectmouseclick="t" on="false"/>
                  <v:stroke color="#3465a4" joinstyle="round" endcap="flat"/>
                  <w10:wrap type="topAndBottom"/>
                </v:rect>
                <v:rect id="shape_0" path="m0,0l-2147483645,0l-2147483645,-2147483646l0,-2147483646xe" stroked="f" o:allowincell="f" style="position:absolute;left:-153;top:5395;width:2528;height:1526;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b) Varmo humideco</w:t>
                        </w:r>
                      </w:p>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riskoj por homa sano</w:t>
                        </w:r>
                      </w:p>
                    </w:txbxContent>
                  </v:textbox>
                  <v:fill o:detectmouseclick="t" on="false"/>
                  <v:stroke color="#3465a4" joinstyle="round" endcap="flat"/>
                  <w10:wrap type="topAndBottom"/>
                </v:rect>
                <v:rect id="shape_0" path="m0,0l-2147483645,0l-2147483645,-2147483646l0,-2147483646xe" stroked="f" o:allowincell="f" style="position:absolute;left:56;top:7146;width:2447;height:404;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Historia 1991—200</w:t>
                        </w:r>
                      </w:p>
                    </w:txbxContent>
                  </v:textbox>
                  <v:fill o:detectmouseclick="t" on="false"/>
                  <v:stroke color="#3465a4" joinstyle="round" endcap="flat"/>
                  <w10:wrap type="topAndBottom"/>
                </v:rect>
                <v:rect id="shape_0" path="m0,0l-2147483645,0l-2147483645,-2147483646l0,-2147483646xe" stroked="f" o:allowincell="f" style="position:absolute;left:-267;top:9020;width:3117;height:1533;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c) Manĝproduktado-efikoj</w:t>
                        </w:r>
                      </w:p>
                    </w:txbxContent>
                  </v:textbox>
                  <v:fill o:detectmouseclick="t" on="false"/>
                  <v:stroke color="#3465a4" joinstyle="round" endcap="flat"/>
                  <w10:wrap type="topAndBottom"/>
                </v:rect>
                <v:rect id="shape_0" path="m0,0l-2147483645,0l-2147483645,-2147483646l0,-2147483646xe" stroked="f" o:allowincell="f" style="position:absolute;left:-108;top:10192;width:2571;height:786;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c1) Rendimento de maizo </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4</w:t>
                        </w:r>
                      </w:p>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Ŝanĝoj (%) en rendimento</w:t>
                        </w:r>
                      </w:p>
                    </w:txbxContent>
                  </v:textbox>
                  <v:fill o:detectmouseclick="t" on="false"/>
                  <v:stroke color="#3465a4" joinstyle="round" endcap="flat"/>
                  <w10:wrap type="topAndBottom"/>
                </v:rect>
                <v:rect id="shape_0" path="m0,0l-2147483645,0l-2147483645,-2147483646l0,-2147483646xe" stroked="f" o:allowincell="f" style="position:absolute;left:-127;top:11668;width:2356;height:943;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c2) Fiŝkapta rendimento 5</w:t>
                        </w:r>
                        <w:r>
                          <w:rPr>
                            <w:sz w:val="20"/>
                            <w:u w:val="none"/>
                            <w:dstrike w:val="false"/>
                            <w:strike w:val="false"/>
                            <w:i w:val="false"/>
                            <w:vertAlign w:val="baseline"/>
                            <w:position w:val="0"/>
                            <w:spacing w:val="0"/>
                            <w:szCs w:val="20"/>
                            <w:iCs w:val="false"/>
                            <w:smallCaps w:val="false"/>
                            <w:caps w:val="false"/>
                            <w:b w:val="false"/>
                            <w:bCs w:val="false"/>
                            <w:rFonts w:ascii="Arial" w:hAnsi="Arial" w:eastAsia="Microsoft YaHei" w:cs="Lucida Sans"/>
                            <w:color w:val="00000A"/>
                            <w:lang w:val="eo"/>
                          </w:rPr>
                          <w:t xml:space="preserve"> </w:t>
                        </w:r>
                      </w:p>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Ŝanĝoj (%) en maksimuma kaptpotencialo</w:t>
                        </w:r>
                      </w:p>
                    </w:txbxContent>
                  </v:textbox>
                  <v:fill o:detectmouseclick="t" on="false"/>
                  <v:stroke color="#3465a4" joinstyle="round" endcap="flat"/>
                  <w10:wrap type="topAndBottom"/>
                </v:rect>
                <v:rect id="shape_0" path="m0,0l-2147483645,0l-2147483645,-2147483646l0,-2147483646xe" stroked="f" o:allowincell="f" style="position:absolute;left:7735;top:2090;width:3174;height:135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1 Projekciitaj temperaturkondiĉoj super la laŭtaksa historia (1850-2005) maksimuma averaĝa ĉiujara temperaturo travivita de ĉiu specio, supozante neniun speciotranslokigon.</w:t>
                        </w:r>
                      </w:p>
                    </w:txbxContent>
                  </v:textbox>
                  <v:fill o:detectmouseclick="t" on="false"/>
                  <v:stroke color="#3465a4" joinstyle="round" endcap="flat"/>
                  <w10:wrap type="topAndBottom"/>
                </v:rect>
                <v:rect id="shape_0" path="m0,0l-2147483645,0l-2147483645,-2147483646l0,-2147483646xe" stroked="f" o:allowincell="f" style="position:absolute;left:2211;top:3851;width:2453;height:1218;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2 Inkluzivas 30 652 speciojn de birdoj, mamuloj, reptilioj, amfibioj, maraj fiŝoj, bentaj maraj senvertebruloj, krilo, kapopieduloj, koraloj kaj marherboj.</w:t>
                        </w:r>
                      </w:p>
                    </w:txbxContent>
                  </v:textbox>
                  <v:fill o:detectmouseclick="t" on="false"/>
                  <v:stroke color="#3465a4" joinstyle="round" endcap="flat"/>
                  <w10:wrap type="topAndBottom"/>
                </v:rect>
                <v:rect id="shape_0" path="m0,0l-2147483645,0l-2147483645,-2147483646l0,-2147483646xe" stroked="f" o:allowincell="f" style="position:absolute;left:2228;top:5498;width:735;height:404;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tagoj</w:t>
                        </w:r>
                      </w:p>
                    </w:txbxContent>
                  </v:textbox>
                  <v:fill o:detectmouseclick="t" on="false"/>
                  <v:stroke color="#3465a4" joinstyle="round" endcap="flat"/>
                  <w10:wrap type="topAndBottom"/>
                </v:rect>
                <v:rect id="shape_0" path="m0,0l-2147483645,0l-2147483645,-2147483646l0,-2147483646xe" stroked="f" o:allowincell="f" style="position:absolute;left:2632;top:7316;width:8107;height:1072;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3 Projekciitaj regionaj efikoj utiligas tutmondan sojlon preter kiu ĉiutaga averaĝa surfacaera temperaturo kaj relativa humideco povas indukti hipertermion kiu prezentas riskon de morteco. La daŭro kaj intenseco de varmondoj ne estas prezentitaj ĉi tie. Varmec-rilataj sanrezultoj varias je loko kaj estas tre moderigitaj per sociekonomikaj, profesiaj kaj aliaj ne-klimataj determinantoj de individua sano sociekonomika vundebleco. La sojlo uzita en tiuj mapoj estas bazita sur ununura studo kiu sintezis datenojn de 783 kazoj por determini la rilaton inter varmo-humidokondiĉoj kaj morteco desegnita plejparte de observaĵoj en temperitaj klimatoj.</w:t>
                        </w:r>
                      </w:p>
                    </w:txbxContent>
                  </v:textbox>
                  <v:fill o:detectmouseclick="t" on="false"/>
                  <v:stroke color="#3465a4" joinstyle="round" endcap="flat"/>
                  <w10:wrap type="topAndBottom"/>
                </v:rect>
                <v:rect id="shape_0" path="m0,0l-2147483645,0l-2147483645,-2147483646l0,-2147483646xe" stroked="f" o:allowincell="f" style="position:absolute;left:2114;top:10448;width:8511;height:673;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4 Projekciitaj regionaj efikoj reflektas biofizikajn respondojn al ŝanĝiĝanta temperaturo, precipitaĵo, suna radiado, humideco, vento, kaj C02-plibonigo de kresko kaj akvoreteno en nuntempe kultivitaj lokoj. Modeloj supozas ke irigaciitaj areoj ne estas akvo-limigitaj. Modeloj ne reprezentas plagojn, malsanojn, estontajn agroteknologiajn ŝanĝojn kaj iujn ekstremajn klimatajn respondojn.</w:t>
                        </w:r>
                      </w:p>
                    </w:txbxContent>
                  </v:textbox>
                  <v:fill o:detectmouseclick="t" on="false"/>
                  <v:stroke color="#3465a4" joinstyle="round" endcap="flat"/>
                  <w10:wrap type="topAndBottom"/>
                </v:rect>
                <v:rect id="shape_0" path="m0,0l-2147483645,0l-2147483645,-2147483646l0,-2147483646xe" stroked="f" o:allowincell="f" style="position:absolute;left:8479;top:11357;width:2203;height:446;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Areoj kun malgranda aŭ neniu produktado, aŭ ne taksitaj</w:t>
                        </w:r>
                      </w:p>
                    </w:txbxContent>
                  </v:textbox>
                  <v:fill o:detectmouseclick="t" on="false"/>
                  <v:stroke color="#3465a4" joinstyle="round" endcap="flat"/>
                  <w10:wrap type="topAndBottom"/>
                </v:rect>
                <v:rect id="shape_0" path="m0,0l-2147483645,0l-2147483645,-2147483646l0,-2147483646xe" stroked="f" o:allowincell="f" style="position:absolute;left:8366;top:11867;width:2203;height:291;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Areoj kun modelaj malkonsentoj</w:t>
                        </w:r>
                      </w:p>
                    </w:txbxContent>
                  </v:textbox>
                  <v:fill o:detectmouseclick="t" on="false"/>
                  <v:stroke color="#3465a4" joinstyle="round" endcap="flat"/>
                  <w10:wrap type="topAndBottom"/>
                </v:rect>
                <v:rect id="shape_0" path="m0,0l-2147483645,0l-2147483645,-2147483646l0,-2147483646xe" stroked="f" o:allowincell="f" style="position:absolute;left:2228;top:12649;width:7944;height:758;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5 Projekciitaj regionaj efikoj reflektas fiŝfarmojn kaj marajn ekosistemrespondojn al oceanaj fizikaj kaj biogeokemiaj kondiĉoj kiel ekzemple temperaturo, oksigennivelo kaj neta primara produktado. Modeloj ne reprezentas ŝanĝojn en fiŝkaptadagadoj kaj kelkajn ekstremajn klimatajn kondiĉojn. Projekciitaj ŝanĝoj en la arktaj regionoj havas malaltan fidon pro necertecoj asociitaj kun modeligado de multoblaj interagaj ŝoforoj kaj ekosistemrespondoj.</w:t>
                        </w:r>
                      </w:p>
                    </w:txbxContent>
                  </v:textbox>
                  <v:fill o:detectmouseclick="t" on="false"/>
                  <v:stroke color="#3465a4" joinstyle="round" endcap="flat"/>
                  <w10:wrap type="topAndBottom"/>
                </v:rect>
              </v:group>
            </w:pict>
          </mc:Fallback>
        </mc:AlternateContent>
      </w:r>
      <w:r>
        <w:rPr>
          <w:b/>
          <w:color w:val="000000"/>
          <w:w w:val="100"/>
          <w:sz w:val="22"/>
        </w:rPr>
        <w:t xml:space="preserve"> </w:t>
      </w:r>
    </w:p>
    <w:p>
      <w:pPr>
        <w:pStyle w:val="Normal"/>
        <w:spacing w:before="0" w:after="21"/>
        <w:rPr>
          <w:rFonts w:ascii="Times New Roman" w:hAnsi="Times New Roman" w:cs="TimesNewRomanPSMT"/>
          <w:b/>
          <w:b/>
          <w:color w:val="000000"/>
          <w:spacing w:val="-7"/>
          <w:w w:val="100"/>
          <w:sz w:val="20"/>
          <w:szCs w:val="18"/>
        </w:rPr>
      </w:pPr>
      <w:r>
        <w:rPr>
          <w:rFonts w:cs="TimesNewRomanPSMT"/>
          <w:b/>
          <w:color w:val="000000"/>
          <w:spacing w:val="-7"/>
          <w:w w:val="100"/>
          <w:sz w:val="20"/>
          <w:szCs w:val="18"/>
        </w:rPr>
      </w:r>
    </w:p>
    <w:p>
      <w:pPr>
        <w:pStyle w:val="ParagrapheBlancPetit"/>
        <w:rPr/>
      </w:pPr>
      <w:r>
        <w:rPr>
          <w:rStyle w:val="StyleGras"/>
        </w:rPr>
        <w:t xml:space="preserve">Figuro SPM.3: </w:t>
      </w:r>
      <w:r>
        <w:rPr/>
        <w:t xml:space="preserve">Projektitaj riskoj kaj efikoj de klimata ŝanĝo sur naturaj kaj homaj sistemoj ĉe malsamaj mondvarmiĝoniveloj (GWLs) relative al 1850-1900-niveloj. Projekciitaj riskoj kaj efikoj montritaj sur la mapoj estas bazitaj sur produktaĵoj de malsamaj subaroj de Tersistemo kaj efikmodeloj kiuj estis utiligitaj por projekcii ĉiun efikindikilon sen kroma adaptado. WGII disponigas plian takson de la efikoj al homaj kaj naturaj sistemoj uzante tiujn projekciojn kaj kromajn indicojn. </w:t>
      </w:r>
      <w:r>
        <w:rPr>
          <w:rStyle w:val="StyleGras"/>
        </w:rPr>
        <w:t xml:space="preserve">(a) </w:t>
      </w:r>
      <w:r>
        <w:rPr/>
        <w:t xml:space="preserve">Riskoj de specioperdoj kiel indikite per la procento de taksitaj specioj eksponitaj al potenciale danĝeraj temperaturkondiĉoj, kiel difinite per kondiĉoj preter la laŭtaksa historia (1850-2005) maksimuma averaĝa jara temperaturo travivita de ĉiu specio, ĉe GWL-oj de 1.5 </w:t>
      </w:r>
      <w:r>
        <w:rPr>
          <w:rFonts w:eastAsia="Times New Roman" w:cs="Times New Roman"/>
          <w:b w:val="false"/>
          <w:color w:val="00000A"/>
          <w:kern w:val="0"/>
          <w:sz w:val="20"/>
          <w:szCs w:val="22"/>
          <w:lang w:val="en-US" w:eastAsia="zh-CN" w:bidi="ar-SA"/>
        </w:rPr>
        <w:t xml:space="preserve">° </w:t>
      </w:r>
      <w:r>
        <w:rPr/>
        <w:t xml:space="preserve">C , 2 </w:t>
      </w:r>
      <w:r>
        <w:rPr>
          <w:rFonts w:eastAsia="Times New Roman" w:cs="Times New Roman"/>
          <w:b w:val="false"/>
          <w:color w:val="00000A"/>
          <w:kern w:val="0"/>
          <w:sz w:val="20"/>
          <w:szCs w:val="22"/>
          <w:lang w:val="en-US" w:eastAsia="zh-CN" w:bidi="ar-SA"/>
        </w:rPr>
        <w:t xml:space="preserve">° </w:t>
      </w:r>
      <w:r>
        <w:rPr/>
        <w:t xml:space="preserve">C, 3 °C kaj 4 °C. Subtenaj projekcioj de temperaturo estas de 21 Teraj sistemmodeloj kaj ne konsideras ekstremajn eventojn influantajn ekosistemojn kiel ekzemple la Arkto. </w:t>
      </w:r>
      <w:r>
        <w:rPr>
          <w:rStyle w:val="StyleGras"/>
        </w:rPr>
        <w:t xml:space="preserve">(b) </w:t>
      </w:r>
      <w:r>
        <w:rPr/>
        <w:t xml:space="preserve">Riskoj al homa sano kiel indikite per la tagoj jare de populacio-eksponiĝo al hipertermaj kondiĉoj kiuj prezentas riskon de morteco de surfacaera temperaturo kaj humideckondiĉoj por historia periodo (1991-2005) kaj ĉe GWLoj de 1.7 °C–2.3 °C (meznombro = 1,9 °C; 13 klimatmodeloj), 2,4 °C–3,1 °C (2,7 °C; 16 klimatmodeloj) kaj 4,2 °C–5,4 °C (4,7 °C; 15 klimatmodeloj). Interkvartilaj intervaloj de GWLs antaŭ 2081-2100 sub RCP2.6, RCP4.5 kaj RCP8.5. La prezentita indekso kongruas kun komunaj trajtoj trovitaj en multaj indeksoj inkluzivitaj ene de taksoj de WGI kaj WGII </w:t>
      </w:r>
      <w:r>
        <w:rPr>
          <w:rStyle w:val="StyleGras"/>
        </w:rPr>
        <w:t xml:space="preserve">(c) </w:t>
      </w:r>
      <w:r>
        <w:rPr/>
        <w:t>Efiko al nutraĵproduktado: (c1) Ŝanĝoj en maiza rendimento antaŭ 2080–2099 rilate al 1986–2005 ĉe projekciitaj GWL de 1.6°. C– 2,4 °C (2,0 °C), 3,3 °C–4,8 °C (4,1 °C) kaj 3,9 °C–6,0 °C (4,9 °C). Median-rendimentoŝanĝoj de ensemblo de 12 kultivaĵmodeloj, ĉiu movita per bias-alĝustigitaj produktaĵoj de 5 Teraj sistemmodeloj, de la Agrikultura Model Intercomparison kaj Improvement Project (AgMIP) kaj la Inter-Sector Impact Model Intercomparison Project (ISIMIP). Mapoj prezentas 2080-2099 komparite kun 1986-2005 por nunaj kreskantaj regionoj (&gt;10 ha), kun la ekvivalenta vico da estontaj mondvarmiĝoniveloj montritaj sub SSP1-2.6, SSP3-7.0 kaj SSP5-8.5, respektive. Eloviĝo indikas areojn kie &lt;70% de la klimat-kultivaĵmodelkombinaĵoj konsentas pri la signo de efiko. (c2) Ŝanĝo en maksimumaj fiŝfarmoj kaptas potencialon antaŭ 2081–2099 relative al 1986–2005 ĉe projekciitaj GWLoj de 0.9°C–2.0°C (1.5°C) kaj 3.4°C–5.2°C (4.3°C). GWLs antaŭ 2081-2100 sub RCP2.6 kaj RCP8.5. Eloviĝo indikas kie la du klimat-fiŝfarmaj modeloj malkonsentas en la direkto de ŝanĝo. Grandaj relativaj ŝanĝoj en malaltaj cedaj regionoj povas egalrilati al malgrandaj absolutaj ŝanĝoj. Biodiverseco kaj fiŝfarmoj en Antarkto ne estis analizitaj pro datenlimigoj. Manĝaĵsekureco ankaŭ estas tuŝita de misfunkciadoj de rikoltoj kaj fiŝkaptado ne prezentitaj ĉi tie.{3.1.2, Figuro 3.2, Sekcia Skatolo.2} (Kesto SPM.1)</w:t>
      </w:r>
    </w:p>
    <w:p>
      <w:pPr>
        <w:pStyle w:val="ParagrapheBlanc"/>
        <w:rPr/>
      </w:pPr>
      <w:r>
        <w:rPr>
          <w:rStyle w:val="StyleGras"/>
        </w:rPr>
        <w:t>[FINO FIGURO SPM.3 ĈI TIE]</w:t>
      </w:r>
    </w:p>
    <w:p>
      <w:pPr>
        <w:pStyle w:val="ParagrapheBlanc"/>
        <w:rPr/>
      </w:pPr>
      <w:r>
        <w:rPr>
          <w:rStyle w:val="StyleGras"/>
        </w:rPr>
        <w:t xml:space="preserve"> </w:t>
      </w:r>
    </w:p>
    <w:p>
      <w:pPr>
        <w:pStyle w:val="ParagrapheBlanc"/>
        <w:rPr/>
      </w:pPr>
      <w:r>
        <w:rPr>
          <w:rStyle w:val="StyleGras"/>
        </w:rPr>
        <w:t>[KOMENCU FIGURON SPM.4 ĈI TIE]</w:t>
      </w:r>
      <w:r>
        <w:br w:type="page"/>
      </w:r>
    </w:p>
    <w:p>
      <w:pPr>
        <w:pStyle w:val="Normal"/>
        <w:widowControl w:val="false"/>
        <w:spacing w:lineRule="exact" w:line="367"/>
        <w:ind w:left="0" w:right="567" w:hanging="0"/>
        <w:jc w:val="left"/>
        <w:rPr>
          <w:rFonts w:ascii="Times New Roman" w:hAnsi="Times New Roman"/>
          <w:b/>
          <w:b/>
          <w:color w:val="000000"/>
          <w:spacing w:val="-11"/>
          <w:w w:val="100"/>
          <w:sz w:val="22"/>
        </w:rPr>
      </w:pPr>
      <w:r>
        <w:rPr>
          <w:b/>
          <w:color w:val="000000"/>
          <w:spacing w:val="-11"/>
          <w:w w:val="100"/>
          <w:sz w:val="22"/>
        </w:rPr>
        <mc:AlternateContent>
          <mc:Choice Requires="wpg">
            <w:drawing>
              <wp:anchor behindDoc="0" distT="0" distB="0" distL="0" distR="0" simplePos="0" locked="0" layoutInCell="0" allowOverlap="1" relativeHeight="72">
                <wp:simplePos x="0" y="0"/>
                <wp:positionH relativeFrom="column">
                  <wp:posOffset>-62230</wp:posOffset>
                </wp:positionH>
                <wp:positionV relativeFrom="paragraph">
                  <wp:posOffset>99695</wp:posOffset>
                </wp:positionV>
                <wp:extent cx="7053580" cy="9075420"/>
                <wp:effectExtent l="0" t="0" r="0" b="0"/>
                <wp:wrapTopAndBottom/>
                <wp:docPr id="71" name="Forme70"/>
                <a:graphic xmlns:a="http://schemas.openxmlformats.org/drawingml/2006/main">
                  <a:graphicData uri="http://schemas.microsoft.com/office/word/2010/wordprocessingGroup">
                    <wpg:wgp>
                      <wpg:cNvGrpSpPr/>
                      <wpg:grpSpPr>
                        <a:xfrm>
                          <a:off x="0" y="0"/>
                          <a:ext cx="7053120" cy="9074880"/>
                          <a:chOff x="-62280" y="99720"/>
                          <a:chExt cx="7053120" cy="9074880"/>
                        </a:xfrm>
                      </wpg:grpSpPr>
                      <pic:pic xmlns:pic="http://schemas.openxmlformats.org/drawingml/2006/picture">
                        <pic:nvPicPr>
                          <pic:cNvPr id="3" name="" descr=""/>
                          <pic:cNvPicPr/>
                        </pic:nvPicPr>
                        <pic:blipFill>
                          <a:blip r:embed="rId13"/>
                          <a:stretch/>
                        </pic:blipFill>
                        <pic:spPr>
                          <a:xfrm>
                            <a:off x="65880" y="60480"/>
                            <a:ext cx="6843240" cy="8790840"/>
                          </a:xfrm>
                          <a:prstGeom prst="rect">
                            <a:avLst/>
                          </a:prstGeom>
                          <a:ln w="0">
                            <a:noFill/>
                          </a:ln>
                        </pic:spPr>
                      </pic:pic>
                      <wps:wsp>
                        <wps:cNvSpPr/>
                        <wps:spPr>
                          <a:xfrm>
                            <a:off x="87120" y="0"/>
                            <a:ext cx="5018400" cy="427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Microsoft YaHei" w:cs="Lucida Sans"/>
                                  <w:color w:val="00000A"/>
                                  <w:lang w:val="eo"/>
                                </w:rPr>
                                <w:t>Riskoj pliiĝas kun ĉiu pliigo de varmiĝo</w:t>
                              </w:r>
                            </w:p>
                          </w:txbxContent>
                        </wps:txbx>
                        <wps:bodyPr lIns="90000" rIns="90000" tIns="45000" bIns="45000" anchor="t">
                          <a:noAutofit/>
                        </wps:bodyPr>
                      </wps:wsp>
                      <wps:wsp>
                        <wps:cNvSpPr/>
                        <wps:spPr>
                          <a:xfrm>
                            <a:off x="137880" y="350640"/>
                            <a:ext cx="5619240" cy="256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a) Altaj riskoj nun estas taksitaj okazi ĉe pli malaltaj mondvarmiĝoniveloj</w:t>
                              </w:r>
                            </w:p>
                          </w:txbxContent>
                        </wps:txbx>
                        <wps:bodyPr lIns="90000" rIns="90000" tIns="45000" bIns="45000" anchor="t">
                          <a:noAutofit/>
                        </wps:bodyPr>
                      </wps:wsp>
                      <wps:wsp>
                        <wps:cNvSpPr/>
                        <wps:spPr>
                          <a:xfrm>
                            <a:off x="126360" y="2811960"/>
                            <a:ext cx="2171160" cy="257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b) Riskoj malsamas laŭ sistemo</w:t>
                              </w:r>
                            </w:p>
                          </w:txbxContent>
                        </wps:txbx>
                        <wps:bodyPr lIns="90000" rIns="90000" tIns="45000" bIns="45000" anchor="t">
                          <a:noAutofit/>
                        </wps:bodyPr>
                      </wps:wsp>
                      <wps:wsp>
                        <wps:cNvSpPr/>
                        <wps:spPr>
                          <a:xfrm>
                            <a:off x="101520" y="4935240"/>
                            <a:ext cx="6771600" cy="283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c) Riskoj al marbordaj geografioj pliiĝas kun marnivelo kaj dependas de respondoj</w:t>
                              </w:r>
                            </w:p>
                          </w:txbxContent>
                        </wps:txbx>
                        <wps:bodyPr lIns="90000" rIns="90000" tIns="45000" bIns="45000" anchor="t">
                          <a:noAutofit/>
                        </wps:bodyPr>
                      </wps:wsp>
                      <wps:wsp>
                        <wps:cNvSpPr/>
                        <wps:spPr>
                          <a:xfrm>
                            <a:off x="0" y="7196400"/>
                            <a:ext cx="2594520" cy="598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d) Adaptado kaj sociekonomikaj vojoj influas nivelojn de klimato</w:t>
                              </w:r>
                            </w:p>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rilataj riskoj</w:t>
                              </w:r>
                            </w:p>
                          </w:txbxContent>
                        </wps:txbx>
                        <wps:bodyPr lIns="90000" rIns="90000" tIns="45000" bIns="45000" anchor="t">
                          <a:noAutofit/>
                        </wps:bodyPr>
                      </wps:wsp>
                      <wps:wsp>
                        <wps:cNvSpPr/>
                        <wps:spPr>
                          <a:xfrm>
                            <a:off x="575280" y="647640"/>
                            <a:ext cx="1793880" cy="315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Tutmonda surfactemperaturoŝanĝo relative al 1850—1900</w:t>
                              </w:r>
                            </w:p>
                          </w:txbxContent>
                        </wps:txbx>
                        <wps:bodyPr lIns="90000" rIns="90000" tIns="45000" bIns="45000" anchor="t">
                          <a:noAutofit/>
                        </wps:bodyPr>
                      </wps:wsp>
                      <wps:wsp>
                        <wps:cNvSpPr/>
                        <wps:spPr>
                          <a:xfrm>
                            <a:off x="569520" y="1044000"/>
                            <a:ext cx="1404000" cy="5436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ombrado reprezentas la necertecintervalojn por la malaltaj kaj altaj emisioscenaroj</w:t>
                              </w:r>
                            </w:p>
                          </w:txbxContent>
                        </wps:txbx>
                        <wps:bodyPr lIns="90000" rIns="90000" tIns="45000" bIns="45000" anchor="t">
                          <a:noAutofit/>
                        </wps:bodyPr>
                      </wps:wsp>
                      <wpg:grpSp>
                        <wpg:cNvGrpSpPr/>
                        <wpg:grpSpPr>
                          <a:xfrm>
                            <a:off x="2229480" y="935280"/>
                            <a:ext cx="824400" cy="1064880"/>
                          </a:xfrm>
                        </wpg:grpSpPr>
                        <wps:wsp>
                          <wps:cNvSpPr/>
                          <wps:spPr>
                            <a:xfrm>
                              <a:off x="36360" y="0"/>
                              <a:ext cx="644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CF3834"/>
                                    <w:lang w:val="eo"/>
                                  </w:rPr>
                                  <w:t>tre alta</w:t>
                                </w:r>
                              </w:p>
                            </w:txbxContent>
                          </wps:txbx>
                          <wps:bodyPr lIns="90000" rIns="90000" tIns="45000" bIns="45000" anchor="t">
                            <a:noAutofit/>
                          </wps:bodyPr>
                        </wps:wsp>
                        <wps:wsp>
                          <wps:cNvSpPr/>
                          <wps:spPr>
                            <a:xfrm>
                              <a:off x="0" y="864360"/>
                              <a:ext cx="644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5E8AC7"/>
                                    <w:lang w:val="eo"/>
                                  </w:rPr>
                                  <w:t>tre malalta</w:t>
                                </w:r>
                              </w:p>
                            </w:txbxContent>
                          </wps:txbx>
                          <wps:bodyPr lIns="90000" rIns="90000" tIns="45000" bIns="45000" anchor="t">
                            <a:noAutofit/>
                          </wps:bodyPr>
                        </wps:wsp>
                        <wps:wsp>
                          <wps:cNvSpPr/>
                          <wps:spPr>
                            <a:xfrm>
                              <a:off x="72360" y="695520"/>
                              <a:ext cx="64332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malalta</w:t>
                                </w:r>
                              </w:p>
                            </w:txbxContent>
                          </wps:txbx>
                          <wps:bodyPr lIns="90000" rIns="90000" tIns="45000" bIns="45000" anchor="t">
                            <a:noAutofit/>
                          </wps:bodyPr>
                        </wps:wsp>
                        <wps:wsp>
                          <wps:cNvSpPr/>
                          <wps:spPr>
                            <a:xfrm>
                              <a:off x="36360" y="396360"/>
                              <a:ext cx="788040" cy="212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F9A870"/>
                                    <w:lang w:val="eo"/>
                                  </w:rPr>
                                  <w:t>meza</w:t>
                                </w:r>
                              </w:p>
                            </w:txbxContent>
                          </wps:txbx>
                          <wps:bodyPr lIns="90000" rIns="90000" tIns="45000" bIns="45000" anchor="t">
                            <a:noAutofit/>
                          </wps:bodyPr>
                        </wps:wsp>
                        <wps:wsp>
                          <wps:cNvSpPr/>
                          <wps:spPr>
                            <a:xfrm>
                              <a:off x="36360" y="180360"/>
                              <a:ext cx="644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ED1C24"/>
                                    <w:lang w:val="eo"/>
                                  </w:rPr>
                                  <w:t>alta</w:t>
                                </w:r>
                              </w:p>
                            </w:txbxContent>
                          </wps:txbx>
                          <wps:bodyPr lIns="90000" rIns="90000" tIns="45000" bIns="45000" anchor="t">
                            <a:noAutofit/>
                          </wps:bodyPr>
                        </wps:wsp>
                      </wpg:grpSp>
                      <wps:wsp>
                        <wps:cNvSpPr/>
                        <wps:spPr>
                          <a:xfrm>
                            <a:off x="2985840" y="616680"/>
                            <a:ext cx="1969920" cy="315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Global Reasons for Concern (RFCoj) en AR5 (2014) vs. AR6 (2022</w:t>
                              </w:r>
                            </w:p>
                          </w:txbxContent>
                        </wps:txbx>
                        <wps:bodyPr lIns="90000" rIns="90000" tIns="45000" bIns="45000" anchor="t">
                          <a:noAutofit/>
                        </wps:bodyPr>
                      </wps:wsp>
                      <wps:wsp>
                        <wps:cNvSpPr/>
                        <wps:spPr>
                          <a:xfrm>
                            <a:off x="5797440" y="503640"/>
                            <a:ext cx="1147320" cy="429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risko estas la potencialo por malfavoraj sekvoj</w:t>
                              </w:r>
                            </w:p>
                          </w:txbxContent>
                        </wps:txbx>
                        <wps:bodyPr lIns="90000" rIns="90000" tIns="45000" bIns="45000" anchor="t">
                          <a:noAutofit/>
                        </wps:bodyPr>
                      </wps:wsp>
                      <wps:wsp>
                        <wps:cNvSpPr/>
                        <wps:spPr>
                          <a:xfrm>
                            <a:off x="6121440" y="863640"/>
                            <a:ext cx="680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Tre alta</w:t>
                              </w:r>
                            </w:p>
                          </w:txbxContent>
                        </wps:txbx>
                        <wps:bodyPr lIns="90000" rIns="90000" tIns="45000" bIns="45000" anchor="t">
                          <a:noAutofit/>
                        </wps:bodyPr>
                      </wps:wsp>
                      <wps:wsp>
                        <wps:cNvSpPr/>
                        <wps:spPr>
                          <a:xfrm>
                            <a:off x="6157440" y="1223640"/>
                            <a:ext cx="67932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Modera</w:t>
                              </w:r>
                            </w:p>
                          </w:txbxContent>
                        </wps:txbx>
                        <wps:bodyPr lIns="90000" rIns="90000" tIns="45000" bIns="45000" anchor="t">
                          <a:noAutofit/>
                        </wps:bodyPr>
                      </wps:wsp>
                      <wps:wsp>
                        <wps:cNvSpPr/>
                        <wps:spPr>
                          <a:xfrm>
                            <a:off x="6121440" y="1378440"/>
                            <a:ext cx="82368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Nerimarkebla</w:t>
                              </w:r>
                            </w:p>
                          </w:txbxContent>
                        </wps:txbx>
                        <wps:bodyPr lIns="90000" rIns="90000" tIns="45000" bIns="45000" anchor="t">
                          <a:noAutofit/>
                        </wps:bodyPr>
                      </wps:wsp>
                      <wps:wsp>
                        <wps:cNvSpPr/>
                        <wps:spPr>
                          <a:xfrm>
                            <a:off x="6121440" y="1044000"/>
                            <a:ext cx="680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Alta</w:t>
                              </w:r>
                            </w:p>
                          </w:txbxContent>
                        </wps:txbx>
                        <wps:bodyPr lIns="90000" rIns="90000" tIns="45000" bIns="45000" anchor="t">
                          <a:noAutofit/>
                        </wps:bodyPr>
                      </wps:wsp>
                      <wps:wsp>
                        <wps:cNvSpPr/>
                        <wps:spPr>
                          <a:xfrm>
                            <a:off x="5905440" y="1522800"/>
                            <a:ext cx="1004040" cy="236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Transira gamo</w:t>
                              </w:r>
                            </w:p>
                          </w:txbxContent>
                        </wps:txbx>
                        <wps:bodyPr lIns="90000" rIns="90000" tIns="45000" bIns="45000" anchor="t">
                          <a:noAutofit/>
                        </wps:bodyPr>
                      </wps:wsp>
                      <wps:wsp>
                        <wps:cNvSpPr/>
                        <wps:spPr>
                          <a:xfrm>
                            <a:off x="5869440" y="1774800"/>
                            <a:ext cx="1004040" cy="429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Konfida nivelo asignita al transira gamo</w:t>
                              </w:r>
                            </w:p>
                          </w:txbxContent>
                        </wps:txbx>
                        <wps:bodyPr lIns="90000" rIns="90000" tIns="45000" bIns="45000" anchor="t">
                          <a:noAutofit/>
                        </wps:bodyPr>
                      </wps:wsp>
                      <wps:wsp>
                        <wps:cNvSpPr/>
                        <wps:spPr>
                          <a:xfrm>
                            <a:off x="5736600" y="2282760"/>
                            <a:ext cx="52452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malalta</w:t>
                              </w:r>
                            </w:p>
                          </w:txbxContent>
                        </wps:txbx>
                        <wps:bodyPr lIns="90000" rIns="90000" tIns="45000" bIns="45000" anchor="t">
                          <a:noAutofit/>
                        </wps:bodyPr>
                      </wps:wsp>
                      <wps:wsp>
                        <wps:cNvSpPr/>
                        <wps:spPr>
                          <a:xfrm>
                            <a:off x="6301080" y="2282760"/>
                            <a:ext cx="60840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Tre alta</w:t>
                              </w:r>
                            </w:p>
                          </w:txbxContent>
                        </wps:txbx>
                        <wps:bodyPr lIns="90000" rIns="90000" tIns="45000" bIns="45000" anchor="t">
                          <a:noAutofit/>
                        </wps:bodyPr>
                      </wps:wsp>
                      <wps:wsp>
                        <wps:cNvSpPr/>
                        <wps:spPr>
                          <a:xfrm>
                            <a:off x="5977800" y="2418120"/>
                            <a:ext cx="931680" cy="315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mezpunkto de transiro</w:t>
                              </w:r>
                            </w:p>
                          </w:txbxContent>
                        </wps:txbx>
                        <wps:bodyPr lIns="90000" rIns="90000" tIns="45000" bIns="45000" anchor="t">
                          <a:noAutofit/>
                        </wps:bodyPr>
                      </wps:wsp>
                      <wps:wsp>
                        <wps:cNvSpPr/>
                        <wps:spPr>
                          <a:xfrm>
                            <a:off x="2733840" y="2343240"/>
                            <a:ext cx="823680" cy="429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Unikaj kaj minacataj sistemoj</w:t>
                              </w:r>
                            </w:p>
                          </w:txbxContent>
                        </wps:txbx>
                        <wps:bodyPr lIns="90000" rIns="90000" tIns="45000" bIns="45000" anchor="t">
                          <a:noAutofit/>
                        </wps:bodyPr>
                      </wps:wsp>
                      <wps:wsp>
                        <wps:cNvSpPr/>
                        <wps:spPr>
                          <a:xfrm>
                            <a:off x="1541880" y="2093040"/>
                            <a:ext cx="1044000" cy="485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2011-2020 estis ĉirkaŭ 1.1 °C pli varma ol 1850-1900</w:t>
                              </w:r>
                            </w:p>
                          </w:txbxContent>
                        </wps:txbx>
                        <wps:bodyPr lIns="90000" rIns="90000" tIns="45000" bIns="45000" anchor="t">
                          <a:noAutofit/>
                        </wps:bodyPr>
                      </wps:wsp>
                      <wps:wsp>
                        <wps:cNvSpPr/>
                        <wps:spPr>
                          <a:xfrm>
                            <a:off x="3381480" y="2341800"/>
                            <a:ext cx="82440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Ekstremaj veterokazaĵoj</w:t>
                              </w:r>
                            </w:p>
                          </w:txbxContent>
                        </wps:txbx>
                        <wps:bodyPr lIns="90000" rIns="90000" tIns="45000" bIns="45000" anchor="t">
                          <a:noAutofit/>
                        </wps:bodyPr>
                      </wps:wsp>
                      <wps:wsp>
                        <wps:cNvSpPr/>
                        <wps:spPr>
                          <a:xfrm>
                            <a:off x="4039920" y="2377440"/>
                            <a:ext cx="669240" cy="429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Distribuado de efikoj</w:t>
                              </w:r>
                            </w:p>
                          </w:txbxContent>
                        </wps:txbx>
                        <wps:bodyPr lIns="90000" rIns="90000" tIns="45000" bIns="45000" anchor="t">
                          <a:noAutofit/>
                        </wps:bodyPr>
                      </wps:wsp>
                      <wps:wsp>
                        <wps:cNvSpPr/>
                        <wps:spPr>
                          <a:xfrm>
                            <a:off x="4461480" y="2341800"/>
                            <a:ext cx="82368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Tutmondaj entutaj efikoj</w:t>
                              </w:r>
                            </w:p>
                          </w:txbxContent>
                        </wps:txbx>
                        <wps:bodyPr lIns="90000" rIns="90000" tIns="45000" bIns="45000" anchor="t">
                          <a:noAutofit/>
                        </wps:bodyPr>
                      </wps:wsp>
                      <wps:wsp>
                        <wps:cNvSpPr/>
                        <wps:spPr>
                          <a:xfrm>
                            <a:off x="5037480" y="2377440"/>
                            <a:ext cx="828000" cy="429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Grandskalaj unuopaj eventoj</w:t>
                              </w:r>
                            </w:p>
                          </w:txbxContent>
                        </wps:txbx>
                        <wps:bodyPr lIns="90000" rIns="90000" tIns="45000" bIns="45000" anchor="t">
                          <a:noAutofit/>
                        </wps:bodyPr>
                      </wps:wsp>
                      <wps:wsp>
                        <wps:cNvSpPr/>
                        <wps:spPr>
                          <a:xfrm>
                            <a:off x="173880" y="3279240"/>
                            <a:ext cx="967680" cy="442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pli ol 100 milionoj da pliaj homoj elmontritaj</w:t>
                              </w:r>
                            </w:p>
                          </w:txbxContent>
                        </wps:txbx>
                        <wps:bodyPr lIns="90000" rIns="90000" tIns="45000" bIns="45000" anchor="t">
                          <a:noAutofit/>
                        </wps:bodyPr>
                      </wps:wsp>
                      <wps:wsp>
                        <wps:cNvSpPr/>
                        <wps:spPr>
                          <a:xfrm>
                            <a:off x="1905480" y="2955240"/>
                            <a:ext cx="1580040" cy="248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Terbazitaj sistemoj</w:t>
                              </w:r>
                            </w:p>
                          </w:txbxContent>
                        </wps:txbx>
                        <wps:bodyPr lIns="90000" rIns="90000" tIns="45000" bIns="45000" anchor="t">
                          <a:noAutofit/>
                        </wps:bodyPr>
                      </wps:wsp>
                      <wps:wsp>
                        <wps:cNvSpPr/>
                        <wps:spPr>
                          <a:xfrm>
                            <a:off x="137880" y="4020840"/>
                            <a:ext cx="967680" cy="442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pliiĝo en la daŭro de fajrosezono</w:t>
                              </w:r>
                            </w:p>
                          </w:txbxContent>
                        </wps:txbx>
                        <wps:bodyPr lIns="90000" rIns="90000" tIns="45000" bIns="45000" anchor="t">
                          <a:noAutofit/>
                        </wps:bodyPr>
                      </wps:wsp>
                      <wps:wsp>
                        <wps:cNvSpPr/>
                        <wps:spPr>
                          <a:xfrm>
                            <a:off x="4857840" y="2955240"/>
                            <a:ext cx="1583640" cy="248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Oceanaj/marbordaj ekosistemoj</w:t>
                              </w:r>
                            </w:p>
                          </w:txbxContent>
                        </wps:txbx>
                        <wps:bodyPr lIns="90000" rIns="90000" tIns="45000" bIns="45000" anchor="t">
                          <a:noAutofit/>
                        </wps:bodyPr>
                      </wps:wsp>
                      <wps:wsp>
                        <wps:cNvSpPr/>
                        <wps:spPr>
                          <a:xfrm>
                            <a:off x="3781440" y="3474000"/>
                            <a:ext cx="879480" cy="442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koralaj rifoj malpliiĝas &gt;99%</w:t>
                              </w:r>
                            </w:p>
                          </w:txbxContent>
                        </wps:txbx>
                        <wps:bodyPr lIns="90000" rIns="90000" tIns="45000" bIns="45000" anchor="t">
                          <a:noAutofit/>
                        </wps:bodyPr>
                      </wps:wsp>
                      <wps:wsp>
                        <wps:cNvSpPr/>
                        <wps:spPr>
                          <a:xfrm>
                            <a:off x="3791520" y="3963600"/>
                            <a:ext cx="846000" cy="442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koralaj rifoj malpliiĝas je 70-90%</w:t>
                              </w:r>
                            </w:p>
                          </w:txbxContent>
                        </wps:txbx>
                        <wps:bodyPr lIns="90000" rIns="90000" tIns="45000" bIns="45000" anchor="t">
                          <a:noAutofit/>
                        </wps:bodyPr>
                      </wps:wsp>
                      <wps:wsp>
                        <wps:cNvSpPr/>
                        <wps:spPr>
                          <a:xfrm>
                            <a:off x="1181880" y="4539600"/>
                            <a:ext cx="59364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damaĝo de sovaĝa fajro</w:t>
                              </w:r>
                            </w:p>
                          </w:txbxContent>
                        </wps:txbx>
                        <wps:bodyPr lIns="90000" rIns="90000" tIns="45000" bIns="45000" anchor="t">
                          <a:noAutofit/>
                        </wps:bodyPr>
                      </wps:wsp>
                      <wps:wsp>
                        <wps:cNvSpPr/>
                        <wps:spPr>
                          <a:xfrm>
                            <a:off x="1613520" y="4539600"/>
                            <a:ext cx="72000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Permafrost-degenero</w:t>
                              </w:r>
                            </w:p>
                          </w:txbxContent>
                        </wps:txbx>
                        <wps:bodyPr lIns="90000" rIns="90000" tIns="45000" bIns="45000" anchor="t">
                          <a:noAutofit/>
                        </wps:bodyPr>
                      </wps:wsp>
                      <wps:wsp>
                        <wps:cNvSpPr/>
                        <wps:spPr>
                          <a:xfrm>
                            <a:off x="2049840" y="4660920"/>
                            <a:ext cx="71568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Perdo de biodiverseco</w:t>
                              </w:r>
                            </w:p>
                          </w:txbxContent>
                        </wps:txbx>
                        <wps:bodyPr lIns="90000" rIns="90000" tIns="45000" bIns="45000" anchor="t">
                          <a:noAutofit/>
                        </wps:bodyPr>
                      </wps:wsp>
                      <wps:wsp>
                        <wps:cNvSpPr/>
                        <wps:spPr>
                          <a:xfrm>
                            <a:off x="2527920" y="4539600"/>
                            <a:ext cx="644040" cy="427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Manko de akvo de seka tero</w:t>
                              </w:r>
                            </w:p>
                          </w:txbxContent>
                        </wps:txbx>
                        <wps:bodyPr lIns="90000" rIns="90000" tIns="45000" bIns="45000" anchor="t">
                          <a:noAutofit/>
                        </wps:bodyPr>
                      </wps:wsp>
                      <wps:wsp>
                        <wps:cNvSpPr/>
                        <wps:spPr>
                          <a:xfrm>
                            <a:off x="2872080" y="4537800"/>
                            <a:ext cx="64404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arba morteco</w:t>
                              </w:r>
                            </w:p>
                          </w:txbxContent>
                        </wps:txbx>
                        <wps:bodyPr lIns="90000" rIns="90000" tIns="45000" bIns="45000" anchor="t">
                          <a:noAutofit/>
                        </wps:bodyPr>
                      </wps:wsp>
                      <wps:wsp>
                        <wps:cNvSpPr/>
                        <wps:spPr>
                          <a:xfrm>
                            <a:off x="3237840" y="4573800"/>
                            <a:ext cx="74628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Karbonperdo</w:t>
                              </w:r>
                            </w:p>
                          </w:txbxContent>
                        </wps:txbx>
                        <wps:bodyPr lIns="90000" rIns="90000" tIns="45000" bIns="45000" anchor="t">
                          <a:noAutofit/>
                        </wps:bodyPr>
                      </wps:wsp>
                      <wps:wsp>
                        <wps:cNvSpPr/>
                        <wps:spPr>
                          <a:xfrm>
                            <a:off x="4389840" y="4573800"/>
                            <a:ext cx="60768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Varmakvaj koraloj</w:t>
                              </w:r>
                            </w:p>
                          </w:txbxContent>
                        </wps:txbx>
                        <wps:bodyPr lIns="90000" rIns="90000" tIns="45000" bIns="45000" anchor="t">
                          <a:noAutofit/>
                        </wps:bodyPr>
                      </wps:wsp>
                      <wps:wsp>
                        <wps:cNvSpPr/>
                        <wps:spPr>
                          <a:xfrm>
                            <a:off x="4785480" y="4611240"/>
                            <a:ext cx="612000" cy="320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Kelp-arbaroj</w:t>
                              </w:r>
                            </w:p>
                          </w:txbxContent>
                        </wps:txbx>
                        <wps:bodyPr lIns="90000" rIns="90000" tIns="45000" bIns="45000" anchor="t">
                          <a:noAutofit/>
                        </wps:bodyPr>
                      </wps:wsp>
                      <wps:wsp>
                        <wps:cNvSpPr/>
                        <wps:spPr>
                          <a:xfrm>
                            <a:off x="5095080" y="4564440"/>
                            <a:ext cx="72000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marherbaj herbejoj</w:t>
                              </w:r>
                            </w:p>
                          </w:txbxContent>
                        </wps:txbx>
                        <wps:bodyPr lIns="90000" rIns="90000" tIns="45000" bIns="45000" anchor="t">
                          <a:noAutofit/>
                        </wps:bodyPr>
                      </wps:wsp>
                      <wps:wsp>
                        <wps:cNvSpPr/>
                        <wps:spPr>
                          <a:xfrm>
                            <a:off x="5509440" y="4683600"/>
                            <a:ext cx="680040" cy="319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epilagia</w:t>
                              </w:r>
                            </w:p>
                          </w:txbxContent>
                        </wps:txbx>
                        <wps:bodyPr lIns="90000" rIns="90000" tIns="45000" bIns="45000" anchor="t">
                          <a:noAutofit/>
                        </wps:bodyPr>
                      </wps:wsp>
                      <wps:wsp>
                        <wps:cNvSpPr/>
                        <wps:spPr>
                          <a:xfrm>
                            <a:off x="5905440" y="4575240"/>
                            <a:ext cx="571680" cy="391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roka bordo</w:t>
                              </w:r>
                            </w:p>
                          </w:txbxContent>
                        </wps:txbx>
                        <wps:bodyPr lIns="90000" rIns="90000" tIns="45000" bIns="45000" anchor="t">
                          <a:noAutofit/>
                        </wps:bodyPr>
                      </wps:wsp>
                      <wps:wsp>
                        <wps:cNvSpPr/>
                        <wps:spPr>
                          <a:xfrm>
                            <a:off x="6265440" y="4573800"/>
                            <a:ext cx="607680" cy="393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salmarĉoj</w:t>
                              </w:r>
                            </w:p>
                          </w:txbxContent>
                        </wps:txbx>
                        <wps:bodyPr lIns="90000" rIns="90000" tIns="45000" bIns="45000" anchor="t">
                          <a:noAutofit/>
                        </wps:bodyPr>
                      </wps:wsp>
                      <wps:wsp>
                        <wps:cNvSpPr/>
                        <wps:spPr>
                          <a:xfrm>
                            <a:off x="5905440" y="5331600"/>
                            <a:ext cx="931680" cy="544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 xml:space="preserve">Riskoj estas taksitaj kun </w:t>
                              </w:r>
                              <w:r>
                                <w:rPr>
                                  <w:sz w:val="16"/>
                                  <w:b w:val="false"/>
                                  <w:u w:val="none"/>
                                  <w:dstrike w:val="false"/>
                                  <w:strike w:val="false"/>
                                  <w:vertAlign w:val="baseline"/>
                                  <w:position w:val="0"/>
                                  <w:spacing w:val="0"/>
                                  <w:szCs w:val="16"/>
                                  <w:bCs w:val="false"/>
                                  <w:smallCaps w:val="false"/>
                                  <w:caps w:val="false"/>
                                  <w:i/>
                                  <w:iCs/>
                                  <w:rFonts w:ascii="Arial" w:hAnsi="Arial" w:eastAsia="Microsoft YaHei" w:cs="Lucida Sans"/>
                                  <w:color w:val="00000A"/>
                                  <w:lang w:val="eo"/>
                                </w:rPr>
                                <w:t>meza fido</w:t>
                              </w:r>
                            </w:p>
                          </w:txbxContent>
                        </wps:txbx>
                        <wps:bodyPr lIns="90000" rIns="90000" tIns="45000" bIns="45000" anchor="t">
                          <a:noAutofit/>
                        </wps:bodyPr>
                      </wps:wsp>
                      <wps:wsp>
                        <wps:cNvSpPr/>
                        <wps:spPr>
                          <a:xfrm>
                            <a:off x="6121440" y="5869800"/>
                            <a:ext cx="823680" cy="429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Ne-al-modera respondo</w:t>
                              </w:r>
                            </w:p>
                          </w:txbxContent>
                        </wps:txbx>
                        <wps:bodyPr lIns="90000" rIns="90000" tIns="45000" bIns="45000" anchor="t">
                          <a:noAutofit/>
                        </wps:bodyPr>
                      </wps:wsp>
                      <wps:wsp>
                        <wps:cNvSpPr/>
                        <wps:spPr>
                          <a:xfrm>
                            <a:off x="6085080" y="6267600"/>
                            <a:ext cx="967680" cy="429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Maksimuma potenciala respondo</w:t>
                              </w:r>
                            </w:p>
                          </w:txbxContent>
                        </wps:txbx>
                        <wps:bodyPr lIns="90000" rIns="90000" tIns="45000" bIns="45000" anchor="t">
                          <a:noAutofit/>
                        </wps:bodyPr>
                      </wps:wsp>
                      <wps:wsp>
                        <wps:cNvSpPr/>
                        <wps:spPr>
                          <a:xfrm>
                            <a:off x="5145480" y="6733440"/>
                            <a:ext cx="971640" cy="433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Rimedaj marbordaj urboj</w:t>
                              </w:r>
                            </w:p>
                          </w:txbxContent>
                        </wps:txbx>
                        <wps:bodyPr lIns="90000" rIns="90000" tIns="45000" bIns="45000" anchor="t">
                          <a:noAutofit/>
                        </wps:bodyPr>
                      </wps:wsp>
                      <wps:wsp>
                        <wps:cNvSpPr/>
                        <wps:spPr>
                          <a:xfrm>
                            <a:off x="4461480" y="6649560"/>
                            <a:ext cx="971640" cy="433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Grandaj tropikaj agrikulturaj deltoj</w:t>
                              </w:r>
                            </w:p>
                          </w:txbxContent>
                        </wps:txbx>
                        <wps:bodyPr lIns="90000" rIns="90000" tIns="45000" bIns="45000" anchor="t">
                          <a:noAutofit/>
                        </wps:bodyPr>
                      </wps:wsp>
                      <wps:wsp>
                        <wps:cNvSpPr/>
                        <wps:spPr>
                          <a:xfrm>
                            <a:off x="3705840" y="6699240"/>
                            <a:ext cx="967680" cy="433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arktaj komunumoj</w:t>
                              </w:r>
                            </w:p>
                          </w:txbxContent>
                        </wps:txbx>
                        <wps:bodyPr lIns="90000" rIns="90000" tIns="45000" bIns="45000" anchor="t">
                          <a:noAutofit/>
                        </wps:bodyPr>
                      </wps:wsp>
                      <wps:wsp>
                        <wps:cNvSpPr/>
                        <wps:spPr>
                          <a:xfrm>
                            <a:off x="2625840" y="8611200"/>
                            <a:ext cx="607680" cy="391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Limigita adapto</w:t>
                              </w:r>
                            </w:p>
                          </w:txbxContent>
                        </wps:txbx>
                        <wps:bodyPr lIns="90000" rIns="90000" tIns="45000" bIns="45000" anchor="t">
                          <a:noAutofit/>
                        </wps:bodyPr>
                      </wps:wsp>
                      <wps:wsp>
                        <wps:cNvSpPr/>
                        <wps:spPr>
                          <a:xfrm>
                            <a:off x="2265840" y="6699240"/>
                            <a:ext cx="823680" cy="204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bazlinio</w:t>
                              </w:r>
                            </w:p>
                          </w:txbxContent>
                        </wps:txbx>
                        <wps:bodyPr lIns="90000" rIns="90000" tIns="45000" bIns="45000" anchor="t">
                          <a:noAutofit/>
                        </wps:bodyPr>
                      </wps:wsp>
                      <wps:wsp>
                        <wps:cNvSpPr/>
                        <wps:spPr>
                          <a:xfrm>
                            <a:off x="2373480" y="5403240"/>
                            <a:ext cx="644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CF3834"/>
                                  <w:lang w:val="eo"/>
                                </w:rPr>
                                <w:t>tre alta</w:t>
                              </w:r>
                            </w:p>
                          </w:txbxContent>
                        </wps:txbx>
                        <wps:bodyPr lIns="90000" rIns="90000" tIns="45000" bIns="45000" anchor="t">
                          <a:noAutofit/>
                        </wps:bodyPr>
                      </wps:wsp>
                      <wps:wsp>
                        <wps:cNvSpPr/>
                        <wps:spPr>
                          <a:xfrm>
                            <a:off x="2337480" y="6159600"/>
                            <a:ext cx="644040" cy="308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5E8AC7"/>
                                  <w:lang w:val="eo"/>
                                </w:rPr>
                                <w:t>tre malalta</w:t>
                              </w:r>
                            </w:p>
                          </w:txbxContent>
                        </wps:txbx>
                        <wps:bodyPr lIns="90000" rIns="90000" tIns="45000" bIns="45000" anchor="t">
                          <a:noAutofit/>
                        </wps:bodyPr>
                      </wps:wsp>
                      <wps:wsp>
                        <wps:cNvSpPr/>
                        <wps:spPr>
                          <a:xfrm>
                            <a:off x="2409840" y="5979240"/>
                            <a:ext cx="644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malalta</w:t>
                              </w:r>
                            </w:p>
                          </w:txbxContent>
                        </wps:txbx>
                        <wps:bodyPr lIns="90000" rIns="90000" tIns="45000" bIns="45000" anchor="t">
                          <a:noAutofit/>
                        </wps:bodyPr>
                      </wps:wsp>
                      <wps:wsp>
                        <wps:cNvSpPr/>
                        <wps:spPr>
                          <a:xfrm>
                            <a:off x="2373480" y="5727600"/>
                            <a:ext cx="788040" cy="211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F9A870"/>
                                  <w:lang w:val="eo"/>
                                </w:rPr>
                                <w:t>meza</w:t>
                              </w:r>
                            </w:p>
                          </w:txbxContent>
                        </wps:txbx>
                        <wps:bodyPr lIns="90000" rIns="90000" tIns="45000" bIns="45000" anchor="t">
                          <a:noAutofit/>
                        </wps:bodyPr>
                      </wps:wsp>
                      <wps:wsp>
                        <wps:cNvSpPr/>
                        <wps:spPr>
                          <a:xfrm>
                            <a:off x="2373480" y="5583600"/>
                            <a:ext cx="644040" cy="200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ED1C24"/>
                                  <w:lang w:val="eo"/>
                                </w:rPr>
                                <w:t>alta</w:t>
                              </w:r>
                            </w:p>
                          </w:txbxContent>
                        </wps:txbx>
                        <wps:bodyPr lIns="90000" rIns="90000" tIns="45000" bIns="45000" anchor="t">
                          <a:noAutofit/>
                        </wps:bodyPr>
                      </wps:wsp>
                      <wps:wsp>
                        <wps:cNvSpPr/>
                        <wps:spPr>
                          <a:xfrm>
                            <a:off x="569520" y="5727600"/>
                            <a:ext cx="1184400" cy="482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malalta - verŝajneco, alta efiko intrigo, inkluzive de glacitavolaj malstabilecaj procezoj</w:t>
                              </w:r>
                            </w:p>
                          </w:txbxContent>
                        </wps:txbx>
                        <wps:bodyPr lIns="90000" rIns="90000" tIns="45000" bIns="45000" anchor="t">
                          <a:noAutofit/>
                        </wps:bodyPr>
                      </wps:wsp>
                      <wps:wsp>
                        <wps:cNvSpPr/>
                        <wps:spPr>
                          <a:xfrm>
                            <a:off x="281880" y="7889400"/>
                            <a:ext cx="2087280" cy="9342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5"/>
                                  <w:b w:val="false"/>
                                  <w:u w:val="none"/>
                                  <w:dstrike w:val="false"/>
                                  <w:strike w:val="false"/>
                                  <w:i w:val="false"/>
                                  <w:vertAlign w:val="baseline"/>
                                  <w:position w:val="0"/>
                                  <w:spacing w:val="0"/>
                                  <w:szCs w:val="15"/>
                                  <w:bCs w:val="false"/>
                                  <w:iCs w:val="false"/>
                                  <w:smallCaps w:val="false"/>
                                  <w:caps w:val="false"/>
                                  <w:rFonts w:ascii="Arial" w:hAnsi="Arial" w:eastAsia="Microsoft YaHei" w:cs="Lucida Sans"/>
                                  <w:color w:val="00000A"/>
                                  <w:lang w:val="eo"/>
                                </w:rPr>
                                <w:t>Limigita adaptado (malsukceso proaktive adaptiĝi; malalta investo en sansistemoj); nekompleta adapto (nekompleta adaptoplanado; modera investo en sansistemoj); iniciatema adaptado (proaktiva adaptadadministrado; alta investo en sansistemoj)</w:t>
                              </w:r>
                            </w:p>
                          </w:txbxContent>
                        </wps:txbx>
                        <wps:bodyPr lIns="90000" rIns="90000" tIns="45000" bIns="45000" anchor="t">
                          <a:noAutofit/>
                        </wps:bodyPr>
                      </wps:wsp>
                      <wps:wsp>
                        <wps:cNvSpPr/>
                        <wps:spPr>
                          <a:xfrm>
                            <a:off x="2589480" y="7171200"/>
                            <a:ext cx="1759680" cy="185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Varmo-rilata malsaneco kaj morteco</w:t>
                              </w:r>
                            </w:p>
                          </w:txbxContent>
                        </wps:txbx>
                        <wps:bodyPr lIns="90000" rIns="90000" tIns="45000" bIns="45000" anchor="t">
                          <a:noAutofit/>
                        </wps:bodyPr>
                      </wps:wsp>
                      <wps:wsp>
                        <wps:cNvSpPr/>
                        <wps:spPr>
                          <a:xfrm>
                            <a:off x="4137840" y="7171200"/>
                            <a:ext cx="1295280" cy="284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 xml:space="preserve">Nutraĵa nesekureco </w:t>
                              </w:r>
                              <w:r>
                                <w:rPr>
                                  <w:sz w:val="14"/>
                                  <w:u w:val="none"/>
                                  <w:dstrike w:val="false"/>
                                  <w:strike w:val="false"/>
                                  <w:i w:val="false"/>
                                  <w:vertAlign w:val="baseline"/>
                                  <w:position w:val="0"/>
                                  <w:spacing w:val="0"/>
                                  <w:szCs w:val="14"/>
                                  <w:iCs w:val="false"/>
                                  <w:smallCaps w:val="false"/>
                                  <w:caps w:val="false"/>
                                  <w:b w:val="false"/>
                                  <w:bCs w:val="false"/>
                                  <w:rFonts w:ascii="Arial" w:hAnsi="Arial" w:eastAsia="Microsoft YaHei" w:cs="Lucida Sans"/>
                                  <w:color w:val="00000A"/>
                                  <w:lang w:val="eo"/>
                                </w:rPr>
                                <w:t>(havebleco, aliro)</w:t>
                              </w:r>
                            </w:p>
                          </w:txbxContent>
                        </wps:txbx>
                        <wps:bodyPr lIns="90000" rIns="90000" tIns="45000" bIns="45000" anchor="t">
                          <a:noAutofit/>
                        </wps:bodyPr>
                      </wps:wsp>
                      <wps:wsp>
                        <wps:cNvSpPr/>
                        <wps:spPr>
                          <a:xfrm>
                            <a:off x="5365080" y="7420680"/>
                            <a:ext cx="1472040" cy="12585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5"/>
                                  <w:b w:val="false"/>
                                  <w:u w:val="none"/>
                                  <w:dstrike w:val="false"/>
                                  <w:strike w:val="false"/>
                                  <w:i w:val="false"/>
                                  <w:vertAlign w:val="baseline"/>
                                  <w:position w:val="0"/>
                                  <w:spacing w:val="0"/>
                                  <w:szCs w:val="15"/>
                                  <w:bCs w:val="false"/>
                                  <w:iCs w:val="false"/>
                                  <w:smallCaps w:val="false"/>
                                  <w:caps w:val="false"/>
                                  <w:rFonts w:ascii="Arial" w:hAnsi="Arial" w:eastAsia="Microsoft YaHei" w:cs="Lucida Sans"/>
                                  <w:color w:val="00000A"/>
                                  <w:lang w:val="eo"/>
                                </w:rPr>
                                <w:t>La SSP1-pado ilustras mondon kun malalta loĝantarkresko, alta enspezo, kaj reduktitaj neegalecoj, manĝaĵo produktita en malaltaj GHG-emisiosistemoj, efika regulado de tero kaj alta adapta kapacito (t.e., malaltaj defioj al adaptado). La SSP3-pado havas la kontraŭajn tendencojn.</w:t>
                              </w:r>
                            </w:p>
                          </w:txbxContent>
                        </wps:txbx>
                        <wps:bodyPr lIns="90000" rIns="90000" tIns="45000" bIns="45000" anchor="t">
                          <a:noAutofit/>
                        </wps:bodyPr>
                      </wps:wsp>
                      <wps:wsp>
                        <wps:cNvSpPr/>
                        <wps:spPr>
                          <a:xfrm>
                            <a:off x="3057480" y="8611200"/>
                            <a:ext cx="607680" cy="355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Nekompleta adapto</w:t>
                              </w:r>
                            </w:p>
                          </w:txbxContent>
                        </wps:txbx>
                        <wps:bodyPr lIns="90000" rIns="90000" tIns="45000" bIns="45000" anchor="t">
                          <a:noAutofit/>
                        </wps:bodyPr>
                      </wps:wsp>
                      <wps:wsp>
                        <wps:cNvSpPr/>
                        <wps:spPr>
                          <a:xfrm>
                            <a:off x="3453840" y="8611200"/>
                            <a:ext cx="607680" cy="391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Proaktiva adapto</w:t>
                              </w:r>
                            </w:p>
                          </w:txbxContent>
                        </wps:txbx>
                        <wps:bodyPr lIns="90000" rIns="90000" tIns="45000" bIns="45000" anchor="t">
                          <a:noAutofit/>
                        </wps:bodyPr>
                      </wps:wsp>
                      <wps:wsp>
                        <wps:cNvSpPr/>
                        <wps:spPr>
                          <a:xfrm>
                            <a:off x="4137840" y="8611200"/>
                            <a:ext cx="607680" cy="212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alta</w:t>
                              </w:r>
                            </w:p>
                          </w:txbxContent>
                        </wps:txbx>
                        <wps:bodyPr lIns="90000" rIns="90000" tIns="45000" bIns="45000" anchor="t">
                          <a:noAutofit/>
                        </wps:bodyPr>
                      </wps:wsp>
                      <wps:wsp>
                        <wps:cNvSpPr/>
                        <wps:spPr>
                          <a:xfrm>
                            <a:off x="4605480" y="8611200"/>
                            <a:ext cx="607680" cy="212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malalta</w:t>
                              </w:r>
                            </w:p>
                          </w:txbxContent>
                        </wps:txbx>
                        <wps:bodyPr lIns="90000" rIns="90000" tIns="45000" bIns="45000" anchor="t">
                          <a:noAutofit/>
                        </wps:bodyPr>
                      </wps:wsp>
                      <wps:wsp>
                        <wps:cNvSpPr/>
                        <wps:spPr>
                          <a:xfrm>
                            <a:off x="4065120" y="8791560"/>
                            <a:ext cx="1184400" cy="283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Defioj al Adaptado</w:t>
                              </w:r>
                            </w:p>
                          </w:txbxContent>
                        </wps:txbx>
                        <wps:bodyPr lIns="90000" rIns="90000" tIns="45000" bIns="45000" anchor="t">
                          <a:noAutofit/>
                        </wps:bodyPr>
                      </wps:wsp>
                      <wps:wsp>
                        <wps:cNvSpPr/>
                        <wps:spPr>
                          <a:xfrm>
                            <a:off x="2985840" y="6735600"/>
                            <a:ext cx="967680" cy="433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Urbaj atolinsuloj</w:t>
                              </w:r>
                            </w:p>
                          </w:txbxContent>
                        </wps:txbx>
                        <wps:bodyPr lIns="90000" rIns="90000" tIns="45000" bIns="45000" anchor="t">
                          <a:noAutofit/>
                        </wps:bodyPr>
                      </wps:wsp>
                    </wpg:wgp>
                  </a:graphicData>
                </a:graphic>
              </wp:anchor>
            </w:drawing>
          </mc:Choice>
          <mc:Fallback>
            <w:pict>
              <v:group id="shape_0" alt="Forme70" style="position:absolute;margin-left:-4.9pt;margin-top:7.85pt;width:555.35pt;height:714.55pt" coordorigin="-98,157" coordsize="11107,14291">
                <v:shape id="shape_0" stroked="f" o:allowincell="f" style="position:absolute;left:6;top:252;width:10776;height:13843;mso-wrap-style:none;v-text-anchor:middle" type="_x0000_t75">
                  <v:imagedata r:id="rId13" o:detectmouseclick="t"/>
                  <v:stroke color="#3465a4" joinstyle="round" endcap="flat"/>
                  <w10:wrap type="topAndBottom"/>
                </v:shape>
                <v:rect id="shape_0" path="m0,0l-2147483645,0l-2147483645,-2147483646l0,-2147483646xe" stroked="f" o:allowincell="f" style="position:absolute;left:39;top:157;width:7902;height:672;mso-wrap-style:square;v-text-anchor:top">
                  <v:textbo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Microsoft YaHei" w:cs="Lucida Sans"/>
                            <w:color w:val="00000A"/>
                            <w:lang w:val="eo"/>
                          </w:rPr>
                          <w:t>Riskoj pliiĝas kun ĉiu pliigo de varmiĝo</w:t>
                        </w:r>
                      </w:p>
                    </w:txbxContent>
                  </v:textbox>
                  <v:fill o:detectmouseclick="t" on="false"/>
                  <v:stroke color="#3465a4" joinstyle="round" endcap="flat"/>
                  <w10:wrap type="topAndBottom"/>
                </v:rect>
                <v:rect id="shape_0" path="m0,0l-2147483645,0l-2147483645,-2147483646l0,-2147483646xe" stroked="f" o:allowincell="f" style="position:absolute;left:119;top:709;width:8848;height:403;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a) Altaj riskoj nun estas taksitaj okazi ĉe pli malaltaj mondvarmiĝoniveloj</w:t>
                        </w:r>
                      </w:p>
                    </w:txbxContent>
                  </v:textbox>
                  <v:fill o:detectmouseclick="t" on="false"/>
                  <v:stroke color="#3465a4" joinstyle="round" endcap="flat"/>
                  <w10:wrap type="topAndBottom"/>
                </v:rect>
                <v:rect id="shape_0" path="m0,0l-2147483645,0l-2147483645,-2147483646l0,-2147483646xe" stroked="f" o:allowincell="f" style="position:absolute;left:101;top:4585;width:3418;height:404;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b) Riskoj malsamas laŭ sistemo</w:t>
                        </w:r>
                      </w:p>
                    </w:txbxContent>
                  </v:textbox>
                  <v:fill o:detectmouseclick="t" on="false"/>
                  <v:stroke color="#3465a4" joinstyle="round" endcap="flat"/>
                  <w10:wrap type="topAndBottom"/>
                </v:rect>
                <v:rect id="shape_0" path="m0,0l-2147483645,0l-2147483645,-2147483646l0,-2147483646xe" stroked="f" o:allowincell="f" style="position:absolute;left:62;top:7929;width:10663;height:446;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c) Riskoj al marbordaj geografioj pliiĝas kun marnivelo kaj dependas de respondoj</w:t>
                        </w:r>
                      </w:p>
                    </w:txbxContent>
                  </v:textbox>
                  <v:fill o:detectmouseclick="t" on="false"/>
                  <v:stroke color="#3465a4" joinstyle="round" endcap="flat"/>
                  <w10:wrap type="topAndBottom"/>
                </v:rect>
                <v:rect id="shape_0" path="m0,0l-2147483645,0l-2147483645,-2147483646l0,-2147483646xe" stroked="f" o:allowincell="f" style="position:absolute;left:-98;top:11490;width:4085;height:941;mso-wrap-style:square;v-text-anchor:top">
                  <v:textbox>
                    <w:txbxContent>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d) Adaptado kaj sociekonomikaj vojoj influas nivelojn de klimato</w:t>
                        </w:r>
                      </w:p>
                      <w:p>
                        <w:pPr>
                          <w:overflowPunct w:val="false"/>
                          <w:spacing w:before="0" w:after="0" w:lineRule="auto" w:line="240"/>
                          <w:ind w:hanging="0"/>
                          <w:jc w:val="left"/>
                          <w:rPr/>
                        </w:pPr>
                        <w:r>
                          <w:rPr>
                            <w:sz w:val="24"/>
                            <w:b/>
                            <w:u w:val="none"/>
                            <w:dstrike w:val="false"/>
                            <w:strike w:val="false"/>
                            <w:i w:val="false"/>
                            <w:vertAlign w:val="baseline"/>
                            <w:position w:val="0"/>
                            <w:spacing w:val="0"/>
                            <w:szCs w:val="24"/>
                            <w:bCs/>
                            <w:iCs w:val="false"/>
                            <w:smallCaps w:val="false"/>
                            <w:caps w:val="false"/>
                            <w:rFonts w:ascii="Arial" w:hAnsi="Arial" w:eastAsia="Microsoft YaHei" w:cs="Lucida Sans"/>
                            <w:color w:val="00000A"/>
                            <w:lang w:val="eo"/>
                          </w:rPr>
                          <w:t>rilataj riskoj</w:t>
                        </w:r>
                      </w:p>
                    </w:txbxContent>
                  </v:textbox>
                  <v:fill o:detectmouseclick="t" on="false"/>
                  <v:stroke color="#3465a4" joinstyle="round" endcap="flat"/>
                  <w10:wrap type="topAndBottom"/>
                </v:rect>
                <v:rect id="shape_0" path="m0,0l-2147483645,0l-2147483645,-2147483646l0,-2147483646xe" stroked="f" o:allowincell="f" style="position:absolute;left:808;top:1177;width:2824;height:49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Tutmonda surfactemperaturoŝanĝo relative al 1850—1900</w:t>
                        </w:r>
                      </w:p>
                    </w:txbxContent>
                  </v:textbox>
                  <v:fill o:detectmouseclick="t" on="false"/>
                  <v:stroke color="#3465a4" joinstyle="round" endcap="flat"/>
                  <w10:wrap type="topAndBottom"/>
                </v:rect>
                <v:rect id="shape_0" path="m0,0l-2147483645,0l-2147483645,-2147483646l0,-2147483646xe" stroked="f" o:allowincell="f" style="position:absolute;left:799;top:1801;width:2210;height:855;mso-wrap-style:square;v-text-anchor:top">
                  <v:textbo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ombrado reprezentas la necertecintervalojn por la malaltaj kaj altaj emisioscenaroj</w:t>
                        </w:r>
                      </w:p>
                    </w:txbxContent>
                  </v:textbox>
                  <v:fill o:detectmouseclick="t" on="false"/>
                  <v:stroke color="#3465a4" joinstyle="round" endcap="flat"/>
                  <w10:wrap type="topAndBottom"/>
                </v:rect>
                <v:group id="shape_0" style="position:absolute;left:3413;top:1630;width:1298;height:1677">
                  <v:rect id="shape_0" path="m0,0l-2147483645,0l-2147483645,-2147483646l0,-2147483646xe" stroked="f" o:allowincell="f" style="position:absolute;left:3470;top:1630;width:1013;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CF3834"/>
                              <w:lang w:val="eo"/>
                            </w:rPr>
                            <w:t>tre alta</w:t>
                          </w:r>
                        </w:p>
                      </w:txbxContent>
                    </v:textbox>
                    <v:fill o:detectmouseclick="t" on="false"/>
                    <v:stroke color="#3465a4" joinstyle="round" endcap="flat"/>
                    <w10:wrap type="topAndBottom"/>
                  </v:rect>
                  <v:rect id="shape_0" path="m0,0l-2147483645,0l-2147483645,-2147483646l0,-2147483646xe" stroked="f" o:allowincell="f" style="position:absolute;left:3413;top:2991;width:1013;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5E8AC7"/>
                              <w:lang w:val="eo"/>
                            </w:rPr>
                            <w:t>tre malalta</w:t>
                          </w:r>
                        </w:p>
                      </w:txbxContent>
                    </v:textbox>
                    <v:fill o:detectmouseclick="t" on="false"/>
                    <v:stroke color="#3465a4" joinstyle="round" endcap="flat"/>
                    <w10:wrap type="topAndBottom"/>
                  </v:rect>
                  <v:rect id="shape_0" path="m0,0l-2147483645,0l-2147483645,-2147483646l0,-2147483646xe" stroked="f" o:allowincell="f" style="position:absolute;left:3527;top:2725;width:1012;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malalta</w:t>
                          </w:r>
                        </w:p>
                      </w:txbxContent>
                    </v:textbox>
                    <v:fill o:detectmouseclick="t" on="false"/>
                    <v:stroke color="#3465a4" joinstyle="round" endcap="flat"/>
                    <w10:wrap type="topAndBottom"/>
                  </v:rect>
                  <v:rect id="shape_0" path="m0,0l-2147483645,0l-2147483645,-2147483646l0,-2147483646xe" stroked="f" o:allowincell="f" style="position:absolute;left:3470;top:2254;width:1240;height:333;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F9A870"/>
                              <w:lang w:val="eo"/>
                            </w:rPr>
                            <w:t>meza</w:t>
                          </w:r>
                        </w:p>
                      </w:txbxContent>
                    </v:textbox>
                    <v:fill o:detectmouseclick="t" on="false"/>
                    <v:stroke color="#3465a4" joinstyle="round" endcap="flat"/>
                    <w10:wrap type="topAndBottom"/>
                  </v:rect>
                  <v:rect id="shape_0" path="m0,0l-2147483645,0l-2147483645,-2147483646l0,-2147483646xe" stroked="f" o:allowincell="f" style="position:absolute;left:3470;top:1914;width:1013;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ED1C24"/>
                              <w:lang w:val="eo"/>
                            </w:rPr>
                            <w:t>alta</w:t>
                          </w:r>
                        </w:p>
                      </w:txbxContent>
                    </v:textbox>
                    <v:fill o:detectmouseclick="t" on="false"/>
                    <v:stroke color="#3465a4" joinstyle="round" endcap="flat"/>
                    <w10:wrap type="topAndBottom"/>
                  </v:rect>
                </v:group>
                <v:rect id="shape_0" path="m0,0l-2147483645,0l-2147483645,-2147483646l0,-2147483646xe" stroked="f" o:allowincell="f" style="position:absolute;left:4604;top:1128;width:3101;height:49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Global Reasons for Concern (RFCoj) en AR5 (2014) vs. AR6 (2022</w:t>
                        </w:r>
                      </w:p>
                    </w:txbxContent>
                  </v:textbox>
                  <v:fill o:detectmouseclick="t" on="false"/>
                  <v:stroke color="#3465a4" joinstyle="round" endcap="flat"/>
                  <w10:wrap type="topAndBottom"/>
                </v:rect>
                <v:rect id="shape_0" path="m0,0l-2147483645,0l-2147483645,-2147483646l0,-2147483646xe" stroked="f" o:allowincell="f" style="position:absolute;left:9032;top:950;width:1806;height:676;mso-wrap-style:square;v-text-anchor:top">
                  <v:textbox>
                    <w:txbxContent>
                      <w:p>
                        <w:pPr>
                          <w:overflowPunct w:val="false"/>
                          <w:spacing w:before="0" w:after="0" w:lineRule="auto" w:line="240"/>
                          <w:ind w:hanging="0"/>
                          <w:jc w:val="left"/>
                          <w:rPr/>
                        </w:pPr>
                        <w:r>
                          <w:rPr>
                            <w:sz w:val="16"/>
                            <w:b w:val="false"/>
                            <w:u w:val="none"/>
                            <w:dstrike w:val="false"/>
                            <w:strike w:val="false"/>
                            <w:i/>
                            <w:vertAlign w:val="baseline"/>
                            <w:position w:val="0"/>
                            <w:spacing w:val="0"/>
                            <w:szCs w:val="16"/>
                            <w:bCs w:val="false"/>
                            <w:iCs/>
                            <w:smallCaps w:val="false"/>
                            <w:caps w:val="false"/>
                            <w:rFonts w:ascii="Arial" w:hAnsi="Arial" w:eastAsia="Microsoft YaHei" w:cs="Lucida Sans"/>
                            <w:color w:val="00000A"/>
                            <w:lang w:val="eo"/>
                          </w:rPr>
                          <w:t>risko estas la potencialo por malfavoraj sekvoj</w:t>
                        </w:r>
                      </w:p>
                    </w:txbxContent>
                  </v:textbox>
                  <v:fill o:detectmouseclick="t" on="false"/>
                  <v:stroke color="#3465a4" joinstyle="round" endcap="flat"/>
                  <w10:wrap type="topAndBottom"/>
                </v:rect>
                <v:rect id="shape_0" path="m0,0l-2147483645,0l-2147483645,-2147483646l0,-2147483646xe" stroked="f" o:allowincell="f" style="position:absolute;left:9542;top:1517;width:1070;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Tre alta</w:t>
                        </w:r>
                      </w:p>
                    </w:txbxContent>
                  </v:textbox>
                  <v:fill o:detectmouseclick="t" on="false"/>
                  <v:stroke color="#3465a4" joinstyle="round" endcap="flat"/>
                  <w10:wrap type="topAndBottom"/>
                </v:rect>
                <v:rect id="shape_0" path="m0,0l-2147483645,0l-2147483645,-2147483646l0,-2147483646xe" stroked="f" o:allowincell="f" style="position:absolute;left:9599;top:2084;width:1069;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Modera</w:t>
                        </w:r>
                      </w:p>
                    </w:txbxContent>
                  </v:textbox>
                  <v:fill o:detectmouseclick="t" on="false"/>
                  <v:stroke color="#3465a4" joinstyle="round" endcap="flat"/>
                  <w10:wrap type="topAndBottom"/>
                </v:rect>
                <v:rect id="shape_0" path="m0,0l-2147483645,0l-2147483645,-2147483646l0,-2147483646xe" stroked="f" o:allowincell="f" style="position:absolute;left:9542;top:2328;width:1296;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Nerimarkebla</w:t>
                        </w:r>
                      </w:p>
                    </w:txbxContent>
                  </v:textbox>
                  <v:fill o:detectmouseclick="t" on="false"/>
                  <v:stroke color="#3465a4" joinstyle="round" endcap="flat"/>
                  <w10:wrap type="topAndBottom"/>
                </v:rect>
                <v:rect id="shape_0" path="m0,0l-2147483645,0l-2147483645,-2147483646l0,-2147483646xe" stroked="f" o:allowincell="f" style="position:absolute;left:9542;top:1801;width:1070;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Alta</w:t>
                        </w:r>
                      </w:p>
                    </w:txbxContent>
                  </v:textbox>
                  <v:fill o:detectmouseclick="t" on="false"/>
                  <v:stroke color="#3465a4" joinstyle="round" endcap="flat"/>
                  <w10:wrap type="topAndBottom"/>
                </v:rect>
                <v:rect id="shape_0" path="m0,0l-2147483645,0l-2147483645,-2147483646l0,-2147483646xe" stroked="f" o:allowincell="f" style="position:absolute;left:9202;top:2555;width:1580;height:372;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Transira gamo</w:t>
                        </w:r>
                      </w:p>
                    </w:txbxContent>
                  </v:textbox>
                  <v:fill o:detectmouseclick="t" on="false"/>
                  <v:stroke color="#3465a4" joinstyle="round" endcap="flat"/>
                  <w10:wrap type="topAndBottom"/>
                </v:rect>
                <v:rect id="shape_0" path="m0,0l-2147483645,0l-2147483645,-2147483646l0,-2147483646xe" stroked="f" o:allowincell="f" style="position:absolute;left:9145;top:2952;width:1580;height:676;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Konfida nivelo asignita al transira gamo</w:t>
                        </w:r>
                      </w:p>
                    </w:txbxContent>
                  </v:textbox>
                  <v:fill o:detectmouseclick="t" on="false"/>
                  <v:stroke color="#3465a4" joinstyle="round" endcap="flat"/>
                  <w10:wrap type="topAndBottom"/>
                </v:rect>
                <v:rect id="shape_0" path="m0,0l-2147483645,0l-2147483645,-2147483646l0,-2147483646xe" stroked="f" o:allowincell="f" style="position:absolute;left:8936;top:3752;width:825;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malalta</w:t>
                        </w:r>
                      </w:p>
                    </w:txbxContent>
                  </v:textbox>
                  <v:fill o:detectmouseclick="t" on="false"/>
                  <v:stroke color="#3465a4" joinstyle="round" endcap="flat"/>
                  <w10:wrap type="topAndBottom"/>
                </v:rect>
                <v:rect id="shape_0" path="m0,0l-2147483645,0l-2147483645,-2147483646l0,-2147483646xe" stroked="f" o:allowincell="f" style="position:absolute;left:9825;top:3752;width:957;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Tre alta</w:t>
                        </w:r>
                      </w:p>
                    </w:txbxContent>
                  </v:textbox>
                  <v:fill o:detectmouseclick="t" on="false"/>
                  <v:stroke color="#3465a4" joinstyle="round" endcap="flat"/>
                  <w10:wrap type="topAndBottom"/>
                </v:rect>
                <v:rect id="shape_0" path="m0,0l-2147483645,0l-2147483645,-2147483646l0,-2147483646xe" stroked="f" o:allowincell="f" style="position:absolute;left:9316;top:3965;width:1466;height:49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mezpunkto de transiro</w:t>
                        </w:r>
                      </w:p>
                    </w:txbxContent>
                  </v:textbox>
                  <v:fill o:detectmouseclick="t" on="false"/>
                  <v:stroke color="#3465a4" joinstyle="round" endcap="flat"/>
                  <w10:wrap type="topAndBottom"/>
                </v:rect>
                <v:rect id="shape_0" path="m0,0l-2147483645,0l-2147483645,-2147483646l0,-2147483646xe" stroked="f" o:allowincell="f" style="position:absolute;left:4207;top:3847;width:1296;height:676;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Unikaj kaj minacataj sistemoj</w:t>
                        </w:r>
                      </w:p>
                    </w:txbxContent>
                  </v:textbox>
                  <v:fill o:detectmouseclick="t" on="false"/>
                  <v:stroke color="#3465a4" joinstyle="round" endcap="flat"/>
                  <w10:wrap type="topAndBottom"/>
                </v:rect>
                <v:rect id="shape_0" path="m0,0l-2147483645,0l-2147483645,-2147483646l0,-2147483646xe" stroked="f" o:allowincell="f" style="position:absolute;left:2330;top:3453;width:1643;height:764;mso-wrap-style:square;v-text-anchor:top">
                  <v:textbo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2011-2020 estis ĉirkaŭ 1.1 °C pli varma ol 1850-1900</w:t>
                        </w:r>
                      </w:p>
                    </w:txbxContent>
                  </v:textbox>
                  <v:fill o:detectmouseclick="t" on="false"/>
                  <v:stroke color="#3465a4" joinstyle="round" endcap="flat"/>
                  <w10:wrap type="topAndBottom"/>
                </v:rect>
                <v:rect id="shape_0" path="m0,0l-2147483645,0l-2147483645,-2147483646l0,-2147483646xe" stroked="f" o:allowincell="f" style="position:absolute;left:5227;top:3845;width:1297;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Ekstremaj veterokazaĵoj</w:t>
                        </w:r>
                      </w:p>
                    </w:txbxContent>
                  </v:textbox>
                  <v:fill o:detectmouseclick="t" on="false"/>
                  <v:stroke color="#3465a4" joinstyle="round" endcap="flat"/>
                  <w10:wrap type="topAndBottom"/>
                </v:rect>
                <v:rect id="shape_0" path="m0,0l-2147483645,0l-2147483645,-2147483646l0,-2147483646xe" stroked="f" o:allowincell="f" style="position:absolute;left:6264;top:3901;width:1053;height:676;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Distribuado de efikoj</w:t>
                        </w:r>
                      </w:p>
                    </w:txbxContent>
                  </v:textbox>
                  <v:fill o:detectmouseclick="t" on="false"/>
                  <v:stroke color="#3465a4" joinstyle="round" endcap="flat"/>
                  <w10:wrap type="topAndBottom"/>
                </v:rect>
                <v:rect id="shape_0" path="m0,0l-2147483645,0l-2147483645,-2147483646l0,-2147483646xe" stroked="f" o:allowincell="f" style="position:absolute;left:6928;top:3845;width:1296;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Tutmondaj entutaj efikoj</w:t>
                        </w:r>
                      </w:p>
                    </w:txbxContent>
                  </v:textbox>
                  <v:fill o:detectmouseclick="t" on="false"/>
                  <v:stroke color="#3465a4" joinstyle="round" endcap="flat"/>
                  <w10:wrap type="topAndBottom"/>
                </v:rect>
                <v:rect id="shape_0" path="m0,0l-2147483645,0l-2147483645,-2147483646l0,-2147483646xe" stroked="f" o:allowincell="f" style="position:absolute;left:7835;top:3901;width:1303;height:676;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Grandskalaj unuopaj eventoj</w:t>
                        </w:r>
                      </w:p>
                    </w:txbxContent>
                  </v:textbox>
                  <v:fill o:detectmouseclick="t" on="false"/>
                  <v:stroke color="#3465a4" joinstyle="round" endcap="flat"/>
                  <w10:wrap type="topAndBottom"/>
                </v:rect>
                <v:rect id="shape_0" path="m0,0l-2147483645,0l-2147483645,-2147483646l0,-2147483646xe" stroked="f" o:allowincell="f" style="position:absolute;left:176;top:5321;width:1523;height:696;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pli ol 100 milionoj da pliaj homoj elmontritaj</w:t>
                        </w:r>
                      </w:p>
                    </w:txbxContent>
                  </v:textbox>
                  <v:fill o:detectmouseclick="t" on="false"/>
                  <v:stroke color="#3465a4" joinstyle="round" endcap="flat"/>
                  <w10:wrap type="topAndBottom"/>
                </v:rect>
                <v:rect id="shape_0" path="m0,0l-2147483645,0l-2147483645,-2147483646l0,-2147483646xe" stroked="f" o:allowincell="f" style="position:absolute;left:2903;top:4811;width:2487;height:390;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Terbazitaj sistemoj</w:t>
                        </w:r>
                      </w:p>
                    </w:txbxContent>
                  </v:textbox>
                  <v:fill o:detectmouseclick="t" on="false"/>
                  <v:stroke color="#3465a4" joinstyle="round" endcap="flat"/>
                  <w10:wrap type="topAndBottom"/>
                </v:rect>
                <v:rect id="shape_0" path="m0,0l-2147483645,0l-2147483645,-2147483646l0,-2147483646xe" stroked="f" o:allowincell="f" style="position:absolute;left:119;top:6489;width:1523;height:696;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pliiĝo en la daŭro de fajrosezono</w:t>
                        </w:r>
                      </w:p>
                    </w:txbxContent>
                  </v:textbox>
                  <v:fill o:detectmouseclick="t" on="false"/>
                  <v:stroke color="#3465a4" joinstyle="round" endcap="flat"/>
                  <w10:wrap type="topAndBottom"/>
                </v:rect>
                <v:rect id="shape_0" path="m0,0l-2147483645,0l-2147483645,-2147483646l0,-2147483646xe" stroked="f" o:allowincell="f" style="position:absolute;left:7552;top:4811;width:2493;height:390;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Oceanaj/marbordaj ekosistemoj</w:t>
                        </w:r>
                      </w:p>
                    </w:txbxContent>
                  </v:textbox>
                  <v:fill o:detectmouseclick="t" on="false"/>
                  <v:stroke color="#3465a4" joinstyle="round" endcap="flat"/>
                  <w10:wrap type="topAndBottom"/>
                </v:rect>
                <v:rect id="shape_0" path="m0,0l-2147483645,0l-2147483645,-2147483646l0,-2147483646xe" stroked="f" o:allowincell="f" style="position:absolute;left:5857;top:5628;width:1384;height:696;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koralaj rifoj malpliiĝas &gt;99%</w:t>
                        </w:r>
                      </w:p>
                    </w:txbxContent>
                  </v:textbox>
                  <v:fill o:detectmouseclick="t" on="false"/>
                  <v:stroke color="#3465a4" joinstyle="round" endcap="flat"/>
                  <w10:wrap type="topAndBottom"/>
                </v:rect>
                <v:rect id="shape_0" path="m0,0l-2147483645,0l-2147483645,-2147483646l0,-2147483646xe" stroked="f" o:allowincell="f" style="position:absolute;left:5873;top:6399;width:1331;height:696;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ekz. koralaj rifoj malpliiĝas je 70-90%</w:t>
                        </w:r>
                      </w:p>
                    </w:txbxContent>
                  </v:textbox>
                  <v:fill o:detectmouseclick="t" on="false"/>
                  <v:stroke color="#3465a4" joinstyle="round" endcap="flat"/>
                  <w10:wrap type="topAndBottom"/>
                </v:rect>
                <v:rect id="shape_0" path="m0,0l-2147483645,0l-2147483645,-2147483646l0,-2147483646xe" stroked="f" o:allowincell="f" style="position:absolute;left:1763;top:7306;width:934;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damaĝo de sovaĝa fajro</w:t>
                        </w:r>
                      </w:p>
                    </w:txbxContent>
                  </v:textbox>
                  <v:fill o:detectmouseclick="t" on="false"/>
                  <v:stroke color="#3465a4" joinstyle="round" endcap="flat"/>
                  <w10:wrap type="topAndBottom"/>
                </v:rect>
                <v:rect id="shape_0" path="m0,0l-2147483645,0l-2147483645,-2147483646l0,-2147483646xe" stroked="f" o:allowincell="f" style="position:absolute;left:2443;top:7306;width:1133;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Permafrost-degenero</w:t>
                        </w:r>
                      </w:p>
                    </w:txbxContent>
                  </v:textbox>
                  <v:fill o:detectmouseclick="t" on="false"/>
                  <v:stroke color="#3465a4" joinstyle="round" endcap="flat"/>
                  <w10:wrap type="topAndBottom"/>
                </v:rect>
                <v:rect id="shape_0" path="m0,0l-2147483645,0l-2147483645,-2147483646l0,-2147483646xe" stroked="f" o:allowincell="f" style="position:absolute;left:3130;top:7497;width:1126;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Perdo de biodiverseco</w:t>
                        </w:r>
                      </w:p>
                    </w:txbxContent>
                  </v:textbox>
                  <v:fill o:detectmouseclick="t" on="false"/>
                  <v:stroke color="#3465a4" joinstyle="round" endcap="flat"/>
                  <w10:wrap type="topAndBottom"/>
                </v:rect>
                <v:rect id="shape_0" path="m0,0l-2147483645,0l-2147483645,-2147483646l0,-2147483646xe" stroked="f" o:allowincell="f" style="position:absolute;left:3883;top:7306;width:1013;height:672;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Manko de akvo de seka tero</w:t>
                        </w:r>
                      </w:p>
                    </w:txbxContent>
                  </v:textbox>
                  <v:fill o:detectmouseclick="t" on="false"/>
                  <v:stroke color="#3465a4" joinstyle="round" endcap="flat"/>
                  <w10:wrap type="topAndBottom"/>
                </v:rect>
                <v:rect id="shape_0" path="m0,0l-2147483645,0l-2147483645,-2147483646l0,-2147483646xe" stroked="f" o:allowincell="f" style="position:absolute;left:4425;top:7303;width:1013;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arba morteco</w:t>
                        </w:r>
                      </w:p>
                    </w:txbxContent>
                  </v:textbox>
                  <v:fill o:detectmouseclick="t" on="false"/>
                  <v:stroke color="#3465a4" joinstyle="round" endcap="flat"/>
                  <w10:wrap type="topAndBottom"/>
                </v:rect>
                <v:rect id="shape_0" path="m0,0l-2147483645,0l-2147483645,-2147483646l0,-2147483646xe" stroked="f" o:allowincell="f" style="position:absolute;left:5001;top:7360;width:1174;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Karbonperdo</w:t>
                        </w:r>
                      </w:p>
                    </w:txbxContent>
                  </v:textbox>
                  <v:fill o:detectmouseclick="t" on="false"/>
                  <v:stroke color="#3465a4" joinstyle="round" endcap="flat"/>
                  <w10:wrap type="topAndBottom"/>
                </v:rect>
                <v:rect id="shape_0" path="m0,0l-2147483645,0l-2147483645,-2147483646l0,-2147483646xe" stroked="f" o:allowincell="f" style="position:absolute;left:6815;top:7360;width:956;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Varmakvaj koraloj</w:t>
                        </w:r>
                      </w:p>
                    </w:txbxContent>
                  </v:textbox>
                  <v:fill o:detectmouseclick="t" on="false"/>
                  <v:stroke color="#3465a4" joinstyle="round" endcap="flat"/>
                  <w10:wrap type="topAndBottom"/>
                </v:rect>
                <v:rect id="shape_0" path="m0,0l-2147483645,0l-2147483645,-2147483646l0,-2147483646xe" stroked="f" o:allowincell="f" style="position:absolute;left:7438;top:7419;width:963;height:503;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Kelp-arbaroj</w:t>
                        </w:r>
                      </w:p>
                    </w:txbxContent>
                  </v:textbox>
                  <v:fill o:detectmouseclick="t" on="false"/>
                  <v:stroke color="#3465a4" joinstyle="round" endcap="flat"/>
                  <w10:wrap type="topAndBottom"/>
                </v:rect>
                <v:rect id="shape_0" path="m0,0l-2147483645,0l-2147483645,-2147483646l0,-2147483646xe" stroked="f" o:allowincell="f" style="position:absolute;left:7926;top:7345;width:1133;height:67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marherbaj herbejoj</w:t>
                        </w:r>
                      </w:p>
                    </w:txbxContent>
                  </v:textbox>
                  <v:fill o:detectmouseclick="t" on="false"/>
                  <v:stroke color="#3465a4" joinstyle="round" endcap="flat"/>
                  <w10:wrap type="topAndBottom"/>
                </v:rect>
                <v:rect id="shape_0" path="m0,0l-2147483645,0l-2147483645,-2147483646l0,-2147483646xe" stroked="f" o:allowincell="f" style="position:absolute;left:8578;top:7533;width:1070;height:502;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epilagia</w:t>
                        </w:r>
                      </w:p>
                    </w:txbxContent>
                  </v:textbox>
                  <v:fill o:detectmouseclick="t" on="false"/>
                  <v:stroke color="#3465a4" joinstyle="round" endcap="flat"/>
                  <w10:wrap type="topAndBottom"/>
                </v:rect>
                <v:rect id="shape_0" path="m0,0l-2147483645,0l-2147483645,-2147483646l0,-2147483646xe" stroked="f" o:allowincell="f" style="position:absolute;left:9202;top:7362;width:899;height:616;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roka bordo</w:t>
                        </w:r>
                      </w:p>
                    </w:txbxContent>
                  </v:textbox>
                  <v:fill o:detectmouseclick="t" on="false"/>
                  <v:stroke color="#3465a4" joinstyle="round" endcap="flat"/>
                  <w10:wrap type="topAndBottom"/>
                </v:rect>
                <v:rect id="shape_0" path="m0,0l-2147483645,0l-2147483645,-2147483646l0,-2147483646xe" stroked="f" o:allowincell="f" style="position:absolute;left:9769;top:7360;width:956;height:618;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salmarĉoj</w:t>
                        </w:r>
                      </w:p>
                    </w:txbxContent>
                  </v:textbox>
                  <v:fill o:detectmouseclick="t" on="false"/>
                  <v:stroke color="#3465a4" joinstyle="round" endcap="flat"/>
                  <w10:wrap type="topAndBottom"/>
                </v:rect>
                <v:rect id="shape_0" path="m0,0l-2147483645,0l-2147483645,-2147483646l0,-2147483646xe" stroked="f" o:allowincell="f" style="position:absolute;left:9202;top:8553;width:1466;height:856;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 xml:space="preserve">Riskoj estas taksitaj kun </w:t>
                        </w:r>
                        <w:r>
                          <w:rPr>
                            <w:sz w:val="16"/>
                            <w:b w:val="false"/>
                            <w:u w:val="none"/>
                            <w:dstrike w:val="false"/>
                            <w:strike w:val="false"/>
                            <w:vertAlign w:val="baseline"/>
                            <w:position w:val="0"/>
                            <w:spacing w:val="0"/>
                            <w:szCs w:val="16"/>
                            <w:bCs w:val="false"/>
                            <w:smallCaps w:val="false"/>
                            <w:caps w:val="false"/>
                            <w:i/>
                            <w:iCs/>
                            <w:rFonts w:ascii="Arial" w:hAnsi="Arial" w:eastAsia="Microsoft YaHei" w:cs="Lucida Sans"/>
                            <w:color w:val="00000A"/>
                            <w:lang w:val="eo"/>
                          </w:rPr>
                          <w:t>meza fido</w:t>
                        </w:r>
                      </w:p>
                    </w:txbxContent>
                  </v:textbox>
                  <v:fill o:detectmouseclick="t" on="false"/>
                  <v:stroke color="#3465a4" joinstyle="round" endcap="flat"/>
                  <w10:wrap type="topAndBottom"/>
                </v:rect>
                <v:rect id="shape_0" path="m0,0l-2147483645,0l-2147483645,-2147483646l0,-2147483646xe" stroked="f" o:allowincell="f" style="position:absolute;left:9542;top:9401;width:1296;height:675;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Ne-al-modera respondo</w:t>
                        </w:r>
                      </w:p>
                    </w:txbxContent>
                  </v:textbox>
                  <v:fill o:detectmouseclick="t" on="false"/>
                  <v:stroke color="#3465a4" joinstyle="round" endcap="flat"/>
                  <w10:wrap type="topAndBottom"/>
                </v:rect>
                <v:rect id="shape_0" path="m0,0l-2147483645,0l-2147483645,-2147483646l0,-2147483646xe" stroked="f" o:allowincell="f" style="position:absolute;left:9485;top:10027;width:1523;height:676;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Maksimuma potenciala respondo</w:t>
                        </w:r>
                      </w:p>
                    </w:txbxContent>
                  </v:textbox>
                  <v:fill o:detectmouseclick="t" on="false"/>
                  <v:stroke color="#3465a4" joinstyle="round" endcap="flat"/>
                  <w10:wrap type="topAndBottom"/>
                </v:rect>
                <v:rect id="shape_0" path="m0,0l-2147483645,0l-2147483645,-2147483646l0,-2147483646xe" stroked="f" o:allowincell="f" style="position:absolute;left:8005;top:10761;width:1529;height:682;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Rimedaj marbordaj urboj</w:t>
                        </w:r>
                      </w:p>
                    </w:txbxContent>
                  </v:textbox>
                  <v:fill o:detectmouseclick="t" on="false"/>
                  <v:stroke color="#3465a4" joinstyle="round" endcap="flat"/>
                  <w10:wrap type="topAndBottom"/>
                </v:rect>
                <v:rect id="shape_0" path="m0,0l-2147483645,0l-2147483645,-2147483646l0,-2147483646xe" stroked="f" o:allowincell="f" style="position:absolute;left:6928;top:10629;width:1529;height:682;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Grandaj tropikaj agrikulturaj deltoj</w:t>
                        </w:r>
                      </w:p>
                    </w:txbxContent>
                  </v:textbox>
                  <v:fill o:detectmouseclick="t" on="false"/>
                  <v:stroke color="#3465a4" joinstyle="round" endcap="flat"/>
                  <w10:wrap type="topAndBottom"/>
                </v:rect>
                <v:rect id="shape_0" path="m0,0l-2147483645,0l-2147483645,-2147483646l0,-2147483646xe" stroked="f" o:allowincell="f" style="position:absolute;left:5738;top:10707;width:1523;height:682;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arktaj komunumoj</w:t>
                        </w:r>
                      </w:p>
                    </w:txbxContent>
                  </v:textbox>
                  <v:fill o:detectmouseclick="t" on="false"/>
                  <v:stroke color="#3465a4" joinstyle="round" endcap="flat"/>
                  <w10:wrap type="topAndBottom"/>
                </v:rect>
                <v:rect id="shape_0" path="m0,0l-2147483645,0l-2147483645,-2147483646l0,-2147483646xe" stroked="f" o:allowincell="f" style="position:absolute;left:4037;top:13718;width:956;height:616;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Limigita adapto</w:t>
                        </w:r>
                      </w:p>
                    </w:txbxContent>
                  </v:textbox>
                  <v:fill o:detectmouseclick="t" on="false"/>
                  <v:stroke color="#3465a4" joinstyle="round" endcap="flat"/>
                  <w10:wrap type="topAndBottom"/>
                </v:rect>
                <v:rect id="shape_0" path="m0,0l-2147483645,0l-2147483645,-2147483646l0,-2147483646xe" stroked="f" o:allowincell="f" style="position:absolute;left:3470;top:10707;width:1296;height:321;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bazlinio</w:t>
                        </w:r>
                      </w:p>
                    </w:txbxContent>
                  </v:textbox>
                  <v:fill o:detectmouseclick="t" on="false"/>
                  <v:stroke color="#3465a4" joinstyle="round" endcap="flat"/>
                  <w10:wrap type="topAndBottom"/>
                </v:rect>
                <v:rect id="shape_0" path="m0,0l-2147483645,0l-2147483645,-2147483646l0,-2147483646xe" stroked="f" o:allowincell="f" style="position:absolute;left:3640;top:8666;width:1013;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CF3834"/>
                            <w:lang w:val="eo"/>
                          </w:rPr>
                          <w:t>tre alta</w:t>
                        </w:r>
                      </w:p>
                    </w:txbxContent>
                  </v:textbox>
                  <v:fill o:detectmouseclick="t" on="false"/>
                  <v:stroke color="#3465a4" joinstyle="round" endcap="flat"/>
                  <w10:wrap type="topAndBottom"/>
                </v:rect>
                <v:rect id="shape_0" path="m0,0l-2147483645,0l-2147483645,-2147483646l0,-2147483646xe" stroked="f" o:allowincell="f" style="position:absolute;left:3583;top:9857;width:1013;height:48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5E8AC7"/>
                            <w:lang w:val="eo"/>
                          </w:rPr>
                          <w:t>tre malalta</w:t>
                        </w:r>
                      </w:p>
                    </w:txbxContent>
                  </v:textbox>
                  <v:fill o:detectmouseclick="t" on="false"/>
                  <v:stroke color="#3465a4" joinstyle="round" endcap="flat"/>
                  <w10:wrap type="topAndBottom"/>
                </v:rect>
                <v:rect id="shape_0" path="m0,0l-2147483645,0l-2147483645,-2147483646l0,-2147483646xe" stroked="f" o:allowincell="f" style="position:absolute;left:3697;top:9573;width:1013;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malalta</w:t>
                        </w:r>
                      </w:p>
                    </w:txbxContent>
                  </v:textbox>
                  <v:fill o:detectmouseclick="t" on="false"/>
                  <v:stroke color="#3465a4" joinstyle="round" endcap="flat"/>
                  <w10:wrap type="topAndBottom"/>
                </v:rect>
                <v:rect id="shape_0" path="m0,0l-2147483645,0l-2147483645,-2147483646l0,-2147483646xe" stroked="f" o:allowincell="f" style="position:absolute;left:3640;top:9177;width:1240;height:332;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F9A870"/>
                            <w:lang w:val="eo"/>
                          </w:rPr>
                          <w:t>meza</w:t>
                        </w:r>
                      </w:p>
                    </w:txbxContent>
                  </v:textbox>
                  <v:fill o:detectmouseclick="t" on="false"/>
                  <v:stroke color="#3465a4" joinstyle="round" endcap="flat"/>
                  <w10:wrap type="topAndBottom"/>
                </v:rect>
                <v:rect id="shape_0" path="m0,0l-2147483645,0l-2147483645,-2147483646l0,-2147483646xe" stroked="f" o:allowincell="f" style="position:absolute;left:3640;top:8950;width:1013;height:315;mso-wrap-style:square;v-text-anchor:top">
                  <v:textbox>
                    <w:txbxContent>
                      <w:p>
                        <w:pPr>
                          <w:overflowPunct w:val="false"/>
                          <w:spacing w:before="0" w:after="0" w:lineRule="auto" w:line="240"/>
                          <w:ind w:hanging="0"/>
                          <w:jc w:val="left"/>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ED1C24"/>
                            <w:lang w:val="eo"/>
                          </w:rPr>
                          <w:t>alta</w:t>
                        </w:r>
                      </w:p>
                    </w:txbxContent>
                  </v:textbox>
                  <v:fill o:detectmouseclick="t" on="false"/>
                  <v:stroke color="#3465a4" joinstyle="round" endcap="flat"/>
                  <w10:wrap type="topAndBottom"/>
                </v:rect>
                <v:rect id="shape_0" path="m0,0l-2147483645,0l-2147483645,-2147483646l0,-2147483646xe" stroked="f" o:allowincell="f" style="position:absolute;left:799;top:9177;width:1864;height:758;mso-wrap-style:square;v-text-anchor:top">
                  <v:textbox>
                    <w:txbxContent>
                      <w:p>
                        <w:pPr>
                          <w:overflowPunct w:val="false"/>
                          <w:spacing w:before="0" w:after="0" w:lineRule="auto" w:line="240"/>
                          <w:ind w:hanging="0"/>
                          <w:jc w:val="center"/>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malalta - verŝajneco, alta efiko intrigo, inkluzive de glacitavolaj malstabilecaj procezoj</w:t>
                        </w:r>
                      </w:p>
                    </w:txbxContent>
                  </v:textbox>
                  <v:fill o:detectmouseclick="t" on="false"/>
                  <v:stroke color="#3465a4" joinstyle="round" endcap="flat"/>
                  <w10:wrap type="topAndBottom"/>
                </v:rect>
                <v:rect id="shape_0" path="m0,0l-2147483645,0l-2147483645,-2147483646l0,-2147483646xe" stroked="f" o:allowincell="f" style="position:absolute;left:346;top:12581;width:3286;height:1470;mso-wrap-style:square;v-text-anchor:top">
                  <v:textbox>
                    <w:txbxContent>
                      <w:p>
                        <w:pPr>
                          <w:overflowPunct w:val="false"/>
                          <w:spacing w:before="0" w:after="0" w:lineRule="auto" w:line="240"/>
                          <w:ind w:hanging="0"/>
                          <w:jc w:val="center"/>
                          <w:rPr/>
                        </w:pPr>
                        <w:r>
                          <w:rPr>
                            <w:sz w:val="15"/>
                            <w:b w:val="false"/>
                            <w:u w:val="none"/>
                            <w:dstrike w:val="false"/>
                            <w:strike w:val="false"/>
                            <w:i w:val="false"/>
                            <w:vertAlign w:val="baseline"/>
                            <w:position w:val="0"/>
                            <w:spacing w:val="0"/>
                            <w:szCs w:val="15"/>
                            <w:bCs w:val="false"/>
                            <w:iCs w:val="false"/>
                            <w:smallCaps w:val="false"/>
                            <w:caps w:val="false"/>
                            <w:rFonts w:ascii="Arial" w:hAnsi="Arial" w:eastAsia="Microsoft YaHei" w:cs="Lucida Sans"/>
                            <w:color w:val="00000A"/>
                            <w:lang w:val="eo"/>
                          </w:rPr>
                          <w:t>Limigita adaptado (malsukceso proaktive adaptiĝi; malalta investo en sansistemoj); nekompleta adapto (nekompleta adaptoplanado; modera investo en sansistemoj); iniciatema adaptado (proaktiva adaptadadministrado; alta investo en sansistemoj)</w:t>
                        </w:r>
                      </w:p>
                    </w:txbxContent>
                  </v:textbox>
                  <v:fill o:detectmouseclick="t" on="false"/>
                  <v:stroke color="#3465a4" joinstyle="round" endcap="flat"/>
                  <w10:wrap type="topAndBottom"/>
                </v:rect>
                <v:rect id="shape_0" path="m0,0l-2147483645,0l-2147483645,-2147483646l0,-2147483646xe" stroked="f" o:allowincell="f" style="position:absolute;left:3980;top:11450;width:2770;height:291;mso-wrap-style:square;v-text-anchor:top">
                  <v:textbox>
                    <w:txbxContent>
                      <w:p>
                        <w:pPr>
                          <w:overflowPunct w:val="false"/>
                          <w:spacing w:before="0" w:after="0" w:lineRule="auto" w:line="240"/>
                          <w:ind w:hanging="0"/>
                          <w:jc w:val="center"/>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Varmo-rilata malsaneco kaj morteco</w:t>
                        </w:r>
                      </w:p>
                    </w:txbxContent>
                  </v:textbox>
                  <v:fill o:detectmouseclick="t" on="false"/>
                  <v:stroke color="#3465a4" joinstyle="round" endcap="flat"/>
                  <w10:wrap type="topAndBottom"/>
                </v:rect>
                <v:rect id="shape_0" path="m0,0l-2147483645,0l-2147483645,-2147483646l0,-2147483646xe" stroked="f" o:allowincell="f" style="position:absolute;left:6418;top:11450;width:2039;height:447;mso-wrap-style:square;v-text-anchor:top">
                  <v:textbox>
                    <w:txbxContent>
                      <w:p>
                        <w:pPr>
                          <w:overflowPunct w:val="false"/>
                          <w:spacing w:before="0" w:after="0" w:lineRule="auto" w:line="240"/>
                          <w:ind w:hanging="0"/>
                          <w:jc w:val="center"/>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 xml:space="preserve">Nutraĵa nesekureco </w:t>
                        </w:r>
                        <w:r>
                          <w:rPr>
                            <w:sz w:val="14"/>
                            <w:u w:val="none"/>
                            <w:dstrike w:val="false"/>
                            <w:strike w:val="false"/>
                            <w:i w:val="false"/>
                            <w:vertAlign w:val="baseline"/>
                            <w:position w:val="0"/>
                            <w:spacing w:val="0"/>
                            <w:szCs w:val="14"/>
                            <w:iCs w:val="false"/>
                            <w:smallCaps w:val="false"/>
                            <w:caps w:val="false"/>
                            <w:b w:val="false"/>
                            <w:bCs w:val="false"/>
                            <w:rFonts w:ascii="Arial" w:hAnsi="Arial" w:eastAsia="Microsoft YaHei" w:cs="Lucida Sans"/>
                            <w:color w:val="00000A"/>
                            <w:lang w:val="eo"/>
                          </w:rPr>
                          <w:t>(havebleco, aliro)</w:t>
                        </w:r>
                      </w:p>
                    </w:txbxContent>
                  </v:textbox>
                  <v:fill o:detectmouseclick="t" on="false"/>
                  <v:stroke color="#3465a4" joinstyle="round" endcap="flat"/>
                  <w10:wrap type="topAndBottom"/>
                </v:rect>
                <v:rect id="shape_0" path="m0,0l-2147483645,0l-2147483645,-2147483646l0,-2147483646xe" stroked="f" o:allowincell="f" style="position:absolute;left:8351;top:11843;width:2317;height:1981;mso-wrap-style:square;v-text-anchor:top">
                  <v:textbox>
                    <w:txbxContent>
                      <w:p>
                        <w:pPr>
                          <w:overflowPunct w:val="false"/>
                          <w:spacing w:before="0" w:after="0" w:lineRule="auto" w:line="240"/>
                          <w:ind w:hanging="0"/>
                          <w:jc w:val="center"/>
                          <w:rPr/>
                        </w:pPr>
                        <w:r>
                          <w:rPr>
                            <w:sz w:val="15"/>
                            <w:b w:val="false"/>
                            <w:u w:val="none"/>
                            <w:dstrike w:val="false"/>
                            <w:strike w:val="false"/>
                            <w:i w:val="false"/>
                            <w:vertAlign w:val="baseline"/>
                            <w:position w:val="0"/>
                            <w:spacing w:val="0"/>
                            <w:szCs w:val="15"/>
                            <w:bCs w:val="false"/>
                            <w:iCs w:val="false"/>
                            <w:smallCaps w:val="false"/>
                            <w:caps w:val="false"/>
                            <w:rFonts w:ascii="Arial" w:hAnsi="Arial" w:eastAsia="Microsoft YaHei" w:cs="Lucida Sans"/>
                            <w:color w:val="00000A"/>
                            <w:lang w:val="eo"/>
                          </w:rPr>
                          <w:t>La SSP1-pado ilustras mondon kun malalta loĝantarkresko, alta enspezo, kaj reduktitaj neegalecoj, manĝaĵo produktita en malaltaj GHG-emisiosistemoj, efika regulado de tero kaj alta adapta kapacito (t.e., malaltaj defioj al adaptado). La SSP3-pado havas la kontraŭajn tendencojn.</w:t>
                        </w:r>
                      </w:p>
                    </w:txbxContent>
                  </v:textbox>
                  <v:fill o:detectmouseclick="t" on="false"/>
                  <v:stroke color="#3465a4" joinstyle="round" endcap="flat"/>
                  <w10:wrap type="topAndBottom"/>
                </v:rect>
                <v:rect id="shape_0" path="m0,0l-2147483645,0l-2147483645,-2147483646l0,-2147483646xe" stroked="f" o:allowincell="f" style="position:absolute;left:4717;top:13718;width:956;height:559;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Nekompleta adapto</w:t>
                        </w:r>
                      </w:p>
                    </w:txbxContent>
                  </v:textbox>
                  <v:fill o:detectmouseclick="t" on="false"/>
                  <v:stroke color="#3465a4" joinstyle="round" endcap="flat"/>
                  <w10:wrap type="topAndBottom"/>
                </v:rect>
                <v:rect id="shape_0" path="m0,0l-2147483645,0l-2147483645,-2147483646l0,-2147483646xe" stroked="f" o:allowincell="f" style="position:absolute;left:5341;top:13718;width:956;height:616;mso-wrap-style:square;v-text-anchor:top">
                  <v:textbox>
                    <w:txbxContent>
                      <w:p>
                        <w:pPr>
                          <w:overflowPunct w:val="false"/>
                          <w:spacing w:before="0" w:after="0" w:lineRule="auto" w:line="240"/>
                          <w:ind w:hanging="0"/>
                          <w:jc w:val="center"/>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Microsoft YaHei" w:cs="Lucida Sans"/>
                            <w:color w:val="00000A"/>
                            <w:lang w:val="eo"/>
                          </w:rPr>
                          <w:t>Proaktiva adapto</w:t>
                        </w:r>
                      </w:p>
                    </w:txbxContent>
                  </v:textbox>
                  <v:fill o:detectmouseclick="t" on="false"/>
                  <v:stroke color="#3465a4" joinstyle="round" endcap="flat"/>
                  <w10:wrap type="topAndBottom"/>
                </v:rect>
                <v:rect id="shape_0" path="m0,0l-2147483645,0l-2147483645,-2147483646l0,-2147483646xe" stroked="f" o:allowincell="f" style="position:absolute;left:6418;top:13718;width:956;height:333;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alta</w:t>
                        </w:r>
                      </w:p>
                    </w:txbxContent>
                  </v:textbox>
                  <v:fill o:detectmouseclick="t" on="false"/>
                  <v:stroke color="#3465a4" joinstyle="round" endcap="flat"/>
                  <w10:wrap type="topAndBottom"/>
                </v:rect>
                <v:rect id="shape_0" path="m0,0l-2147483645,0l-2147483645,-2147483646l0,-2147483646xe" stroked="f" o:allowincell="f" style="position:absolute;left:7155;top:13718;width:956;height:333;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malalta</w:t>
                        </w:r>
                      </w:p>
                    </w:txbxContent>
                  </v:textbox>
                  <v:fill o:detectmouseclick="t" on="false"/>
                  <v:stroke color="#3465a4" joinstyle="round" endcap="flat"/>
                  <w10:wrap type="topAndBottom"/>
                </v:rect>
                <v:rect id="shape_0" path="m0,0l-2147483645,0l-2147483645,-2147483646l0,-2147483646xe" stroked="f" o:allowincell="f" style="position:absolute;left:6304;top:14002;width:1864;height:445;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Defioj al Adaptado</w:t>
                        </w:r>
                      </w:p>
                    </w:txbxContent>
                  </v:textbox>
                  <v:fill o:detectmouseclick="t" on="false"/>
                  <v:stroke color="#3465a4" joinstyle="round" endcap="flat"/>
                  <w10:wrap type="topAndBottom"/>
                </v:rect>
                <v:rect id="shape_0" path="m0,0l-2147483645,0l-2147483645,-2147483646l0,-2147483646xe" stroked="f" o:allowincell="f" style="position:absolute;left:4604;top:10764;width:1523;height:682;mso-wrap-style:square;v-text-anchor:top">
                  <v:textbox>
                    <w:txbxContent>
                      <w:p>
                        <w:pPr>
                          <w:overflowPunct w:val="false"/>
                          <w:spacing w:before="0" w:after="0" w:lineRule="auto" w:line="240"/>
                          <w:ind w:hanging="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Microsoft YaHei" w:cs="Lucida Sans"/>
                            <w:color w:val="00000A"/>
                            <w:lang w:val="eo"/>
                          </w:rPr>
                          <w:t>Urbaj atolinsuloj</w:t>
                        </w:r>
                      </w:p>
                    </w:txbxContent>
                  </v:textbox>
                  <v:fill o:detectmouseclick="t" on="false"/>
                  <v:stroke color="#3465a4" joinstyle="round" endcap="flat"/>
                  <w10:wrap type="topAndBottom"/>
                </v:rect>
              </v:group>
            </w:pict>
          </mc:Fallback>
        </mc:AlternateContent>
      </w:r>
    </w:p>
    <w:p>
      <w:pPr>
        <w:pStyle w:val="ParagrapheBlancPetit"/>
        <w:rPr/>
      </w:pPr>
      <w:r>
        <w:rPr>
          <w:rStyle w:val="StyleGras"/>
        </w:rPr>
        <w:t xml:space="preserve">Figuro SPM.4: Subaro de taksitaj klimataj rezultoj kaj rilataj tutmondaj kaj regionaj klimataj riskoj. </w:t>
      </w:r>
      <w:r>
        <w:rPr/>
        <w:t xml:space="preserve">La brulantaj ardaĵoj rezultas el literaturo bazita spertulo. </w:t>
      </w:r>
      <w:r>
        <w:rPr>
          <w:rStyle w:val="StyleGras"/>
        </w:rPr>
        <w:t xml:space="preserve">Panelo (a): Maldekstre </w:t>
      </w:r>
      <w:r>
        <w:rPr/>
        <w:t xml:space="preserve">- Tutmondaj surfactemperaturaj ŝanĝoj en °C relative al 1850–1900. Tiuj ŝanĝoj estis akiritaj kombinante CMIP6-modelsimulaĵojn kun observaj limoj bazitaj sur pasinta ŝajniga varmiĝo, same kiel ĝisdatigita takso de ekvilibra klimata sentemo. </w:t>
      </w:r>
      <w:r>
        <w:rPr>
          <w:rStyle w:val="StyleItaliques"/>
        </w:rPr>
        <w:t xml:space="preserve">Tre verŝajnaj </w:t>
      </w:r>
      <w:r>
        <w:rPr/>
        <w:t xml:space="preserve">intervaloj estas montritaj por la malaltaj kaj altaj GHG-emisioscenaroj (SSP1-2.6 kaj SSP3-7.0) (Transversa Skatolo 2); </w:t>
      </w:r>
      <w:r>
        <w:rPr>
          <w:rStyle w:val="StyleGras"/>
        </w:rPr>
        <w:t xml:space="preserve">Ĝuste </w:t>
      </w:r>
      <w:r>
        <w:rPr/>
        <w:t xml:space="preserve">- Tutmondaj Kialoj por Zorgo (RFC), komparante taksojn de AR6 (dikaj ardaĵoj) kaj AR5 (maldikaj ardaĵoj). Risktransiroj ĝenerale ŝanĝiĝis al pli malaltaj temperaturoj kun ĝisdatigita scienca kompreno. Diagramoj estas montritaj por ĉiu RFC, supozante malaltan al neniu adaptado. Linioj ligas la mezpunktojn de la transiroj de modera al alta risko tra AR5 kaj AR6. </w:t>
      </w:r>
      <w:r>
        <w:rPr>
          <w:rStyle w:val="StyleGras"/>
        </w:rPr>
        <w:t xml:space="preserve">Panelo (b) </w:t>
      </w:r>
      <w:r>
        <w:rPr/>
        <w:t xml:space="preserve">: Elektitaj tutmondaj riskoj por teraj kaj oceanaj ekosistemoj, ilustrante ĝeneralan pliiĝon de risko kun mondvarmiĝoniveloj kun malalta ĝis neniu adaptado. </w:t>
      </w:r>
      <w:r>
        <w:rPr>
          <w:rStyle w:val="StyleGras"/>
        </w:rPr>
        <w:t xml:space="preserve">Panelo (c) </w:t>
      </w:r>
      <w:r>
        <w:rPr/>
        <w:t>: Maldekstre - Tutmonda averaĝa marnivelŝanĝo en centimetroj, relative al 1900.</w:t>
      </w:r>
    </w:p>
    <w:p>
      <w:pPr>
        <w:pStyle w:val="ParagrapheBlancPetit"/>
        <w:rPr/>
      </w:pPr>
      <w:r>
        <w:rPr/>
        <w:t xml:space="preserve">La historiaj ŝanĝoj (nigraj) estas observitaj per tajdomezuriloj antaŭ 1992 kaj altimetroj poste. La estontaj ŝanĝoj al 2100 (koloraj linioj kaj ombro) estas taksitaj konstante kun observaj limoj bazitaj sur kopiado de CMIP, glacitavolo kaj glaĉeraj modeloj, kaj verŝajnaj intervaloj estas montritaj por SSP1-2.6 kaj SSP3-7.0. </w:t>
      </w:r>
      <w:r>
        <w:rPr>
          <w:rStyle w:val="StyleGras"/>
        </w:rPr>
        <w:t xml:space="preserve">Dekstra </w:t>
      </w:r>
      <w:r>
        <w:rPr/>
        <w:t xml:space="preserve">- Takso de la kombinita risko de marborda inundado, erozio kaj salinigo por kvar ilustraj marbordaj geografioj en 2100, pro ŝanĝado de mezaj kaj ekstremaj marniveloj, sub du respondscenaroj, kun respekto al la SROCC bazlinioperiodo (1986-2005). La takso ne respondecas pri ŝanĝoj en ekstrema marnivelo preter tiuj rekte induktitaj per meza marnivelaltiĝo; riskaj niveloj povus pliiĝi se aliaj ŝanĝoj en ekstremaj marniveloj estus pripensitaj (ekz., pro ŝanĝoj en ciklona intenseco). "Ne-al-modera respondo" priskribas klopodojn de hodiaŭ (t.e. neniu plu signifa ago aŭ novaj specoj de agoj). "Maksimuma potenciala respondo" reprezentas kombinaĵon de respondoj efektivigitaj laŭ ilia plena mezuro kaj tiel signifajn kromajn klopodojn kompare kun hodiaŭ, supozante minimumajn financajn, sociajn kaj politikajn barojn. (En ĉi tiu kunteksto, "hodiaŭ" rilatas al 2019.) La taksaj kriterioj inkluzivas malkovron kaj vundeblecon, marbordajn danĝerojn, surloke respondojn kaj planitan translokadon. Planita translokado rilatas al administrita retiriĝo aŭ reloĝigoj. La esprimo respondo estas uzita ĉi tie anstataŭe de adaptado ĉar kelkaj respondoj, kiel ekzemple retiriĝo, povas aŭ eble ne estas konsideritaj kiel adaptado. </w:t>
      </w:r>
      <w:r>
        <w:rPr>
          <w:rStyle w:val="StyleGras"/>
        </w:rPr>
        <w:t xml:space="preserve">Panelo (d) </w:t>
      </w:r>
      <w:r>
        <w:rPr/>
        <w:t xml:space="preserve">: Elektitaj riskoj sub malsama sociekonomiko, ilustrante kiel vojo-disvolvaj strategioj kaj defioj al adaptado influas riskon. </w:t>
      </w:r>
      <w:r>
        <w:rPr>
          <w:rStyle w:val="StyleGras"/>
        </w:rPr>
        <w:t xml:space="preserve">Maldekstre </w:t>
      </w:r>
      <w:r>
        <w:rPr/>
        <w:t xml:space="preserve">- Varmo-sentemaj homaj sanrezultoj sub tri scenaroj de adapta efikeco. La diagramoj estas detranĉitaj je la plej proksima tuta ºC ene de la intervalo de temperaturŝanĝo en 2100 sub tri SSP-scenaroj. </w:t>
      </w:r>
      <w:r>
        <w:rPr>
          <w:rStyle w:val="StyleGras"/>
        </w:rPr>
        <w:t xml:space="preserve">Dekstra </w:t>
      </w:r>
      <w:r>
        <w:rPr/>
        <w:t>- Riskoj asociitaj kun manĝaĵsekureco pro klimata ŝanĝo kaj ŝablonoj de sociekonomia evoluo. Riskoj al nutraĵsekureco inkludas haveblecon kaj aliron al manĝaĵo, inkluzive de populacio ĉe risko de malsato, manĝprezaltiĝo kaj pliiĝoj en handikapo alĝustigitaj vivjaroj atribueblaj al infanaĝo subpezo. Riskoj estas taksitaj por du kontrastaj sociekonomikaj vojoj (SSP1 kaj SSP3) ekskludante la efikojn de celitaj mildigaj kaj adaptaj politikoj. {Figuro 3.3} (Kesto SPM.1)</w:t>
      </w:r>
    </w:p>
    <w:p>
      <w:pPr>
        <w:pStyle w:val="ParagrapheBlanc"/>
        <w:rPr/>
      </w:pPr>
      <w:r>
        <w:rPr>
          <w:rStyle w:val="StyleGras"/>
        </w:rPr>
        <w:t>[FINO FIGURO SPM.4 ĈI TIE]</w:t>
      </w:r>
    </w:p>
    <w:p>
      <w:pPr>
        <w:pStyle w:val="ParagrapheBlanc"/>
        <w:rPr/>
      </w:pPr>
      <w:r>
        <w:rPr>
          <w:rStyle w:val="StyleGras"/>
        </w:rPr>
        <w:t>Verŝajneco kaj Riskoj de Neeviteblaj, Nemaligeblaj aŭ Abruptaj Ŝanĝoj</w:t>
      </w:r>
    </w:p>
    <w:p>
      <w:pPr>
        <w:pStyle w:val="ParagrapheBistre"/>
        <w:rPr/>
      </w:pPr>
      <w:r>
        <w:rPr>
          <w:b/>
          <w:color w:val="000000"/>
          <w:spacing w:val="-8"/>
          <w:w w:val="100"/>
          <w:sz w:val="22"/>
        </w:rPr>
        <w:t xml:space="preserve">B.3 Kelkaj estontaj ŝanĝoj estas neeviteblaj kaj/aŭ neinversigeblaj sed povas esti limigitaj per profunda, rapida kaj </w:t>
      </w:r>
      <w:r>
        <w:rPr>
          <w:b/>
          <w:color w:val="000000"/>
          <w:spacing w:val="0"/>
          <w:w w:val="100"/>
          <w:sz w:val="22"/>
        </w:rPr>
        <w:t xml:space="preserve">daŭrigebla </w:t>
      </w:r>
      <w:r>
        <w:rPr>
          <w:b/>
          <w:color w:val="000000"/>
          <w:w w:val="100"/>
          <w:sz w:val="22"/>
        </w:rPr>
        <w:t>redukto de tutmonda forceja gaso. La verŝajneco de subitaj kaj/aŭ nemaligeblaj ŝanĝoj pliiĝas kun pli altaj mondvarmiĝoniveloj. Simile, la probableco de malalt-verŝajnaj rezultoj asociitaj kun eble tre grandaj malfavoraj efikoj pliiĝas kun pli altaj mondvarmiĝoniveloj. (</w:t>
      </w:r>
      <w:r>
        <w:rPr>
          <w:rStyle w:val="StyleItaliques"/>
          <w:b/>
          <w:color w:val="000000"/>
          <w:w w:val="100"/>
          <w:sz w:val="22"/>
        </w:rPr>
        <w:t>alta konfido)</w:t>
      </w:r>
      <w:r>
        <w:rPr>
          <w:b/>
          <w:color w:val="000000"/>
          <w:w w:val="100"/>
          <w:sz w:val="22"/>
        </w:rPr>
        <w:t xml:space="preserve"> {3.1}</w:t>
      </w:r>
    </w:p>
    <w:p>
      <w:pPr>
        <w:pStyle w:val="ParagrapheBlanc"/>
        <w:rPr/>
      </w:pPr>
      <w:r>
        <w:rPr>
          <w:rStyle w:val="StyleGras"/>
        </w:rPr>
        <w:t xml:space="preserve">B.3.1 </w:t>
      </w:r>
      <w:r>
        <w:rPr/>
        <w:t>Limigi tutmondan surfactemperaturon ne malhelpas daŭrajn ŝanĝojn en klimatsistemkomponentoj kiuj havas multjardekajn aŭ pli longajn temposkalojn de respondo (</w:t>
      </w:r>
      <w:r>
        <w:rPr>
          <w:rStyle w:val="StyleItaliques"/>
        </w:rPr>
        <w:t>alta fido)</w:t>
      </w:r>
      <w:r>
        <w:rPr/>
        <w:t>. La altiĝo de la marnivelo estas neevitebla dum jarcentoj ĝis jarmiloj pro daŭra profunda varmiĝo de la oceano kaj degelo de la glacitavolo, kaj marniveloj restos levita dum miloj da jaroj (</w:t>
      </w:r>
      <w:r>
        <w:rPr>
          <w:rStyle w:val="StyleItaliques"/>
        </w:rPr>
        <w:t>alta fido)</w:t>
      </w:r>
      <w:r>
        <w:rPr/>
        <w:t xml:space="preserve">. Tamen, profundaj, rapidaj kaj daŭrantaj GHG-emisioreduktoj limigus plian marnivelan plialtiĝon kaj projekciitan longperspektivan marnivelan engaĝiĝon. Rilate al 1995–2014, la verŝajna tutmonda averaĝa marnivelo pliiĝo sub la SSP1-1.9 GHG-emisioscenaro estas 0.15-0.23 m antaŭ 2050 kaj 0.28-0.55 m antaŭ 2100; dum por la SSP5-8.5 GHG-emisioscenaro ĝi estas 0.20-0.29 m antaŭ 2050 kaj 0.63-1.01 m antaŭ 2100 </w:t>
      </w:r>
      <w:r>
        <w:rPr>
          <w:rStyle w:val="StyleItaliques"/>
        </w:rPr>
        <w:t>(meza fido).</w:t>
      </w:r>
      <w:r>
        <w:rPr/>
        <w:t xml:space="preserve"> Dum la venontaj 2000 jaroj, tutmonda averaĝa marnivelo pliiĝos je proksimume 2-3 m se varmiĝo estas limigita al 1.5 °C kaj 2-6 m se limigite al 2 °C (</w:t>
      </w:r>
      <w:r>
        <w:rPr>
          <w:rStyle w:val="StyleItaliques"/>
        </w:rPr>
        <w:t>malalta fido</w:t>
      </w:r>
      <w:r>
        <w:rPr/>
        <w:t>). {3.1.3, Figuro 3.4} (Kesto SPM.1)</w:t>
      </w:r>
    </w:p>
    <w:p>
      <w:pPr>
        <w:pStyle w:val="ParagrapheBlanc"/>
        <w:rPr/>
      </w:pPr>
      <w:r>
        <w:rPr>
          <w:rStyle w:val="StyleGras"/>
        </w:rPr>
        <w:t xml:space="preserve">B.3.2 </w:t>
      </w:r>
      <w:r>
        <w:rPr/>
        <w:t>La verŝajneco kaj efikoj de abruptaj kaj/aŭ neinversigeblaj ŝanĝoj en la klimata sistemo, inkluzive de ŝanĝoj ekigitaj kiam renversiĝaj punktoj estas atingitaj, pliiĝas kun plia mondvarmiĝo (</w:t>
      </w:r>
      <w:r>
        <w:rPr>
          <w:rStyle w:val="StyleItaliques"/>
        </w:rPr>
        <w:t>alta fido)</w:t>
      </w:r>
      <w:r>
        <w:rPr/>
        <w:t xml:space="preserve">. Dum varmiĝoniveloj pliiĝas, ankaŭ pliiĝas la riskoj de specia formorto aŭ neinversigebla perdo de biodiverseco en ekosistemoj inkluzive de arbaroj </w:t>
      </w:r>
      <w:r>
        <w:rPr>
          <w:rStyle w:val="StyleItaliques"/>
        </w:rPr>
        <w:t xml:space="preserve">(meza fido) </w:t>
      </w:r>
      <w:r>
        <w:rPr/>
        <w:t xml:space="preserve">, koralaj rifoj </w:t>
      </w:r>
      <w:r>
        <w:rPr>
          <w:rStyle w:val="StyleItaliques"/>
        </w:rPr>
        <w:t xml:space="preserve">(tre alta fido) </w:t>
      </w:r>
      <w:r>
        <w:rPr/>
        <w:t>kaj en arktaj regionoj (</w:t>
      </w:r>
      <w:r>
        <w:rPr>
          <w:rStyle w:val="StyleItaliques"/>
        </w:rPr>
        <w:t>alta fido)</w:t>
      </w:r>
      <w:r>
        <w:rPr/>
        <w:t>. Je daŭra varmiĝo-niveloj inter 2 °C kaj 3 °C, la Gronlando kaj Okcidenta Antarktaj glacitavolo perdiĝos preskaŭ tute kaj neinversigeble dum pluraj jarmiloj, kaŭzante plurajn metrojn da marnivelo pliiĝo (limigita indico). La probableco kaj indico de glacimasperdo pliiĝas kun pli altaj tutmondaj surfactemperaturoj (</w:t>
      </w:r>
      <w:r>
        <w:rPr>
          <w:rStyle w:val="StyleItaliques"/>
        </w:rPr>
        <w:t>alta fido)</w:t>
      </w:r>
      <w:r>
        <w:rPr/>
        <w:t>. {3.1.2, 3.1.3}</w:t>
      </w:r>
    </w:p>
    <w:p>
      <w:pPr>
        <w:pStyle w:val="ParagrapheBlanc"/>
        <w:rPr/>
      </w:pPr>
      <w:r>
        <w:rPr>
          <w:rStyle w:val="StyleGras"/>
        </w:rPr>
        <w:t xml:space="preserve">B.3.3 </w:t>
      </w:r>
      <w:r>
        <w:rPr/>
        <w:t>La probablo de malalt-verŝajnaj rezultoj asociitaj kun eble tre grandaj efikoj pliiĝas kun pli altaj mondvarmiĝo-niveloj (</w:t>
      </w:r>
      <w:r>
        <w:rPr>
          <w:rStyle w:val="StyleItaliques"/>
        </w:rPr>
        <w:t>alta fido)</w:t>
      </w:r>
      <w:r>
        <w:rPr/>
        <w:t>. Pro profunda necerteco ligita al glacitavolo procezoj, tutmonda averaĝa marnivelo pliiĝas super la verŝajna intervalo - alproksimiĝante 2 m antaŭ 2100 kaj pli ol 15 m antaŭ 2300 sub la tre alta GHG-emisioscenaro (SSP5-8.5) (</w:t>
      </w:r>
      <w:r>
        <w:rPr>
          <w:rStyle w:val="StyleItaliques"/>
        </w:rPr>
        <w:t>malalta fido)</w:t>
      </w:r>
      <w:r>
        <w:rPr/>
        <w:t xml:space="preserve"> – ne povas esti ekskludita. Estas </w:t>
      </w:r>
      <w:r>
        <w:rPr>
          <w:rStyle w:val="StyleItaliques"/>
        </w:rPr>
        <w:t xml:space="preserve">meza fido </w:t>
      </w:r>
      <w:r>
        <w:rPr/>
        <w:t xml:space="preserve">ke la atlantika Meridional renversiĝo-cirkulado ne kolapsos subite antaŭ 2100, sed se ĝi okazus, ĝi </w:t>
      </w:r>
      <w:r>
        <w:rPr>
          <w:rStyle w:val="StyleItaliques"/>
        </w:rPr>
        <w:t xml:space="preserve">tre verŝajne </w:t>
      </w:r>
      <w:r>
        <w:rPr/>
        <w:t>kaŭzus abruptajn ŝanĝojn en regionaj veterpadronoj, kaj grandajn efikojn al ekosistemoj kaj homaj agadoj. {3.1.3} (Kesto SPM.1)</w:t>
      </w:r>
    </w:p>
    <w:p>
      <w:pPr>
        <w:pStyle w:val="ParagrapheBlanc"/>
        <w:rPr/>
      </w:pPr>
      <w:r>
        <w:rPr>
          <w:rStyle w:val="StyleGras"/>
        </w:rPr>
        <w:t>Adapta Opcioj kaj iliaj Limoj en Pli Varma Mondo</w:t>
      </w:r>
    </w:p>
    <w:p>
      <w:pPr>
        <w:pStyle w:val="ParagrapheBistre"/>
        <w:rPr/>
      </w:pPr>
      <w:r>
        <w:rPr>
          <w:b/>
          <w:color w:val="000000"/>
          <w:spacing w:val="-7"/>
          <w:w w:val="100"/>
          <w:sz w:val="22"/>
        </w:rPr>
        <w:t xml:space="preserve">B.4 Adaptebloj kiuj estas realigeblaj kaj efikaj hodiaŭ fariĝos limigitaj kaj malpli efikaj </w:t>
      </w:r>
      <w:r>
        <w:rPr>
          <w:b/>
          <w:color w:val="000000"/>
          <w:spacing w:val="0"/>
          <w:w w:val="100"/>
          <w:sz w:val="22"/>
        </w:rPr>
        <w:t xml:space="preserve">kun </w:t>
      </w:r>
      <w:r>
        <w:rPr>
          <w:b/>
          <w:color w:val="000000"/>
          <w:w w:val="100"/>
          <w:sz w:val="22"/>
        </w:rPr>
        <w:t>kreskanta mondvarmiĝo. Kun kreskanta mondvarmiĝo, perdoj kaj damaĝoj pliiĝos kaj pliaj homaj kaj naturaj sistemoj atingos adaptiĝlimojn. Maladaptado povas esti evitita per fleksebla, plursekcia, inkluziva, longperspektiva planado kaj efektivigo de adaptadaj agoj, kun kunprofitoj al multaj sektoroj kaj sistemoj. (</w:t>
      </w:r>
      <w:r>
        <w:rPr>
          <w:rStyle w:val="StyleItaliques"/>
          <w:b/>
          <w:color w:val="000000"/>
          <w:w w:val="100"/>
          <w:sz w:val="22"/>
        </w:rPr>
        <w:t>alta konfido)</w:t>
      </w:r>
      <w:r>
        <w:rPr>
          <w:color w:val="000000"/>
          <w:w w:val="100"/>
          <w:sz w:val="22"/>
        </w:rPr>
        <w:t xml:space="preserve"> </w:t>
      </w:r>
      <w:r>
        <w:rPr>
          <w:b/>
          <w:color w:val="000000"/>
          <w:w w:val="100"/>
          <w:sz w:val="22"/>
        </w:rPr>
        <w:t>{3.2, 4.1, 4.2, 4.3}</w:t>
      </w:r>
    </w:p>
    <w:p>
      <w:pPr>
        <w:pStyle w:val="ParagrapheBlanc"/>
        <w:rPr/>
      </w:pPr>
      <w:r>
        <w:rPr>
          <w:rStyle w:val="StyleGras"/>
        </w:rPr>
        <w:t xml:space="preserve">B.4.1 </w:t>
      </w:r>
      <w:r>
        <w:rPr/>
        <w:t>La efikeco de adaptado, inkluzive de ekosistem-bazitaj kaj plej akvaj elektoj, malpliiĝos kun pliiĝanta varmiĝo. La farebleco kaj efikeco de opcioj pliiĝas kun integraj, plur-sektoraj solvoj, kiuj diferencigas respondojn bazitajn sur klimata risko, transiras sistemojn kaj traktas sociajn malegalecojn. Ĉar adaptopcioj ofte havas longajn efektivigtempojn, longperspektiva planado pliigas ilian efikecon. (</w:t>
      </w:r>
      <w:r>
        <w:rPr>
          <w:rStyle w:val="StyleItaliques"/>
        </w:rPr>
        <w:t>alta konfido)</w:t>
      </w:r>
      <w:r>
        <w:rPr/>
        <w:t xml:space="preserve"> {3.2, Figuro 3.4, 4.1, 4.2}</w:t>
      </w:r>
    </w:p>
    <w:p>
      <w:pPr>
        <w:pStyle w:val="ParagrapheBlanc"/>
        <w:rPr/>
      </w:pPr>
      <w:r>
        <w:rPr>
          <w:rStyle w:val="StyleGras"/>
        </w:rPr>
        <w:t xml:space="preserve">B.4.2 </w:t>
      </w:r>
      <w:r>
        <w:rPr/>
        <w:t>Kun plia mondvarmiĝo, limoj al adaptiĝo kaj perdoj kaj damaĝoj, forte koncentritaj inter vundeblaj loĝantaroj, iĝos ĉiam pli malfacile eviti (</w:t>
      </w:r>
      <w:r>
        <w:rPr>
          <w:rStyle w:val="StyleItaliques"/>
        </w:rPr>
        <w:t>alta fido)</w:t>
      </w:r>
      <w:r>
        <w:rPr/>
        <w:t xml:space="preserve">. Super 1.5 °C de mondvarmiĝo, limigitaj dolĉakvoresursoj prezentas eblajn malmolajn adaptajn limojn por malgrandaj insuloj kaj por regionoj dependaj de glaĉero kaj neĝfandado </w:t>
      </w:r>
      <w:r>
        <w:rPr>
          <w:rStyle w:val="StyleItaliques"/>
        </w:rPr>
        <w:t>(meza fido).</w:t>
      </w:r>
      <w:r>
        <w:rPr/>
        <w:t xml:space="preserve"> Super tiu nivelo, ekosistemoj kiel ekzemple kelkaj varm-akvaj koralaj rifoj, marbordaj malsekregionoj, pluvarbaroj, kaj polusaj kaj montaraj ekosistemoj estos atinginta aŭ superinta malmolajn adaptajn limojn kaj kiel sekvo, kelkaj Ekosistem-bazitaj Adaptaj iniciatoj ankaŭ perdos sian efikecon (</w:t>
      </w:r>
      <w:r>
        <w:rPr>
          <w:rStyle w:val="StyleItaliques"/>
        </w:rPr>
        <w:t>alta fido)</w:t>
      </w:r>
      <w:r>
        <w:rPr/>
        <w:t>. {2.3.2, 3.2, 4.3}</w:t>
      </w:r>
    </w:p>
    <w:p>
      <w:pPr>
        <w:pStyle w:val="ParagrapheBlanc"/>
        <w:rPr/>
      </w:pPr>
      <w:r>
        <w:rPr>
          <w:rStyle w:val="StyleGras"/>
        </w:rPr>
        <w:t xml:space="preserve">B.4.3 </w:t>
      </w:r>
      <w:r>
        <w:rPr/>
        <w:t>Agoj, kiuj fokusiĝas al sektoroj kaj riskoj izole kaj al mallongperspektivaj gajnoj, ofte kondukas al maladaptado longtempe, kreante blokadon de vundebleco, malkovro kaj riskoj malfacile ŝanĝeblaj. Ekzemple, digoj efike reduktas efikojn al homoj kaj aktivaĵoj en la mallonga perspektivo sed ankaŭ povas rezultigi enfermaĵojn kaj pliigi eksponiĝon al klimataj riskoj longtempe krom se ili estas integritaj en longperspektivan adaptan planon. Maladaptaj respondoj povas plimalbonigi ekzistantajn malegalecojn precipe por Indiĝenaj Popoloj kaj marĝenigitaj grupoj kaj malpliigi ekosistemon kaj biodiversecreziston. Maladaptado povas esti evitita per fleksebla, plursekcia, inkluziva, longperspektiva planado kaj efektivigo de adaptadaj agoj, kun kunprofitoj al multaj sektoroj kaj sistemoj. (</w:t>
      </w:r>
      <w:r>
        <w:rPr>
          <w:rStyle w:val="StyleItaliques"/>
        </w:rPr>
        <w:t>alta konfido)</w:t>
      </w:r>
      <w:r>
        <w:rPr/>
        <w:t xml:space="preserve"> {2.3.2, 3.2}</w:t>
      </w:r>
    </w:p>
    <w:p>
      <w:pPr>
        <w:pStyle w:val="ParagrapheBlanc"/>
        <w:rPr/>
      </w:pPr>
      <w:r>
        <w:rPr>
          <w:rStyle w:val="StyleGras"/>
        </w:rPr>
        <w:t>Karbonbuĝetoj kaj Netaj Nulaj Emisioj</w:t>
      </w:r>
    </w:p>
    <w:p>
      <w:pPr>
        <w:pStyle w:val="ParagrapheBistre"/>
        <w:rPr/>
      </w:pPr>
      <w:r>
        <w:rPr>
          <w:b/>
          <w:color w:val="000000"/>
          <w:spacing w:val="-8"/>
          <w:w w:val="100"/>
          <w:sz w:val="22"/>
        </w:rPr>
        <w:t>B.</w:t>
      </w:r>
      <w:r>
        <w:rPr>
          <w:b/>
          <w:color w:val="000000"/>
          <w:spacing w:val="-9"/>
          <w:w w:val="100"/>
          <w:sz w:val="22"/>
        </w:rPr>
        <w:t>5 Limigi tutmondan varmiĝon kaŭzitan de homoj postulas netajn nulajn emisiojn de CO</w:t>
      </w:r>
      <w:r>
        <w:rPr>
          <w:b/>
          <w:color w:val="000000"/>
          <w:spacing w:val="-15"/>
          <w:w w:val="100"/>
          <w:position w:val="-1"/>
          <w:sz w:val="14"/>
        </w:rPr>
        <w:t xml:space="preserve">2. </w:t>
      </w:r>
      <w:r>
        <w:rPr>
          <w:b/>
          <w:color w:val="000000"/>
          <w:spacing w:val="-9"/>
          <w:w w:val="100"/>
          <w:sz w:val="22"/>
        </w:rPr>
        <w:t xml:space="preserve">Akumulataj karbonemisioj </w:t>
      </w:r>
      <w:r>
        <w:rPr>
          <w:b/>
          <w:color w:val="000000"/>
          <w:spacing w:val="0"/>
          <w:w w:val="100"/>
          <w:sz w:val="22"/>
        </w:rPr>
        <w:t xml:space="preserve">ĝis </w:t>
      </w:r>
      <w:r>
        <w:rPr>
          <w:b/>
          <w:color w:val="000000"/>
          <w:spacing w:val="-8"/>
          <w:w w:val="100"/>
          <w:sz w:val="22"/>
        </w:rPr>
        <w:t xml:space="preserve">la </w:t>
      </w:r>
      <w:r>
        <w:rPr>
          <w:b/>
          <w:color w:val="000000"/>
          <w:spacing w:val="-7"/>
          <w:w w:val="100"/>
          <w:sz w:val="22"/>
        </w:rPr>
        <w:t>tempo de atingado de net-nulaj CO</w:t>
      </w:r>
      <w:r>
        <w:rPr>
          <w:b/>
          <w:color w:val="000000"/>
          <w:spacing w:val="-12"/>
          <w:w w:val="100"/>
          <w:position w:val="-1"/>
          <w:sz w:val="14"/>
        </w:rPr>
        <w:t xml:space="preserve">2 </w:t>
      </w:r>
      <w:r>
        <w:rPr>
          <w:b/>
          <w:color w:val="000000"/>
          <w:spacing w:val="-7"/>
          <w:w w:val="100"/>
          <w:sz w:val="22"/>
        </w:rPr>
        <w:t xml:space="preserve">emisioj kaj la nivelo de forcej-efikaj gasoj reduktaj </w:t>
      </w:r>
      <w:r>
        <w:rPr>
          <w:b/>
          <w:color w:val="000000"/>
          <w:spacing w:val="-13"/>
          <w:w w:val="100"/>
          <w:sz w:val="22"/>
        </w:rPr>
        <w:t xml:space="preserve">jonoj </w:t>
      </w:r>
      <w:r>
        <w:rPr>
          <w:b/>
          <w:color w:val="000000"/>
          <w:spacing w:val="-5"/>
          <w:w w:val="100"/>
          <w:sz w:val="22"/>
        </w:rPr>
        <w:t xml:space="preserve">ĉi tiun jardekon </w:t>
      </w:r>
      <w:r>
        <w:rPr>
          <w:b/>
          <w:color w:val="000000"/>
          <w:w w:val="100"/>
          <w:sz w:val="22"/>
        </w:rPr>
        <w:t>plejparte determinas ĉu varmiĝo povas esti limigita al 1.5 °C aŭ 2 °C (</w:t>
      </w:r>
      <w:r>
        <w:rPr>
          <w:rStyle w:val="StyleItaliques"/>
          <w:b/>
          <w:color w:val="000000"/>
          <w:w w:val="100"/>
          <w:sz w:val="22"/>
        </w:rPr>
        <w:t>alta fido)</w:t>
      </w:r>
      <w:r>
        <w:rPr>
          <w:b/>
          <w:color w:val="000000"/>
          <w:w w:val="100"/>
          <w:sz w:val="22"/>
        </w:rPr>
        <w:t>. Projekciitaj CO</w:t>
      </w:r>
      <w:r>
        <w:rPr>
          <w:b/>
          <w:color w:val="000000"/>
          <w:w w:val="100"/>
          <w:position w:val="-1"/>
          <w:sz w:val="14"/>
        </w:rPr>
        <w:t xml:space="preserve">2 </w:t>
      </w:r>
      <w:r>
        <w:rPr>
          <w:b/>
          <w:color w:val="000000"/>
          <w:w w:val="100"/>
          <w:sz w:val="22"/>
        </w:rPr>
        <w:t>emisioj de ekzistanta fosilia fuela infrastrukturo sen plia redukto superus la restantan karbonbuĝeton por 1.5°C (50%) (</w:t>
      </w:r>
      <w:r>
        <w:rPr>
          <w:rStyle w:val="StyleItaliques"/>
          <w:b/>
          <w:color w:val="000000"/>
          <w:w w:val="100"/>
          <w:sz w:val="22"/>
        </w:rPr>
        <w:t>alta fido)</w:t>
      </w:r>
      <w:r>
        <w:rPr>
          <w:b/>
          <w:color w:val="000000"/>
          <w:w w:val="100"/>
          <w:sz w:val="22"/>
        </w:rPr>
        <w:t>. {2.3, 3.1, 3.3, Tabelo 3.1}</w:t>
      </w:r>
    </w:p>
    <w:p>
      <w:pPr>
        <w:pStyle w:val="ParagrapheBlanc"/>
        <w:rPr/>
      </w:pPr>
      <w:r>
        <w:rPr>
          <w:rStyle w:val="StyleGras"/>
        </w:rPr>
        <w:t xml:space="preserve">B.5.1 </w:t>
      </w:r>
      <w:r>
        <w:rPr/>
        <w:t>El fizika scienca perspektivo, limigi hom-kaŭzitan tutmondan varmiĝon al specifa nivelo postulas limigi akumulajn emisiojn de CO</w:t>
      </w:r>
      <w:r>
        <w:rPr>
          <w:vertAlign w:val="subscript"/>
        </w:rPr>
        <w:t xml:space="preserve">2 </w:t>
      </w:r>
      <w:r>
        <w:rPr/>
        <w:t>, atingante almenaŭ netajn nulajn CO</w:t>
      </w:r>
      <w:r>
        <w:rPr>
          <w:vertAlign w:val="subscript"/>
        </w:rPr>
        <w:t xml:space="preserve">2 </w:t>
      </w:r>
      <w:r>
        <w:rPr/>
        <w:t>ellasojn, kune kun fortaj reduktoj de aliaj forcej-efikaj gasoj. Atingi netajn nulajn GHG-emisiojn ĉefe postulas profundajn reduktojn en CO</w:t>
      </w:r>
      <w:r>
        <w:rPr>
          <w:rStyle w:val="StyleNormalIndice"/>
        </w:rPr>
        <w:t>2</w:t>
      </w:r>
      <w:r>
        <w:rPr/>
        <w:t xml:space="preserve"> </w:t>
      </w:r>
      <w:r>
        <w:rPr>
          <w:vertAlign w:val="subscript"/>
        </w:rPr>
        <w:t xml:space="preserve">, </w:t>
      </w:r>
      <w:r>
        <w:rPr/>
        <w:t>metano, kaj aliaj GHG-emisioj, kaj implicas net-negativajn CO</w:t>
      </w:r>
      <w:r>
        <w:rPr>
          <w:rStyle w:val="StyleNormalIndice"/>
        </w:rPr>
        <w:t>2</w:t>
      </w:r>
      <w:r>
        <w:rPr/>
        <w:t xml:space="preserve"> </w:t>
      </w:r>
      <w:r>
        <w:rPr>
          <w:vertAlign w:val="subscript"/>
        </w:rPr>
        <w:t xml:space="preserve">- </w:t>
      </w:r>
      <w:r>
        <w:rPr/>
        <w:t xml:space="preserve">emisiojn </w:t>
      </w:r>
      <w:r>
        <w:rPr>
          <w:rStyle w:val="Ancredenotedebasdepage"/>
        </w:rPr>
        <w:footnoteReference w:id="40"/>
      </w:r>
      <w:r>
        <w:rPr/>
        <w:t>. Forigo de karbondioksido (CDR) estos necesa por atingi net-negativajn emisiojn de CO</w:t>
      </w:r>
      <w:r>
        <w:rPr>
          <w:vertAlign w:val="subscript"/>
        </w:rPr>
        <w:t xml:space="preserve">2 </w:t>
      </w:r>
      <w:r>
        <w:rPr/>
        <w:t>(vidu B.6)</w:t>
      </w:r>
      <w:r>
        <w:rPr>
          <w:vertAlign w:val="subscript"/>
        </w:rPr>
        <w:t xml:space="preserve">. </w:t>
      </w:r>
      <w:r>
        <w:rPr/>
        <w:t>Netaj nulaj GHG-emisioj, se daŭraj, estas projekciitaj rezultigi laŭpaŝan malkreskon en tutmondaj surfactemperaturoj post pli frua pinto. (</w:t>
      </w:r>
      <w:r>
        <w:rPr>
          <w:rStyle w:val="StyleItaliques"/>
        </w:rPr>
        <w:t>alta konfido)</w:t>
      </w:r>
      <w:r>
        <w:rPr/>
        <w:t xml:space="preserve"> {3.1.1, 3.3.1, 3.3.2, 3.3.3, Tabelo 3.1, Sekcia Skatolo 1}</w:t>
      </w:r>
    </w:p>
    <w:p>
      <w:pPr>
        <w:pStyle w:val="ParagrapheBlanc"/>
        <w:rPr/>
      </w:pPr>
      <w:r>
        <w:rPr>
          <w:rStyle w:val="StyleGras"/>
        </w:rPr>
        <w:t xml:space="preserve">B.5.2 </w:t>
      </w:r>
      <w:r>
        <w:rPr/>
        <w:t>Por ĉiu 1000 GtCO</w:t>
      </w:r>
      <w:r>
        <w:rPr>
          <w:vertAlign w:val="subscript"/>
        </w:rPr>
        <w:t xml:space="preserve">2 </w:t>
      </w:r>
      <w:r>
        <w:rPr/>
        <w:t>elsendita de homa aktiveco, tutmonda surfaca temperaturo altiĝas je 0,45 °C (plej bona takso, kun verŝajne intervalo de 0,27 ĝis 0,63 °C). La plej bonaj taksoj de la ceteraj karbonbuĝetoj de la komenco de 2020 estas 500 GtCO</w:t>
      </w:r>
      <w:r>
        <w:rPr>
          <w:vertAlign w:val="subscript"/>
        </w:rPr>
        <w:t xml:space="preserve">2 </w:t>
      </w:r>
      <w:r>
        <w:rPr/>
        <w:t>por 50% verŝajneco limigi mondvarmiĝon al 1.5 °C kaj 1150 GtCO</w:t>
      </w:r>
      <w:r>
        <w:rPr>
          <w:vertAlign w:val="subscript"/>
        </w:rPr>
        <w:t xml:space="preserve">2 </w:t>
      </w:r>
      <w:r>
        <w:rPr/>
        <w:t xml:space="preserve">por 67% verŝajneco limigi varmiĝon al 2 °C </w:t>
      </w:r>
      <w:r>
        <w:rPr>
          <w:rStyle w:val="Ancredenotedebasdepage"/>
        </w:rPr>
        <w:footnoteReference w:id="41"/>
      </w:r>
      <w:r>
        <w:rPr/>
        <w:t>. Ju pli fortaj la reduktoj en ne-CO</w:t>
      </w:r>
      <w:r>
        <w:rPr>
          <w:vertAlign w:val="subscript"/>
        </w:rPr>
        <w:t xml:space="preserve">2 </w:t>
      </w:r>
      <w:r>
        <w:rPr/>
        <w:t xml:space="preserve">emisioj des pli malaltaj la rezultaj temperaturoj estas por antaŭfiksita restanta karbonbuĝeto aŭ la pli granda restanta karbonbuĝeto por la sama nivelo de temperaturŝanĝo </w:t>
      </w:r>
      <w:r>
        <w:rPr>
          <w:rStyle w:val="Ancredenotedebasdepage"/>
        </w:rPr>
        <w:footnoteReference w:id="42"/>
      </w:r>
      <w:r>
        <w:rPr/>
        <w:t>. {3.3.1}</w:t>
      </w:r>
    </w:p>
    <w:p>
      <w:pPr>
        <w:pStyle w:val="ParagrapheBlanc"/>
        <w:rPr/>
      </w:pPr>
      <w:r>
        <w:rPr>
          <w:rStyle w:val="StyleGras"/>
        </w:rPr>
        <w:t xml:space="preserve">B.5.3 </w:t>
      </w:r>
      <w:r>
        <w:rPr/>
        <w:t>Se la ĉiujaraj emisioj de CO</w:t>
      </w:r>
      <w:r>
        <w:rPr>
          <w:vertAlign w:val="subscript"/>
        </w:rPr>
        <w:t xml:space="preserve">2 </w:t>
      </w:r>
      <w:r>
        <w:rPr/>
        <w:t>inter 2020–2030 restus, averaĝe, sur la sama nivelo kiel 2019, la rezultaj akumulaj ellasoj preskaŭ elĉerpigus la restantan karbonbuĝeton por 1,5°C (50%), kaj malplenigus pli ol unu. triono de la restanta karbonbuĝeto por 2°C (67%). Taksoj de estontaj CO</w:t>
      </w:r>
      <w:r>
        <w:rPr>
          <w:vertAlign w:val="subscript"/>
        </w:rPr>
        <w:t xml:space="preserve">2 </w:t>
      </w:r>
      <w:r>
        <w:rPr/>
        <w:t xml:space="preserve">emisioj de ekzistantaj fosilifuelaj infrastrukturoj sen plia redukto </w:t>
      </w:r>
      <w:r>
        <w:rPr>
          <w:rStyle w:val="Ancredenotedebasdepage"/>
        </w:rPr>
        <w:footnoteReference w:id="43"/>
      </w:r>
      <w:r>
        <w:rPr/>
        <w:t>jam superas la restantan karbonbuĝeton por limigado de varmiĝo al 1.5°C (50%) (</w:t>
      </w:r>
      <w:r>
        <w:rPr>
          <w:rStyle w:val="StyleItaliques"/>
        </w:rPr>
        <w:t>alta fido)</w:t>
      </w:r>
      <w:r>
        <w:rPr/>
        <w:t xml:space="preserve">. Projekciitaj akumulaj estontaj CO2 </w:t>
      </w:r>
      <w:r>
        <w:rPr>
          <w:vertAlign w:val="subscript"/>
        </w:rPr>
        <w:t xml:space="preserve">- </w:t>
      </w:r>
      <w:r>
        <w:rPr/>
        <w:t xml:space="preserve">emisioj dum la vivdaŭro de ekzistanta kaj laŭplana fosilia fuelinfrastrukturo, se historiaj funkciigadpadronoj estas konservitaj kaj sen kroma redukto </w:t>
      </w:r>
      <w:r>
        <w:rPr>
          <w:rStyle w:val="Ancredenotedebasdepage"/>
        </w:rPr>
        <w:footnoteReference w:id="44"/>
      </w:r>
      <w:r>
        <w:rPr/>
        <w:t xml:space="preserve">, estas proksimume egalaj al la restanta karbonbuĝeto por limigado de varmiĝo al 2 °C kun verŝajneco de 83% </w:t>
      </w:r>
      <w:r>
        <w:rPr>
          <w:rStyle w:val="Ancredenotedebasdepage"/>
        </w:rPr>
        <w:footnoteReference w:id="45"/>
      </w:r>
      <w:r>
        <w:rPr/>
        <w:t>(</w:t>
      </w:r>
      <w:r>
        <w:rPr>
          <w:rStyle w:val="StyleItaliques"/>
        </w:rPr>
        <w:t>alta konfido)</w:t>
      </w:r>
      <w:r>
        <w:rPr/>
        <w:t>. {2.3.1, 3.3.1, Figuro 3.5}</w:t>
      </w:r>
    </w:p>
    <w:p>
      <w:pPr>
        <w:pStyle w:val="ParagrapheBlanc"/>
        <w:rPr/>
      </w:pPr>
      <w:r>
        <w:rPr>
          <w:rStyle w:val="StyleGras"/>
        </w:rPr>
        <w:t xml:space="preserve">B.5.4 </w:t>
      </w:r>
      <w:r>
        <w:rPr/>
        <w:t>Surbaze nur de centraj taksoj, historiaj akumulaj netaj emisioj de CO</w:t>
      </w:r>
      <w:r>
        <w:rPr>
          <w:vertAlign w:val="subscript"/>
        </w:rPr>
        <w:t xml:space="preserve">2 </w:t>
      </w:r>
      <w:r>
        <w:rPr/>
        <w:t xml:space="preserve">inter 1850 kaj 2019 sumiĝas al proksimume kvar kvinonoj </w:t>
      </w:r>
      <w:r>
        <w:rPr>
          <w:rStyle w:val="Ancredenotedebasdepage"/>
        </w:rPr>
        <w:footnoteReference w:id="46"/>
      </w:r>
      <w:r>
        <w:rPr/>
        <w:t>de la totala karbonbuĝeto por 50% probableco limigi tutmondan varmiĝon al 1.5°C (centra takso ĉirkaŭ 2900 GtCO</w:t>
      </w:r>
      <w:r>
        <w:rPr>
          <w:vertAlign w:val="subscript"/>
        </w:rPr>
        <w:t>2).)</w:t>
      </w:r>
      <w:r>
        <w:rPr/>
        <w:t xml:space="preserve">, kaj al proksimume du trionoj </w:t>
      </w:r>
      <w:r>
        <w:rPr>
          <w:rStyle w:val="Ancredenotedebasdepage"/>
        </w:rPr>
        <w:footnoteReference w:id="47"/>
      </w:r>
      <w:r>
        <w:rPr/>
        <w:t>de la totala karbonbuĝeto por 67% probableco limigi mondvarmiĝon al 2 °C (centra takso proksimume 3550 GtCO</w:t>
      </w:r>
      <w:r>
        <w:rPr>
          <w:vertAlign w:val="subscript"/>
        </w:rPr>
        <w:t>2)</w:t>
      </w:r>
      <w:r>
        <w:rPr/>
        <w:t>. {3.3.1, Figuro 3.5}</w:t>
      </w:r>
    </w:p>
    <w:p>
      <w:pPr>
        <w:pStyle w:val="ParagrapheBlanc"/>
        <w:rPr/>
      </w:pPr>
      <w:r>
        <w:rPr>
          <w:rStyle w:val="StyleGras"/>
        </w:rPr>
        <w:t>Mildigaj Vojetoj</w:t>
      </w:r>
      <w:r>
        <w:rPr>
          <w:rStyle w:val="StyleGras"/>
          <w:color w:val="000000"/>
          <w:spacing w:val="-8"/>
          <w:w w:val="100"/>
          <w:sz w:val="22"/>
        </w:rPr>
        <w:t xml:space="preserve"> </w:t>
      </w:r>
    </w:p>
    <w:p>
      <w:pPr>
        <w:pStyle w:val="ParagrapheBistre"/>
        <w:rPr/>
      </w:pPr>
      <w:r>
        <w:rPr>
          <w:b/>
          <w:color w:val="000000"/>
          <w:spacing w:val="-8"/>
          <w:w w:val="100"/>
          <w:sz w:val="22"/>
        </w:rPr>
        <w:t xml:space="preserve">B.6 Ĉiuj tutmondaj modeligitaj </w:t>
      </w:r>
      <w:r>
        <w:rPr>
          <w:b/>
          <w:color w:val="000000"/>
          <w:spacing w:val="-10"/>
          <w:w w:val="100"/>
          <w:sz w:val="22"/>
        </w:rPr>
        <w:t xml:space="preserve">vojoj, kiuj limigas varmiĝon al 1.5°C (&gt;50%) kun neniu aŭ limigita superfluo, </w:t>
      </w:r>
      <w:r>
        <w:rPr>
          <w:b/>
          <w:color w:val="000000"/>
          <w:spacing w:val="-1"/>
          <w:w w:val="100"/>
          <w:sz w:val="22"/>
        </w:rPr>
        <w:t xml:space="preserve">kaj tiuj, kiuj limigas </w:t>
      </w:r>
      <w:r>
        <w:rPr>
          <w:b/>
          <w:color w:val="000000"/>
          <w:spacing w:val="-10"/>
          <w:w w:val="100"/>
          <w:sz w:val="22"/>
        </w:rPr>
        <w:t xml:space="preserve">varmiĝon </w:t>
      </w:r>
      <w:r>
        <w:rPr>
          <w:b/>
          <w:color w:val="000000"/>
          <w:spacing w:val="-8"/>
          <w:w w:val="100"/>
          <w:sz w:val="22"/>
        </w:rPr>
        <w:t xml:space="preserve">al 2°C (&gt;67%), implikas rapidan kaj profundan kaj, en la plej multaj kazoj, tujaj forcej-efikaj gasoj </w:t>
      </w:r>
      <w:r>
        <w:rPr>
          <w:b/>
          <w:color w:val="000000"/>
          <w:w w:val="100"/>
          <w:sz w:val="22"/>
        </w:rPr>
        <w:t xml:space="preserve">reduktoj </w:t>
      </w:r>
      <w:r>
        <w:rPr>
          <w:b/>
          <w:color w:val="000000"/>
          <w:spacing w:val="-7"/>
          <w:w w:val="100"/>
          <w:sz w:val="22"/>
        </w:rPr>
        <w:t>en ĉiuj sektoroj ĉi tiun jardekon. Tutmondaj netaj nulaj CO</w:t>
      </w:r>
      <w:r>
        <w:rPr>
          <w:b/>
          <w:color w:val="000000"/>
          <w:spacing w:val="-12"/>
          <w:w w:val="100"/>
          <w:position w:val="-1"/>
          <w:sz w:val="14"/>
        </w:rPr>
        <w:t xml:space="preserve">2 </w:t>
      </w:r>
      <w:r>
        <w:rPr>
          <w:b/>
          <w:color w:val="000000"/>
          <w:spacing w:val="-7"/>
          <w:w w:val="100"/>
          <w:sz w:val="22"/>
        </w:rPr>
        <w:t xml:space="preserve">emisioj estas reagataj </w:t>
      </w:r>
      <w:r>
        <w:rPr>
          <w:b/>
          <w:color w:val="000000"/>
          <w:w w:val="100"/>
          <w:sz w:val="22"/>
        </w:rPr>
        <w:t>por ĉi tiuj padkategorioj, en la fruaj 2050-aj jaroj kaj ĉirkaŭ la fruaj 2070-aj jaroj, respektive. (</w:t>
      </w:r>
      <w:r>
        <w:rPr>
          <w:rStyle w:val="StyleItaliques"/>
          <w:b/>
          <w:color w:val="000000"/>
          <w:w w:val="100"/>
          <w:sz w:val="22"/>
        </w:rPr>
        <w:t>alta konfido)</w:t>
      </w:r>
      <w:r>
        <w:rPr>
          <w:b/>
          <w:color w:val="000000"/>
          <w:w w:val="100"/>
          <w:sz w:val="22"/>
        </w:rPr>
        <w:t xml:space="preserve"> {3.3, 3.4, 4.1, 4.5, Tabelo 3.1} (Figuro SPM.5, Skatolo SPM.1)</w:t>
      </w:r>
    </w:p>
    <w:p>
      <w:pPr>
        <w:pStyle w:val="ParagrapheBlanc"/>
        <w:rPr/>
      </w:pPr>
      <w:r>
        <w:rPr>
          <w:rStyle w:val="StyleGras"/>
        </w:rPr>
        <w:t xml:space="preserve">B.6.1 </w:t>
      </w:r>
      <w:r>
        <w:rPr/>
        <w:t>Tutmondaj modeligitaj vojoj disponigas informojn pri limigado de varmiĝo al malsamaj niveloj; ĉi tiuj vojoj, precipe iliaj sektoraj kaj regionaj aspektoj, dependas de la supozoj priskribitaj en Skatolo SPM.1. Tutmondaj modeligitaj padoj kiuj limigas varmiĝon al 1.5 °C (&gt;50%) kun neniu aŭ limigita superpaso aŭ limigas varmiĝon al 2 °C (&gt;67%) estas karakterizitaj per profundaj, rapidaj kaj, en la plej multaj kazoj, tujaj GHG-emisioreduktoj. Padoj kiuj limigas varmiĝon al 1.5 °C (&gt;50%) kun neniu aŭ limigita superfluo atingas netan nul CO</w:t>
      </w:r>
      <w:r>
        <w:rPr>
          <w:vertAlign w:val="subscript"/>
        </w:rPr>
        <w:t xml:space="preserve">2 </w:t>
      </w:r>
      <w:r>
        <w:rPr/>
        <w:t>en la fruaj 2050-aj jaroj, sekvitaj per netaj negativaj CO</w:t>
      </w:r>
      <w:r>
        <w:rPr>
          <w:vertAlign w:val="subscript"/>
        </w:rPr>
        <w:t xml:space="preserve">2 </w:t>
      </w:r>
      <w:r>
        <w:rPr/>
        <w:t>emisioj. Tiuj vojoj, kiuj atingas netajn nulajn GHG-emisiojn, faras tion ĉirkaŭ la 2070-aj jaroj. Padoj kiuj limigas varmiĝon al 2C (&gt;67%) atingas netajn nul CO</w:t>
      </w:r>
      <w:r>
        <w:rPr>
          <w:vertAlign w:val="subscript"/>
        </w:rPr>
        <w:t xml:space="preserve">2 </w:t>
      </w:r>
      <w:r>
        <w:rPr/>
        <w:t>emisiojn en la fruaj 2070-aj jaroj. Tutmondaj GHG-emisioj estas projekciitaj pinti inter 2020 kaj plej malfrue antaŭ 2025 en tutmondaj modeligitaj vojoj kiuj limigas varmiĝon al 1.5 °C (&gt;50%) kun neniu aŭ limigita superfluo kaj en tiuj kiuj limigas varmiĝon al 2 °C (&gt;67%) kaj supozu tujan agon. (</w:t>
      </w:r>
      <w:r>
        <w:rPr>
          <w:rStyle w:val="StyleItaliques"/>
        </w:rPr>
        <w:t>alta konfido)</w:t>
      </w:r>
      <w:r>
        <w:rPr/>
        <w:t xml:space="preserve"> {3.3.2, 3.3.4, 4.1, Tabelo 3.1, Figuro 3.6} (Tabelo XX)</w:t>
      </w:r>
    </w:p>
    <w:p>
      <w:pPr>
        <w:pStyle w:val="ParagrapheBlanc"/>
        <w:rPr/>
      </w:pPr>
      <w:r>
        <w:rPr/>
      </w:r>
    </w:p>
    <w:p>
      <w:pPr>
        <w:pStyle w:val="ParagrapheBlanc"/>
        <w:rPr/>
      </w:pPr>
      <w:r>
        <w:rPr>
          <w:rStyle w:val="StyleGras"/>
        </w:rPr>
        <w:t>[KOMENCO TABLOXX]</w:t>
      </w:r>
    </w:p>
    <w:p>
      <w:pPr>
        <w:pStyle w:val="Normal"/>
        <w:widowControl w:val="false"/>
        <w:spacing w:lineRule="exact" w:line="254"/>
        <w:ind w:left="0" w:right="232" w:hanging="0"/>
        <w:jc w:val="left"/>
        <w:rPr/>
      </w:pPr>
      <w:r>
        <w:rPr>
          <w:b/>
          <w:color w:val="000000"/>
          <w:spacing w:val="-7"/>
          <w:w w:val="100"/>
          <w:sz w:val="22"/>
        </w:rPr>
        <w:t xml:space="preserve">Tabelo </w:t>
      </w:r>
      <w:r>
        <w:rPr>
          <w:b/>
          <w:color w:val="000000"/>
          <w:spacing w:val="-8"/>
          <w:w w:val="100"/>
          <w:sz w:val="22"/>
        </w:rPr>
        <w:t xml:space="preserve">XX: </w:t>
      </w:r>
      <w:r>
        <w:rPr>
          <w:color w:val="000000"/>
          <w:spacing w:val="-8"/>
          <w:w w:val="100"/>
          <w:sz w:val="22"/>
        </w:rPr>
        <w:t>Forceja gaso kaj CO</w:t>
      </w:r>
      <w:r>
        <w:rPr>
          <w:color w:val="000000"/>
          <w:spacing w:val="-13"/>
          <w:w w:val="100"/>
          <w:position w:val="-1"/>
          <w:sz w:val="14"/>
        </w:rPr>
        <w:t>2</w:t>
      </w:r>
      <w:r>
        <w:rPr>
          <w:color w:val="000000"/>
          <w:spacing w:val="-8"/>
          <w:w w:val="100"/>
          <w:sz w:val="22"/>
        </w:rPr>
        <w:t xml:space="preserve"> </w:t>
      </w:r>
      <w:r>
        <w:rPr>
          <w:color w:val="000000"/>
          <w:spacing w:val="-7"/>
          <w:w w:val="100"/>
          <w:sz w:val="22"/>
        </w:rPr>
        <w:t xml:space="preserve">emisio-reduktoj de 2019, mediano kaj 5-95 procentoj {3.3.1; 4.1; </w:t>
      </w:r>
      <w:r>
        <w:rPr>
          <w:color w:val="000000"/>
          <w:w w:val="100"/>
          <w:sz w:val="22"/>
        </w:rPr>
        <w:t>Tabelo 3.1; Figuro 2.5; Kesto SPM1}</w:t>
      </w:r>
    </w:p>
    <w:tbl>
      <w:tblPr>
        <w:tblW w:w="10906" w:type="dxa"/>
        <w:jc w:val="left"/>
        <w:tblInd w:w="-5" w:type="dxa"/>
        <w:tblLayout w:type="fixed"/>
        <w:tblCellMar>
          <w:top w:w="55" w:type="dxa"/>
          <w:left w:w="55" w:type="dxa"/>
          <w:bottom w:w="55" w:type="dxa"/>
          <w:right w:w="55" w:type="dxa"/>
        </w:tblCellMar>
      </w:tblPr>
      <w:tblGrid>
        <w:gridCol w:w="3855"/>
        <w:gridCol w:w="1021"/>
        <w:gridCol w:w="1507"/>
        <w:gridCol w:w="1507"/>
        <w:gridCol w:w="1505"/>
        <w:gridCol w:w="1510"/>
      </w:tblGrid>
      <w:tr>
        <w:trPr/>
        <w:tc>
          <w:tcPr>
            <w:tcW w:w="3855" w:type="dxa"/>
            <w:tcBorders>
              <w:top w:val="single" w:sz="4" w:space="0" w:color="000000"/>
              <w:left w:val="single" w:sz="4" w:space="0" w:color="000000"/>
              <w:bottom w:val="single" w:sz="4" w:space="0" w:color="000000"/>
            </w:tcBorders>
          </w:tcPr>
          <w:p>
            <w:pPr>
              <w:pStyle w:val="Contenudetableau"/>
              <w:widowControl w:val="false"/>
              <w:spacing w:before="156" w:after="156"/>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1021" w:type="dxa"/>
            <w:tcBorders>
              <w:top w:val="single" w:sz="4" w:space="0" w:color="000000"/>
              <w:left w:val="single" w:sz="4" w:space="0" w:color="000000"/>
              <w:bottom w:val="single" w:sz="4" w:space="0" w:color="000000"/>
            </w:tcBorders>
          </w:tcPr>
          <w:p>
            <w:pPr>
              <w:pStyle w:val="Contenudetableau"/>
              <w:widowControl w:val="false"/>
              <w:spacing w:before="156" w:after="156"/>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6029" w:type="dxa"/>
            <w:gridSpan w:val="4"/>
            <w:tcBorders>
              <w:top w:val="single" w:sz="4" w:space="0" w:color="000000"/>
              <w:left w:val="single" w:sz="4" w:space="0" w:color="000000"/>
              <w:bottom w:val="single" w:sz="4" w:space="0" w:color="000000"/>
              <w:right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Reduktoj de emisioniveloj de 2019 (%)</w:t>
            </w:r>
          </w:p>
        </w:tc>
      </w:tr>
      <w:tr>
        <w:trPr/>
        <w:tc>
          <w:tcPr>
            <w:tcW w:w="3855" w:type="dxa"/>
            <w:tcBorders>
              <w:left w:val="single" w:sz="4" w:space="0" w:color="000000"/>
              <w:bottom w:val="single" w:sz="4" w:space="0" w:color="000000"/>
            </w:tcBorders>
          </w:tcPr>
          <w:p>
            <w:pPr>
              <w:pStyle w:val="Contenudetableau"/>
              <w:widowControl w:val="false"/>
              <w:spacing w:before="156" w:after="156"/>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1021" w:type="dxa"/>
            <w:tcBorders>
              <w:left w:val="single" w:sz="4" w:space="0" w:color="000000"/>
              <w:bottom w:val="single" w:sz="4" w:space="0" w:color="000000"/>
            </w:tcBorders>
          </w:tcPr>
          <w:p>
            <w:pPr>
              <w:pStyle w:val="Contenudetableau"/>
              <w:widowControl w:val="false"/>
              <w:spacing w:before="156" w:after="156"/>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2030</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2035</w:t>
            </w:r>
          </w:p>
        </w:tc>
        <w:tc>
          <w:tcPr>
            <w:tcW w:w="1505"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2040</w:t>
            </w:r>
          </w:p>
        </w:tc>
        <w:tc>
          <w:tcPr>
            <w:tcW w:w="1510" w:type="dxa"/>
            <w:tcBorders>
              <w:left w:val="single" w:sz="4" w:space="0" w:color="000000"/>
              <w:bottom w:val="single" w:sz="4" w:space="0" w:color="000000"/>
              <w:right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2050</w:t>
            </w:r>
          </w:p>
        </w:tc>
      </w:tr>
      <w:tr>
        <w:trPr/>
        <w:tc>
          <w:tcPr>
            <w:tcW w:w="3855" w:type="dxa"/>
            <w:vMerge w:val="restart"/>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Limigu varmiĝon al 1,5 °C (&gt;50%) sen superfluo aŭ limigita</w:t>
            </w:r>
          </w:p>
        </w:tc>
        <w:tc>
          <w:tcPr>
            <w:tcW w:w="1021"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GHG</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43 [34-60]</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60 [49-77]</w:t>
            </w:r>
          </w:p>
        </w:tc>
        <w:tc>
          <w:tcPr>
            <w:tcW w:w="1505"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69 [58-90]</w:t>
            </w:r>
          </w:p>
        </w:tc>
        <w:tc>
          <w:tcPr>
            <w:tcW w:w="1510" w:type="dxa"/>
            <w:tcBorders>
              <w:left w:val="single" w:sz="4" w:space="0" w:color="000000"/>
              <w:bottom w:val="single" w:sz="4" w:space="0" w:color="000000"/>
              <w:right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84 [73-98]</w:t>
            </w:r>
          </w:p>
        </w:tc>
      </w:tr>
      <w:tr>
        <w:trPr/>
        <w:tc>
          <w:tcPr>
            <w:tcW w:w="3855" w:type="dxa"/>
            <w:vMerge w:val="continue"/>
            <w:tcBorders>
              <w:left w:val="single" w:sz="4" w:space="0" w:color="000000"/>
              <w:bottom w:val="single" w:sz="4" w:space="0" w:color="000000"/>
            </w:tcBorders>
          </w:tcPr>
          <w:p>
            <w:pPr>
              <w:pStyle w:val="Normal"/>
              <w:widowControl w:val="false"/>
              <w:suppressAutoHyphens w:val="true"/>
              <w:overflowPunct w:val="true"/>
              <w:bidi w:val="0"/>
              <w:spacing w:before="156" w:after="156"/>
              <w:ind w:left="567" w:right="567" w:hanging="0"/>
              <w:jc w:val="both"/>
              <w:rPr/>
            </w:pPr>
            <w:r>
              <w:rPr/>
            </w:r>
          </w:p>
        </w:tc>
        <w:tc>
          <w:tcPr>
            <w:tcW w:w="1021" w:type="dxa"/>
            <w:tcBorders>
              <w:left w:val="single" w:sz="4" w:space="0" w:color="000000"/>
              <w:bottom w:val="single" w:sz="4" w:space="0" w:color="000000"/>
            </w:tcBorders>
          </w:tcPr>
          <w:p>
            <w:pPr>
              <w:pStyle w:val="Contenudetableau"/>
              <w:widowControl w:val="false"/>
              <w:spacing w:before="156" w:after="156"/>
              <w:ind w:left="0" w:right="0" w:hanging="0"/>
              <w:jc w:val="left"/>
              <w:rPr/>
            </w:pPr>
            <w:r>
              <w:rPr>
                <w:b w:val="false"/>
                <w:bCs w:val="false"/>
                <w:i w:val="false"/>
                <w:iCs w:val="false"/>
                <w:strike w:val="false"/>
                <w:dstrike w:val="false"/>
                <w:outline w:val="false"/>
                <w:shadow w:val="false"/>
                <w:color w:val="000000"/>
                <w:sz w:val="24"/>
                <w:szCs w:val="24"/>
                <w:u w:val="none"/>
              </w:rPr>
              <w:t>CO</w:t>
            </w:r>
            <w:r>
              <w:rPr>
                <w:rStyle w:val="StyleNormalIndice"/>
                <w:b w:val="false"/>
                <w:bCs w:val="false"/>
                <w:i w:val="false"/>
                <w:iCs w:val="false"/>
                <w:strike w:val="false"/>
                <w:dstrike w:val="false"/>
                <w:outline w:val="false"/>
                <w:shadow w:val="false"/>
                <w:color w:val="000000"/>
                <w:sz w:val="24"/>
                <w:szCs w:val="24"/>
                <w:u w:val="none"/>
              </w:rPr>
              <w:t xml:space="preserve">2 </w:t>
            </w:r>
            <w:r>
              <w:rPr>
                <w:b w:val="false"/>
                <w:bCs w:val="false"/>
                <w:i w:val="false"/>
                <w:iCs w:val="false"/>
                <w:strike w:val="false"/>
                <w:dstrike w:val="false"/>
                <w:outline w:val="false"/>
                <w:shadow w:val="false"/>
                <w:color w:val="000000"/>
                <w:sz w:val="24"/>
                <w:szCs w:val="24"/>
                <w:u w:val="none"/>
                <w:vertAlign w:val="subscript"/>
              </w:rPr>
              <w:t>_</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48 [36-69]</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65 [50-96]</w:t>
            </w:r>
          </w:p>
        </w:tc>
        <w:tc>
          <w:tcPr>
            <w:tcW w:w="1505"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80 [61-109]</w:t>
            </w:r>
          </w:p>
        </w:tc>
        <w:tc>
          <w:tcPr>
            <w:tcW w:w="1510" w:type="dxa"/>
            <w:tcBorders>
              <w:left w:val="single" w:sz="4" w:space="0" w:color="000000"/>
              <w:bottom w:val="single" w:sz="4" w:space="0" w:color="000000"/>
              <w:right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99 [79-119]</w:t>
            </w:r>
          </w:p>
        </w:tc>
      </w:tr>
      <w:tr>
        <w:trPr/>
        <w:tc>
          <w:tcPr>
            <w:tcW w:w="3855" w:type="dxa"/>
            <w:vMerge w:val="restart"/>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Limigu varmiĝon al 2 °C (&gt;67%)</w:t>
            </w:r>
          </w:p>
        </w:tc>
        <w:tc>
          <w:tcPr>
            <w:tcW w:w="1021"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GHG</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21 [1-42]</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35 [22-55]</w:t>
            </w:r>
          </w:p>
        </w:tc>
        <w:tc>
          <w:tcPr>
            <w:tcW w:w="1505"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46 [34-63]</w:t>
            </w:r>
          </w:p>
        </w:tc>
        <w:tc>
          <w:tcPr>
            <w:tcW w:w="1510" w:type="dxa"/>
            <w:tcBorders>
              <w:left w:val="single" w:sz="4" w:space="0" w:color="000000"/>
              <w:bottom w:val="single" w:sz="4" w:space="0" w:color="000000"/>
              <w:right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64 [53-77]</w:t>
            </w:r>
          </w:p>
        </w:tc>
      </w:tr>
      <w:tr>
        <w:trPr/>
        <w:tc>
          <w:tcPr>
            <w:tcW w:w="3855" w:type="dxa"/>
            <w:vMerge w:val="continue"/>
            <w:tcBorders>
              <w:left w:val="single" w:sz="4" w:space="0" w:color="000000"/>
              <w:bottom w:val="single" w:sz="4" w:space="0" w:color="000000"/>
            </w:tcBorders>
          </w:tcPr>
          <w:p>
            <w:pPr>
              <w:pStyle w:val="Normal"/>
              <w:widowControl w:val="false"/>
              <w:suppressAutoHyphens w:val="true"/>
              <w:overflowPunct w:val="true"/>
              <w:bidi w:val="0"/>
              <w:spacing w:before="156" w:after="156"/>
              <w:ind w:left="567" w:right="567" w:hanging="0"/>
              <w:jc w:val="both"/>
              <w:rPr/>
            </w:pPr>
            <w:r>
              <w:rPr/>
            </w:r>
          </w:p>
        </w:tc>
        <w:tc>
          <w:tcPr>
            <w:tcW w:w="1021" w:type="dxa"/>
            <w:tcBorders>
              <w:left w:val="single" w:sz="4" w:space="0" w:color="000000"/>
              <w:bottom w:val="single" w:sz="4" w:space="0" w:color="000000"/>
            </w:tcBorders>
          </w:tcPr>
          <w:p>
            <w:pPr>
              <w:pStyle w:val="Contenudetableau"/>
              <w:widowControl w:val="false"/>
              <w:spacing w:before="156" w:after="156"/>
              <w:ind w:left="0" w:right="0" w:hanging="0"/>
              <w:jc w:val="left"/>
              <w:rPr/>
            </w:pPr>
            <w:r>
              <w:rPr>
                <w:b w:val="false"/>
                <w:bCs w:val="false"/>
                <w:i w:val="false"/>
                <w:iCs w:val="false"/>
                <w:strike w:val="false"/>
                <w:dstrike w:val="false"/>
                <w:outline w:val="false"/>
                <w:shadow w:val="false"/>
                <w:color w:val="000000"/>
                <w:sz w:val="24"/>
                <w:szCs w:val="24"/>
                <w:u w:val="none"/>
              </w:rPr>
              <w:t>CO</w:t>
            </w:r>
            <w:r>
              <w:rPr>
                <w:rStyle w:val="StyleNormalIndice"/>
                <w:b w:val="false"/>
                <w:bCs w:val="false"/>
                <w:i w:val="false"/>
                <w:iCs w:val="false"/>
                <w:strike w:val="false"/>
                <w:dstrike w:val="false"/>
                <w:outline w:val="false"/>
                <w:shadow w:val="false"/>
                <w:color w:val="000000"/>
                <w:sz w:val="24"/>
                <w:szCs w:val="24"/>
                <w:u w:val="none"/>
              </w:rPr>
              <w:t>2</w:t>
            </w:r>
            <w:r>
              <w:rPr>
                <w:b w:val="false"/>
                <w:bCs w:val="false"/>
                <w:i w:val="false"/>
                <w:iCs w:val="false"/>
                <w:strike w:val="false"/>
                <w:dstrike w:val="false"/>
                <w:outline w:val="false"/>
                <w:shadow w:val="false"/>
                <w:color w:val="000000"/>
                <w:sz w:val="24"/>
                <w:szCs w:val="24"/>
                <w:u w:val="none"/>
              </w:rPr>
              <w:t xml:space="preserve"> </w:t>
            </w:r>
            <w:r>
              <w:rPr>
                <w:b w:val="false"/>
                <w:bCs w:val="false"/>
                <w:i w:val="false"/>
                <w:iCs w:val="false"/>
                <w:strike w:val="false"/>
                <w:dstrike w:val="false"/>
                <w:outline w:val="false"/>
                <w:shadow w:val="false"/>
                <w:color w:val="000000"/>
                <w:sz w:val="24"/>
                <w:szCs w:val="24"/>
                <w:u w:val="none"/>
                <w:vertAlign w:val="subscript"/>
              </w:rPr>
              <w:t>_</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22 [1-44]</w:t>
            </w:r>
          </w:p>
        </w:tc>
        <w:tc>
          <w:tcPr>
            <w:tcW w:w="1507"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37 [21-59]</w:t>
            </w:r>
          </w:p>
        </w:tc>
        <w:tc>
          <w:tcPr>
            <w:tcW w:w="1505" w:type="dxa"/>
            <w:tcBorders>
              <w:left w:val="single" w:sz="4" w:space="0" w:color="000000"/>
              <w:bottom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51 [36-70]</w:t>
            </w:r>
          </w:p>
        </w:tc>
        <w:tc>
          <w:tcPr>
            <w:tcW w:w="1510" w:type="dxa"/>
            <w:tcBorders>
              <w:left w:val="single" w:sz="4" w:space="0" w:color="000000"/>
              <w:bottom w:val="single" w:sz="4" w:space="0" w:color="000000"/>
              <w:right w:val="single" w:sz="4" w:space="0" w:color="000000"/>
            </w:tcBorders>
          </w:tcPr>
          <w:p>
            <w:pPr>
              <w:pStyle w:val="Contenudetableau"/>
              <w:widowControl w:val="false"/>
              <w:spacing w:before="156" w:after="156"/>
              <w:ind w:left="0" w:right="0" w:hanging="0"/>
              <w:jc w:val="left"/>
              <w:rPr>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73 [55-90]</w:t>
            </w:r>
          </w:p>
        </w:tc>
      </w:tr>
    </w:tbl>
    <w:p>
      <w:pPr>
        <w:pStyle w:val="Normal"/>
        <w:ind w:left="0" w:right="567" w:hanging="0"/>
        <w:rPr>
          <w:rFonts w:ascii="Times New Roman" w:hAnsi="Times New Roman"/>
          <w:color w:val="000000"/>
          <w:w w:val="100"/>
          <w:sz w:val="22"/>
        </w:rPr>
      </w:pPr>
      <w:r>
        <w:rPr>
          <w:color w:val="000000"/>
          <w:w w:val="100"/>
          <w:sz w:val="22"/>
        </w:rPr>
      </w:r>
    </w:p>
    <w:p>
      <w:pPr>
        <w:pStyle w:val="ParagrapheBlanc"/>
        <w:rPr/>
      </w:pPr>
      <w:r>
        <w:rPr>
          <w:rStyle w:val="StyleGras"/>
        </w:rPr>
        <w:t>[FINO TABLO XX]</w:t>
      </w:r>
    </w:p>
    <w:p>
      <w:pPr>
        <w:pStyle w:val="ParagrapheBlanc"/>
        <w:rPr/>
      </w:pPr>
      <w:r>
        <w:rPr>
          <w:rStyle w:val="StyleGras"/>
        </w:rPr>
        <w:t xml:space="preserve">B.6.2 </w:t>
      </w:r>
      <w:r>
        <w:rPr/>
        <w:t>Atingi netajn nulajn CO</w:t>
      </w:r>
      <w:r>
        <w:rPr>
          <w:vertAlign w:val="subscript"/>
        </w:rPr>
        <w:t xml:space="preserve">2 </w:t>
      </w:r>
      <w:r>
        <w:rPr/>
        <w:t>aŭ GHG-emisiojn ĉefe postulas profundajn kaj rapidajn reduktojn de malnetaj ellasoj de CO</w:t>
      </w:r>
      <w:r>
        <w:rPr>
          <w:vertAlign w:val="subscript"/>
        </w:rPr>
        <w:t xml:space="preserve">2 </w:t>
      </w:r>
      <w:r>
        <w:rPr/>
        <w:t>, same kiel grandajn reduktojn de ne-CO</w:t>
      </w:r>
      <w:r>
        <w:rPr>
          <w:vertAlign w:val="subscript"/>
        </w:rPr>
        <w:t xml:space="preserve">2 </w:t>
      </w:r>
      <w:r>
        <w:rPr/>
        <w:t>GHG-emisioj (</w:t>
      </w:r>
      <w:r>
        <w:rPr>
          <w:rStyle w:val="StyleItaliques"/>
        </w:rPr>
        <w:t>alta fido)</w:t>
      </w:r>
      <w:r>
        <w:rPr/>
        <w:t>. Ekzemple, en modeligitaj padoj kiuj limigas varmiĝon al 1.5 °C (&gt;50%) kun neniu aŭ limigita superfluo, tutmondaj metanemisioj estas reduktitaj je 34 [21-57]% antaŭ 2030 relative al 2019. Tamen, kelkaj malfacile al- malpliigi restajn GHG-emisiojn (ekz., kelkaj emisioj de agrikulturo, aviado, kargado, kaj industriaj procezoj) restas kaj devus esti kontraŭpezitaj per deplojo de karbondioksida forigo (CDR) metodoj por atingi netajn nul CO</w:t>
      </w:r>
      <w:r>
        <w:rPr>
          <w:rStyle w:val="StyleNormalIndice"/>
        </w:rPr>
        <w:t>2</w:t>
      </w:r>
      <w:r>
        <w:rPr/>
        <w:t xml:space="preserve"> aŭ GHG-emisiojn </w:t>
      </w:r>
      <w:r>
        <w:rPr>
          <w:vertAlign w:val="subscript"/>
        </w:rPr>
        <w:t>(</w:t>
      </w:r>
      <w:r>
        <w:rPr/>
        <w:t xml:space="preserve">alta </w:t>
      </w:r>
      <w:r>
        <w:rPr>
          <w:rStyle w:val="StyleItaliques"/>
        </w:rPr>
        <w:t>fido)</w:t>
      </w:r>
      <w:r>
        <w:rPr/>
        <w:t>. Kiel rezulto, neta nul CO</w:t>
      </w:r>
      <w:r>
        <w:rPr>
          <w:vertAlign w:val="subscript"/>
        </w:rPr>
        <w:t xml:space="preserve">2 </w:t>
      </w:r>
      <w:r>
        <w:rPr/>
        <w:t>estas atingita pli frue ol net nul GHG (</w:t>
      </w:r>
      <w:r>
        <w:rPr>
          <w:rStyle w:val="StyleItaliques"/>
        </w:rPr>
        <w:t>alta fido)</w:t>
      </w:r>
      <w:r>
        <w:rPr/>
        <w:t>. {3.3.2, 3.3.3, Tabelo 3.1, Figuro 3.5} (Figuro SPM.5)</w:t>
      </w:r>
    </w:p>
    <w:p>
      <w:pPr>
        <w:pStyle w:val="ParagrapheBlanc"/>
        <w:rPr/>
      </w:pPr>
      <w:r>
        <w:rPr>
          <w:rStyle w:val="StyleGras"/>
        </w:rPr>
        <w:t xml:space="preserve">B.6.3 </w:t>
      </w:r>
      <w:r>
        <w:rPr/>
        <w:t>Tutmondaj modeligitaj mildigaj vojoj atingantaj netajn nulajn CO</w:t>
      </w:r>
      <w:r>
        <w:rPr>
          <w:vertAlign w:val="subscript"/>
        </w:rPr>
        <w:t xml:space="preserve">2 </w:t>
      </w:r>
      <w:r>
        <w:rPr/>
        <w:t>kaj GHG-emisiojn inkluzivas transiron de fosiliaj fueloj sen karbonkaptado kaj stokado (CCS) al tre malaltaj aŭ nulkarbonaj energifontoj, kiel renovigeblaj aŭ fosiliaj fueloj kun CCS, postulo- flankaj mezuroj kaj plibonigo de efikeco, reduktado de ne-CO</w:t>
      </w:r>
      <w:r>
        <w:rPr>
          <w:vertAlign w:val="subscript"/>
        </w:rPr>
        <w:t xml:space="preserve">2 </w:t>
      </w:r>
      <w:r>
        <w:rPr/>
        <w:t xml:space="preserve">GHG-emisioj, kaj CDR </w:t>
      </w:r>
      <w:r>
        <w:rPr>
          <w:rStyle w:val="Ancredenotedebasdepage"/>
        </w:rPr>
        <w:footnoteReference w:id="48"/>
      </w:r>
      <w:r>
        <w:rPr/>
        <w:t>. En la plej multaj tutmondaj modeligitaj vojoj, teruzoŝanĝo kaj forstado (per rearbarigo kaj reduktita senarbarigo) kaj la energiproviza sektoro atingas netajn nul CO</w:t>
      </w:r>
      <w:r>
        <w:rPr>
          <w:vertAlign w:val="subscript"/>
        </w:rPr>
        <w:t xml:space="preserve">2 </w:t>
      </w:r>
      <w:r>
        <w:rPr/>
        <w:t>emisiojn pli frue ol la konstruaĵoj, industrio kaj transportsektoroj. (</w:t>
      </w:r>
      <w:r>
        <w:rPr>
          <w:rStyle w:val="StyleItaliques"/>
        </w:rPr>
        <w:t>alta konfido)</w:t>
      </w:r>
      <w:r>
        <w:rPr/>
        <w:t xml:space="preserve"> {3.3.3, 4.1, 4.5, Figuro 4.1} (Figuro SPM.5, Box SPM.1)</w:t>
      </w:r>
    </w:p>
    <w:p>
      <w:pPr>
        <w:pStyle w:val="ParagrapheBlanc"/>
        <w:rPr/>
      </w:pPr>
      <w:r>
        <w:rPr>
          <w:rStyle w:val="StyleGras"/>
        </w:rPr>
        <w:t xml:space="preserve">B.6.4 </w:t>
      </w:r>
      <w:r>
        <w:rPr/>
        <w:t xml:space="preserve">Mildigaj opcioj ofte havas sinergiojn kun aliaj aspektoj de daŭripova evoluo, sed iuj opcioj ankaŭ povas havi kompromisojn. Estas eblaj sinergioj inter daŭripova evoluo kaj, ekzemple, energiefikeco kaj renoviĝanta energio. Simile, depende de la kunteksto </w:t>
      </w:r>
      <w:r>
        <w:rPr>
          <w:rStyle w:val="Ancredenotedebasdepage"/>
        </w:rPr>
        <w:footnoteReference w:id="49"/>
      </w:r>
      <w:r>
        <w:rPr/>
        <w:t>, biologiaj CDR-metodoj kiel rearbarigo, plibonigita arbaradministrado, grunda karbonsekvo, torfregiona restarigo kaj marborda blua karbonadministrado povas plibonigi biodiversecon kaj ekosistemfunkciojn, dungadon kaj lokajn porvivaĵojn. Tamen, arbarigado aŭ produktado de biomaskultivaĵoj povas havi negativajn sociekonomikajn kaj mediajn efikojn, inkluzive de biodiverseco, manĝaĵo kaj akvosekureco, lokaj porvivaĵoj kaj la rajtoj de Indiĝenaj Popoloj, precipe se efektivigite grandskale kaj kie terposedo estas nesekura. Modeligitaj padoj kiuj supozas uzi resursojn pli efike aŭ kiuj ŝanĝas tutmondan evoluon al daŭripovo inkludas malpli da defioj, kiel ekzemple malpli dependeco de CDR kaj premo sur tero kaj biodiverseco. (</w:t>
      </w:r>
      <w:r>
        <w:rPr>
          <w:rStyle w:val="StyleItaliques"/>
        </w:rPr>
        <w:t>alta konfido)</w:t>
      </w:r>
      <w:r>
        <w:rPr/>
        <w:t xml:space="preserve"> {3.4.1}</w:t>
      </w:r>
    </w:p>
    <w:p>
      <w:pPr>
        <w:pStyle w:val="ParagrapheBlanc"/>
        <w:rPr/>
      </w:pPr>
      <w:r>
        <w:rPr>
          <w:rStyle w:val="StyleGras"/>
        </w:rPr>
        <w:t>[KOMENCU FIGURON SPM.5 ĈI TIE]</w:t>
      </w:r>
      <w:r>
        <w:br w:type="page"/>
      </w:r>
    </w:p>
    <w:p>
      <w:pPr>
        <w:pStyle w:val="Normal"/>
        <w:widowControl w:val="false"/>
        <w:spacing w:lineRule="exact" w:line="367"/>
        <w:ind w:left="0" w:right="567" w:hanging="0"/>
        <w:jc w:val="left"/>
        <w:rPr>
          <w:rFonts w:ascii="Times New Roman" w:hAnsi="Times New Roman"/>
          <w:b/>
          <w:b/>
          <w:color w:val="000000"/>
          <w:spacing w:val="-11"/>
          <w:w w:val="100"/>
          <w:sz w:val="22"/>
        </w:rPr>
      </w:pPr>
      <w:r>
        <w:rPr>
          <w:b/>
          <w:color w:val="000000"/>
          <w:spacing w:val="-11"/>
          <w:w w:val="100"/>
          <w:sz w:val="22"/>
        </w:rPr>
        <mc:AlternateContent>
          <mc:Choice Requires="wpg">
            <w:drawing>
              <wp:anchor behindDoc="0" distT="0" distB="0" distL="0" distR="0" simplePos="0" locked="0" layoutInCell="0" allowOverlap="1" relativeHeight="73">
                <wp:simplePos x="0" y="0"/>
                <wp:positionH relativeFrom="column">
                  <wp:posOffset>-34290</wp:posOffset>
                </wp:positionH>
                <wp:positionV relativeFrom="paragraph">
                  <wp:posOffset>322580</wp:posOffset>
                </wp:positionV>
                <wp:extent cx="6755765" cy="9020810"/>
                <wp:effectExtent l="0" t="0" r="0" b="0"/>
                <wp:wrapNone/>
                <wp:docPr id="72" name="Forme71"/>
                <a:graphic xmlns:a="http://schemas.openxmlformats.org/drawingml/2006/main">
                  <a:graphicData uri="http://schemas.microsoft.com/office/word/2010/wordprocessingGroup">
                    <wpg:wgp>
                      <wpg:cNvGrpSpPr/>
                      <wpg:grpSpPr>
                        <a:xfrm>
                          <a:off x="0" y="0"/>
                          <a:ext cx="6755040" cy="9020160"/>
                          <a:chOff x="-34200" y="322560"/>
                          <a:chExt cx="6755040" cy="9020160"/>
                        </a:xfrm>
                      </wpg:grpSpPr>
                      <pic:pic xmlns:pic="http://schemas.openxmlformats.org/drawingml/2006/picture">
                        <pic:nvPicPr>
                          <pic:cNvPr id="4" name="" descr=""/>
                          <pic:cNvPicPr/>
                        </pic:nvPicPr>
                        <pic:blipFill>
                          <a:blip r:embed="rId14"/>
                          <a:stretch/>
                        </pic:blipFill>
                        <pic:spPr>
                          <a:xfrm>
                            <a:off x="25560" y="673200"/>
                            <a:ext cx="6729840" cy="8346960"/>
                          </a:xfrm>
                          <a:prstGeom prst="rect">
                            <a:avLst/>
                          </a:prstGeom>
                          <a:ln w="0">
                            <a:noFill/>
                          </a:ln>
                        </pic:spPr>
                      </pic:pic>
                      <wps:wsp>
                        <wps:cNvSpPr/>
                        <wps:spPr>
                          <a:xfrm>
                            <a:off x="202680" y="0"/>
                            <a:ext cx="6198120" cy="478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Microsoft YaHei" w:cs="Lucida Sans"/>
                                  <w:color w:val="00000A"/>
                                  <w:lang w:val="eo"/>
                                </w:rPr>
                                <w:t>Limigi varmiĝon al 1,5 °C kaj 2 °C implicas rapidajn, profundajn kaj plejofte tujajn ellasajn reduktojn de forceja gaso.</w:t>
                              </w:r>
                            </w:p>
                          </w:txbxContent>
                        </wps:txbx>
                        <wps:bodyPr lIns="90000" rIns="90000" tIns="45000" bIns="45000" anchor="t">
                          <a:noAutofit/>
                        </wps:bodyPr>
                      </wps:wsp>
                      <wps:wsp>
                        <wps:cNvSpPr/>
                        <wps:spPr>
                          <a:xfrm>
                            <a:off x="414720" y="403200"/>
                            <a:ext cx="6127200" cy="2552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singl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 xml:space="preserve">Netaj nul </w:t>
                              </w:r>
                              <w:r>
                                <w:rPr>
                                  <w:sz w:val="20"/>
                                  <w:b w:val="false"/>
                                  <w:dstrike w:val="false"/>
                                  <w:strike w:val="false"/>
                                  <w:i w:val="false"/>
                                  <w:vertAlign w:val="baseline"/>
                                  <w:position w:val="0"/>
                                  <w:spacing w:val="0"/>
                                  <w:szCs w:val="20"/>
                                  <w:bCs w:val="false"/>
                                  <w:iCs w:val="false"/>
                                  <w:smallCaps w:val="false"/>
                                  <w:caps w:val="false"/>
                                  <w:u w:val="none"/>
                                  <w:rFonts w:ascii="Arial" w:hAnsi="Arial" w:eastAsia="Microsoft YaHei" w:cs="Lucida Sans"/>
                                  <w:color w:val="00000A"/>
                                  <w:lang w:val="eo"/>
                                </w:rPr>
                                <w:t>CO</w:t>
                              </w:r>
                              <w:r>
                                <w:rPr>
                                  <w:b w:val="false"/>
                                  <w:dstrike w:val="false"/>
                                  <w:strike w:val="false"/>
                                  <w:i w:val="false"/>
                                  <w:vertAlign w:val="baseline"/>
                                  <w:position w:val="0"/>
                                  <w:sz w:val="22"/>
                                  <w:spacing w:val="0"/>
                                  <w:bCs w:val="false"/>
                                  <w:iCs w:val="false"/>
                                  <w:smallCaps w:val="false"/>
                                  <w:caps w:val="false"/>
                                  <w:u w:val="none"/>
                                  <w:sz w:val="22"/>
                                  <w:szCs w:val="22"/>
                                  <w:rFonts w:ascii="Arial" w:hAnsi="Arial" w:eastAsia="Microsoft YaHei" w:cs="Lucida Sans"/>
                                  <w:color w:val="00000A"/>
                                  <w:lang w:val="eo"/>
                                </w:rPr>
                                <w:t>2</w:t>
                              </w:r>
                              <w:r>
                                <w:rPr>
                                  <w:b w:val="false"/>
                                  <w:dstrike w:val="false"/>
                                  <w:strike w:val="false"/>
                                  <w:i w:val="false"/>
                                  <w:vertAlign w:val="baseline"/>
                                  <w:position w:val="0"/>
                                  <w:sz w:val="20"/>
                                  <w:spacing w:val="0"/>
                                  <w:bCs w:val="false"/>
                                  <w:iCs w:val="false"/>
                                  <w:smallCaps w:val="false"/>
                                  <w:caps w:val="false"/>
                                  <w:u w:val="none"/>
                                  <w:sz w:val="20"/>
                                  <w:szCs w:val="20"/>
                                  <w:rFonts w:ascii="Arial" w:hAnsi="Arial" w:eastAsia="Microsoft YaHei" w:cs="Lucida Sans"/>
                                  <w:color w:val="00000A"/>
                                  <w:lang w:val="eo"/>
                                </w:rPr>
                                <w:t xml:space="preserve"> kaj </w:t>
                              </w:r>
                              <w:r>
                                <w:rPr>
                                  <w:b w:val="false"/>
                                  <w:dstrike w:val="false"/>
                                  <w:strike w:val="false"/>
                                  <w:i w:val="false"/>
                                  <w:vertAlign w:val="baseline"/>
                                  <w:position w:val="0"/>
                                  <w:sz w:val="20"/>
                                  <w:spacing w:val="0"/>
                                  <w:bCs w:val="false"/>
                                  <w:iCs w:val="false"/>
                                  <w:smallCaps w:val="false"/>
                                  <w:caps w:val="false"/>
                                  <w:sz w:val="20"/>
                                  <w:szCs w:val="20"/>
                                  <w:u w:val="single"/>
                                  <w:rFonts w:ascii="Arial" w:hAnsi="Arial" w:eastAsia="Microsoft YaHei" w:cs="Lucida Sans"/>
                                  <w:color w:val="00000A"/>
                                  <w:lang w:val="eo"/>
                                </w:rPr>
                                <w:t xml:space="preserve">netaj nulaj </w:t>
                              </w:r>
                              <w:r>
                                <w:rPr>
                                  <w:b w:val="false"/>
                                  <w:dstrike w:val="false"/>
                                  <w:strike w:val="false"/>
                                  <w:i w:val="false"/>
                                  <w:vertAlign w:val="baseline"/>
                                  <w:position w:val="0"/>
                                  <w:sz w:val="20"/>
                                  <w:spacing w:val="0"/>
                                  <w:bCs w:val="false"/>
                                  <w:iCs w:val="false"/>
                                  <w:smallCaps w:val="false"/>
                                  <w:caps w:val="false"/>
                                  <w:sz w:val="20"/>
                                  <w:szCs w:val="20"/>
                                  <w:u w:val="none"/>
                                  <w:rFonts w:ascii="Arial" w:hAnsi="Arial" w:eastAsia="Microsoft YaHei" w:cs="Lucida Sans"/>
                                  <w:color w:val="00000A"/>
                                  <w:lang w:val="eo"/>
                                </w:rPr>
                                <w:t>GHG-emisioj povas esti atingitaj per fortaj reduktoj tra ĉiuj sektoroj</w:t>
                              </w:r>
                            </w:p>
                          </w:txbxContent>
                        </wps:txbx>
                        <wps:bodyPr lIns="90000" rIns="90000" tIns="45000" bIns="45000" anchor="t">
                          <a:noAutofit/>
                        </wps:bodyPr>
                      </wps:wsp>
                      <wps:wsp>
                        <wps:cNvSpPr/>
                        <wps:spPr>
                          <a:xfrm>
                            <a:off x="450360" y="708840"/>
                            <a:ext cx="1908720" cy="4222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a) Netaj tutmondaj ellasoj de forceja gaso (GHG).</w:t>
                              </w:r>
                            </w:p>
                          </w:txbxContent>
                        </wps:txbx>
                        <wps:bodyPr lIns="90000" rIns="90000" tIns="45000" bIns="45000" anchor="t">
                          <a:noAutofit/>
                        </wps:bodyPr>
                      </wps:wsp>
                      <wps:wsp>
                        <wps:cNvSpPr/>
                        <wps:spPr>
                          <a:xfrm>
                            <a:off x="1194480" y="1063080"/>
                            <a:ext cx="1245240" cy="4222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2019-emisioj estis 12% pli altaj ol 2010</w:t>
                              </w:r>
                            </w:p>
                          </w:txbxContent>
                        </wps:txbx>
                        <wps:bodyPr lIns="90000" rIns="90000" tIns="45000" bIns="45000" anchor="t">
                          <a:noAutofit/>
                        </wps:bodyPr>
                      </wps:wsp>
                      <wps:wsp>
                        <wps:cNvSpPr/>
                        <wps:spPr>
                          <a:xfrm>
                            <a:off x="1505520" y="1701000"/>
                            <a:ext cx="1244520" cy="4215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Nacie Determinitaj Kontribuoj (NDC) intervalas en 2030</w:t>
                              </w:r>
                            </w:p>
                          </w:txbxContent>
                        </wps:txbx>
                        <wps:bodyPr lIns="90000" rIns="90000" tIns="45000" bIns="45000" anchor="t">
                          <a:noAutofit/>
                        </wps:bodyPr>
                      </wps:wsp>
                      <wps:wsp>
                        <wps:cNvSpPr/>
                        <wps:spPr>
                          <a:xfrm>
                            <a:off x="2718360" y="1382400"/>
                            <a:ext cx="124524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Efektivigitaj politikoj</w:t>
                              </w:r>
                            </w:p>
                          </w:txbxContent>
                        </wps:txbx>
                        <wps:bodyPr lIns="90000" rIns="90000" tIns="45000" bIns="45000" anchor="t">
                          <a:noAutofit/>
                        </wps:bodyPr>
                      </wps:wsp>
                      <wps:wsp>
                        <wps:cNvSpPr/>
                        <wps:spPr>
                          <a:xfrm>
                            <a:off x="4234320" y="1134000"/>
                            <a:ext cx="1245240" cy="6699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Efektivigitaj politikoj rezultigas projektitajn emisiojn kiuj kondukas al varmiĝo 0 3.2 °C, kun intervalo de 2.2 °C ĝis 3.5 °C (meza fido)</w:t>
                              </w:r>
                            </w:p>
                          </w:txbxContent>
                        </wps:txbx>
                        <wps:bodyPr lIns="90000" rIns="90000" tIns="45000" bIns="45000" anchor="t">
                          <a:noAutofit/>
                        </wps:bodyPr>
                      </wps:wsp>
                      <wps:wsp>
                        <wps:cNvSpPr/>
                        <wps:spPr>
                          <a:xfrm>
                            <a:off x="4234320" y="1940040"/>
                            <a:ext cx="42984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ŝlosilo</w:t>
                              </w:r>
                            </w:p>
                          </w:txbxContent>
                        </wps:txbx>
                        <wps:bodyPr lIns="90000" rIns="90000" tIns="45000" bIns="45000" anchor="t">
                          <a:noAutofit/>
                        </wps:bodyPr>
                      </wps:wsp>
                      <wps:wsp>
                        <wps:cNvSpPr/>
                        <wps:spPr>
                          <a:xfrm>
                            <a:off x="4659120" y="2090880"/>
                            <a:ext cx="1635840" cy="280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Efektivigitaj politikoj (mediano, kun procentoj 25-75% kaj 5-95%)</w:t>
                              </w:r>
                            </w:p>
                          </w:txbxContent>
                        </wps:txbx>
                        <wps:bodyPr lIns="90000" rIns="90000" tIns="45000" bIns="45000" anchor="t">
                          <a:noAutofit/>
                        </wps:bodyPr>
                      </wps:wsp>
                      <wps:wsp>
                        <wps:cNvSpPr/>
                        <wps:spPr>
                          <a:xfrm>
                            <a:off x="4659120" y="2409840"/>
                            <a:ext cx="163584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2 °C (&gt;67%)</w:t>
                              </w:r>
                            </w:p>
                          </w:txbxContent>
                        </wps:txbx>
                        <wps:bodyPr lIns="90000" rIns="90000" tIns="45000" bIns="45000" anchor="t">
                          <a:noAutofit/>
                        </wps:bodyPr>
                      </wps:wsp>
                      <wps:wsp>
                        <wps:cNvSpPr/>
                        <wps:spPr>
                          <a:xfrm>
                            <a:off x="4667400" y="2728440"/>
                            <a:ext cx="1635120" cy="280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15 °C (&gt;50%) sen superfluo aŭ limigita</w:t>
                              </w:r>
                            </w:p>
                          </w:txbxContent>
                        </wps:txbx>
                        <wps:bodyPr lIns="90000" rIns="90000" tIns="45000" bIns="45000" anchor="t">
                          <a:noAutofit/>
                        </wps:bodyPr>
                      </wps:wsp>
                      <wps:wsp>
                        <wps:cNvSpPr/>
                        <wps:spPr>
                          <a:xfrm>
                            <a:off x="4632480" y="3083040"/>
                            <a:ext cx="163440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Pasintaj elsendoj (2000—2015)</w:t>
                              </w:r>
                            </w:p>
                          </w:txbxContent>
                        </wps:txbx>
                        <wps:bodyPr lIns="90000" rIns="90000" tIns="45000" bIns="45000" anchor="t">
                          <a:noAutofit/>
                        </wps:bodyPr>
                      </wps:wsp>
                      <wps:wsp>
                        <wps:cNvSpPr/>
                        <wps:spPr>
                          <a:xfrm>
                            <a:off x="5447520" y="5173920"/>
                            <a:ext cx="1307520" cy="3157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ĉi tiuj estas malsamaj manieroj atingi netan nulan CO2</w:t>
                              </w:r>
                            </w:p>
                          </w:txbxContent>
                        </wps:txbx>
                        <wps:bodyPr lIns="90000" rIns="90000" tIns="45000" bIns="45000" anchor="t">
                          <a:noAutofit/>
                        </wps:bodyPr>
                      </wps:wsp>
                      <wps:wsp>
                        <wps:cNvSpPr/>
                        <wps:spPr>
                          <a:xfrm>
                            <a:off x="4659120" y="3579480"/>
                            <a:ext cx="1882800" cy="3780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Pasintaj GHG-emisioj kaj necerteco por 2015 kaj 2019 (punkto indikas la medianon)</w:t>
                              </w:r>
                            </w:p>
                          </w:txbxContent>
                        </wps:txbx>
                        <wps:bodyPr lIns="90000" rIns="90000" tIns="45000" bIns="45000" anchor="t">
                          <a:noAutofit/>
                        </wps:bodyPr>
                      </wps:wsp>
                      <wps:wsp>
                        <wps:cNvSpPr/>
                        <wps:spPr>
                          <a:xfrm rot="900000">
                            <a:off x="1891080" y="2468520"/>
                            <a:ext cx="1635840" cy="1836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2 °C (&gt;67%)</w:t>
                              </w:r>
                            </w:p>
                          </w:txbxContent>
                        </wps:txbx>
                        <wps:bodyPr lIns="90000" rIns="90000" tIns="45000" bIns="45000" anchor="t">
                          <a:noAutofit/>
                        </wps:bodyPr>
                      </wps:wsp>
                      <wps:wsp>
                        <wps:cNvSpPr/>
                        <wps:spPr>
                          <a:xfrm rot="900600">
                            <a:off x="1602360" y="2831040"/>
                            <a:ext cx="163440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1,5 °C (&gt;67%)</w:t>
                              </w:r>
                            </w:p>
                          </w:txbxContent>
                        </wps:txbx>
                        <wps:bodyPr lIns="90000" rIns="90000" tIns="45000" bIns="45000" anchor="t">
                          <a:noAutofit/>
                        </wps:bodyPr>
                      </wps:wsp>
                      <wps:wsp>
                        <wps:cNvSpPr/>
                        <wps:spPr>
                          <a:xfrm rot="16200000">
                            <a:off x="-1294920" y="1827000"/>
                            <a:ext cx="2997720" cy="3009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Gigatonoj da CO2 - ekvivalentaj emisioj (GtCO2 -eq/jaro)</w:t>
                              </w:r>
                            </w:p>
                          </w:txbxContent>
                        </wps:txbx>
                        <wps:bodyPr lIns="90000" rIns="90000" tIns="45000" bIns="45000" anchor="t">
                          <a:noAutofit/>
                        </wps:bodyPr>
                      </wps:wsp>
                      <wps:wsp>
                        <wps:cNvSpPr/>
                        <wps:spPr>
                          <a:xfrm>
                            <a:off x="513000" y="3331080"/>
                            <a:ext cx="60696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wps:txbx>
                        <wps:bodyPr lIns="90000" rIns="90000" tIns="45000" bIns="45000" anchor="t">
                          <a:noAutofit/>
                        </wps:bodyPr>
                      </wps:wsp>
                      <wps:wsp>
                        <wps:cNvSpPr/>
                        <wps:spPr>
                          <a:xfrm>
                            <a:off x="485640" y="5812200"/>
                            <a:ext cx="606960" cy="182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wps:txbx>
                        <wps:bodyPr lIns="90000" rIns="90000" tIns="45000" bIns="45000" anchor="t">
                          <a:noAutofit/>
                        </wps:bodyPr>
                      </wps:wsp>
                      <wps:wsp>
                        <wps:cNvSpPr/>
                        <wps:spPr>
                          <a:xfrm>
                            <a:off x="513720" y="7485480"/>
                            <a:ext cx="606960" cy="1836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wps:txbx>
                        <wps:bodyPr lIns="90000" rIns="90000" tIns="45000" bIns="45000" anchor="t">
                          <a:noAutofit/>
                        </wps:bodyPr>
                      </wps:wsp>
                      <wps:wsp>
                        <wps:cNvSpPr/>
                        <wps:spPr>
                          <a:xfrm>
                            <a:off x="344880" y="8814960"/>
                            <a:ext cx="123624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 xml:space="preserve">Jaro de </w:t>
                              </w:r>
                              <w:r>
                                <w:rPr>
                                  <w:sz w:val="14"/>
                                  <w:b w:val="false"/>
                                  <w:dstrike w:val="false"/>
                                  <w:strike w:val="false"/>
                                  <w:i w:val="false"/>
                                  <w:vertAlign w:val="baseline"/>
                                  <w:position w:val="0"/>
                                  <w:spacing w:val="0"/>
                                  <w:szCs w:val="14"/>
                                  <w:bCs w:val="false"/>
                                  <w:iCs w:val="false"/>
                                  <w:smallCaps w:val="false"/>
                                  <w:caps w:val="false"/>
                                  <w:u w:val="single"/>
                                  <w:rFonts w:ascii="Arial" w:hAnsi="Arial" w:eastAsia="Microsoft YaHei" w:cs="Lucida Sans"/>
                                  <w:color w:val="00000A"/>
                                  <w:lang w:val="eo"/>
                                </w:rPr>
                                <w:t xml:space="preserve">netaj nulaj </w:t>
                              </w:r>
                              <w:r>
                                <w:rPr>
                                  <w:sz w:val="14"/>
                                  <w:b w:val="false"/>
                                  <w:dstrike w:val="false"/>
                                  <w:strike w:val="false"/>
                                  <w:i w:val="false"/>
                                  <w:vertAlign w:val="baseline"/>
                                  <w:position w:val="0"/>
                                  <w:spacing w:val="0"/>
                                  <w:szCs w:val="14"/>
                                  <w:bCs w:val="false"/>
                                  <w:iCs w:val="false"/>
                                  <w:smallCaps w:val="false"/>
                                  <w:caps w:val="false"/>
                                  <w:u w:val="none"/>
                                  <w:rFonts w:ascii="Arial" w:hAnsi="Arial" w:eastAsia="Microsoft YaHei" w:cs="Lucida Sans"/>
                                  <w:color w:val="00000A"/>
                                  <w:lang w:val="eo"/>
                                </w:rPr>
                                <w:t>emisioj</w:t>
                              </w:r>
                            </w:p>
                          </w:txbxContent>
                        </wps:txbx>
                        <wps:bodyPr lIns="90000" rIns="90000" tIns="45000" bIns="45000" anchor="t">
                          <a:noAutofit/>
                        </wps:bodyPr>
                      </wps:wsp>
                      <wps:wsp>
                        <wps:cNvSpPr/>
                        <wps:spPr>
                          <a:xfrm rot="16200000">
                            <a:off x="-273960" y="4779720"/>
                            <a:ext cx="849600" cy="3009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GtCO2 / jaro</w:t>
                              </w:r>
                            </w:p>
                          </w:txbxContent>
                        </wps:txbx>
                        <wps:bodyPr lIns="90000" rIns="90000" tIns="45000" bIns="45000" anchor="t">
                          <a:noAutofit/>
                        </wps:bodyPr>
                      </wps:wsp>
                      <wps:wsp>
                        <wps:cNvSpPr/>
                        <wps:spPr>
                          <a:xfrm>
                            <a:off x="485640" y="4430520"/>
                            <a:ext cx="2070000" cy="420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b) Netaj tutmondaj emisioj de CO2</w:t>
                              </w:r>
                            </w:p>
                          </w:txbxContent>
                        </wps:txbx>
                        <wps:bodyPr lIns="90000" rIns="90000" tIns="45000" bIns="45000" anchor="t">
                          <a:noAutofit/>
                        </wps:bodyPr>
                      </wps:wsp>
                      <wps:wsp>
                        <wps:cNvSpPr/>
                        <wps:spPr>
                          <a:xfrm>
                            <a:off x="4129560" y="4067280"/>
                            <a:ext cx="2557080" cy="6732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e) Forcej-efikaj gasoj laŭ sektoro en la momento de neta nulo CO2 , kompare kun 2019</w:t>
                              </w:r>
                            </w:p>
                          </w:txbxContent>
                        </wps:txbx>
                        <wps:bodyPr lIns="90000" rIns="90000" tIns="45000" bIns="45000" anchor="t">
                          <a:noAutofit/>
                        </wps:bodyPr>
                      </wps:wsp>
                      <wps:wsp>
                        <wps:cNvSpPr/>
                        <wps:spPr>
                          <a:xfrm>
                            <a:off x="4951080" y="4855320"/>
                            <a:ext cx="1768320" cy="280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Ilustraj Mildigaj Vojetoj (IMPoj)</w:t>
                              </w:r>
                            </w:p>
                          </w:txbxContent>
                        </wps:txbx>
                        <wps:bodyPr lIns="90000" rIns="90000" tIns="45000" bIns="45000" anchor="t">
                          <a:noAutofit/>
                        </wps:bodyPr>
                      </wps:wsp>
                      <wps:wsp>
                        <wps:cNvSpPr/>
                        <wps:spPr>
                          <a:xfrm rot="16200000">
                            <a:off x="4916880" y="4077360"/>
                            <a:ext cx="670680" cy="280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GtCO 2 -eq/jaro</w:t>
                              </w:r>
                            </w:p>
                          </w:txbxContent>
                        </wps:txbx>
                        <wps:bodyPr lIns="90000" rIns="90000" tIns="45000" bIns="45000" anchor="t">
                          <a:noAutofit/>
                        </wps:bodyPr>
                      </wps:wsp>
                      <wps:wsp>
                        <wps:cNvSpPr/>
                        <wps:spPr>
                          <a:xfrm>
                            <a:off x="4029840" y="5740920"/>
                            <a:ext cx="528480" cy="280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Fontoj</w:t>
                              </w:r>
                            </w:p>
                          </w:txbxContent>
                        </wps:txbx>
                        <wps:bodyPr lIns="90000" rIns="90000" tIns="45000" bIns="45000" anchor="t">
                          <a:noAutofit/>
                        </wps:bodyPr>
                      </wps:wsp>
                      <wps:wsp>
                        <wps:cNvSpPr/>
                        <wps:spPr>
                          <a:xfrm>
                            <a:off x="3999960" y="6024960"/>
                            <a:ext cx="558000" cy="280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Malfontoj</w:t>
                              </w:r>
                            </w:p>
                          </w:txbxContent>
                        </wps:txbx>
                        <wps:bodyPr lIns="90000" rIns="90000" tIns="45000" bIns="45000" anchor="t">
                          <a:noAutofit/>
                        </wps:bodyPr>
                      </wps:wsp>
                      <wps:wsp>
                        <wps:cNvSpPr/>
                        <wps:spPr>
                          <a:xfrm>
                            <a:off x="4029840" y="5740920"/>
                            <a:ext cx="528480" cy="280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Fontoj</w:t>
                              </w:r>
                            </w:p>
                          </w:txbxContent>
                        </wps:txbx>
                        <wps:bodyPr lIns="90000" rIns="90000" tIns="45000" bIns="45000" anchor="t">
                          <a:noAutofit/>
                        </wps:bodyPr>
                      </wps:wsp>
                      <wps:wsp>
                        <wps:cNvSpPr/>
                        <wps:spPr>
                          <a:xfrm>
                            <a:off x="3844440" y="5847120"/>
                            <a:ext cx="607680" cy="1836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wps:txbx>
                        <wps:bodyPr lIns="90000" rIns="90000" tIns="45000" bIns="45000" anchor="t">
                          <a:noAutofit/>
                        </wps:bodyPr>
                      </wps:wsp>
                      <wps:wsp>
                        <wps:cNvSpPr/>
                        <wps:spPr>
                          <a:xfrm rot="16200000">
                            <a:off x="4689000" y="5853600"/>
                            <a:ext cx="638280" cy="3772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2019 komparo</w:t>
                              </w:r>
                            </w:p>
                          </w:txbxContent>
                        </wps:txbx>
                        <wps:bodyPr lIns="90000" rIns="90000" tIns="45000" bIns="45000" anchor="t">
                          <a:noAutofit/>
                        </wps:bodyPr>
                      </wps:wsp>
                      <wps:wsp>
                        <wps:cNvSpPr/>
                        <wps:spPr>
                          <a:xfrm>
                            <a:off x="4135680" y="6733440"/>
                            <a:ext cx="430560" cy="182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ŝlosilo</w:t>
                              </w:r>
                            </w:p>
                          </w:txbxContent>
                        </wps:txbx>
                        <wps:bodyPr lIns="90000" rIns="90000" tIns="45000" bIns="45000" anchor="t">
                          <a:noAutofit/>
                        </wps:bodyPr>
                      </wps:wsp>
                      <wps:wsp>
                        <wps:cNvSpPr/>
                        <wps:spPr>
                          <a:xfrm>
                            <a:off x="4907160" y="6759720"/>
                            <a:ext cx="1493640" cy="203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Ne-CO2 emisioj</w:t>
                              </w:r>
                            </w:p>
                          </w:txbxContent>
                        </wps:txbx>
                        <wps:bodyPr lIns="90000" rIns="90000" tIns="45000" bIns="45000" anchor="t">
                          <a:noAutofit/>
                        </wps:bodyPr>
                      </wps:wsp>
                      <wps:wsp>
                        <wps:cNvSpPr/>
                        <wps:spPr>
                          <a:xfrm>
                            <a:off x="4943520" y="7220520"/>
                            <a:ext cx="1492920" cy="182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Teruzoŝanĝo kaj forstado</w:t>
                              </w:r>
                            </w:p>
                          </w:txbxContent>
                        </wps:txbx>
                        <wps:bodyPr lIns="90000" rIns="90000" tIns="45000" bIns="45000" anchor="t">
                          <a:noAutofit/>
                        </wps:bodyPr>
                      </wps:wsp>
                      <wps:wsp>
                        <wps:cNvSpPr/>
                        <wps:spPr>
                          <a:xfrm>
                            <a:off x="4951080" y="7052400"/>
                            <a:ext cx="1698120" cy="1836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Energioprovizo (inkluzive de elektro)</w:t>
                              </w:r>
                            </w:p>
                          </w:txbxContent>
                        </wps:txbx>
                        <wps:bodyPr lIns="90000" rIns="90000" tIns="45000" bIns="45000" anchor="t">
                          <a:noAutofit/>
                        </wps:bodyPr>
                      </wps:wsp>
                      <wps:wsp>
                        <wps:cNvSpPr/>
                        <wps:spPr>
                          <a:xfrm>
                            <a:off x="4915440" y="6910560"/>
                            <a:ext cx="1662480" cy="182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Transportado, industrio kaj konstruaĵoj</w:t>
                              </w:r>
                            </w:p>
                          </w:txbxContent>
                        </wps:txbx>
                        <wps:bodyPr lIns="90000" rIns="90000" tIns="45000" bIns="45000" anchor="t">
                          <a:noAutofit/>
                        </wps:bodyPr>
                      </wps:wsp>
                      <wps:wsp>
                        <wps:cNvSpPr/>
                        <wps:spPr>
                          <a:xfrm>
                            <a:off x="415800" y="6591960"/>
                            <a:ext cx="2670120" cy="4215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c) Tutmondaj emisioj de metano (CH4 ).</w:t>
                              </w:r>
                            </w:p>
                          </w:txbxContent>
                        </wps:txbx>
                        <wps:bodyPr lIns="90000" rIns="90000" tIns="45000" bIns="45000" anchor="t">
                          <a:noAutofit/>
                        </wps:bodyPr>
                      </wps:wsp>
                      <wps:wsp>
                        <wps:cNvSpPr/>
                        <wps:spPr>
                          <a:xfrm rot="16200000">
                            <a:off x="-166680" y="6846480"/>
                            <a:ext cx="780480" cy="3016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MtCH4 /jaro</w:t>
                              </w:r>
                            </w:p>
                          </w:txbxContent>
                        </wps:txbx>
                        <wps:bodyPr lIns="90000" rIns="90000" tIns="45000" bIns="45000" anchor="t">
                          <a:noAutofit/>
                        </wps:bodyPr>
                      </wps:wsp>
                      <wps:wsp>
                        <wps:cNvSpPr/>
                        <wps:spPr>
                          <a:xfrm>
                            <a:off x="451440" y="7903080"/>
                            <a:ext cx="2547000" cy="420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d) </w:t>
                              </w:r>
                              <w:r>
                                <w:rPr>
                                  <w:sz w:val="20"/>
                                  <w:b/>
                                  <w:dstrike w:val="false"/>
                                  <w:strike w:val="false"/>
                                  <w:i w:val="false"/>
                                  <w:vertAlign w:val="baseline"/>
                                  <w:position w:val="0"/>
                                  <w:spacing w:val="0"/>
                                  <w:szCs w:val="20"/>
                                  <w:bCs/>
                                  <w:iCs w:val="false"/>
                                  <w:smallCaps w:val="false"/>
                                  <w:caps w:val="false"/>
                                  <w:u w:val="single"/>
                                  <w:rFonts w:ascii="Arial" w:hAnsi="Arial" w:eastAsia="Microsoft YaHei" w:cs="Lucida Sans"/>
                                  <w:color w:val="00000A"/>
                                  <w:lang w:val="eo"/>
                                </w:rPr>
                                <w:t xml:space="preserve">Neta nula </w:t>
                              </w:r>
                              <w:r>
                                <w:rPr>
                                  <w:sz w:val="20"/>
                                  <w:b/>
                                  <w:dstrike w:val="false"/>
                                  <w:strike w:val="false"/>
                                  <w:i w:val="false"/>
                                  <w:vertAlign w:val="baseline"/>
                                  <w:position w:val="0"/>
                                  <w:spacing w:val="0"/>
                                  <w:szCs w:val="20"/>
                                  <w:bCs/>
                                  <w:iCs w:val="false"/>
                                  <w:smallCaps w:val="false"/>
                                  <w:caps w:val="false"/>
                                  <w:u w:val="none"/>
                                  <w:rFonts w:ascii="Arial" w:hAnsi="Arial" w:eastAsia="Microsoft YaHei" w:cs="Lucida Sans"/>
                                  <w:color w:val="00000A"/>
                                  <w:lang w:val="eo"/>
                                </w:rPr>
                                <w:t xml:space="preserve">CO2 estos atingita antaŭ </w:t>
                              </w:r>
                              <w:r>
                                <w:rPr>
                                  <w:sz w:val="20"/>
                                  <w:b/>
                                  <w:dstrike w:val="false"/>
                                  <w:strike w:val="false"/>
                                  <w:i w:val="false"/>
                                  <w:vertAlign w:val="baseline"/>
                                  <w:position w:val="0"/>
                                  <w:spacing w:val="0"/>
                                  <w:szCs w:val="20"/>
                                  <w:bCs/>
                                  <w:iCs w:val="false"/>
                                  <w:smallCaps w:val="false"/>
                                  <w:caps w:val="false"/>
                                  <w:u w:val="single"/>
                                  <w:rFonts w:ascii="Arial" w:hAnsi="Arial" w:eastAsia="Microsoft YaHei" w:cs="Lucida Sans"/>
                                  <w:color w:val="00000A"/>
                                  <w:lang w:val="eo"/>
                                </w:rPr>
                                <w:t xml:space="preserve">neta nula </w:t>
                              </w:r>
                              <w:r>
                                <w:rPr>
                                  <w:sz w:val="20"/>
                                  <w:b/>
                                  <w:dstrike w:val="false"/>
                                  <w:strike w:val="false"/>
                                  <w:i w:val="false"/>
                                  <w:vertAlign w:val="baseline"/>
                                  <w:position w:val="0"/>
                                  <w:spacing w:val="0"/>
                                  <w:szCs w:val="20"/>
                                  <w:bCs/>
                                  <w:iCs w:val="false"/>
                                  <w:smallCaps w:val="false"/>
                                  <w:caps w:val="false"/>
                                  <w:u w:val="none"/>
                                  <w:rFonts w:ascii="Arial" w:hAnsi="Arial" w:eastAsia="Microsoft YaHei" w:cs="Lucida Sans"/>
                                  <w:color w:val="00000A"/>
                                  <w:lang w:val="eo"/>
                                </w:rPr>
                                <w:t>GHG-emisio</w:t>
                              </w:r>
                            </w:p>
                          </w:txbxContent>
                        </wps:txbx>
                        <wps:bodyPr lIns="90000" rIns="90000" tIns="45000" bIns="45000" anchor="t">
                          <a:noAutofit/>
                        </wps:bodyPr>
                      </wps:wsp>
                    </wpg:wgp>
                  </a:graphicData>
                </a:graphic>
              </wp:anchor>
            </w:drawing>
          </mc:Choice>
          <mc:Fallback>
            <w:pict>
              <v:group id="shape_0" alt="Forme71" style="position:absolute;margin-left:-104.7pt;margin-top:25.4pt;width:633.9pt;height:710.25pt" coordorigin="-2094,508" coordsize="12678,14205">
                <v:shape id="shape_0" stroked="f" o:allowincell="f" style="position:absolute;left:-14;top:1568;width:10597;height:13144;mso-wrap-style:none;v-text-anchor:middle" type="_x0000_t75">
                  <v:imagedata r:id="rId14" o:detectmouseclick="t"/>
                  <v:stroke color="#3465a4" joinstyle="round" endcap="flat"/>
                  <w10:wrap type="none"/>
                </v:shape>
                <v:rect id="shape_0" path="m0,0l-2147483645,0l-2147483645,-2147483646l0,-2147483646xe" stroked="f" o:allowincell="f" style="position:absolute;left:265;top:508;width:9760;height:753;mso-wrap-style:square;v-text-anchor:top">
                  <v:textbo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Microsoft YaHei" w:cs="Lucida Sans"/>
                            <w:color w:val="00000A"/>
                            <w:lang w:val="eo"/>
                          </w:rPr>
                          <w:t>Limigi varmiĝon al 1,5 °C kaj 2 °C implicas rapidajn, profundajn kaj plejofte tujajn ellasajn reduktojn de forceja gaso.</w:t>
                        </w:r>
                      </w:p>
                    </w:txbxContent>
                  </v:textbox>
                  <v:fill o:detectmouseclick="t" on="false"/>
                  <v:stroke color="#3465a4" joinstyle="round" endcap="flat"/>
                  <w10:wrap type="none"/>
                </v:rect>
                <v:rect id="shape_0" path="m0,0l-2147483645,0l-2147483645,-2147483646l0,-2147483646xe" stroked="f" o:allowincell="f" style="position:absolute;left:599;top:1143;width:9648;height:401;mso-wrap-style:square;v-text-anchor:top">
                  <v:textbox>
                    <w:txbxContent>
                      <w:p>
                        <w:pPr>
                          <w:overflowPunct w:val="false"/>
                          <w:spacing w:before="0" w:after="0" w:lineRule="auto" w:line="240"/>
                          <w:ind w:hanging="0"/>
                          <w:jc w:val="left"/>
                          <w:rPr/>
                        </w:pPr>
                        <w:r>
                          <w:rPr>
                            <w:sz w:val="20"/>
                            <w:b w:val="false"/>
                            <w:u w:val="single"/>
                            <w:dstrike w:val="false"/>
                            <w:strike w:val="false"/>
                            <w:i w:val="false"/>
                            <w:vertAlign w:val="baseline"/>
                            <w:position w:val="0"/>
                            <w:spacing w:val="0"/>
                            <w:szCs w:val="20"/>
                            <w:bCs w:val="false"/>
                            <w:iCs w:val="false"/>
                            <w:smallCaps w:val="false"/>
                            <w:caps w:val="false"/>
                            <w:rFonts w:ascii="Arial" w:hAnsi="Arial" w:eastAsia="Microsoft YaHei" w:cs="Lucida Sans"/>
                            <w:color w:val="00000A"/>
                            <w:lang w:val="eo"/>
                          </w:rPr>
                          <w:t xml:space="preserve">Netaj nul </w:t>
                        </w:r>
                        <w:r>
                          <w:rPr>
                            <w:sz w:val="20"/>
                            <w:b w:val="false"/>
                            <w:dstrike w:val="false"/>
                            <w:strike w:val="false"/>
                            <w:i w:val="false"/>
                            <w:vertAlign w:val="baseline"/>
                            <w:position w:val="0"/>
                            <w:spacing w:val="0"/>
                            <w:szCs w:val="20"/>
                            <w:bCs w:val="false"/>
                            <w:iCs w:val="false"/>
                            <w:smallCaps w:val="false"/>
                            <w:caps w:val="false"/>
                            <w:u w:val="none"/>
                            <w:rFonts w:ascii="Arial" w:hAnsi="Arial" w:eastAsia="Microsoft YaHei" w:cs="Lucida Sans"/>
                            <w:color w:val="00000A"/>
                            <w:lang w:val="eo"/>
                          </w:rPr>
                          <w:t>CO</w:t>
                        </w:r>
                        <w:r>
                          <w:rPr>
                            <w:b w:val="false"/>
                            <w:dstrike w:val="false"/>
                            <w:strike w:val="false"/>
                            <w:i w:val="false"/>
                            <w:vertAlign w:val="baseline"/>
                            <w:position w:val="0"/>
                            <w:sz w:val="22"/>
                            <w:spacing w:val="0"/>
                            <w:bCs w:val="false"/>
                            <w:iCs w:val="false"/>
                            <w:smallCaps w:val="false"/>
                            <w:caps w:val="false"/>
                            <w:u w:val="none"/>
                            <w:sz w:val="22"/>
                            <w:szCs w:val="22"/>
                            <w:rFonts w:ascii="Arial" w:hAnsi="Arial" w:eastAsia="Microsoft YaHei" w:cs="Lucida Sans"/>
                            <w:color w:val="00000A"/>
                            <w:lang w:val="eo"/>
                          </w:rPr>
                          <w:t>2</w:t>
                        </w:r>
                        <w:r>
                          <w:rPr>
                            <w:b w:val="false"/>
                            <w:dstrike w:val="false"/>
                            <w:strike w:val="false"/>
                            <w:i w:val="false"/>
                            <w:vertAlign w:val="baseline"/>
                            <w:position w:val="0"/>
                            <w:sz w:val="20"/>
                            <w:spacing w:val="0"/>
                            <w:bCs w:val="false"/>
                            <w:iCs w:val="false"/>
                            <w:smallCaps w:val="false"/>
                            <w:caps w:val="false"/>
                            <w:u w:val="none"/>
                            <w:sz w:val="20"/>
                            <w:szCs w:val="20"/>
                            <w:rFonts w:ascii="Arial" w:hAnsi="Arial" w:eastAsia="Microsoft YaHei" w:cs="Lucida Sans"/>
                            <w:color w:val="00000A"/>
                            <w:lang w:val="eo"/>
                          </w:rPr>
                          <w:t xml:space="preserve"> kaj </w:t>
                        </w:r>
                        <w:r>
                          <w:rPr>
                            <w:b w:val="false"/>
                            <w:dstrike w:val="false"/>
                            <w:strike w:val="false"/>
                            <w:i w:val="false"/>
                            <w:vertAlign w:val="baseline"/>
                            <w:position w:val="0"/>
                            <w:sz w:val="20"/>
                            <w:spacing w:val="0"/>
                            <w:bCs w:val="false"/>
                            <w:iCs w:val="false"/>
                            <w:smallCaps w:val="false"/>
                            <w:caps w:val="false"/>
                            <w:sz w:val="20"/>
                            <w:szCs w:val="20"/>
                            <w:u w:val="single"/>
                            <w:rFonts w:ascii="Arial" w:hAnsi="Arial" w:eastAsia="Microsoft YaHei" w:cs="Lucida Sans"/>
                            <w:color w:val="00000A"/>
                            <w:lang w:val="eo"/>
                          </w:rPr>
                          <w:t xml:space="preserve">netaj nulaj </w:t>
                        </w:r>
                        <w:r>
                          <w:rPr>
                            <w:b w:val="false"/>
                            <w:dstrike w:val="false"/>
                            <w:strike w:val="false"/>
                            <w:i w:val="false"/>
                            <w:vertAlign w:val="baseline"/>
                            <w:position w:val="0"/>
                            <w:sz w:val="20"/>
                            <w:spacing w:val="0"/>
                            <w:bCs w:val="false"/>
                            <w:iCs w:val="false"/>
                            <w:smallCaps w:val="false"/>
                            <w:caps w:val="false"/>
                            <w:sz w:val="20"/>
                            <w:szCs w:val="20"/>
                            <w:u w:val="none"/>
                            <w:rFonts w:ascii="Arial" w:hAnsi="Arial" w:eastAsia="Microsoft YaHei" w:cs="Lucida Sans"/>
                            <w:color w:val="00000A"/>
                            <w:lang w:val="eo"/>
                          </w:rPr>
                          <w:t>GHG-emisioj povas esti atingitaj per fortaj reduktoj tra ĉiuj sektoroj</w:t>
                        </w:r>
                      </w:p>
                    </w:txbxContent>
                  </v:textbox>
                  <v:fill o:detectmouseclick="t" on="false"/>
                  <v:stroke color="#3465a4" joinstyle="round" endcap="flat"/>
                  <w10:wrap type="none"/>
                </v:rect>
                <v:rect id="shape_0" path="m0,0l-2147483645,0l-2147483645,-2147483646l0,-2147483646xe" stroked="f" o:allowincell="f" style="position:absolute;left:655;top:1624;width:3005;height:664;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a) Netaj tutmondaj ellasoj de forceja gaso (GHG).</w:t>
                        </w:r>
                      </w:p>
                    </w:txbxContent>
                  </v:textbox>
                  <v:fill o:detectmouseclick="t" on="false"/>
                  <v:stroke color="#3465a4" joinstyle="round" endcap="flat"/>
                  <w10:wrap type="none"/>
                </v:rect>
                <v:rect id="shape_0" path="m0,0l-2147483645,0l-2147483645,-2147483646l0,-2147483646xe" stroked="f" o:allowincell="f" style="position:absolute;left:1827;top:2182;width:1960;height:664;mso-wrap-style:square;v-text-anchor:top">
                  <v:textbo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2019-emisioj estis 12% pli altaj ol 2010</w:t>
                        </w:r>
                      </w:p>
                    </w:txbxContent>
                  </v:textbox>
                  <v:fill o:detectmouseclick="t" on="false"/>
                  <v:stroke color="#3465a4" joinstyle="round" endcap="flat"/>
                  <w10:wrap type="none"/>
                </v:rect>
                <v:rect id="shape_0" path="m0,0l-2147483645,0l-2147483645,-2147483646l0,-2147483646xe" stroked="f" o:allowincell="f" style="position:absolute;left:2317;top:3187;width:1959;height:663;mso-wrap-style:square;v-text-anchor:top">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Nacie Determinitaj Kontribuoj (NDC) intervalas en 2030</w:t>
                        </w:r>
                      </w:p>
                    </w:txbxContent>
                  </v:textbox>
                  <v:fill o:detectmouseclick="t" on="false"/>
                  <v:stroke color="#3465a4" joinstyle="round" endcap="flat"/>
                  <w10:wrap type="none"/>
                </v:rect>
                <v:rect id="shape_0" path="m0,0l-2147483645,0l-2147483645,-2147483646l0,-2147483646xe" stroked="f" o:allowincell="f" style="position:absolute;left:4227;top:2685;width:1960;height:287;mso-wrap-style:square;v-text-anchor:top">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Efektivigitaj politikoj</w:t>
                        </w:r>
                      </w:p>
                    </w:txbxContent>
                  </v:textbox>
                  <v:fill o:detectmouseclick="t" on="false"/>
                  <v:stroke color="#3465a4" joinstyle="round" endcap="flat"/>
                  <w10:wrap type="none"/>
                </v:rect>
                <v:rect id="shape_0" path="m0,0l-2147483645,0l-2147483645,-2147483646l0,-2147483646xe" stroked="f" o:allowincell="f" style="position:absolute;left:6614;top:2294;width:1960;height:1054;mso-wrap-style:square;v-text-anchor:top">
                  <v:textbo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Efektivigitaj politikoj rezultigas projektitajn emisiojn kiuj kondukas al varmiĝo 0 3.2 °C, kun intervalo de 2.2 °C ĝis 3.5 °C (meza fido)</w:t>
                        </w:r>
                      </w:p>
                    </w:txbxContent>
                  </v:textbox>
                  <v:fill o:detectmouseclick="t" on="false"/>
                  <v:stroke color="#3465a4" joinstyle="round" endcap="flat"/>
                  <w10:wrap type="none"/>
                </v:rect>
                <v:rect id="shape_0" path="m0,0l-2147483645,0l-2147483645,-2147483646l0,-2147483646xe" stroked="f" o:allowincell="f" style="position:absolute;left:6614;top:3563;width:676;height:287;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ŝlosilo</w:t>
                        </w:r>
                      </w:p>
                    </w:txbxContent>
                  </v:textbox>
                  <v:fill o:detectmouseclick="t" on="false"/>
                  <v:stroke color="#3465a4" joinstyle="round" endcap="flat"/>
                  <w10:wrap type="none"/>
                </v:rect>
                <v:rect id="shape_0" path="m0,0l-2147483645,0l-2147483645,-2147483646l0,-2147483646xe" stroked="f" o:allowincell="f" style="position:absolute;left:7283;top:3801;width:2575;height:44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Efektivigitaj politikoj (mediano, kun procentoj 25-75% kaj 5-95%)</w:t>
                        </w:r>
                      </w:p>
                    </w:txbxContent>
                  </v:textbox>
                  <v:fill o:detectmouseclick="t" on="false"/>
                  <v:stroke color="#3465a4" joinstyle="round" endcap="flat"/>
                  <w10:wrap type="none"/>
                </v:rect>
                <v:rect id="shape_0" path="m0,0l-2147483645,0l-2147483645,-2147483646l0,-2147483646xe" stroked="f" o:allowincell="f" style="position:absolute;left:7283;top:4303;width:2575;height:287;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2 °C (&gt;67%)</w:t>
                        </w:r>
                      </w:p>
                    </w:txbxContent>
                  </v:textbox>
                  <v:fill o:detectmouseclick="t" on="false"/>
                  <v:stroke color="#3465a4" joinstyle="round" endcap="flat"/>
                  <w10:wrap type="none"/>
                </v:rect>
                <v:rect id="shape_0" path="m0,0l-2147483645,0l-2147483645,-2147483646l0,-2147483646xe" stroked="f" o:allowincell="f" style="position:absolute;left:7296;top:4805;width:2574;height:441;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15 °C (&gt;50%) sen superfluo aŭ limigita</w:t>
                        </w:r>
                      </w:p>
                    </w:txbxContent>
                  </v:textbox>
                  <v:fill o:detectmouseclick="t" on="false"/>
                  <v:stroke color="#3465a4" joinstyle="round" endcap="flat"/>
                  <w10:wrap type="none"/>
                </v:rect>
                <v:rect id="shape_0" path="m0,0l-2147483645,0l-2147483645,-2147483646l0,-2147483646xe" stroked="f" o:allowincell="f" style="position:absolute;left:7241;top:5363;width:2573;height:287;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Pasintaj elsendoj (2000—2015)</w:t>
                        </w:r>
                      </w:p>
                    </w:txbxContent>
                  </v:textbox>
                  <v:fill o:detectmouseclick="t" on="false"/>
                  <v:stroke color="#3465a4" joinstyle="round" endcap="flat"/>
                  <w10:wrap type="none"/>
                </v:rect>
                <v:rect id="shape_0" path="m0,0l-2147483645,0l-2147483645,-2147483646l0,-2147483646xe" stroked="f" o:allowincell="f" style="position:absolute;left:8525;top:8656;width:2058;height:496;mso-wrap-style:square;v-text-anchor:top">
                  <v:textbo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Microsoft YaHei" w:cs="Lucida Sans"/>
                            <w:color w:val="00000A"/>
                            <w:lang w:val="eo"/>
                          </w:rPr>
                          <w:t>ĉi tiuj estas malsamaj manieroj atingi netan nulan CO2</w:t>
                        </w:r>
                      </w:p>
                    </w:txbxContent>
                  </v:textbox>
                  <v:fill o:detectmouseclick="t" on="false"/>
                  <v:stroke color="#3465a4" joinstyle="round" endcap="flat"/>
                  <w10:wrap type="none"/>
                </v:rect>
                <v:rect id="shape_0" path="m0,0l-2147483645,0l-2147483645,-2147483646l0,-2147483646xe" stroked="f" o:allowincell="f" style="position:absolute;left:7283;top:6145;width:2964;height:594;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Pasintaj GHG-emisioj kaj necerteco por 2015 kaj 2019 (punkto indikas la medianon)</w:t>
                        </w:r>
                      </w:p>
                    </w:txbxContent>
                  </v:textbox>
                  <v:fill o:detectmouseclick="t" on="false"/>
                  <v:stroke color="#3465a4" joinstyle="round" endcap="flat"/>
                  <w10:wrap type="none"/>
                </v:rect>
                <v:rect id="shape_0" path="m0,0l-2147483645,0l-2147483645,-2147483646l0,-2147483646xe" stroked="f" o:allowincell="f" style="position:absolute;left:2925;top:4395;width:2575;height:288;mso-wrap-style:square;v-text-anchor:top;rotation:15">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2 °C (&gt;67%)</w:t>
                        </w:r>
                      </w:p>
                    </w:txbxContent>
                  </v:textbox>
                  <v:fill o:detectmouseclick="t" on="false"/>
                  <v:stroke color="#3465a4" joinstyle="round" endcap="flat"/>
                  <w10:wrap type="none"/>
                </v:rect>
                <v:rect id="shape_0" path="m0,0l-2147483645,0l-2147483645,-2147483646l0,-2147483646xe" stroked="f" o:allowincell="f" style="position:absolute;left:2470;top:4966;width:2573;height:287;mso-wrap-style:square;v-text-anchor:top;rotation:15">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Limigu varmiĝon al 1,5 °C (&gt;67%)</w:t>
                        </w:r>
                      </w:p>
                    </w:txbxContent>
                  </v:textbox>
                  <v:fill o:detectmouseclick="t" on="false"/>
                  <v:stroke color="#3465a4" joinstyle="round" endcap="flat"/>
                  <w10:wrap type="none"/>
                </v:rect>
                <v:rect id="shape_0" path="m0,0l-2147483645,0l-2147483645,-2147483646l0,-2147483646xe" stroked="f" o:allowincell="f" style="position:absolute;left:-2093;top:3385;width:4720;height:473;mso-wrap-style:square;v-text-anchor:top;rotation:270">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Gigatonoj da CO2 - ekvivalentaj emisioj (GtCO2 -eq/jaro)</w:t>
                        </w:r>
                      </w:p>
                    </w:txbxContent>
                  </v:textbox>
                  <v:fill o:detectmouseclick="t" on="false"/>
                  <v:stroke color="#3465a4" joinstyle="round" endcap="flat"/>
                  <w10:wrap type="none"/>
                </v:rect>
                <v:rect id="shape_0" path="m0,0l-2147483645,0l-2147483645,-2147483646l0,-2147483646xe" stroked="f" o:allowincell="f" style="position:absolute;left:754;top:5754;width:955;height:287;mso-wrap-style:square;v-text-anchor:top">
                  <v:textbo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v:textbox>
                  <v:fill o:detectmouseclick="t" on="false"/>
                  <v:stroke color="#3465a4" joinstyle="round" endcap="flat"/>
                  <w10:wrap type="none"/>
                </v:rect>
                <v:rect id="shape_0" path="m0,0l-2147483645,0l-2147483645,-2147483646l0,-2147483646xe" stroked="f" o:allowincell="f" style="position:absolute;left:711;top:9661;width:955;height:286;mso-wrap-style:square;v-text-anchor:top">
                  <v:textbo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v:textbox>
                  <v:fill o:detectmouseclick="t" on="false"/>
                  <v:stroke color="#3465a4" joinstyle="round" endcap="flat"/>
                  <w10:wrap type="none"/>
                </v:rect>
                <v:rect id="shape_0" path="m0,0l-2147483645,0l-2147483645,-2147483646l0,-2147483646xe" stroked="f" o:allowincell="f" style="position:absolute;left:755;top:12296;width:955;height:288;mso-wrap-style:square;v-text-anchor:top">
                  <v:textbo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v:textbox>
                  <v:fill o:detectmouseclick="t" on="false"/>
                  <v:stroke color="#3465a4" joinstyle="round" endcap="flat"/>
                  <w10:wrap type="none"/>
                </v:rect>
                <v:rect id="shape_0" path="m0,0l-2147483645,0l-2147483645,-2147483646l0,-2147483646xe" stroked="f" o:allowincell="f" style="position:absolute;left:489;top:14390;width:1946;height:287;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 xml:space="preserve">Jaro de </w:t>
                        </w:r>
                        <w:r>
                          <w:rPr>
                            <w:sz w:val="14"/>
                            <w:b w:val="false"/>
                            <w:dstrike w:val="false"/>
                            <w:strike w:val="false"/>
                            <w:i w:val="false"/>
                            <w:vertAlign w:val="baseline"/>
                            <w:position w:val="0"/>
                            <w:spacing w:val="0"/>
                            <w:szCs w:val="14"/>
                            <w:bCs w:val="false"/>
                            <w:iCs w:val="false"/>
                            <w:smallCaps w:val="false"/>
                            <w:caps w:val="false"/>
                            <w:u w:val="single"/>
                            <w:rFonts w:ascii="Arial" w:hAnsi="Arial" w:eastAsia="Microsoft YaHei" w:cs="Lucida Sans"/>
                            <w:color w:val="00000A"/>
                            <w:lang w:val="eo"/>
                          </w:rPr>
                          <w:t xml:space="preserve">netaj nulaj </w:t>
                        </w:r>
                        <w:r>
                          <w:rPr>
                            <w:sz w:val="14"/>
                            <w:b w:val="false"/>
                            <w:dstrike w:val="false"/>
                            <w:strike w:val="false"/>
                            <w:i w:val="false"/>
                            <w:vertAlign w:val="baseline"/>
                            <w:position w:val="0"/>
                            <w:spacing w:val="0"/>
                            <w:szCs w:val="14"/>
                            <w:bCs w:val="false"/>
                            <w:iCs w:val="false"/>
                            <w:smallCaps w:val="false"/>
                            <w:caps w:val="false"/>
                            <w:u w:val="none"/>
                            <w:rFonts w:ascii="Arial" w:hAnsi="Arial" w:eastAsia="Microsoft YaHei" w:cs="Lucida Sans"/>
                            <w:color w:val="00000A"/>
                            <w:lang w:val="eo"/>
                          </w:rPr>
                          <w:t>emisioj</w:t>
                        </w:r>
                      </w:p>
                    </w:txbxContent>
                  </v:textbox>
                  <v:fill o:detectmouseclick="t" on="false"/>
                  <v:stroke color="#3465a4" joinstyle="round" endcap="flat"/>
                  <w10:wrap type="none"/>
                </v:rect>
                <v:rect id="shape_0" path="m0,0l-2147483645,0l-2147483645,-2147483646l0,-2147483646xe" stroked="f" o:allowincell="f" style="position:absolute;left:-485;top:8035;width:1337;height:473;mso-wrap-style:square;v-text-anchor:top;rotation:270">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GtCO2 / jaro</w:t>
                        </w:r>
                      </w:p>
                    </w:txbxContent>
                  </v:textbox>
                  <v:fill o:detectmouseclick="t" on="false"/>
                  <v:stroke color="#3465a4" joinstyle="round" endcap="flat"/>
                  <w10:wrap type="none"/>
                </v:rect>
                <v:rect id="shape_0" path="m0,0l-2147483645,0l-2147483645,-2147483646l0,-2147483646xe" stroked="f" o:allowincell="f" style="position:absolute;left:711;top:7485;width:3259;height:662;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b) Netaj tutmondaj emisioj de CO2</w:t>
                        </w:r>
                      </w:p>
                    </w:txbxContent>
                  </v:textbox>
                  <v:fill o:detectmouseclick="t" on="false"/>
                  <v:stroke color="#3465a4" joinstyle="round" endcap="flat"/>
                  <w10:wrap type="none"/>
                </v:rect>
                <v:rect id="shape_0" path="m0,0l-2147483645,0l-2147483645,-2147483646l0,-2147483646xe" stroked="f" o:allowincell="f" style="position:absolute;left:6449;top:6913;width:4026;height:1059;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e) Forcej-efikaj gasoj laŭ sektoro en la momento de neta nulo CO2 , kompare kun 2019</w:t>
                        </w:r>
                      </w:p>
                    </w:txbxContent>
                  </v:textbox>
                  <v:fill o:detectmouseclick="t" on="false"/>
                  <v:stroke color="#3465a4" joinstyle="round" endcap="flat"/>
                  <w10:wrap type="none"/>
                </v:rect>
                <v:rect id="shape_0" path="m0,0l-2147483645,0l-2147483645,-2147483646l0,-2147483646xe" stroked="f" o:allowincell="f" style="position:absolute;left:7743;top:8154;width:2784;height:44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Ilustraj Mildigaj Vojetoj (IMPoj)</w:t>
                        </w:r>
                      </w:p>
                    </w:txbxContent>
                  </v:textbox>
                  <v:fill o:detectmouseclick="t" on="false"/>
                  <v:stroke color="#3465a4" joinstyle="round" endcap="flat"/>
                  <w10:wrap type="none"/>
                </v:rect>
                <v:rect id="shape_0" path="m0,0l-2147483645,0l-2147483645,-2147483646l0,-2147483646xe" stroked="f" o:allowincell="f" style="position:absolute;left:7690;top:6929;width:1055;height:440;mso-wrap-style:square;v-text-anchor:top;rotation:270">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Microsoft YaHei" w:cs="Lucida Sans"/>
                            <w:color w:val="00000A"/>
                            <w:lang w:val="eo"/>
                          </w:rPr>
                          <w:t>GtCO 2 -eq/jaro</w:t>
                        </w:r>
                      </w:p>
                    </w:txbxContent>
                  </v:textbox>
                  <v:fill o:detectmouseclick="t" on="false"/>
                  <v:stroke color="#3465a4" joinstyle="round" endcap="flat"/>
                  <w10:wrap type="none"/>
                </v:rect>
                <v:rect id="shape_0" path="m0,0l-2147483645,0l-2147483645,-2147483646l0,-2147483646xe" stroked="f" o:allowincell="f" style="position:absolute;left:6292;top:9549;width:831;height:44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Fontoj</w:t>
                        </w:r>
                      </w:p>
                    </w:txbxContent>
                  </v:textbox>
                  <v:fill o:detectmouseclick="t" on="false"/>
                  <v:stroke color="#3465a4" joinstyle="round" endcap="flat"/>
                  <w10:wrap type="none"/>
                </v:rect>
                <v:rect id="shape_0" path="m0,0l-2147483645,0l-2147483645,-2147483646l0,-2147483646xe" stroked="f" o:allowincell="f" style="position:absolute;left:6245;top:9996;width:878;height:44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Malfontoj</w:t>
                        </w:r>
                      </w:p>
                    </w:txbxContent>
                  </v:textbox>
                  <v:fill o:detectmouseclick="t" on="false"/>
                  <v:stroke color="#3465a4" joinstyle="round" endcap="flat"/>
                  <w10:wrap type="none"/>
                </v:rect>
                <v:rect id="shape_0" path="m0,0l-2147483645,0l-2147483645,-2147483646l0,-2147483646xe" stroked="f" o:allowincell="f" style="position:absolute;left:6292;top:9549;width:831;height:441;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Fontoj</w:t>
                        </w:r>
                      </w:p>
                    </w:txbxContent>
                  </v:textbox>
                  <v:fill o:detectmouseclick="t" on="false"/>
                  <v:stroke color="#3465a4" joinstyle="round" endcap="flat"/>
                  <w10:wrap type="none"/>
                </v:rect>
                <v:rect id="shape_0" path="m0,0l-2147483645,0l-2147483645,-2147483646l0,-2147483646xe" stroked="f" o:allowincell="f" style="position:absolute;left:6000;top:9716;width:956;height:288;mso-wrap-style:square;v-text-anchor:top">
                  <v:textbox>
                    <w:txbxContent>
                      <w:p>
                        <w:pPr>
                          <w:overflowPunct w:val="false"/>
                          <w:spacing w:before="0" w:after="0" w:lineRule="auto" w:line="240"/>
                          <w:ind w:hanging="0"/>
                          <w:jc w:val="left"/>
                          <w:rPr/>
                        </w:pPr>
                        <w:r>
                          <w:rPr>
                            <w:sz w:val="14"/>
                            <w:b w:val="false"/>
                            <w:u w:val="singl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reto nulo</w:t>
                        </w:r>
                      </w:p>
                    </w:txbxContent>
                  </v:textbox>
                  <v:fill o:detectmouseclick="t" on="false"/>
                  <v:stroke color="#3465a4" joinstyle="round" endcap="flat"/>
                  <w10:wrap type="none"/>
                </v:rect>
                <v:rect id="shape_0" path="m0,0l-2147483645,0l-2147483645,-2147483646l0,-2147483646xe" stroked="f" o:allowincell="f" style="position:absolute;left:7331;top:9726;width:1004;height:593;mso-wrap-style:square;v-text-anchor:top;rotation:270">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2019 komparo</w:t>
                        </w:r>
                      </w:p>
                    </w:txbxContent>
                  </v:textbox>
                  <v:fill o:detectmouseclick="t" on="false"/>
                  <v:stroke color="#3465a4" joinstyle="round" endcap="flat"/>
                  <w10:wrap type="none"/>
                </v:rect>
                <v:rect id="shape_0" path="m0,0l-2147483645,0l-2147483645,-2147483646l0,-2147483646xe" stroked="f" o:allowincell="f" style="position:absolute;left:6459;top:11112;width:677;height:286;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ŝlosilo</w:t>
                        </w:r>
                      </w:p>
                    </w:txbxContent>
                  </v:textbox>
                  <v:fill o:detectmouseclick="t" on="false"/>
                  <v:stroke color="#3465a4" joinstyle="round" endcap="flat"/>
                  <w10:wrap type="none"/>
                </v:rect>
                <v:rect id="shape_0" path="m0,0l-2147483645,0l-2147483645,-2147483646l0,-2147483646xe" stroked="f" o:allowincell="f" style="position:absolute;left:7674;top:11153;width:2351;height:32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Ne-CO2 emisioj</w:t>
                        </w:r>
                      </w:p>
                    </w:txbxContent>
                  </v:textbox>
                  <v:fill o:detectmouseclick="t" on="false"/>
                  <v:stroke color="#3465a4" joinstyle="round" endcap="flat"/>
                  <w10:wrap type="none"/>
                </v:rect>
                <v:rect id="shape_0" path="m0,0l-2147483645,0l-2147483645,-2147483646l0,-2147483646xe" stroked="f" o:allowincell="f" style="position:absolute;left:7731;top:11879;width:2350;height:286;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Teruzoŝanĝo kaj forstado</w:t>
                        </w:r>
                      </w:p>
                    </w:txbxContent>
                  </v:textbox>
                  <v:fill o:detectmouseclick="t" on="false"/>
                  <v:stroke color="#3465a4" joinstyle="round" endcap="flat"/>
                  <w10:wrap type="none"/>
                </v:rect>
                <v:rect id="shape_0" path="m0,0l-2147483645,0l-2147483645,-2147483646l0,-2147483646xe" stroked="f" o:allowincell="f" style="position:absolute;left:7743;top:11614;width:2673;height:288;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Energioprovizo (inkluzive de elektro)</w:t>
                        </w:r>
                      </w:p>
                    </w:txbxContent>
                  </v:textbox>
                  <v:fill o:detectmouseclick="t" on="false"/>
                  <v:stroke color="#3465a4" joinstyle="round" endcap="flat"/>
                  <w10:wrap type="none"/>
                </v:rect>
                <v:rect id="shape_0" path="m0,0l-2147483645,0l-2147483645,-2147483646l0,-2147483646xe" stroked="f" o:allowincell="f" style="position:absolute;left:7687;top:11391;width:2617;height:287;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Transportado, industrio kaj konstruaĵoj</w:t>
                        </w:r>
                      </w:p>
                    </w:txbxContent>
                  </v:textbox>
                  <v:fill o:detectmouseclick="t" on="false"/>
                  <v:stroke color="#3465a4" joinstyle="round" endcap="flat"/>
                  <w10:wrap type="none"/>
                </v:rect>
                <v:rect id="shape_0" path="m0,0l-2147483645,0l-2147483645,-2147483646l0,-2147483646xe" stroked="f" o:allowincell="f" style="position:absolute;left:601;top:10889;width:4204;height:663;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c) Tutmondaj emisioj de metano (CH4 ).</w:t>
                        </w:r>
                      </w:p>
                    </w:txbxContent>
                  </v:textbox>
                  <v:fill o:detectmouseclick="t" on="false"/>
                  <v:stroke color="#3465a4" joinstyle="round" endcap="flat"/>
                  <w10:wrap type="none"/>
                </v:rect>
                <v:rect id="shape_0" path="m0,0l-2147483645,0l-2147483645,-2147483646l0,-2147483646xe" stroked="f" o:allowincell="f" style="position:absolute;left:-316;top:11290;width:1228;height:474;mso-wrap-style:square;v-text-anchor:top;rotation:270">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Microsoft YaHei" w:cs="Lucida Sans"/>
                            <w:color w:val="00000A"/>
                            <w:lang w:val="eo"/>
                          </w:rPr>
                          <w:t>MtCH4 /jaro</w:t>
                        </w:r>
                      </w:p>
                    </w:txbxContent>
                  </v:textbox>
                  <v:fill o:detectmouseclick="t" on="false"/>
                  <v:stroke color="#3465a4" joinstyle="round" endcap="flat"/>
                  <w10:wrap type="none"/>
                </v:rect>
                <v:rect id="shape_0" path="m0,0l-2147483645,0l-2147483645,-2147483646l0,-2147483646xe" stroked="f" o:allowincell="f" style="position:absolute;left:657;top:12954;width:4010;height:662;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Microsoft YaHei" w:cs="Lucida Sans"/>
                            <w:color w:val="00000A"/>
                            <w:lang w:val="eo"/>
                          </w:rPr>
                          <w:t xml:space="preserve">d) </w:t>
                        </w:r>
                        <w:r>
                          <w:rPr>
                            <w:sz w:val="20"/>
                            <w:b/>
                            <w:dstrike w:val="false"/>
                            <w:strike w:val="false"/>
                            <w:i w:val="false"/>
                            <w:vertAlign w:val="baseline"/>
                            <w:position w:val="0"/>
                            <w:spacing w:val="0"/>
                            <w:szCs w:val="20"/>
                            <w:bCs/>
                            <w:iCs w:val="false"/>
                            <w:smallCaps w:val="false"/>
                            <w:caps w:val="false"/>
                            <w:u w:val="single"/>
                            <w:rFonts w:ascii="Arial" w:hAnsi="Arial" w:eastAsia="Microsoft YaHei" w:cs="Lucida Sans"/>
                            <w:color w:val="00000A"/>
                            <w:lang w:val="eo"/>
                          </w:rPr>
                          <w:t xml:space="preserve">Neta nula </w:t>
                        </w:r>
                        <w:r>
                          <w:rPr>
                            <w:sz w:val="20"/>
                            <w:b/>
                            <w:dstrike w:val="false"/>
                            <w:strike w:val="false"/>
                            <w:i w:val="false"/>
                            <w:vertAlign w:val="baseline"/>
                            <w:position w:val="0"/>
                            <w:spacing w:val="0"/>
                            <w:szCs w:val="20"/>
                            <w:bCs/>
                            <w:iCs w:val="false"/>
                            <w:smallCaps w:val="false"/>
                            <w:caps w:val="false"/>
                            <w:u w:val="none"/>
                            <w:rFonts w:ascii="Arial" w:hAnsi="Arial" w:eastAsia="Microsoft YaHei" w:cs="Lucida Sans"/>
                            <w:color w:val="00000A"/>
                            <w:lang w:val="eo"/>
                          </w:rPr>
                          <w:t xml:space="preserve">CO2 estos atingita antaŭ </w:t>
                        </w:r>
                        <w:r>
                          <w:rPr>
                            <w:sz w:val="20"/>
                            <w:b/>
                            <w:dstrike w:val="false"/>
                            <w:strike w:val="false"/>
                            <w:i w:val="false"/>
                            <w:vertAlign w:val="baseline"/>
                            <w:position w:val="0"/>
                            <w:spacing w:val="0"/>
                            <w:szCs w:val="20"/>
                            <w:bCs/>
                            <w:iCs w:val="false"/>
                            <w:smallCaps w:val="false"/>
                            <w:caps w:val="false"/>
                            <w:u w:val="single"/>
                            <w:rFonts w:ascii="Arial" w:hAnsi="Arial" w:eastAsia="Microsoft YaHei" w:cs="Lucida Sans"/>
                            <w:color w:val="00000A"/>
                            <w:lang w:val="eo"/>
                          </w:rPr>
                          <w:t xml:space="preserve">neta nula </w:t>
                        </w:r>
                        <w:r>
                          <w:rPr>
                            <w:sz w:val="20"/>
                            <w:b/>
                            <w:dstrike w:val="false"/>
                            <w:strike w:val="false"/>
                            <w:i w:val="false"/>
                            <w:vertAlign w:val="baseline"/>
                            <w:position w:val="0"/>
                            <w:spacing w:val="0"/>
                            <w:szCs w:val="20"/>
                            <w:bCs/>
                            <w:iCs w:val="false"/>
                            <w:smallCaps w:val="false"/>
                            <w:caps w:val="false"/>
                            <w:u w:val="none"/>
                            <w:rFonts w:ascii="Arial" w:hAnsi="Arial" w:eastAsia="Microsoft YaHei" w:cs="Lucida Sans"/>
                            <w:color w:val="00000A"/>
                            <w:lang w:val="eo"/>
                          </w:rPr>
                          <w:t>GHG-emisio</w:t>
                        </w:r>
                      </w:p>
                    </w:txbxContent>
                  </v:textbox>
                  <v:fill o:detectmouseclick="t" on="false"/>
                  <v:stroke color="#3465a4" joinstyle="round" endcap="flat"/>
                  <w10:wrap type="none"/>
                </v:rect>
              </v:group>
            </w:pict>
          </mc:Fallback>
        </mc:AlternateContent>
      </w:r>
      <w:r>
        <w:br w:type="page"/>
      </w:r>
    </w:p>
    <w:p>
      <w:pPr>
        <w:pStyle w:val="ParagrapheBlancPetit"/>
        <w:shd w:val="clear" w:fill="FFFFFF"/>
        <w:rPr/>
      </w:pPr>
      <w:r>
        <w:rPr>
          <w:rStyle w:val="StyleGras"/>
        </w:rPr>
        <w:t xml:space="preserve">Figuro SPM.5: Tutmondaj emisiovojoj kongruaj kun efektivigitaj politikoj kaj mildigaj strategioj. Panelo (a), (b) </w:t>
      </w:r>
      <w:r>
        <w:rPr/>
        <w:t xml:space="preserve">kaj </w:t>
      </w:r>
      <w:r>
        <w:rPr>
          <w:rStyle w:val="StyleGras"/>
        </w:rPr>
        <w:t xml:space="preserve">(c) </w:t>
      </w:r>
      <w:r>
        <w:rPr/>
        <w:t>montras la evoluon de tutmondaj GHG, CO</w:t>
      </w:r>
      <w:r>
        <w:rPr>
          <w:vertAlign w:val="subscript"/>
        </w:rPr>
        <w:t xml:space="preserve">2 </w:t>
      </w:r>
      <w:r>
        <w:rPr/>
        <w:t>kaj metanemisioj en modeligitaj padoj, dum panelo (d) montras la rilatan tempigon de kiam GHG kaj CO</w:t>
      </w:r>
      <w:r>
        <w:rPr>
          <w:vertAlign w:val="subscript"/>
        </w:rPr>
        <w:t xml:space="preserve">2 </w:t>
      </w:r>
      <w:r>
        <w:rPr/>
        <w:t xml:space="preserve">emisioj atingas netan nul. Koloraj intervaloj indikas la 5-an ĝis 95-an percentilon trans la tutmondaj modeligitaj vojoj falantaj ene de antaŭfiksita kategorio kiel priskribite en Box SPM.1. La ruĝaj intervaloj prezentas emisiovojojn supozantajn politikojn kiuj estis efektivigitaj antaŭ la fino de 2020. Intervaloj de modeligitaj padoj kiuj limigas varmiĝon al 1.5 °C (&gt;50%) kun neniu aŭ limigita superfluo estas montritaj en helbluo (kategorio C1) kaj padoj kiuj limiga varmiĝo al 2°C (&gt;67%) estas montritaj en verdo (kategorio C3). Tutmondaj emisiaj vojoj, kiuj limigus varmiĝon al 1,5 °C (&gt;50%) kun neniu aŭ limigita superfluo kaj ankaŭ atingus netan nul GHG en la dua duono de la jarcento faras tion inter 2070-2075. </w:t>
      </w:r>
      <w:r>
        <w:rPr>
          <w:rStyle w:val="StyleGras"/>
        </w:rPr>
        <w:t xml:space="preserve">Panelo (e) </w:t>
      </w:r>
      <w:r>
        <w:rPr/>
        <w:t>montras la sektorajn kontribuojn de CO</w:t>
      </w:r>
      <w:r>
        <w:rPr>
          <w:vertAlign w:val="subscript"/>
        </w:rPr>
        <w:t xml:space="preserve">2 </w:t>
      </w:r>
      <w:r>
        <w:rPr/>
        <w:t xml:space="preserve">kaj ne-CO </w:t>
      </w:r>
      <w:r>
        <w:rPr>
          <w:vertAlign w:val="subscript"/>
        </w:rPr>
        <w:t xml:space="preserve">2 </w:t>
      </w:r>
      <w:r>
        <w:rPr/>
        <w:t>emisiaj fontoj kaj lavujoj en la tempo kiam netaj nulaj CO</w:t>
      </w:r>
      <w:r>
        <w:rPr>
          <w:vertAlign w:val="subscript"/>
        </w:rPr>
        <w:t xml:space="preserve">2 </w:t>
      </w:r>
      <w:r>
        <w:rPr/>
        <w:t>emisioj estas atingitaj en ilustraj mildigaj vojoj (IMP) kongruaj kun limigado de varmiĝo al 1.5 °C kun alta. dependeco de netaj negativaj emisioj (IMP-Neg) ("alta superfluo"), alta rimed-efikeco (IMP-LD), fokuso sur daŭripovo (IMP-SP), renovigeblaj (IMP-Ren) kaj limigado de varmiĝo al 2 °C kun malpli rapida mildigo komence sekvita per laŭpaŝa plifortigo (IMP-GS). Pozitivaj kaj negativaj emisioj por malsamaj IMP-oj estas komparitaj kun GHG-emisioj de la jaro 2019. Energioprovizo (inkluzive de elektro) inkluzivas bioenergion kun kapto kaj stokado de karbondioksida kaj rekta aera kapto kaj stokado de karbondioksido. CO</w:t>
      </w:r>
      <w:r>
        <w:rPr>
          <w:vertAlign w:val="subscript"/>
        </w:rPr>
        <w:t xml:space="preserve">2- </w:t>
      </w:r>
      <w:r>
        <w:rPr/>
        <w:t>emisioj de teruzoŝanĝo kaj forstado povas nur esti montritaj kiel neta nombro ĉar multaj modeloj ne raportas emisiojn kaj lavujojn de tiu ĉi kategorio aparte. {Figuro 3.6, 4.1} (Kesto SPM.1)</w:t>
      </w:r>
    </w:p>
    <w:p>
      <w:pPr>
        <w:pStyle w:val="ParagrapheBlanc"/>
        <w:rPr/>
      </w:pPr>
      <w:r>
        <w:rPr>
          <w:rStyle w:val="StyleGras"/>
        </w:rPr>
        <w:t>[FINO FIGURO SPM.5 ĈI TIE]</w:t>
      </w:r>
    </w:p>
    <w:p>
      <w:pPr>
        <w:pStyle w:val="ParagrapheBlanc"/>
        <w:rPr/>
      </w:pPr>
      <w:r>
        <w:rPr>
          <w:rStyle w:val="StyleGras"/>
        </w:rPr>
        <w:t>Overshoot: Superante Varmiĝantan Nivelon kaj Revenante</w:t>
      </w:r>
    </w:p>
    <w:p>
      <w:pPr>
        <w:pStyle w:val="ParagrapheBistre"/>
        <w:rPr/>
      </w:pPr>
      <w:r>
        <w:rPr>
          <w:b/>
          <w:color w:val="000000"/>
          <w:spacing w:val="-7"/>
          <w:w w:val="100"/>
          <w:sz w:val="22"/>
        </w:rPr>
        <w:t xml:space="preserve">B.7 Se </w:t>
      </w:r>
      <w:r>
        <w:rPr>
          <w:b/>
          <w:color w:val="000000"/>
          <w:spacing w:val="-8"/>
          <w:w w:val="100"/>
          <w:sz w:val="22"/>
        </w:rPr>
        <w:t xml:space="preserve">varmiĝo superas specifitan nivelon kiel 1,5°C, ĝi povus iom post iom esti reduktita denove atingante </w:t>
      </w:r>
      <w:r>
        <w:rPr>
          <w:b/>
          <w:color w:val="000000"/>
          <w:spacing w:val="0"/>
          <w:w w:val="100"/>
          <w:sz w:val="22"/>
        </w:rPr>
        <w:t xml:space="preserve">netajn </w:t>
      </w:r>
      <w:r>
        <w:rPr>
          <w:b/>
          <w:color w:val="000000"/>
          <w:w w:val="100"/>
          <w:sz w:val="22"/>
        </w:rPr>
        <w:t>negativajn tutmondajn emisiojn de CO</w:t>
      </w:r>
      <w:r>
        <w:rPr>
          <w:b/>
          <w:color w:val="000000"/>
          <w:w w:val="100"/>
          <w:position w:val="-1"/>
          <w:sz w:val="14"/>
        </w:rPr>
        <w:t>2.</w:t>
      </w:r>
      <w:r>
        <w:rPr>
          <w:b/>
          <w:color w:val="000000"/>
          <w:w w:val="100"/>
          <w:sz w:val="22"/>
        </w:rPr>
        <w:t xml:space="preserve"> Ĉi tio postulus plian deplojon de forigo de karbondioksido, kompare kun vojoj sen superfluo, kondukante al pli grandaj zorgoj pri realigeblo kaj daŭripovo. Overshoot implicas negativajn efikojn, kelkajn nemaligeblajn, kaj kromajn riskojn por homaj kaj naturaj sistemoj, ĉiuj kreskantaj kun la grandeco kaj daŭro de superfluo. (</w:t>
      </w:r>
      <w:r>
        <w:rPr>
          <w:rStyle w:val="StyleItaliques"/>
          <w:b/>
          <w:color w:val="000000"/>
          <w:w w:val="100"/>
          <w:sz w:val="22"/>
        </w:rPr>
        <w:t>alta konfido)</w:t>
      </w:r>
      <w:r>
        <w:rPr>
          <w:b/>
          <w:color w:val="000000"/>
          <w:w w:val="100"/>
          <w:sz w:val="22"/>
        </w:rPr>
        <w:t xml:space="preserve"> {3.1, 3.3, 3.4, Tabelo 3.1, Figuro 3.6}</w:t>
      </w:r>
      <w:r>
        <w:rPr>
          <w:b/>
          <w:color w:val="FF0000"/>
          <w:w w:val="100"/>
          <w:sz w:val="22"/>
        </w:rPr>
        <w:t xml:space="preserve"> </w:t>
      </w:r>
    </w:p>
    <w:p>
      <w:pPr>
        <w:pStyle w:val="ParagrapheBlanc"/>
        <w:rPr/>
      </w:pPr>
      <w:r>
        <w:rPr>
          <w:rStyle w:val="StyleGras"/>
        </w:rPr>
        <w:t xml:space="preserve">B.7.1 </w:t>
      </w:r>
      <w:r>
        <w:rPr/>
        <w:t>Nur malgranda nombro de la plej ambiciaj tutmondaj modeligitaj vojoj limigas tutmondan varmiĝon al 1,5°C (&gt;50%) antaŭ 2100 sen superi ĉi tiun nivelon provizore. Atingi kaj subteni netajn negativajn tutmondajn CO</w:t>
      </w:r>
      <w:r>
        <w:rPr>
          <w:vertAlign w:val="subscript"/>
        </w:rPr>
        <w:t xml:space="preserve">2 </w:t>
      </w:r>
      <w:r>
        <w:rPr/>
        <w:t>emisiojn, kun ĉiujaraj tarifoj de CDR pli grandaj ol restaj CO</w:t>
      </w:r>
      <w:r>
        <w:rPr>
          <w:vertAlign w:val="subscript"/>
        </w:rPr>
        <w:t xml:space="preserve">2 </w:t>
      </w:r>
      <w:r>
        <w:rPr/>
        <w:t>emisioj, iom post iom reduktus la varmnivelon denove (</w:t>
      </w:r>
      <w:r>
        <w:rPr>
          <w:rStyle w:val="StyleItaliques"/>
        </w:rPr>
        <w:t>alta fido)</w:t>
      </w:r>
      <w:r>
        <w:rPr/>
        <w:t xml:space="preserve">. Malfavoraj efikoj kiuj okazas dum ĉi tiu periodo de superfluo kaj kaŭzas kroman varmiĝon per retromekanismoj, kiel ekzemple pliigitaj arbarofajroj, amasa morteco de arboj, sekigado de torfejoj, kaj permafrostdegelo, malfortigado de naturaj terkarbonlavujoj kaj pliigado de ellasoj de GHG igus la revenon pli. defia </w:t>
      </w:r>
      <w:r>
        <w:rPr>
          <w:rStyle w:val="StyleItaliques"/>
        </w:rPr>
        <w:t>(meza konfido).</w:t>
      </w:r>
      <w:r>
        <w:rPr/>
        <w:t xml:space="preserve"> {3.3.2, 3.3.4, Tabelo 3.1, Figuro 3.6} (Kesto SPM.1)</w:t>
      </w:r>
    </w:p>
    <w:p>
      <w:pPr>
        <w:pStyle w:val="ParagrapheBlanc"/>
        <w:rPr/>
      </w:pPr>
      <w:r>
        <w:rPr>
          <w:rStyle w:val="StyleGras"/>
        </w:rPr>
        <w:t xml:space="preserve">B.7.2 </w:t>
      </w:r>
      <w:r>
        <w:rPr/>
        <w:t>Ju pli alta estas la grando kaj des pli longa estas la daŭro de transpaso, des pli da ekosistemoj kaj socioj estas eksponitaj al pli grandaj kaj pli disvastigitaj ŝanĝoj en klimataj efikoj, pliigante riskojn por multaj naturaj kaj homaj sistemoj. Kompare kun padoj sen superfluo, socioj alfrontus pli altajn riskojn al infrastrukturo, malaltaj marbordaj setlejoj kaj rilataj porvivaĵoj. Superado de 1.5 °C rezultigos neinversigeblajn malfavorajn efikojn al certaj ekosistemoj kun malalta rezisteco, kiel ekzemple polusaj, montaraj kaj marbordaj ekosistemoj, trafitaj de glacitavolo, glaĉera fandado aŭ per akcelo kaj pli alta engaĝita marnivelo. (</w:t>
      </w:r>
      <w:r>
        <w:rPr>
          <w:rStyle w:val="StyleItaliques"/>
        </w:rPr>
        <w:t>alta konfido)</w:t>
      </w:r>
      <w:r>
        <w:rPr/>
        <w:t xml:space="preserve"> {3.1.2, 3.3.4}</w:t>
      </w:r>
    </w:p>
    <w:p>
      <w:pPr>
        <w:pStyle w:val="ParagrapheBlanc"/>
        <w:rPr/>
      </w:pPr>
      <w:r>
        <w:rPr>
          <w:rStyle w:val="StyleGras"/>
        </w:rPr>
        <w:t xml:space="preserve">B.7.3 </w:t>
      </w:r>
      <w:r>
        <w:rPr/>
        <w:t>Ju pli granda la superiĝo, des pli da netaj negativaj CO</w:t>
      </w:r>
      <w:r>
        <w:rPr>
          <w:vertAlign w:val="subscript"/>
        </w:rPr>
        <w:t xml:space="preserve">2 </w:t>
      </w:r>
      <w:r>
        <w:rPr/>
        <w:t>emisioj bezonus por reveni al 1,5°C antaŭ 2100. Transiro al netaj nul CO</w:t>
      </w:r>
      <w:r>
        <w:rPr>
          <w:vertAlign w:val="subscript"/>
        </w:rPr>
        <w:t xml:space="preserve">2 </w:t>
      </w:r>
      <w:r>
        <w:rPr/>
        <w:t xml:space="preserve">emisio pli rapide kaj malpliigo de ne-CO </w:t>
      </w:r>
      <w:r>
        <w:rPr>
          <w:vertAlign w:val="subscript"/>
        </w:rPr>
        <w:t xml:space="preserve">2 </w:t>
      </w:r>
      <w:r>
        <w:rPr/>
        <w:t>emisio kiel metano pli rapide limigus pinton. varmigante nivelojn kaj reduktante la postulon por netaj negativaj CO</w:t>
      </w:r>
      <w:r>
        <w:rPr>
          <w:vertAlign w:val="subscript"/>
        </w:rPr>
        <w:t xml:space="preserve">2 </w:t>
      </w:r>
      <w:r>
        <w:rPr/>
        <w:t>emisioj, tiel reduktante fareblecon kaj daŭripovzorgojn, kaj sociajn kaj mediajn riskojn asociitajn kun CDR-deplojo grandskale. (</w:t>
      </w:r>
      <w:r>
        <w:rPr>
          <w:rStyle w:val="StyleItaliques"/>
        </w:rPr>
        <w:t>alta konfido)</w:t>
      </w:r>
      <w:r>
        <w:rPr/>
        <w:t xml:space="preserve"> {3.3.3, 3.3.4, 3.4.1, Tabelo 3.1}</w:t>
      </w:r>
      <w:r>
        <w:br w:type="page"/>
      </w:r>
    </w:p>
    <w:p>
      <w:pPr>
        <w:pStyle w:val="Titre1"/>
        <w:ind w:left="630" w:right="0" w:hanging="0"/>
        <w:rPr/>
      </w:pPr>
      <w:bookmarkStart w:id="5" w:name="__RefHeading___Toc76389_355317784"/>
      <w:bookmarkEnd w:id="5"/>
      <w:r>
        <w:rPr/>
        <w:t>C. Respondoj en la Proksima Tempo</w:t>
      </w:r>
    </w:p>
    <w:p>
      <w:pPr>
        <w:pStyle w:val="ParagrapheBlanc"/>
        <w:rPr/>
      </w:pPr>
      <w:r>
        <w:rPr>
          <w:rStyle w:val="StyleGras"/>
        </w:rPr>
        <w:t>Krizo de Near-Term Integrated Climate Action</w:t>
      </w:r>
    </w:p>
    <w:p>
      <w:pPr>
        <w:pStyle w:val="ParagrapheBistre"/>
        <w:rPr/>
      </w:pPr>
      <w:r>
        <w:rPr>
          <w:b/>
          <w:color w:val="000000"/>
          <w:spacing w:val="-8"/>
          <w:w w:val="100"/>
          <w:sz w:val="22"/>
        </w:rPr>
        <w:t xml:space="preserve">C.1 Klimata </w:t>
      </w:r>
      <w:r>
        <w:rPr>
          <w:b/>
          <w:color w:val="000000"/>
          <w:spacing w:val="-9"/>
          <w:w w:val="100"/>
          <w:sz w:val="22"/>
        </w:rPr>
        <w:t xml:space="preserve">ŝanĝo estas minaco al homa bonfarto kaj planeda sano </w:t>
      </w:r>
      <w:r>
        <w:rPr>
          <w:rStyle w:val="StyleItaliques"/>
          <w:b/>
          <w:color w:val="000000"/>
          <w:spacing w:val="-9"/>
          <w:w w:val="100"/>
          <w:sz w:val="22"/>
        </w:rPr>
        <w:t>(tre alta fido).</w:t>
      </w:r>
      <w:r>
        <w:rPr>
          <w:b/>
          <w:color w:val="000000"/>
          <w:spacing w:val="-9"/>
          <w:w w:val="100"/>
          <w:sz w:val="22"/>
        </w:rPr>
        <w:t xml:space="preserve"> Estas </w:t>
      </w:r>
      <w:r>
        <w:rPr>
          <w:b/>
          <w:color w:val="000000"/>
          <w:spacing w:val="0"/>
          <w:w w:val="100"/>
          <w:sz w:val="22"/>
        </w:rPr>
        <w:t xml:space="preserve">rapide fermiĝanta </w:t>
      </w:r>
      <w:r>
        <w:rPr>
          <w:b/>
          <w:color w:val="000000"/>
          <w:spacing w:val="-8"/>
          <w:w w:val="100"/>
          <w:sz w:val="22"/>
        </w:rPr>
        <w:t xml:space="preserve">fenestro </w:t>
      </w:r>
      <w:r>
        <w:rPr>
          <w:b/>
          <w:color w:val="000000"/>
          <w:spacing w:val="-7"/>
          <w:w w:val="100"/>
          <w:sz w:val="22"/>
        </w:rPr>
        <w:t>de ŝanco por certigi viveblan kaj daŭrigeblan estontecon por ĉiuj</w:t>
      </w:r>
      <w:r>
        <w:rPr>
          <w:b/>
          <w:color w:val="000000"/>
          <w:w w:val="100"/>
          <w:sz w:val="22"/>
        </w:rPr>
        <w:t xml:space="preserve"> </w:t>
      </w:r>
      <w:r>
        <w:rPr>
          <w:rStyle w:val="StyleItaliques"/>
          <w:b/>
          <w:color w:val="000000"/>
          <w:w w:val="100"/>
          <w:sz w:val="22"/>
        </w:rPr>
        <w:t>(tre alta konfidenco).</w:t>
      </w:r>
      <w:r>
        <w:rPr>
          <w:b/>
          <w:color w:val="000000"/>
          <w:w w:val="100"/>
          <w:sz w:val="22"/>
        </w:rPr>
        <w:t xml:space="preserve"> Klimata rezistema evoluo integras adaptadon kaj mildigon por antaŭenigi daŭripovon por ĉiuj, kaj estas ebligita per pliigita internacia kunlaboro inkluzive de plibonigita aliro al adekvataj financaj resursoj, precipe por vundeblaj regionoj, sektoroj kaj grupoj, kaj inkluziva regado kaj kunordigitaj politikoj (alta fido)</w:t>
      </w:r>
      <w:r>
        <w:rPr>
          <w:rStyle w:val="StyleItaliques"/>
          <w:b/>
          <w:color w:val="000000"/>
          <w:w w:val="100"/>
          <w:sz w:val="22"/>
        </w:rPr>
        <w:t>.</w:t>
      </w:r>
      <w:r>
        <w:rPr>
          <w:b/>
          <w:color w:val="000000"/>
          <w:w w:val="100"/>
          <w:sz w:val="22"/>
        </w:rPr>
        <w:t xml:space="preserve"> La elektoj kaj agoj efektivigitaj en ĉi tiu jardeko havos efikojn nun kaj dum miloj da jaroj (</w:t>
      </w:r>
      <w:r>
        <w:rPr>
          <w:rStyle w:val="StyleItaliques"/>
          <w:b/>
          <w:color w:val="000000"/>
          <w:w w:val="100"/>
          <w:sz w:val="22"/>
        </w:rPr>
        <w:t>alta fido)</w:t>
      </w:r>
      <w:r>
        <w:rPr>
          <w:b/>
          <w:color w:val="000000"/>
          <w:w w:val="100"/>
          <w:sz w:val="22"/>
        </w:rPr>
        <w:t>. {3.1, 3.3, 4.1, 4.2, 4.3, 4.4, 4.7, 4.8, 4.9, Figuro 3.1, Figuro 3.3, Figuro 4.2} (Figuro SPM.1; Figuro SPM.6)</w:t>
      </w:r>
    </w:p>
    <w:p>
      <w:pPr>
        <w:pStyle w:val="ParagrapheBlanc"/>
        <w:rPr/>
      </w:pPr>
      <w:r>
        <w:rPr>
          <w:rStyle w:val="StyleGras"/>
        </w:rPr>
        <w:t xml:space="preserve">C.1.1 </w:t>
      </w:r>
      <w:r>
        <w:rPr/>
        <w:t xml:space="preserve">Evidentoj pri observitaj malfavoraj efikoj kaj rilataj perdoj kaj damaĝoj, projekciitaj riskoj, niveloj kaj tendencoj en vundebleco kaj adaptiĝlimoj, pruvas, ke tutmonde klimata rezistema disvolva ago estas pli urĝa ol antaŭe taksita en AR5. Klimata rezistema evoluo integras adaptadon kaj GHG-mildigon por antaŭenigi daŭripovon por ĉiuj. Klimato-rezistemaj evoluvojoj estis limigitaj per pasinta evoluo, emisioj kaj klimata ŝanĝo kaj estas laŭstadie limigitaj per ĉiu pliigo de varmiĝo, precipe preter 1.5 °C. </w:t>
      </w:r>
      <w:r>
        <w:rPr>
          <w:rStyle w:val="StyleItaliques"/>
        </w:rPr>
        <w:t xml:space="preserve">(tre alta konfido) </w:t>
      </w:r>
      <w:r>
        <w:rPr/>
        <w:t>{3.4; 3.4.2; 4.1}</w:t>
      </w:r>
    </w:p>
    <w:p>
      <w:pPr>
        <w:pStyle w:val="ParagrapheBlanc"/>
        <w:rPr/>
      </w:pPr>
      <w:r>
        <w:rPr>
          <w:rStyle w:val="StyleGras"/>
        </w:rPr>
        <w:t xml:space="preserve">C.1.2 </w:t>
      </w:r>
      <w:r>
        <w:rPr/>
        <w:t xml:space="preserve">Registaraj agoj je subnacia, nacia kaj internacia niveloj, kun la civila socio kaj la privata sektoro, ludas decidan rolon por ebligi kaj akceli ŝanĝojn en evoluaj vojoj al daŭripovo kaj klimata rezistema evoluo </w:t>
      </w:r>
      <w:r>
        <w:rPr>
          <w:rStyle w:val="StyleItaliques"/>
        </w:rPr>
        <w:t>(tre alta fido).</w:t>
      </w:r>
      <w:r>
        <w:rPr/>
        <w:t xml:space="preserve"> Klimata rezistema evoluo estas ebligita kiam registaroj, burĝa socio kaj la privata sektoro faras inkluzivajn evoluelektojn kiuj prioritatas riskoredukton, egalecon kaj justecon, kaj kiam decidprocezoj, financo kaj agoj estas integritaj trans administradniveloj, sektoroj, kaj tempokadroj (</w:t>
      </w:r>
      <w:r>
        <w:rPr>
          <w:rStyle w:val="StyleItaliques"/>
        </w:rPr>
        <w:t>tre alta konfido).</w:t>
      </w:r>
      <w:r>
        <w:rPr/>
        <w:t xml:space="preserve"> Ebligaj kondiĉoj estas diferencigitaj laŭ naciaj, regionaj kaj lokaj cirkonstancoj kaj geografioj, laŭ kapabloj, kaj inkluzivas: politikan engaĝiĝon kaj sekvon, kunordigitajn politikojn, socian kaj internacian kunlaboron, ekosistemadministradon, inkluzivan administradon, scion diversecon, teknologian novigon, monitoradon kaj taksado, kaj plibonigita aliro al taŭgaj financaj rimedoj, precipe por vundeblaj regionoj, sektoroj kaj komunumoj (</w:t>
      </w:r>
      <w:r>
        <w:rPr>
          <w:rStyle w:val="StyleItaliques"/>
        </w:rPr>
        <w:t>alta fido)</w:t>
      </w:r>
      <w:r>
        <w:rPr/>
        <w:t>. {3.4; 4.2, 4.4, 4.5, 4.7, 4.8} (Figuro SPM.6)</w:t>
      </w:r>
    </w:p>
    <w:p>
      <w:pPr>
        <w:pStyle w:val="ParagrapheBlanc"/>
        <w:rPr/>
      </w:pPr>
      <w:r>
        <w:rPr>
          <w:rStyle w:val="StyleGras"/>
        </w:rPr>
        <w:t xml:space="preserve">C.1.3 </w:t>
      </w:r>
      <w:r>
        <w:rPr/>
        <w:t>Daŭraj emisioj plue influos ĉiujn ĉefajn klimatsistemajn komponantojn, kaj multaj ŝanĝoj estos nemaligeblaj en jarcentjaraj ĝis jarmilaj temposkaloj kaj fariĝos pli grandaj kun kreskanta mondvarmiĝo. Sen urĝaj, efikaj kaj justaj mildigaj kaj adaptadaj agoj, klimata ŝanĝo ĉiam pli minacas ekosistemojn, biodiversecon kaj la vivrimedojn, sanon kaj bonfarton de nunaj kaj estontaj generacioj. (</w:t>
      </w:r>
      <w:r>
        <w:rPr>
          <w:rStyle w:val="StyleItaliques"/>
        </w:rPr>
        <w:t>alta konfido)</w:t>
      </w:r>
      <w:r>
        <w:rPr/>
        <w:t xml:space="preserve"> {3.1.3; 3.3.3; 3.4.1, Figuro 3.4; 4.1, 4.2, 4.3, 4.4} (Figuro SPM.1, Figuro SPM.6).</w:t>
      </w:r>
    </w:p>
    <w:p>
      <w:pPr>
        <w:pStyle w:val="ParagrapheBlanc"/>
        <w:rPr/>
      </w:pPr>
      <w:r>
        <w:rPr>
          <w:rStyle w:val="StyleGras"/>
        </w:rPr>
        <w:t>[KOMENCU FIGURON SPM.6 ĈI TIE]</w:t>
      </w:r>
      <w:r>
        <w:br w:type="page"/>
      </w:r>
    </w:p>
    <w:p>
      <w:pPr>
        <w:pStyle w:val="ParagrapheBlanc"/>
        <w:shd w:val="clear" w:fill="FFFFFF"/>
        <w:rPr>
          <w:rStyle w:val="StyleGras"/>
        </w:rPr>
      </w:pPr>
      <w:r>
        <w:rPr/>
        <mc:AlternateContent>
          <mc:Choice Requires="wpg">
            <w:drawing>
              <wp:anchor behindDoc="0" distT="0" distB="0" distL="0" distR="0" simplePos="0" locked="0" layoutInCell="0" allowOverlap="1" relativeHeight="74">
                <wp:simplePos x="0" y="0"/>
                <wp:positionH relativeFrom="column">
                  <wp:posOffset>134620</wp:posOffset>
                </wp:positionH>
                <wp:positionV relativeFrom="paragraph">
                  <wp:posOffset>101600</wp:posOffset>
                </wp:positionV>
                <wp:extent cx="6837045" cy="4794250"/>
                <wp:effectExtent l="0" t="0" r="0" b="0"/>
                <wp:wrapTopAndBottom/>
                <wp:docPr id="73" name="Forme1"/>
                <a:graphic xmlns:a="http://schemas.openxmlformats.org/drawingml/2006/main">
                  <a:graphicData uri="http://schemas.microsoft.com/office/word/2010/wordprocessingGroup">
                    <wpg:wgp>
                      <wpg:cNvGrpSpPr/>
                      <wpg:grpSpPr>
                        <a:xfrm>
                          <a:off x="0" y="0"/>
                          <a:ext cx="6836400" cy="4793760"/>
                          <a:chOff x="134640" y="101520"/>
                          <a:chExt cx="6836400" cy="4793760"/>
                        </a:xfrm>
                      </wpg:grpSpPr>
                      <wps:wsp>
                        <wps:cNvSpPr/>
                        <wps:spPr>
                          <a:xfrm>
                            <a:off x="0" y="902880"/>
                            <a:ext cx="6836400" cy="3881880"/>
                          </a:xfrm>
                          <a:prstGeom prst="rect">
                            <a:avLst/>
                          </a:prstGeom>
                          <a:blipFill rotWithShape="0">
                            <a:blip r:embed="rId15"/>
                            <a:stretch>
                              <a:fillRect/>
                            </a:stretch>
                          </a:blipFill>
                          <a:ln w="0">
                            <a:noFill/>
                          </a:ln>
                        </wps:spPr>
                        <wps:style>
                          <a:lnRef idx="0"/>
                          <a:fillRef idx="0"/>
                          <a:effectRef idx="0"/>
                          <a:fontRef idx="minor"/>
                        </wps:style>
                        <wps:bodyPr/>
                      </wps:wsp>
                      <wps:wsp>
                        <wps:cNvSpPr/>
                        <wps:spPr>
                          <a:xfrm>
                            <a:off x="1522080" y="0"/>
                            <a:ext cx="5170320" cy="509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30"/>
                                  <w:b/>
                                  <w:u w:val="none"/>
                                  <w:dstrike w:val="false"/>
                                  <w:strike w:val="false"/>
                                  <w:i w:val="false"/>
                                  <w:vertAlign w:val="baseline"/>
                                  <w:position w:val="0"/>
                                  <w:spacing w:val="0"/>
                                  <w:szCs w:val="30"/>
                                  <w:bCs/>
                                  <w:iCs w:val="false"/>
                                  <w:smallCaps w:val="false"/>
                                  <w:caps w:val="false"/>
                                  <w:rFonts w:ascii="Arial" w:hAnsi="Arial" w:eastAsia="DejaVu Sans" w:cs="DejaVu Sans"/>
                                  <w:color w:val="000000"/>
                                  <w:lang w:val="eo"/>
                                </w:rPr>
                                <w:t>Estas rapide mallarĝiĝanta fenestro de ŝanco por ebligi klimatan rezisteman disvolviĝon</w:t>
                              </w:r>
                            </w:p>
                          </w:txbxContent>
                        </wps:txbx>
                        <wps:bodyPr lIns="90000" rIns="90000" tIns="45000" bIns="45000" anchor="t">
                          <a:noAutofit/>
                        </wps:bodyPr>
                      </wps:wsp>
                      <wps:wsp>
                        <wps:cNvSpPr/>
                        <wps:spPr>
                          <a:xfrm>
                            <a:off x="35640" y="969120"/>
                            <a:ext cx="1437120" cy="285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 xml:space="preserve">Kondiĉoj kiuj ebligas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FFFFFF"/>
                                  <w:lang w:val="eo"/>
                                </w:rPr>
                                <w:t>individuajn kaj kolektivajn agojn</w:t>
                              </w:r>
                            </w:p>
                          </w:txbxContent>
                        </wps:txbx>
                        <wps:bodyPr lIns="90000" rIns="90000" tIns="45000" bIns="45000" anchor="t">
                          <a:noAutofit/>
                        </wps:bodyPr>
                      </wps:wsp>
                      <wps:wsp>
                        <wps:cNvSpPr/>
                        <wps:spPr>
                          <a:xfrm>
                            <a:off x="35640" y="1296000"/>
                            <a:ext cx="1437120" cy="1176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Inkluziva regado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Diversaj scio kaj valoroj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*Financo kaj novigado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Integriĝo trans sektoroj kaj temposkaloj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Ekosistema administrado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Sinergioj inter klimato kaj evoluaj agoj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Kondutŝanĝo subtenata de politiko, infrastrukturo kaj socikulturaj faktoroj</w:t>
                              </w:r>
                            </w:p>
                          </w:txbxContent>
                        </wps:txbx>
                        <wps:bodyPr lIns="90000" rIns="90000" tIns="45000" bIns="45000" anchor="t">
                          <a:noAutofit/>
                        </wps:bodyPr>
                      </wps:wsp>
                      <wps:wsp>
                        <wps:cNvSpPr/>
                        <wps:spPr>
                          <a:xfrm>
                            <a:off x="208800" y="2590920"/>
                            <a:ext cx="939960" cy="186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Registaroj</w:t>
                              </w:r>
                            </w:p>
                          </w:txbxContent>
                        </wps:txbx>
                        <wps:bodyPr lIns="90000" rIns="90000" tIns="45000" bIns="45000" anchor="t">
                          <a:noAutofit/>
                        </wps:bodyPr>
                      </wps:wsp>
                      <wps:wsp>
                        <wps:cNvSpPr/>
                        <wps:spPr>
                          <a:xfrm>
                            <a:off x="209520" y="2592000"/>
                            <a:ext cx="939240" cy="186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Registaroj</w:t>
                              </w:r>
                            </w:p>
                          </w:txbxContent>
                        </wps:txbx>
                        <wps:bodyPr lIns="90000" rIns="90000" tIns="45000" bIns="45000" anchor="t">
                          <a:noAutofit/>
                        </wps:bodyPr>
                      </wps:wsp>
                      <wps:wsp>
                        <wps:cNvSpPr/>
                        <wps:spPr>
                          <a:xfrm>
                            <a:off x="695160" y="3173040"/>
                            <a:ext cx="752400" cy="186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Privata sektoro</w:t>
                              </w:r>
                            </w:p>
                          </w:txbxContent>
                        </wps:txbx>
                        <wps:bodyPr lIns="90000" rIns="90000" tIns="45000" bIns="45000" anchor="t">
                          <a:noAutofit/>
                        </wps:bodyPr>
                      </wps:wsp>
                      <wps:wsp>
                        <wps:cNvSpPr/>
                        <wps:spPr>
                          <a:xfrm>
                            <a:off x="0" y="3204360"/>
                            <a:ext cx="752400" cy="186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civila socio</w:t>
                              </w:r>
                            </w:p>
                          </w:txbxContent>
                        </wps:txbx>
                        <wps:bodyPr lIns="90000" rIns="90000" tIns="45000" bIns="45000" anchor="t">
                          <a:noAutofit/>
                        </wps:bodyPr>
                      </wps:wsp>
                      <wps:wsp>
                        <wps:cNvSpPr/>
                        <wps:spPr>
                          <a:xfrm>
                            <a:off x="35640" y="3492000"/>
                            <a:ext cx="1437120" cy="285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 xml:space="preserve">Kondiĉoj, kiuj limigas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FFFFFF"/>
                                  <w:lang w:val="eo"/>
                                </w:rPr>
                                <w:t>individuajn kaj kolektivajn agojn</w:t>
                              </w:r>
                            </w:p>
                          </w:txbxContent>
                        </wps:txbx>
                        <wps:bodyPr lIns="90000" rIns="90000" tIns="45000" bIns="45000" anchor="t">
                          <a:noAutofit/>
                        </wps:bodyPr>
                      </wps:wsp>
                      <wps:wsp>
                        <wps:cNvSpPr/>
                        <wps:spPr>
                          <a:xfrm>
                            <a:off x="108000" y="3923640"/>
                            <a:ext cx="1436400" cy="780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Malriĉeco, maljusteco kaj maljusteco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Ekonomiaj, instituciaj, sociaj kaj kapacaj baroj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Siligitaj respondoj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Manko de financo, kaj baroj al financo kaj teknologio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Kompromisoj kun SDG-oj</w:t>
                              </w:r>
                            </w:p>
                          </w:txbxContent>
                        </wps:txbx>
                        <wps:bodyPr lIns="90000" rIns="90000" tIns="45000" bIns="45000" anchor="t">
                          <a:noAutofit/>
                        </wps:bodyPr>
                      </wps:wsp>
                      <wps:wsp>
                        <wps:cNvSpPr/>
                        <wps:spPr>
                          <a:xfrm rot="16200000">
                            <a:off x="1015560" y="2638440"/>
                            <a:ext cx="1436400" cy="384120"/>
                          </a:xfrm>
                          <a:prstGeom prst="rect">
                            <a:avLst/>
                          </a:prstGeom>
                          <a:solidFill>
                            <a:srgbClr val="eeeeee"/>
                          </a:solid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Emisiaj reduktoj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Adaptiĝoj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evoluo</w:t>
                              </w:r>
                            </w:p>
                          </w:txbxContent>
                        </wps:txbx>
                        <wps:bodyPr lIns="90000" rIns="90000" tIns="45000" bIns="45000" anchor="t">
                          <a:noAutofit/>
                        </wps:bodyPr>
                      </wps:wsp>
                      <wps:wsp>
                        <wps:cNvSpPr/>
                        <wps:spPr>
                          <a:xfrm rot="16200000">
                            <a:off x="1284840" y="2688120"/>
                            <a:ext cx="1436400" cy="186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Klimata Resilienta Evoluo</w:t>
                              </w:r>
                            </w:p>
                          </w:txbxContent>
                        </wps:txbx>
                        <wps:bodyPr lIns="90000" rIns="90000" tIns="45000" bIns="45000" anchor="t">
                          <a:noAutofit/>
                        </wps:bodyPr>
                      </wps:wsp>
                      <wps:wsp>
                        <wps:cNvSpPr/>
                        <wps:spPr>
                          <a:xfrm>
                            <a:off x="2375640" y="1673280"/>
                            <a:ext cx="1437120" cy="483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Frua agado kaj ebligaj kondiĉoj kreas estontajn ŝancojn por klimata rezistema evoluo</w:t>
                              </w:r>
                            </w:p>
                          </w:txbxContent>
                        </wps:txbx>
                        <wps:bodyPr lIns="90000" rIns="90000" tIns="45000" bIns="45000" anchor="t">
                          <a:noAutofit/>
                        </wps:bodyPr>
                      </wps:wsp>
                      <wps:wsp>
                        <wps:cNvSpPr/>
                        <wps:spPr>
                          <a:xfrm>
                            <a:off x="2916000" y="1223640"/>
                            <a:ext cx="1436400" cy="285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Atingo de Daŭripova Evoluiga Celo (SDG).</w:t>
                              </w:r>
                            </w:p>
                          </w:txbxContent>
                        </wps:txbx>
                        <wps:bodyPr lIns="90000" rIns="90000" tIns="45000" bIns="45000" anchor="t">
                          <a:noAutofit/>
                        </wps:bodyPr>
                      </wps:wsp>
                      <wps:wsp>
                        <wps:cNvSpPr/>
                        <wps:spPr>
                          <a:xfrm rot="19560600">
                            <a:off x="3562920" y="1505160"/>
                            <a:ext cx="1436400" cy="2509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ŝancoj maltrafitaj</w:t>
                              </w:r>
                            </w:p>
                          </w:txbxContent>
                        </wps:txbx>
                        <wps:bodyPr lIns="90000" rIns="90000" tIns="45000" bIns="45000" anchor="t">
                          <a:noAutofit/>
                        </wps:bodyPr>
                      </wps:wsp>
                      <wps:wsp>
                        <wps:cNvSpPr/>
                        <wps:spPr>
                          <a:xfrm rot="19559400">
                            <a:off x="3678480" y="1992960"/>
                            <a:ext cx="1437120" cy="2502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varmiĝo limigita al sub 1,5 °C</w:t>
                              </w:r>
                            </w:p>
                          </w:txbxContent>
                        </wps:txbx>
                        <wps:bodyPr lIns="90000" rIns="90000" tIns="45000" bIns="45000" anchor="t">
                          <a:noAutofit/>
                        </wps:bodyPr>
                      </wps:wsp>
                      <wps:wsp>
                        <wps:cNvSpPr/>
                        <wps:spPr>
                          <a:xfrm>
                            <a:off x="5364000" y="971640"/>
                            <a:ext cx="1436400" cy="285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Rezultoj karakterizantaj evoluajn vojojn</w:t>
                              </w:r>
                            </w:p>
                          </w:txbxContent>
                        </wps:txbx>
                        <wps:bodyPr lIns="90000" rIns="90000" tIns="45000" bIns="45000" anchor="t">
                          <a:noAutofit/>
                        </wps:bodyPr>
                      </wps:wsp>
                      <wps:wsp>
                        <wps:cNvSpPr/>
                        <wps:spPr>
                          <a:xfrm>
                            <a:off x="5435640" y="1620000"/>
                            <a:ext cx="1221120" cy="716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Malaltaj emisioj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Sistemtransiroj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Transformo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 klimata risko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egaleco kaj justeco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SDG-atingo</w:t>
                              </w:r>
                            </w:p>
                          </w:txbxContent>
                        </wps:txbx>
                        <wps:bodyPr lIns="90000" rIns="90000" tIns="45000" bIns="45000" anchor="t">
                          <a:noAutofit/>
                        </wps:bodyPr>
                      </wps:wsp>
                      <wps:wsp>
                        <wps:cNvSpPr/>
                        <wps:spPr>
                          <a:xfrm>
                            <a:off x="5435640" y="3132000"/>
                            <a:ext cx="1221120" cy="878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Altaj emisioj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Fortikigitaj sistemoj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Adaptaj limoj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Maladaptado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Pliigante klimatan riskon</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Reduktita ebloj por disvolviĝo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Degenero de la ekosistemo</w:t>
                              </w:r>
                            </w:p>
                          </w:txbxContent>
                        </wps:txbx>
                        <wps:bodyPr lIns="90000" rIns="90000" tIns="45000" bIns="45000" anchor="t">
                          <a:noAutofit/>
                        </wps:bodyPr>
                      </wps:wsp>
                      <wps:wsp>
                        <wps:cNvSpPr/>
                        <wps:spPr>
                          <a:xfrm>
                            <a:off x="5759280" y="4428000"/>
                            <a:ext cx="1077120" cy="338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Ilustra "ŝoko" kiu interrompas evoluon</w:t>
                              </w:r>
                            </w:p>
                          </w:txbxContent>
                        </wps:txbx>
                        <wps:bodyPr lIns="90000" rIns="90000" tIns="45000" bIns="45000" anchor="t">
                          <a:noAutofit/>
                        </wps:bodyPr>
                      </wps:wsp>
                      <wps:wsp>
                        <wps:cNvSpPr/>
                        <wps:spPr>
                          <a:xfrm>
                            <a:off x="3636000" y="3590280"/>
                            <a:ext cx="1148760" cy="780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Perspektivoj por klimata rezistema evoluo estos plu limigitaj se mondvarmiĝo superos 1.5 °C kaj se progreso al la SDG-oj estas neadekvata.</w:t>
                              </w:r>
                            </w:p>
                          </w:txbxContent>
                        </wps:txbx>
                        <wps:bodyPr lIns="90000" rIns="90000" tIns="45000" bIns="45000" anchor="t">
                          <a:noAutofit/>
                        </wps:bodyPr>
                      </wps:wsp>
                      <wps:wsp>
                        <wps:cNvSpPr/>
                        <wps:spPr>
                          <a:xfrm>
                            <a:off x="5759280" y="4428000"/>
                            <a:ext cx="1077120" cy="3384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Ilustra "ŝoko" kiu interrompas evoluon</w:t>
                              </w:r>
                            </w:p>
                          </w:txbxContent>
                        </wps:txbx>
                        <wps:bodyPr lIns="90000" rIns="90000" tIns="45000" bIns="45000" anchor="t">
                          <a:noAutofit/>
                        </wps:bodyPr>
                      </wps:wsp>
                      <wps:wsp>
                        <wps:cNvSpPr/>
                        <wps:spPr>
                          <a:xfrm>
                            <a:off x="2196000" y="3176280"/>
                            <a:ext cx="1148760" cy="708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Pasintaj kondiĉoj (emisioj, klimata ŝanĝo, evoluo) pliigis varmiĝon kaj disvolvaj breĉoj daŭras</w:t>
                              </w:r>
                            </w:p>
                          </w:txbxContent>
                        </wps:txbx>
                        <wps:bodyPr lIns="90000" rIns="90000" tIns="45000" bIns="45000" anchor="t">
                          <a:noAutofit/>
                        </wps:bodyPr>
                      </wps:wsp>
                      <wps:wsp>
                        <wps:cNvSpPr/>
                        <wps:spPr>
                          <a:xfrm>
                            <a:off x="1835640" y="4391640"/>
                            <a:ext cx="609120" cy="285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Pasintaj kondiĉoj</w:t>
                              </w:r>
                            </w:p>
                          </w:txbxContent>
                        </wps:txbx>
                        <wps:bodyPr lIns="90000" rIns="90000" tIns="45000" bIns="45000" anchor="t">
                          <a:noAutofit/>
                        </wps:bodyPr>
                      </wps:wsp>
                      <wps:wsp>
                        <wps:cNvSpPr/>
                        <wps:spPr>
                          <a:xfrm>
                            <a:off x="2483640" y="4382280"/>
                            <a:ext cx="562680" cy="258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FFFFFF"/>
                                  <w:lang w:val="eo"/>
                                </w:rPr>
                                <w:t>nuna mondo</w:t>
                              </w:r>
                            </w:p>
                          </w:txbxContent>
                        </wps:txbx>
                        <wps:bodyPr lIns="90000" rIns="90000" tIns="45000" bIns="45000" anchor="t">
                          <a:noAutofit/>
                        </wps:bodyPr>
                      </wps:wsp>
                      <wps:wsp>
                        <wps:cNvSpPr/>
                        <wps:spPr>
                          <a:xfrm>
                            <a:off x="2448000" y="4607640"/>
                            <a:ext cx="608400" cy="186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IPCC AR6</w:t>
                              </w:r>
                            </w:p>
                          </w:txbxContent>
                        </wps:txbx>
                        <wps:bodyPr lIns="90000" rIns="90000" tIns="45000" bIns="45000" anchor="t">
                          <a:noAutofit/>
                        </wps:bodyPr>
                      </wps:wsp>
                      <wps:wsp>
                        <wps:cNvSpPr/>
                        <wps:spPr>
                          <a:xfrm>
                            <a:off x="1578600" y="431280"/>
                            <a:ext cx="5113800" cy="428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Multoblaj interagaj elektoj kaj agoj povas ŝanĝi evoluajn vojojn al daŭripovo</w:t>
                              </w:r>
                            </w:p>
                          </w:txbxContent>
                        </wps:txbx>
                        <wps:bodyPr lIns="90000" rIns="90000" tIns="45000" bIns="45000" anchor="t">
                          <a:noAutofit/>
                        </wps:bodyPr>
                      </wps:wsp>
                    </wpg:wgp>
                  </a:graphicData>
                </a:graphic>
              </wp:anchor>
            </w:drawing>
          </mc:Choice>
          <mc:Fallback>
            <w:pict>
              <v:group id="shape_0" alt="Forme1" style="position:absolute;margin-left:10.6pt;margin-top:8pt;width:538.3pt;height:377.45pt" coordorigin="212,160" coordsize="10766,7549">
                <v:rect id="shape_0" path="m0,0l-2147483645,0l-2147483645,-2147483646l0,-2147483646xe" stroked="f" o:allowincell="f" style="position:absolute;left:212;top:1582;width:10765;height:6112;mso-wrap-style:none;v-text-anchor:middle">
                  <v:imagedata r:id="rId15" o:detectmouseclick="t"/>
                  <v:stroke color="#3465a4" joinstyle="round" endcap="flat"/>
                  <w10:wrap type="topAndBottom"/>
                </v:rect>
                <v:rect id="shape_0" path="m0,0l-2147483645,0l-2147483645,-2147483646l0,-2147483646xe" stroked="f" o:allowincell="f" style="position:absolute;left:2609;top:160;width:8141;height:802;mso-wrap-style:square;v-text-anchor:top">
                  <v:textbox>
                    <w:txbxContent>
                      <w:p>
                        <w:pPr>
                          <w:overflowPunct w:val="false"/>
                          <w:spacing w:before="0" w:after="0" w:lineRule="auto" w:line="240"/>
                          <w:ind w:hanging="0"/>
                          <w:jc w:val="left"/>
                          <w:rPr/>
                        </w:pPr>
                        <w:r>
                          <w:rPr>
                            <w:sz w:val="30"/>
                            <w:b/>
                            <w:u w:val="none"/>
                            <w:dstrike w:val="false"/>
                            <w:strike w:val="false"/>
                            <w:i w:val="false"/>
                            <w:vertAlign w:val="baseline"/>
                            <w:position w:val="0"/>
                            <w:spacing w:val="0"/>
                            <w:szCs w:val="30"/>
                            <w:bCs/>
                            <w:iCs w:val="false"/>
                            <w:smallCaps w:val="false"/>
                            <w:caps w:val="false"/>
                            <w:rFonts w:ascii="Arial" w:hAnsi="Arial" w:eastAsia="DejaVu Sans" w:cs="DejaVu Sans"/>
                            <w:color w:val="000000"/>
                            <w:lang w:val="eo"/>
                          </w:rPr>
                          <w:t>Estas rapide mallarĝiĝanta fenestro de ŝanco por ebligi klimatan rezisteman disvolviĝon</w:t>
                        </w:r>
                      </w:p>
                    </w:txbxContent>
                  </v:textbox>
                  <v:fill o:detectmouseclick="t" on="false"/>
                  <v:stroke color="#3465a4" joinstyle="round" endcap="flat"/>
                  <w10:wrap type="topAndBottom"/>
                </v:rect>
                <v:rect id="shape_0" path="m0,0l-2147483645,0l-2147483645,-2147483646l0,-2147483646xe" stroked="f" o:allowincell="f" style="position:absolute;left:268;top:1686;width:2262;height:448;mso-wrap-style:square;v-text-anchor:top">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 xml:space="preserve">Kondiĉoj kiuj ebligas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FFFFFF"/>
                            <w:lang w:val="eo"/>
                          </w:rPr>
                          <w:t>individuajn kaj kolektivajn agojn</w:t>
                        </w:r>
                      </w:p>
                    </w:txbxContent>
                  </v:textbox>
                  <v:fill o:detectmouseclick="t" on="false"/>
                  <v:stroke color="#3465a4" joinstyle="round" endcap="flat"/>
                  <w10:wrap type="topAndBottom"/>
                </v:rect>
                <v:rect id="shape_0" path="m0,0l-2147483645,0l-2147483645,-2147483646l0,-2147483646xe" stroked="f" o:allowincell="f" style="position:absolute;left:268;top:2201;width:2262;height:1851;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Inkluziva regado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Diversaj scio kaj valoroj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*Financo kaj novigado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Integriĝo trans sektoroj kaj temposkaloj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Ekosistema administrado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Sinergioj inter klimato kaj evoluaj agoj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Kondutŝanĝo subtenata de politiko, infrastrukturo kaj socikulturaj faktoroj</w:t>
                        </w:r>
                      </w:p>
                    </w:txbxContent>
                  </v:textbox>
                  <v:fill o:detectmouseclick="t" on="false"/>
                  <v:stroke color="#3465a4" joinstyle="round" endcap="flat"/>
                  <w10:wrap type="topAndBottom"/>
                </v:rect>
                <v:rect id="shape_0" path="m0,0l-2147483645,0l-2147483645,-2147483646l0,-2147483646xe" stroked="f" o:allowincell="f" style="position:absolute;left:541;top:4240;width:1479;height:293;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Registaroj</w:t>
                        </w:r>
                      </w:p>
                    </w:txbxContent>
                  </v:textbox>
                  <v:fill o:detectmouseclick="t" on="false"/>
                  <v:stroke color="#3465a4" joinstyle="round" endcap="flat"/>
                  <w10:wrap type="topAndBottom"/>
                </v:rect>
                <v:rect id="shape_0" path="m0,0l-2147483645,0l-2147483645,-2147483646l0,-2147483646xe" stroked="f" o:allowincell="f" style="position:absolute;left:542;top:4242;width:1478;height:293;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Registaroj</w:t>
                        </w:r>
                      </w:p>
                    </w:txbxContent>
                  </v:textbox>
                  <v:fill o:detectmouseclick="t" on="false"/>
                  <v:stroke color="#3465a4" joinstyle="round" endcap="flat"/>
                  <w10:wrap type="topAndBottom"/>
                </v:rect>
                <v:rect id="shape_0" path="m0,0l-2147483645,0l-2147483645,-2147483646l0,-2147483646xe" stroked="f" o:allowincell="f" style="position:absolute;left:1307;top:5157;width:1184;height:293;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Privata sektoro</w:t>
                        </w:r>
                      </w:p>
                    </w:txbxContent>
                  </v:textbox>
                  <v:fill o:detectmouseclick="t" on="false"/>
                  <v:stroke color="#3465a4" joinstyle="round" endcap="flat"/>
                  <w10:wrap type="topAndBottom"/>
                </v:rect>
                <v:rect id="shape_0" path="m0,0l-2147483645,0l-2147483645,-2147483646l0,-2147483646xe" stroked="f" o:allowincell="f" style="position:absolute;left:212;top:5206;width:1184;height:292;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civila socio</w:t>
                        </w:r>
                      </w:p>
                    </w:txbxContent>
                  </v:textbox>
                  <v:fill o:detectmouseclick="t" on="false"/>
                  <v:stroke color="#3465a4" joinstyle="round" endcap="flat"/>
                  <w10:wrap type="topAndBottom"/>
                </v:rect>
                <v:rect id="shape_0" path="m0,0l-2147483645,0l-2147483645,-2147483646l0,-2147483646xe" stroked="f" o:allowincell="f" style="position:absolute;left:268;top:5659;width:2262;height:448;mso-wrap-style:square;v-text-anchor:top">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 xml:space="preserve">Kondiĉoj, kiuj limigas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FFFFFF"/>
                            <w:lang w:val="eo"/>
                          </w:rPr>
                          <w:t>individuajn kaj kolektivajn agojn</w:t>
                        </w:r>
                      </w:p>
                    </w:txbxContent>
                  </v:textbox>
                  <v:fill o:detectmouseclick="t" on="false"/>
                  <v:stroke color="#3465a4" joinstyle="round" endcap="flat"/>
                  <w10:wrap type="topAndBottom"/>
                </v:rect>
                <v:rect id="shape_0" path="m0,0l-2147483645,0l-2147483645,-2147483646l0,-2147483646xe" stroked="f" o:allowincell="f" style="position:absolute;left:382;top:6339;width:2261;height:1228;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Malriĉeco, maljusteco kaj maljusteco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Ekonomiaj, instituciaj, sociaj kaj kapacaj baroj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Siligitaj respondoj</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Manko de financo, kaj baroj al financo kaj teknologio</w:t>
                        </w:r>
                      </w:p>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Kompromisoj kun SDG-oj</w:t>
                        </w:r>
                      </w:p>
                    </w:txbxContent>
                  </v:textbox>
                  <v:fill o:detectmouseclick="t" on="false"/>
                  <v:stroke color="#3465a4" joinstyle="round" endcap="flat"/>
                  <w10:wrap type="topAndBottom"/>
                </v:rect>
                <v:rect id="shape_0" path="m0,0l-2147483645,0l-2147483645,-2147483646l0,-2147483646xe" fillcolor="#eeeeee" stroked="f" o:allowincell="f" style="position:absolute;left:1812;top:4315;width:2261;height:604;mso-wrap-style:square;v-text-anchor:top;rotation:270">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Emisiaj reduktoj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Adaptiĝoj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evoluo</w:t>
                        </w:r>
                      </w:p>
                    </w:txbxContent>
                  </v:textbox>
                  <v:fill o:detectmouseclick="t" type="solid" color2="#111111"/>
                  <v:stroke color="#3465a4" joinstyle="round" endcap="flat"/>
                  <w10:wrap type="topAndBottom"/>
                </v:rect>
                <v:rect id="shape_0" path="m0,0l-2147483645,0l-2147483645,-2147483646l0,-2147483646xe" stroked="f" o:allowincell="f" style="position:absolute;left:2236;top:4393;width:2261;height:292;mso-wrap-style:square;v-text-anchor:top;rotation:270">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Klimata Resilienta Evoluo</w:t>
                        </w:r>
                      </w:p>
                    </w:txbxContent>
                  </v:textbox>
                  <v:fill o:detectmouseclick="t" on="false"/>
                  <v:stroke color="#3465a4" joinstyle="round" endcap="flat"/>
                  <w10:wrap type="topAndBottom"/>
                </v:rect>
                <v:rect id="shape_0" path="m0,0l-2147483645,0l-2147483645,-2147483646l0,-2147483646xe" stroked="f" o:allowincell="f" style="position:absolute;left:3953;top:2795;width:2262;height:76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Frua agado kaj ebligaj kondiĉoj kreas estontajn ŝancojn por klimata rezistema evoluo</w:t>
                        </w:r>
                      </w:p>
                    </w:txbxContent>
                  </v:textbox>
                  <v:fill o:detectmouseclick="t" on="false"/>
                  <v:stroke color="#3465a4" joinstyle="round" endcap="flat"/>
                  <w10:wrap type="topAndBottom"/>
                </v:rect>
                <v:rect id="shape_0" path="m0,0l-2147483645,0l-2147483645,-2147483646l0,-2147483646xe" stroked="f" o:allowincell="f" style="position:absolute;left:4804;top:2087;width:2261;height:448;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Atingo de Daŭripova Evoluiga Celo (SDG).</w:t>
                        </w:r>
                      </w:p>
                    </w:txbxContent>
                  </v:textbox>
                  <v:fill o:detectmouseclick="t" on="false"/>
                  <v:stroke color="#3465a4" joinstyle="round" endcap="flat"/>
                  <w10:wrap type="topAndBottom"/>
                </v:rect>
                <v:rect id="shape_0" path="m0,0l-2147483645,0l-2147483645,-2147483646l0,-2147483646xe" stroked="f" o:allowincell="f" style="position:absolute;left:5824;top:2530;width:2261;height:394;mso-wrap-style:square;v-text-anchor:top;rotation:326">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ŝancoj maltrafitaj</w:t>
                        </w:r>
                      </w:p>
                    </w:txbxContent>
                  </v:textbox>
                  <v:fill o:detectmouseclick="t" on="false"/>
                  <v:stroke color="#3465a4" joinstyle="round" endcap="flat"/>
                  <w10:wrap type="topAndBottom"/>
                </v:rect>
                <v:rect id="shape_0" path="m0,0l-2147483645,0l-2147483645,-2147483646l0,-2147483646xe" stroked="f" o:allowincell="f" style="position:absolute;left:6006;top:3299;width:2262;height:393;mso-wrap-style:square;v-text-anchor:top;rotation:326">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varmiĝo limigita al sub 1,5 °C</w:t>
                        </w:r>
                      </w:p>
                    </w:txbxContent>
                  </v:textbox>
                  <v:fill o:detectmouseclick="t" on="false"/>
                  <v:stroke color="#3465a4" joinstyle="round" endcap="flat"/>
                  <w10:wrap type="topAndBottom"/>
                </v:rect>
                <v:rect id="shape_0" path="m0,0l-2147483645,0l-2147483645,-2147483646l0,-2147483646xe" stroked="f" o:allowincell="f" style="position:absolute;left:8659;top:1690;width:2261;height:448;mso-wrap-style:square;v-text-anchor:top">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Rezultoj karakterizantaj evoluajn vojojn</w:t>
                        </w:r>
                      </w:p>
                    </w:txbxContent>
                  </v:textbox>
                  <v:fill o:detectmouseclick="t" on="false"/>
                  <v:stroke color="#3465a4" joinstyle="round" endcap="flat"/>
                  <w10:wrap type="topAndBottom"/>
                </v:rect>
                <v:rect id="shape_0" path="m0,0l-2147483645,0l-2147483645,-2147483646l0,-2147483646xe" stroked="f" o:allowincell="f" style="position:absolute;left:8772;top:2711;width:1922;height:1127;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Malaltaj emisioj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Sistemtransiroj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Transformo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 klimata risko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egaleco kaj justeco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SDG-atingo</w:t>
                        </w:r>
                      </w:p>
                    </w:txbxContent>
                  </v:textbox>
                  <v:fill o:detectmouseclick="t" on="false"/>
                  <v:stroke color="#3465a4" joinstyle="round" endcap="flat"/>
                  <w10:wrap type="topAndBottom"/>
                </v:rect>
                <v:rect id="shape_0" path="m0,0l-2147483645,0l-2147483645,-2147483646l0,-2147483646xe" stroked="f" o:allowincell="f" style="position:absolute;left:8772;top:5092;width:1922;height:1383;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Altaj emisioj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Fortikigitaj sistemoj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Adaptaj limoj</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Maladaptado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Pliigante klimatan riskon</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Reduktita ebloj por disvolviĝo</w:t>
                        </w:r>
                      </w:p>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Degenero de la ekosistemo</w:t>
                        </w:r>
                      </w:p>
                    </w:txbxContent>
                  </v:textbox>
                  <v:fill o:detectmouseclick="t" on="false"/>
                  <v:stroke color="#3465a4" joinstyle="round" endcap="flat"/>
                  <w10:wrap type="topAndBottom"/>
                </v:rect>
                <v:rect id="shape_0" path="m0,0l-2147483645,0l-2147483645,-2147483646l0,-2147483646xe" stroked="f" o:allowincell="f" style="position:absolute;left:9282;top:7133;width:1695;height:532;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Ilustra "ŝoko" kiu interrompas evoluon</w:t>
                        </w:r>
                      </w:p>
                    </w:txbxContent>
                  </v:textbox>
                  <v:fill o:detectmouseclick="t" on="false"/>
                  <v:stroke color="#3465a4" joinstyle="round" endcap="flat"/>
                  <w10:wrap type="topAndBottom"/>
                </v:rect>
                <v:rect id="shape_0" path="m0,0l-2147483645,0l-2147483645,-2147483646l0,-2147483646xe" stroked="f" o:allowincell="f" style="position:absolute;left:5938;top:5814;width:1808;height:1228;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Perspektivoj por klimata rezistema evoluo estos plu limigitaj se mondvarmiĝo superos 1.5 °C kaj se progreso al la SDG-oj estas neadekvata.</w:t>
                        </w:r>
                      </w:p>
                    </w:txbxContent>
                  </v:textbox>
                  <v:fill o:detectmouseclick="t" on="false"/>
                  <v:stroke color="#3465a4" joinstyle="round" endcap="flat"/>
                  <w10:wrap type="topAndBottom"/>
                </v:rect>
                <v:rect id="shape_0" path="m0,0l-2147483645,0l-2147483645,-2147483646l0,-2147483646xe" stroked="f" o:allowincell="f" style="position:absolute;left:9282;top:7133;width:1695;height:532;mso-wrap-style:square;v-text-anchor:top">
                  <v:textbox>
                    <w:txbxContent>
                      <w:p>
                        <w:pPr>
                          <w:overflowPunct w:val="false"/>
                          <w:spacing w:before="0" w:after="0" w:lineRule="auto" w:line="240"/>
                          <w:ind w:hanging="0"/>
                          <w:jc w:val="center"/>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Ilustra "ŝoko" kiu interrompas evoluon</w:t>
                        </w:r>
                      </w:p>
                    </w:txbxContent>
                  </v:textbox>
                  <v:fill o:detectmouseclick="t" on="false"/>
                  <v:stroke color="#3465a4" joinstyle="round" endcap="flat"/>
                  <w10:wrap type="topAndBottom"/>
                </v:rect>
                <v:rect id="shape_0" path="m0,0l-2147483645,0l-2147483645,-2147483646l0,-2147483646xe" stroked="f" o:allowincell="f" style="position:absolute;left:3670;top:5162;width:1808;height:1114;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Pasintaj kondiĉoj (emisioj, klimata ŝanĝo, evoluo) pliigis varmiĝon kaj disvolvaj breĉoj daŭras</w:t>
                        </w:r>
                      </w:p>
                    </w:txbxContent>
                  </v:textbox>
                  <v:fill o:detectmouseclick="t" on="false"/>
                  <v:stroke color="#3465a4" joinstyle="round" endcap="flat"/>
                  <w10:wrap type="topAndBottom"/>
                </v:rect>
                <v:rect id="shape_0" path="m0,0l-2147483645,0l-2147483645,-2147483646l0,-2147483646xe" stroked="f" o:allowincell="f" style="position:absolute;left:3103;top:7076;width:958;height:448;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Pasintaj kondiĉoj</w:t>
                        </w:r>
                      </w:p>
                    </w:txbxContent>
                  </v:textbox>
                  <v:fill o:detectmouseclick="t" on="false"/>
                  <v:stroke color="#3465a4" joinstyle="round" endcap="flat"/>
                  <w10:wrap type="topAndBottom"/>
                </v:rect>
                <v:rect id="shape_0" path="m0,0l-2147483645,0l-2147483645,-2147483646l0,-2147483646xe" stroked="f" o:allowincell="f" style="position:absolute;left:4123;top:7061;width:885;height:406;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FFFFFF"/>
                            <w:lang w:val="eo"/>
                          </w:rPr>
                          <w:t>nuna mondo</w:t>
                        </w:r>
                      </w:p>
                    </w:txbxContent>
                  </v:textbox>
                  <v:fill o:detectmouseclick="t" on="false"/>
                  <v:stroke color="#3465a4" joinstyle="round" endcap="flat"/>
                  <w10:wrap type="topAndBottom"/>
                </v:rect>
                <v:rect id="shape_0" path="m0,0l-2147483645,0l-2147483645,-2147483646l0,-2147483646xe" stroked="f" o:allowincell="f" style="position:absolute;left:4067;top:7416;width:957;height:292;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IPCC AR6</w:t>
                        </w:r>
                      </w:p>
                    </w:txbxContent>
                  </v:textbox>
                  <v:fill o:detectmouseclick="t" on="false"/>
                  <v:stroke color="#3465a4" joinstyle="round" endcap="flat"/>
                  <w10:wrap type="topAndBottom"/>
                </v:rect>
                <v:rect id="shape_0" path="m0,0l-2147483645,0l-2147483645,-2147483646l0,-2147483646xe" stroked="f" o:allowincell="f" style="position:absolute;left:2698;top:839;width:8052;height:674;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Multoblaj interagaj elektoj kaj agoj povas ŝanĝi evoluajn vojojn al daŭripovo</w:t>
                        </w:r>
                      </w:p>
                    </w:txbxContent>
                  </v:textbox>
                  <v:fill o:detectmouseclick="t" on="false"/>
                  <v:stroke color="#3465a4" joinstyle="round" endcap="flat"/>
                  <w10:wrap type="topAndBottom"/>
                </v:rect>
              </v:group>
            </w:pict>
          </mc:Fallback>
        </mc:AlternateContent>
      </w:r>
    </w:p>
    <w:p>
      <w:pPr>
        <w:pStyle w:val="ParagrapheBlancPetit"/>
        <w:rPr/>
      </w:pPr>
      <w:r>
        <w:rPr>
          <w:rStyle w:val="StyleGras"/>
        </w:rPr>
        <w:t xml:space="preserve">Figuro SPM.6: </w:t>
      </w:r>
      <w:r>
        <w:rPr/>
        <w:t>La ilustraj disvolvaj vojoj (ruĝa al verda) kaj rilataj rezultoj (dekstra panelo) montras, ke estas rapide mallarĝiĝanta fenestro de ŝanco por certigi viveblan kaj daŭrigeblan estontecon por ĉiuj. Klimata rezistema evoluo estas la procezo de efektivigado de forcej-efikaj gasoj mildigaj kaj adaptaj mezuroj por subteni daŭripovon. Diverĝaj vojoj ilustras, ke interagaj elektoj kaj agoj faritaj de diversspecaj aktoroj de la registaro, privata sektoro kaj civila socio povas antaŭenigi klimatan rezisteman evoluon, ŝanĝi vojojn al daŭripovo kaj ebligi pli malaltajn emisiojn kaj adaptadon. Diversaj scio kaj valoroj inkluzivas kulturajn valorojn, Indiĝenan Scion, lokan scion kaj sciencan scion. Klimataj kaj ne-klimataj okazaĵoj, kiel ekzemple sekecoj, inundoj aŭ pandemioj, prezentas pli severajn ŝokojn al padoj kun pli malalta klimata rezistema evoluo (ruĝa ĝis flava) ol al padoj kun pli alta klimata rezistema evoluo (verda). Estas limoj al adaptado kaj adapta kapablo por iuj homaj kaj naturaj sistemoj ĉe mondvarmiĝo de 1.5 °C, kaj kun ĉiu pliigo de varmiĝo, perdoj kaj damaĝoj pliiĝos. La disvolvaj vojoj prenitaj de landoj en ĉiuj stadioj de ekonomia evoluo efikas sur GHG-emisioj kaj mildigaj defioj kaj ŝancoj, kiuj varias laŭ landoj kaj regionoj. Padoj kaj ŝancoj por ago estas formitaj per antaŭaj agoj (aŭ neagoj kaj ŝancoj maltrafitaj; strekita pado) kaj ebligaj kaj limigaj kondiĉoj (maldekstra panelo), kaj okazas en la kunteksto de klimataj riskoj, adaptiĝlimoj kaj evoluinterspacoj. Ju pli longaj emisioreduktoj estas prokrastitaj, des malpli efikaj adaptaj opcioj. {Figuro 4.2; 3.1; 3.2; 3.4; 4.2; 4.4; 4.5; 4.6; 4.9}</w:t>
      </w:r>
    </w:p>
    <w:p>
      <w:pPr>
        <w:pStyle w:val="ParagrapheBlanc"/>
        <w:rPr/>
      </w:pPr>
      <w:r>
        <w:rPr>
          <w:rStyle w:val="StyleGras"/>
        </w:rPr>
        <w:t>[FINO FIGURO SPM.6 ĈI TIE]</w:t>
      </w:r>
    </w:p>
    <w:p>
      <w:pPr>
        <w:pStyle w:val="ParagrapheBlanc"/>
        <w:rPr/>
      </w:pPr>
      <w:r>
        <w:rPr>
          <w:rStyle w:val="StyleGras"/>
        </w:rPr>
        <w:t>La Avantaĝoj de Proksimtempa Agado</w:t>
      </w:r>
    </w:p>
    <w:p>
      <w:pPr>
        <w:pStyle w:val="ParagrapheBistre"/>
        <w:rPr/>
      </w:pPr>
      <w:r>
        <w:rPr>
          <w:b/>
          <w:color w:val="000000"/>
          <w:spacing w:val="-8"/>
          <w:w w:val="100"/>
          <w:sz w:val="22"/>
        </w:rPr>
        <w:t xml:space="preserve">C.2 Profunda, rapida kaj daŭra mildigo kaj akcelita efektivigo de adaptaj agoj en </w:t>
      </w:r>
      <w:r>
        <w:rPr>
          <w:b/>
          <w:color w:val="000000"/>
          <w:spacing w:val="0"/>
          <w:w w:val="100"/>
          <w:sz w:val="22"/>
        </w:rPr>
        <w:t xml:space="preserve">ĉi tiu </w:t>
      </w:r>
      <w:r>
        <w:rPr>
          <w:b/>
          <w:color w:val="000000"/>
          <w:spacing w:val="-8"/>
          <w:w w:val="100"/>
          <w:sz w:val="22"/>
        </w:rPr>
        <w:t xml:space="preserve">jardeko reduktus projektitajn perdojn kaj damaĝojn por homoj kaj ekosistemoj </w:t>
      </w:r>
      <w:r>
        <w:rPr>
          <w:rStyle w:val="StyleItaliques"/>
          <w:b/>
          <w:color w:val="000000"/>
          <w:spacing w:val="-8"/>
          <w:w w:val="100"/>
          <w:sz w:val="22"/>
        </w:rPr>
        <w:t xml:space="preserve">(tre alta fido) </w:t>
      </w:r>
      <w:r>
        <w:rPr>
          <w:b/>
          <w:color w:val="000000"/>
          <w:spacing w:val="-8"/>
          <w:w w:val="100"/>
          <w:sz w:val="22"/>
        </w:rPr>
        <w:t xml:space="preserve">, kaj </w:t>
      </w:r>
      <w:r>
        <w:rPr>
          <w:b/>
          <w:color w:val="000000"/>
          <w:w w:val="100"/>
          <w:sz w:val="22"/>
        </w:rPr>
        <w:t xml:space="preserve">liverus </w:t>
      </w:r>
      <w:r>
        <w:rPr>
          <w:b/>
          <w:color w:val="000000"/>
          <w:spacing w:val="-7"/>
          <w:w w:val="100"/>
          <w:sz w:val="22"/>
        </w:rPr>
        <w:t>multajn kunprofitojn, precipe por aerkvalito kaj sano (</w:t>
      </w:r>
      <w:r>
        <w:rPr>
          <w:rStyle w:val="StyleItaliques"/>
          <w:b/>
          <w:color w:val="000000"/>
          <w:spacing w:val="-7"/>
          <w:w w:val="100"/>
          <w:sz w:val="22"/>
        </w:rPr>
        <w:t>alta- konfido)</w:t>
      </w:r>
      <w:r>
        <w:rPr>
          <w:b/>
          <w:color w:val="000000"/>
          <w:spacing w:val="-7"/>
          <w:w w:val="100"/>
          <w:sz w:val="22"/>
        </w:rPr>
        <w:t xml:space="preserve">. Malfrua mildigo kaj adapta </w:t>
      </w:r>
      <w:r>
        <w:rPr>
          <w:b/>
          <w:color w:val="000000"/>
          <w:w w:val="100"/>
          <w:sz w:val="22"/>
        </w:rPr>
        <w:t>ago enfermus alt-emisian infrastrukturon, altigus riskojn de senhelpaj aktivoj kaj kostpligrandigon, reduktus fareblecon kaj pliigus perdojn kaj damaĝojn (</w:t>
      </w:r>
      <w:r>
        <w:rPr>
          <w:rStyle w:val="StyleItaliques"/>
          <w:b/>
          <w:color w:val="000000"/>
          <w:w w:val="100"/>
          <w:sz w:val="22"/>
        </w:rPr>
        <w:t>alta fido)</w:t>
      </w:r>
      <w:r>
        <w:rPr>
          <w:b/>
          <w:color w:val="000000"/>
          <w:w w:val="100"/>
          <w:sz w:val="22"/>
        </w:rPr>
        <w:t>. Baldaŭtempaj agoj implikas altajn antaŭajn investojn kaj eble interrompajn ŝanĝojn, kiuj povas esti malpliigitaj per gamo da ebligaj politikoj (</w:t>
      </w:r>
      <w:r>
        <w:rPr>
          <w:rStyle w:val="StyleItaliques"/>
          <w:b/>
          <w:color w:val="000000"/>
          <w:w w:val="100"/>
          <w:sz w:val="22"/>
        </w:rPr>
        <w:t>alta fido)</w:t>
      </w:r>
      <w:r>
        <w:rPr>
          <w:b/>
          <w:color w:val="000000"/>
          <w:w w:val="100"/>
          <w:sz w:val="22"/>
        </w:rPr>
        <w:t xml:space="preserve">. </w:t>
      </w:r>
      <w:r>
        <w:rPr>
          <w:b/>
          <w:color w:val="1E1E1E"/>
          <w:w w:val="100"/>
          <w:sz w:val="22"/>
        </w:rPr>
        <w:t>{2.1, 2.2, 3.1, 3.2, 3.3, 3.4, 4.1, 4.2, 4.3, 4.4, 4.5, 4.6, 4.7, 4.8}</w:t>
      </w:r>
      <w:r>
        <w:rPr>
          <w:b/>
          <w:color w:val="FF0000"/>
          <w:w w:val="100"/>
          <w:sz w:val="22"/>
        </w:rPr>
        <w:t xml:space="preserve"> </w:t>
      </w:r>
    </w:p>
    <w:p>
      <w:pPr>
        <w:pStyle w:val="ParagrapheBlanc"/>
        <w:rPr/>
      </w:pPr>
      <w:r>
        <w:rPr>
          <w:rStyle w:val="StyleGras"/>
        </w:rPr>
        <w:t xml:space="preserve">C.2.1 </w:t>
      </w:r>
      <w:r>
        <w:rPr/>
        <w:t xml:space="preserve">Profunda, rapida kaj daŭra mildigo kaj akcelita efektivigo de adaptaj agoj en ĉi tiu jardeko reduktus estontajn perdojn kaj damaĝojn rilate al klimata ŝanĝo por homoj kaj ekosistemoj </w:t>
      </w:r>
      <w:r>
        <w:rPr>
          <w:rStyle w:val="StyleItaliques"/>
        </w:rPr>
        <w:t>(tre alta fido).</w:t>
      </w:r>
      <w:r>
        <w:rPr/>
        <w:t xml:space="preserve"> Ĉar adaptopcioj ofte havas longajn efektivigtempojn, akcelita efektivigo de adaptado en ĉi tiu jardeko estas grava por fermi adaptadinterspacojn (</w:t>
      </w:r>
      <w:r>
        <w:rPr>
          <w:rStyle w:val="StyleItaliques"/>
        </w:rPr>
        <w:t>alta fido)</w:t>
      </w:r>
      <w:r>
        <w:rPr/>
        <w:t>. Ampleksaj, efikaj kaj novigaj respondoj integrantaj adaptadon kaj mildigon povas utiligi sinergiojn kaj redukti kompromisojn inter adaptado kaj mildigo (</w:t>
      </w:r>
      <w:r>
        <w:rPr>
          <w:rStyle w:val="StyleItaliques"/>
        </w:rPr>
        <w:t>alta fido)</w:t>
      </w:r>
      <w:r>
        <w:rPr/>
        <w:t>. {4.1, 4.2, 4.3}.</w:t>
      </w:r>
    </w:p>
    <w:p>
      <w:pPr>
        <w:pStyle w:val="ParagrapheBlanc"/>
        <w:rPr/>
      </w:pPr>
      <w:r>
        <w:rPr>
          <w:rStyle w:val="StyleGras"/>
        </w:rPr>
        <w:t xml:space="preserve">C.2.2 </w:t>
      </w:r>
      <w:r>
        <w:rPr/>
        <w:t>Malfrua mildiga agado plue pliigos mondvarmiĝon kaj perdoj kaj damaĝoj altiĝos kaj pliaj homaj kaj naturaj sistemoj atingos adaptiĝlimojn (</w:t>
      </w:r>
      <w:r>
        <w:rPr>
          <w:rStyle w:val="StyleItaliques"/>
        </w:rPr>
        <w:t>alta fido)</w:t>
      </w:r>
      <w:r>
        <w:rPr/>
        <w:t>. Defioj de prokrastaj adaptado kaj mildigaj agoj inkluzivas la riskon de kosto-eskalado, enŝlosado de infrastrukturo, senhelpaj aktivaĵoj, kaj reduktita farebleco kaj efikeco de adaptado kaj mildigaj elektoj (</w:t>
      </w:r>
      <w:r>
        <w:rPr>
          <w:rStyle w:val="StyleItaliques"/>
        </w:rPr>
        <w:t>alta fido)</w:t>
      </w:r>
      <w:r>
        <w:rPr/>
        <w:t xml:space="preserve">. Sen rapida, profunda kaj daŭra mildigo kaj akcelitaj adaptaj agoj, perdoj kaj damaĝoj daŭre pliiĝos, inkluzive de projekciitaj malfavoraj efikoj en Afriko, LDC-oj, SIDS, Centra kaj Sudameriko, Azio kaj Arkto, kaj misproporcie influos la plej vundeblajn populaciojn </w:t>
      </w:r>
      <w:r>
        <w:rPr>
          <w:rStyle w:val="Ancredenotedebasdepage"/>
        </w:rPr>
        <w:footnoteReference w:id="50"/>
      </w:r>
      <w:r>
        <w:rPr/>
        <w:t>(</w:t>
      </w:r>
      <w:r>
        <w:rPr>
          <w:rStyle w:val="StyleItaliques"/>
        </w:rPr>
        <w:t>alta konfido)</w:t>
      </w:r>
      <w:r>
        <w:rPr/>
        <w:t>. {2.1.2; 3.1.2, 3.2, 3.3.1, 3.3.3; 4.1, 4.2, 4.3} (Figuro SPM.3, Figuro SPM.4)</w:t>
      </w:r>
    </w:p>
    <w:p>
      <w:pPr>
        <w:pStyle w:val="ParagrapheBlanc"/>
        <w:rPr/>
      </w:pPr>
      <w:r>
        <w:rPr>
          <w:rStyle w:val="StyleGras"/>
        </w:rPr>
        <w:t xml:space="preserve">C.2.3 </w:t>
      </w:r>
      <w:r>
        <w:rPr/>
        <w:t>Akcela klimata agado ankaŭ povas doni kunprofitojn (vidu ankaŭ C.4). Multaj mildigaj agoj havus avantaĝojn por sano per pli malalta aerpoluo, aktiva moviĝeblo (ekz., promenado, biciklado), kaj ŝanĝoj al daŭrigeblaj sanaj dietoj. Fortaj, rapidaj kaj daŭrantaj reduktoj en metanemisioj povas limigi baldaŭan varmiĝon kaj plibonigi aerkvaliton reduktante tutmondan surfacan ozonon. (</w:t>
      </w:r>
      <w:r>
        <w:rPr>
          <w:rStyle w:val="StyleItaliques"/>
        </w:rPr>
        <w:t>alta fido)</w:t>
      </w:r>
      <w:r>
        <w:rPr/>
        <w:t xml:space="preserve"> Adaptado povas generi multoblajn kromajn avantaĝojn kiel ekzemple plibonigo de agrikultura produktiveco, novigado, sano kaj bonfarto, manĝaĵsekureco, porvivaĵo kaj konservado de biodiverseco </w:t>
      </w:r>
      <w:r>
        <w:rPr>
          <w:rStyle w:val="StyleItaliques"/>
        </w:rPr>
        <w:t>(tre alta fido).</w:t>
      </w:r>
      <w:r>
        <w:rPr/>
        <w:t xml:space="preserve"> {4.2, 4.5.4, 4.5.5, 4.6}</w:t>
      </w:r>
    </w:p>
    <w:p>
      <w:pPr>
        <w:pStyle w:val="ParagrapheBlanc"/>
        <w:rPr/>
      </w:pPr>
      <w:r>
        <w:rPr>
          <w:rStyle w:val="StyleGras"/>
        </w:rPr>
        <w:t xml:space="preserve">C.2.4 </w:t>
      </w:r>
      <w:r>
        <w:rPr/>
        <w:t>Analizo de kosto-profito restas limigita en sia kapablo reprezenti ĉiujn evititajn damaĝojn de klimata ŝanĝo (</w:t>
      </w:r>
      <w:r>
        <w:rPr>
          <w:rStyle w:val="StyleItaliques"/>
        </w:rPr>
        <w:t>alta fido)</w:t>
      </w:r>
      <w:r>
        <w:rPr/>
        <w:t xml:space="preserve">. La ekonomiaj avantaĝoj por homa sano de aerkvalito-plibonigo ekestiĝanta de mildiga ago povas esti de la sama grandordo kiel mildigokostoj, kaj eble eĉ pli grandaj </w:t>
      </w:r>
      <w:r>
        <w:rPr>
          <w:rStyle w:val="StyleItaliques"/>
        </w:rPr>
        <w:t>(meza fido).</w:t>
      </w:r>
      <w:r>
        <w:rPr/>
        <w:t xml:space="preserve"> Eĉ sen konsideri ĉiujn avantaĝojn de evitado de eblaj damaĝoj, la tutmonda ekonomia kaj socia avantaĝo de limigado de mondvarmiĝo al 2 °C superas la koston de mildigo en la plej granda parto de la taksita literaturo </w:t>
      </w:r>
      <w:r>
        <w:rPr>
          <w:rStyle w:val="StyleItaliques"/>
        </w:rPr>
        <w:t>(meza fido).</w:t>
      </w:r>
      <w:r>
        <w:rPr/>
        <w:t xml:space="preserve"> </w:t>
      </w:r>
      <w:r>
        <w:rPr>
          <w:rStyle w:val="Ancredenotedebasdepage"/>
        </w:rPr>
        <w:footnoteReference w:id="51"/>
      </w:r>
      <w:r>
        <w:rPr/>
        <w:t>Pli rapida mildigo de klimata ŝanĝo, kun emisioj pintantaj pli frue, pliigas kunprofitojn kaj reduktas realigebloriskojn kaj kostojn longtempe, sed postulas pli altajn antaŭajn investojn (</w:t>
      </w:r>
      <w:r>
        <w:rPr>
          <w:rStyle w:val="StyleItaliques"/>
        </w:rPr>
        <w:t>alta fido)</w:t>
      </w:r>
      <w:r>
        <w:rPr/>
        <w:t>. {3.4.1, 4.2}</w:t>
      </w:r>
    </w:p>
    <w:p>
      <w:pPr>
        <w:pStyle w:val="ParagrapheBlanc"/>
        <w:rPr/>
      </w:pPr>
      <w:r>
        <w:rPr>
          <w:rStyle w:val="StyleGras"/>
        </w:rPr>
        <w:t xml:space="preserve">C.2.5 </w:t>
      </w:r>
      <w:r>
        <w:rPr/>
        <w:t>Ambiciaj mildigaj vojoj implicas grandajn kaj foje interrompajn ŝanĝojn en ekzistantaj ekonomiaj strukturoj, kun signifaj distribuaj sekvoj ene kaj inter landoj. Por akceli klimatan agadon, la malfavoraj sekvoj de tiuj ŝanĝoj povas esti moderigitaj per fiskaj, financaj, instituciaj kaj reguligaj reformoj kaj per integrado de klimataj agoj kun makroekonomiaj politikoj per (i) ekonomi-kovrantaj pakoj, kongruaj kun naciaj cirkonstancoj, apogante daŭripovajn malaltemisiajn. kreskaj vojoj; (ii) klimatrezistemaj sekurecaj retoj kaj socia protekto; kaj (iii) plibonigita aliro al financado por malaltemisioj infrastrukturoj kaj teknologioj, precipe en evolulandoj. (</w:t>
      </w:r>
      <w:r>
        <w:rPr>
          <w:rStyle w:val="StyleItaliques"/>
        </w:rPr>
        <w:t>alta konfido)</w:t>
      </w:r>
      <w:r>
        <w:rPr/>
        <w:t xml:space="preserve"> {4.2, 4.4, 4.7, 4.8.1}</w:t>
      </w:r>
    </w:p>
    <w:p>
      <w:pPr>
        <w:pStyle w:val="ParagrapheBlanc"/>
        <w:rPr/>
      </w:pPr>
      <w:r>
        <w:rPr>
          <w:rStyle w:val="StyleGras"/>
        </w:rPr>
        <w:t>[KOMENCU FIGURON SPM.7 ĈI TIE]</w:t>
      </w:r>
      <w:r>
        <w:br w:type="page"/>
      </w:r>
    </w:p>
    <w:p>
      <w:pPr>
        <w:pStyle w:val="Normal"/>
        <w:rPr/>
      </w:pPr>
      <w:r>
        <w:rPr/>
        <mc:AlternateContent>
          <mc:Choice Requires="wpg">
            <w:drawing>
              <wp:anchor behindDoc="0" distT="0" distB="0" distL="0" distR="0" simplePos="0" locked="0" layoutInCell="0" allowOverlap="1" relativeHeight="75">
                <wp:simplePos x="0" y="0"/>
                <wp:positionH relativeFrom="column">
                  <wp:posOffset>642620</wp:posOffset>
                </wp:positionH>
                <wp:positionV relativeFrom="paragraph">
                  <wp:posOffset>99060</wp:posOffset>
                </wp:positionV>
                <wp:extent cx="6602730" cy="9215120"/>
                <wp:effectExtent l="0" t="0" r="0" b="0"/>
                <wp:wrapTopAndBottom/>
                <wp:docPr id="74" name="Forme2"/>
                <a:graphic xmlns:a="http://schemas.openxmlformats.org/drawingml/2006/main">
                  <a:graphicData uri="http://schemas.microsoft.com/office/word/2010/wordprocessingGroup">
                    <wpg:wgp>
                      <wpg:cNvGrpSpPr/>
                      <wpg:grpSpPr>
                        <a:xfrm>
                          <a:off x="0" y="0"/>
                          <a:ext cx="6602040" cy="9214560"/>
                          <a:chOff x="642600" y="99000"/>
                          <a:chExt cx="6602040" cy="9214560"/>
                        </a:xfrm>
                      </wpg:grpSpPr>
                      <pic:pic xmlns:pic="http://schemas.openxmlformats.org/drawingml/2006/picture">
                        <pic:nvPicPr>
                          <pic:cNvPr id="5" name="" descr=""/>
                          <pic:cNvPicPr/>
                        </pic:nvPicPr>
                        <pic:blipFill>
                          <a:blip r:embed="rId16"/>
                          <a:stretch/>
                        </pic:blipFill>
                        <pic:spPr>
                          <a:xfrm>
                            <a:off x="33120" y="821160"/>
                            <a:ext cx="6303600" cy="8310240"/>
                          </a:xfrm>
                          <a:prstGeom prst="rect">
                            <a:avLst/>
                          </a:prstGeom>
                          <a:ln w="0">
                            <a:noFill/>
                          </a:ln>
                        </pic:spPr>
                      </pic:pic>
                      <wps:wsp>
                        <wps:cNvSpPr/>
                        <wps:spPr>
                          <a:xfrm>
                            <a:off x="214560" y="0"/>
                            <a:ext cx="5392440" cy="2642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DejaVu Sans" w:cs="DejaVu Sans"/>
                                  <w:color w:val="000000"/>
                                  <w:lang w:val="eo"/>
                                </w:rPr>
                                <w:t>Estas multoblaj ŝancoj por pligrandigi klimatan agadon</w:t>
                              </w:r>
                            </w:p>
                          </w:txbxContent>
                        </wps:txbx>
                        <wps:bodyPr lIns="90000" rIns="90000" tIns="45000" bIns="45000" anchor="t">
                          <a:noAutofit/>
                        </wps:bodyPr>
                      </wps:wsp>
                      <wps:wsp>
                        <wps:cNvSpPr/>
                        <wps:spPr>
                          <a:xfrm>
                            <a:off x="85680" y="298440"/>
                            <a:ext cx="6516360" cy="2379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DejaVu Sans" w:cs="DejaVu Sans"/>
                                  <w:color w:val="000000"/>
                                  <w:lang w:val="eo"/>
                                </w:rPr>
                                <w:t>a) Farebleco de klimataj respondoj kaj adaptado, kaj potencialo de mildigaj elektoj baldaŭ</w:t>
                              </w:r>
                            </w:p>
                          </w:txbxContent>
                        </wps:txbx>
                        <wps:bodyPr lIns="90000" rIns="90000" tIns="45000" bIns="45000" anchor="t">
                          <a:noAutofit/>
                        </wps:bodyPr>
                      </wps:wsp>
                      <wps:wsp>
                        <wps:cNvSpPr/>
                        <wps:spPr>
                          <a:xfrm>
                            <a:off x="33120" y="7710120"/>
                            <a:ext cx="1929240" cy="3942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b) Potencialo de postul-flanko mildigaj elektoj antaŭ 2050</w:t>
                              </w:r>
                            </w:p>
                          </w:txbxContent>
                        </wps:txbx>
                        <wps:bodyPr lIns="90000" rIns="90000" tIns="45000" bIns="45000" anchor="t">
                          <a:noAutofit/>
                        </wps:bodyPr>
                      </wps:wsp>
                      <wps:wsp>
                        <wps:cNvSpPr/>
                        <wps:spPr>
                          <a:xfrm>
                            <a:off x="198720" y="937440"/>
                            <a:ext cx="1724040" cy="341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Klimatrespondoj kaj</w:t>
                              </w:r>
                            </w:p>
                            <w:p>
                              <w:pPr>
                                <w:overflowPunct w:val="false"/>
                                <w:spacing w:before="0" w:after="0" w:lineRule="auto" w:line="240"/>
                                <w:ind w:hanging="0"/>
                                <w:jc w:val="center"/>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opcioj de adaptado</w:t>
                              </w:r>
                            </w:p>
                          </w:txbxContent>
                        </wps:txbx>
                        <wps:bodyPr lIns="90000" rIns="90000" tIns="45000" bIns="45000" anchor="t">
                          <a:noAutofit/>
                        </wps:bodyPr>
                      </wps:wsp>
                      <wps:wsp>
                        <wps:cNvSpPr/>
                        <wps:spPr>
                          <a:xfrm>
                            <a:off x="2788200" y="1004040"/>
                            <a:ext cx="1555920" cy="2286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center"/>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Opcia mildigo</w:t>
                              </w:r>
                            </w:p>
                          </w:txbxContent>
                        </wps:txbx>
                        <wps:bodyPr lIns="90000" rIns="90000" tIns="45000" bIns="45000" anchor="t">
                          <a:noAutofit/>
                        </wps:bodyPr>
                      </wps:wsp>
                      <wps:wsp>
                        <wps:cNvSpPr/>
                        <wps:spPr>
                          <a:xfrm rot="16200000">
                            <a:off x="1695240" y="726840"/>
                            <a:ext cx="808200" cy="353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Ebla farebleco ĝis 1,5 °C</w:t>
                              </w:r>
                            </w:p>
                          </w:txbxContent>
                        </wps:txbx>
                        <wps:bodyPr lIns="90000" rIns="90000" tIns="45000" bIns="45000" anchor="t">
                          <a:noAutofit/>
                        </wps:bodyPr>
                      </wps:wsp>
                      <wps:wsp>
                        <wps:cNvSpPr/>
                        <wps:spPr>
                          <a:xfrm rot="16200000">
                            <a:off x="2129040" y="789840"/>
                            <a:ext cx="697320" cy="353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Sinergioj kun mildigo</w:t>
                              </w:r>
                            </w:p>
                          </w:txbxContent>
                        </wps:txbx>
                        <wps:bodyPr lIns="90000" rIns="90000" tIns="45000" bIns="45000" anchor="t">
                          <a:noAutofit/>
                        </wps:bodyPr>
                      </wps:wsp>
                      <wps:wsp>
                        <wps:cNvSpPr/>
                        <wps:spPr>
                          <a:xfrm>
                            <a:off x="4413240" y="539280"/>
                            <a:ext cx="1647720" cy="3733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DejaVu Sans" w:cs="DejaVu Sans"/>
                                  <w:color w:val="000000"/>
                                  <w:lang w:val="eo"/>
                                </w:rPr>
                                <w:t>Opcioj kostantaj 100 USD tCO2 -eq aŭ malpli povus redukti tutmondajn emisiojn almenaŭ duonon de la nivelo de 2019 antaŭ 2030</w:t>
                              </w:r>
                            </w:p>
                          </w:txbxContent>
                        </wps:txbx>
                        <wps:bodyPr lIns="90000" rIns="90000" tIns="45000" bIns="45000" anchor="t">
                          <a:noAutofit/>
                        </wps:bodyPr>
                      </wps:wsp>
                      <wps:wsp>
                        <wps:cNvSpPr/>
                        <wps:spPr>
                          <a:xfrm>
                            <a:off x="4280400" y="1036800"/>
                            <a:ext cx="159192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xml:space="preserve">Ebla kontribuo al neta emisioredukto, </w:t>
                              </w:r>
                              <w:r>
                                <w:rPr>
                                  <w:sz w:val="14"/>
                                  <w:u w:val="none"/>
                                  <w:dstrike w:val="false"/>
                                  <w:strike w:val="false"/>
                                  <w:i w:val="false"/>
                                  <w:vertAlign w:val="baseline"/>
                                  <w:position w:val="0"/>
                                  <w:spacing w:val="0"/>
                                  <w:szCs w:val="14"/>
                                  <w:iCs w:val="false"/>
                                  <w:smallCaps w:val="false"/>
                                  <w:caps w:val="false"/>
                                  <w:b/>
                                  <w:bCs/>
                                  <w:rFonts w:ascii="Arial" w:hAnsi="Arial" w:eastAsia="DejaVu Sans" w:cs="DejaVu Sans"/>
                                  <w:color w:val="000000"/>
                                  <w:lang w:val="eo"/>
                                </w:rPr>
                                <w:t>2030</w:t>
                              </w:r>
                            </w:p>
                          </w:txbxContent>
                        </wps:txbx>
                        <wps:bodyPr lIns="90000" rIns="90000" tIns="45000" bIns="45000" anchor="t">
                          <a:noAutofit/>
                        </wps:bodyPr>
                      </wps:wsp>
                      <wps:wsp>
                        <wps:cNvSpPr/>
                        <wps:spPr>
                          <a:xfrm>
                            <a:off x="5808960" y="1144440"/>
                            <a:ext cx="626760" cy="2210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GtCO2 -eq/jaro</w:t>
                              </w:r>
                            </w:p>
                          </w:txbxContent>
                        </wps:txbx>
                        <wps:bodyPr lIns="90000" rIns="90000" tIns="45000" bIns="45000" anchor="t">
                          <a:noAutofit/>
                        </wps:bodyPr>
                      </wps:wsp>
                      <wps:wsp>
                        <wps:cNvSpPr/>
                        <wps:spPr>
                          <a:xfrm>
                            <a:off x="3551040" y="1409040"/>
                            <a:ext cx="627480" cy="17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Suna</w:t>
                              </w:r>
                            </w:p>
                          </w:txbxContent>
                        </wps:txbx>
                        <wps:bodyPr lIns="90000" rIns="90000" tIns="45000" bIns="45000" anchor="t">
                          <a:noAutofit/>
                        </wps:bodyPr>
                      </wps:wsp>
                      <wps:wsp>
                        <wps:cNvSpPr/>
                        <wps:spPr>
                          <a:xfrm>
                            <a:off x="3551040" y="1558800"/>
                            <a:ext cx="62748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Vento</w:t>
                              </w:r>
                            </w:p>
                          </w:txbxContent>
                        </wps:txbx>
                        <wps:bodyPr lIns="90000" rIns="90000" tIns="45000" bIns="45000" anchor="t">
                          <a:noAutofit/>
                        </wps:bodyPr>
                      </wps:wsp>
                      <wps:wsp>
                        <wps:cNvSpPr/>
                        <wps:spPr>
                          <a:xfrm>
                            <a:off x="2556000" y="1644120"/>
                            <a:ext cx="16225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Reduktu metanon de karbo, petrolo kaj gaso</w:t>
                              </w:r>
                            </w:p>
                          </w:txbxContent>
                        </wps:txbx>
                        <wps:bodyPr lIns="90000" rIns="90000" tIns="45000" bIns="45000" anchor="t">
                          <a:noAutofit/>
                        </wps:bodyPr>
                      </wps:wsp>
                      <wps:wsp>
                        <wps:cNvSpPr/>
                        <wps:spPr>
                          <a:xfrm>
                            <a:off x="2556000" y="1857240"/>
                            <a:ext cx="16225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Bioelektro (inkludas BECCS)</w:t>
                              </w:r>
                            </w:p>
                          </w:txbxContent>
                        </wps:txbx>
                        <wps:bodyPr lIns="90000" rIns="90000" tIns="45000" bIns="45000" anchor="t">
                          <a:noAutofit/>
                        </wps:bodyPr>
                      </wps:wsp>
                      <wps:wsp>
                        <wps:cNvSpPr/>
                        <wps:spPr>
                          <a:xfrm>
                            <a:off x="2556000" y="1990080"/>
                            <a:ext cx="16225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Geoterma kaj akvoenergio</w:t>
                              </w:r>
                            </w:p>
                          </w:txbxContent>
                        </wps:txbx>
                        <wps:bodyPr lIns="90000" rIns="90000" tIns="45000" bIns="45000" anchor="t">
                          <a:noAutofit/>
                        </wps:bodyPr>
                      </wps:wsp>
                      <wps:wsp>
                        <wps:cNvSpPr/>
                        <wps:spPr>
                          <a:xfrm>
                            <a:off x="2589480" y="2131200"/>
                            <a:ext cx="1621800" cy="1738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Nuklea</w:t>
                              </w:r>
                            </w:p>
                          </w:txbxContent>
                        </wps:txbx>
                        <wps:bodyPr lIns="90000" rIns="90000" tIns="45000" bIns="45000" anchor="t">
                          <a:noAutofit/>
                        </wps:bodyPr>
                      </wps:wsp>
                      <wps:wsp>
                        <wps:cNvSpPr/>
                        <wps:spPr>
                          <a:xfrm>
                            <a:off x="2589480" y="2255400"/>
                            <a:ext cx="1621800" cy="2649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Fosilia Karbono-Kaptado kaj Stokado (CCS</w:t>
                              </w:r>
                            </w:p>
                          </w:txbxContent>
                        </wps:txbx>
                        <wps:bodyPr lIns="90000" rIns="90000" tIns="45000" bIns="45000" anchor="t">
                          <a:noAutofit/>
                        </wps:bodyPr>
                      </wps:wsp>
                      <wps:wsp>
                        <wps:cNvSpPr/>
                        <wps:spPr>
                          <a:xfrm>
                            <a:off x="2556000" y="2700720"/>
                            <a:ext cx="1622520" cy="2617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konvertiĝon de naturaj ekosistemoj</w:t>
                              </w:r>
                            </w:p>
                          </w:txbxContent>
                        </wps:txbx>
                        <wps:bodyPr lIns="90000" rIns="90000" tIns="45000" bIns="45000" anchor="t">
                          <a:noAutofit/>
                        </wps:bodyPr>
                      </wps:wsp>
                      <wps:wsp>
                        <wps:cNvSpPr/>
                        <wps:spPr>
                          <a:xfrm>
                            <a:off x="2523600" y="2930040"/>
                            <a:ext cx="162108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Karbonsekvo en agrikulturo</w:t>
                              </w:r>
                            </w:p>
                          </w:txbxContent>
                        </wps:txbx>
                        <wps:bodyPr lIns="90000" rIns="90000" tIns="45000" bIns="45000" anchor="t">
                          <a:noAutofit/>
                        </wps:bodyPr>
                      </wps:wsp>
                      <wps:wsp>
                        <wps:cNvSpPr/>
                        <wps:spPr>
                          <a:xfrm>
                            <a:off x="2523600" y="3095640"/>
                            <a:ext cx="162108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restarigo de la ekosistemo,</w:t>
                              </w:r>
                            </w:p>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afforestation, rearbarigo</w:t>
                              </w:r>
                            </w:p>
                          </w:txbxContent>
                        </wps:txbx>
                        <wps:bodyPr lIns="90000" rIns="90000" tIns="45000" bIns="45000" anchor="t">
                          <a:noAutofit/>
                        </wps:bodyPr>
                      </wps:wsp>
                      <wps:wsp>
                        <wps:cNvSpPr/>
                        <wps:spPr>
                          <a:xfrm>
                            <a:off x="2567880" y="3358440"/>
                            <a:ext cx="162180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Ŝanĝu al daŭrigeblaj sanaj dietoj</w:t>
                              </w:r>
                            </w:p>
                          </w:txbxContent>
                        </wps:txbx>
                        <wps:bodyPr lIns="90000" rIns="90000" tIns="45000" bIns="45000" anchor="t">
                          <a:noAutofit/>
                        </wps:bodyPr>
                      </wps:wsp>
                      <wps:wsp>
                        <wps:cNvSpPr/>
                        <wps:spPr>
                          <a:xfrm>
                            <a:off x="2523600" y="3493080"/>
                            <a:ext cx="162108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Plibonigita daŭrigebla arbara administrado</w:t>
                              </w:r>
                            </w:p>
                          </w:txbxContent>
                        </wps:txbx>
                        <wps:bodyPr lIns="90000" rIns="90000" tIns="45000" bIns="45000" anchor="t">
                          <a:noAutofit/>
                        </wps:bodyPr>
                      </wps:wsp>
                      <wps:wsp>
                        <wps:cNvSpPr/>
                        <wps:spPr>
                          <a:xfrm>
                            <a:off x="2510280" y="3693240"/>
                            <a:ext cx="1668240" cy="190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metanon kaj N2O en agrikulturo</w:t>
                              </w:r>
                            </w:p>
                          </w:txbxContent>
                        </wps:txbx>
                        <wps:bodyPr lIns="90000" rIns="90000" tIns="45000" bIns="45000" anchor="t">
                          <a:noAutofit/>
                        </wps:bodyPr>
                      </wps:wsp>
                      <wps:wsp>
                        <wps:cNvSpPr/>
                        <wps:spPr>
                          <a:xfrm>
                            <a:off x="2556000" y="3921120"/>
                            <a:ext cx="1622520" cy="2228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manĝaĵon kaj manĝmalŝparon</w:t>
                              </w:r>
                            </w:p>
                          </w:txbxContent>
                        </wps:txbx>
                        <wps:bodyPr lIns="90000" rIns="90000" tIns="45000" bIns="45000" anchor="t">
                          <a:noAutofit/>
                        </wps:bodyPr>
                      </wps:wsp>
                      <wps:wsp>
                        <wps:cNvSpPr/>
                        <wps:spPr>
                          <a:xfrm>
                            <a:off x="2556000" y="4289400"/>
                            <a:ext cx="16225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Efikaj konstruaĵoj</w:t>
                              </w:r>
                            </w:p>
                          </w:txbxContent>
                        </wps:txbx>
                        <wps:bodyPr lIns="90000" rIns="90000" tIns="45000" bIns="45000" anchor="t">
                          <a:noAutofit/>
                        </wps:bodyPr>
                      </wps:wsp>
                      <wps:wsp>
                        <wps:cNvSpPr/>
                        <wps:spPr>
                          <a:xfrm>
                            <a:off x="2556000" y="4447080"/>
                            <a:ext cx="16225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Fuelefikaj veturiloj</w:t>
                              </w:r>
                            </w:p>
                          </w:txbxContent>
                        </wps:txbx>
                        <wps:bodyPr lIns="90000" rIns="90000" tIns="45000" bIns="45000" anchor="t">
                          <a:noAutofit/>
                        </wps:bodyPr>
                      </wps:wsp>
                      <wps:wsp>
                        <wps:cNvSpPr/>
                        <wps:spPr>
                          <a:xfrm>
                            <a:off x="2556000" y="4554720"/>
                            <a:ext cx="16225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elektraj veturiloj</w:t>
                              </w:r>
                            </w:p>
                          </w:txbxContent>
                        </wps:txbx>
                        <wps:bodyPr lIns="90000" rIns="90000" tIns="45000" bIns="45000" anchor="t">
                          <a:noAutofit/>
                        </wps:bodyPr>
                      </wps:wsp>
                      <wps:wsp>
                        <wps:cNvSpPr/>
                        <wps:spPr>
                          <a:xfrm>
                            <a:off x="2523600" y="4687560"/>
                            <a:ext cx="162108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Efikaj lumaj aparatoj kaj ekipaĵoj</w:t>
                              </w:r>
                            </w:p>
                          </w:txbxContent>
                        </wps:txbx>
                        <wps:bodyPr lIns="90000" rIns="90000" tIns="45000" bIns="45000" anchor="t">
                          <a:noAutofit/>
                        </wps:bodyPr>
                      </wps:wsp>
                      <wps:wsp>
                        <wps:cNvSpPr/>
                        <wps:spPr>
                          <a:xfrm>
                            <a:off x="2523600" y="4844880"/>
                            <a:ext cx="162108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Publika transporto kaj biciklado</w:t>
                              </w:r>
                            </w:p>
                          </w:txbxContent>
                        </wps:txbx>
                        <wps:bodyPr lIns="90000" rIns="90000" tIns="45000" bIns="45000" anchor="t">
                          <a:noAutofit/>
                        </wps:bodyPr>
                      </wps:wsp>
                      <wps:wsp>
                        <wps:cNvSpPr/>
                        <wps:spPr>
                          <a:xfrm>
                            <a:off x="2556000" y="4977720"/>
                            <a:ext cx="162252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Biokarburaĵoj por transporto</w:t>
                              </w:r>
                            </w:p>
                          </w:txbxContent>
                        </wps:txbx>
                        <wps:bodyPr lIns="90000" rIns="90000" tIns="45000" bIns="45000" anchor="t">
                          <a:noAutofit/>
                        </wps:bodyPr>
                      </wps:wsp>
                      <wps:wsp>
                        <wps:cNvSpPr/>
                        <wps:spPr>
                          <a:xfrm>
                            <a:off x="2589480" y="5118840"/>
                            <a:ext cx="162180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 kargado kaj aviado</w:t>
                              </w:r>
                            </w:p>
                          </w:txbxContent>
                        </wps:txbx>
                        <wps:bodyPr lIns="90000" rIns="90000" tIns="45000" bIns="45000" anchor="t">
                          <a:noAutofit/>
                        </wps:bodyPr>
                      </wps:wsp>
                      <wps:wsp>
                        <wps:cNvSpPr/>
                        <wps:spPr>
                          <a:xfrm>
                            <a:off x="2556000" y="5251320"/>
                            <a:ext cx="162252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Evitu postulon pri energiservoj</w:t>
                              </w:r>
                            </w:p>
                          </w:txbxContent>
                        </wps:txbx>
                        <wps:bodyPr lIns="90000" rIns="90000" tIns="45000" bIns="45000" anchor="t">
                          <a:noAutofit/>
                        </wps:bodyPr>
                      </wps:wsp>
                      <wps:wsp>
                        <wps:cNvSpPr/>
                        <wps:spPr>
                          <a:xfrm>
                            <a:off x="2589480" y="5417280"/>
                            <a:ext cx="162180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Surlokaj renovigeblaj energioj</w:t>
                              </w:r>
                            </w:p>
                          </w:txbxContent>
                        </wps:txbx>
                        <wps:bodyPr lIns="90000" rIns="90000" tIns="45000" bIns="45000" anchor="t">
                          <a:noAutofit/>
                        </wps:bodyPr>
                      </wps:wsp>
                      <wps:wsp>
                        <wps:cNvSpPr/>
                        <wps:spPr>
                          <a:xfrm>
                            <a:off x="2854800" y="5707440"/>
                            <a:ext cx="138996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Ŝanĝo de brulaĵo</w:t>
                              </w:r>
                            </w:p>
                          </w:txbxContent>
                        </wps:txbx>
                        <wps:bodyPr lIns="90000" rIns="90000" tIns="45000" bIns="45000" anchor="t">
                          <a:noAutofit/>
                        </wps:bodyPr>
                      </wps:wsp>
                      <wps:wsp>
                        <wps:cNvSpPr/>
                        <wps:spPr>
                          <a:xfrm>
                            <a:off x="2792880" y="5848200"/>
                            <a:ext cx="145224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ellason de fluorina gaso</w:t>
                              </w:r>
                            </w:p>
                          </w:txbxContent>
                        </wps:txbx>
                        <wps:bodyPr lIns="90000" rIns="90000" tIns="45000" bIns="45000" anchor="t">
                          <a:noAutofit/>
                        </wps:bodyPr>
                      </wps:wsp>
                      <wps:wsp>
                        <wps:cNvSpPr/>
                        <wps:spPr>
                          <a:xfrm>
                            <a:off x="2854800" y="6005160"/>
                            <a:ext cx="138996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Energia efikeco</w:t>
                              </w:r>
                            </w:p>
                          </w:txbxContent>
                        </wps:txbx>
                        <wps:bodyPr lIns="90000" rIns="90000" tIns="45000" bIns="45000" anchor="t">
                          <a:noAutofit/>
                        </wps:bodyPr>
                      </wps:wsp>
                      <wps:wsp>
                        <wps:cNvSpPr/>
                        <wps:spPr>
                          <a:xfrm>
                            <a:off x="2854800" y="6138000"/>
                            <a:ext cx="138996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Materiala efikeco</w:t>
                              </w:r>
                            </w:p>
                          </w:txbxContent>
                        </wps:txbx>
                        <wps:bodyPr lIns="90000" rIns="90000" tIns="45000" bIns="45000" anchor="t">
                          <a:noAutofit/>
                        </wps:bodyPr>
                      </wps:wsp>
                      <wps:wsp>
                        <wps:cNvSpPr/>
                        <wps:spPr>
                          <a:xfrm>
                            <a:off x="2763000" y="6235200"/>
                            <a:ext cx="144792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metanon de</w:t>
                              </w:r>
                            </w:p>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rubo/kloakvo</w:t>
                              </w:r>
                            </w:p>
                          </w:txbxContent>
                        </wps:txbx>
                        <wps:bodyPr lIns="90000" rIns="90000" tIns="45000" bIns="45000" anchor="t">
                          <a:noAutofit/>
                        </wps:bodyPr>
                      </wps:wsp>
                      <wps:wsp>
                        <wps:cNvSpPr/>
                        <wps:spPr>
                          <a:xfrm>
                            <a:off x="2782440" y="6434280"/>
                            <a:ext cx="138996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Anstataŭigo de konstrumaterialoj</w:t>
                              </w:r>
                            </w:p>
                          </w:txbxContent>
                        </wps:txbx>
                        <wps:bodyPr lIns="90000" rIns="90000" tIns="45000" bIns="45000" anchor="t">
                          <a:noAutofit/>
                        </wps:bodyPr>
                      </wps:wsp>
                      <wps:wsp>
                        <wps:cNvSpPr/>
                        <wps:spPr>
                          <a:xfrm>
                            <a:off x="2655000" y="6631200"/>
                            <a:ext cx="151776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Plifortigita reciklado</w:t>
                              </w:r>
                            </w:p>
                          </w:txbxContent>
                        </wps:txbx>
                        <wps:bodyPr lIns="90000" rIns="90000" tIns="45000" bIns="45000" anchor="t">
                          <a:noAutofit/>
                        </wps:bodyPr>
                      </wps:wsp>
                      <wps:wsp>
                        <wps:cNvSpPr/>
                        <wps:spPr>
                          <a:xfrm>
                            <a:off x="2854800" y="6777360"/>
                            <a:ext cx="1389960" cy="2649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Karbonkapto kun uzo (CCU) kaj CCS</w:t>
                              </w:r>
                            </w:p>
                          </w:txbxContent>
                        </wps:txbx>
                        <wps:bodyPr lIns="90000" rIns="90000" tIns="45000" bIns="45000" anchor="t">
                          <a:noAutofit/>
                        </wps:bodyPr>
                      </wps:wsp>
                      <wps:wsp>
                        <wps:cNvSpPr/>
                        <wps:spPr>
                          <a:xfrm>
                            <a:off x="3517920" y="7005240"/>
                            <a:ext cx="138996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Neta dumviva kosto de opcioj:</w:t>
                              </w:r>
                            </w:p>
                          </w:txbxContent>
                        </wps:txbx>
                        <wps:bodyPr lIns="90000" rIns="90000" tIns="45000" bIns="45000" anchor="t">
                          <a:noAutofit/>
                        </wps:bodyPr>
                      </wps:wsp>
                      <wps:wsp>
                        <wps:cNvSpPr/>
                        <wps:spPr>
                          <a:xfrm>
                            <a:off x="3699000" y="7113240"/>
                            <a:ext cx="132588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Kostoj estas pli malaltaj ol la referenco</w:t>
                              </w:r>
                            </w:p>
                          </w:txbxContent>
                        </wps:txbx>
                        <wps:bodyPr lIns="90000" rIns="90000" tIns="45000" bIns="45000" anchor="t">
                          <a:noAutofit/>
                        </wps:bodyPr>
                      </wps:wsp>
                      <wps:wsp>
                        <wps:cNvSpPr/>
                        <wps:spPr>
                          <a:xfrm>
                            <a:off x="3817080" y="7301160"/>
                            <a:ext cx="1288440" cy="191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0—20 (USD per tCO2 -eq)</w:t>
                              </w:r>
                            </w:p>
                          </w:txbxContent>
                        </wps:txbx>
                        <wps:bodyPr lIns="90000" rIns="90000" tIns="45000" bIns="45000" anchor="t">
                          <a:noAutofit/>
                        </wps:bodyPr>
                      </wps:wsp>
                      <wps:wsp>
                        <wps:cNvSpPr/>
                        <wps:spPr>
                          <a:xfrm>
                            <a:off x="3721680" y="7443000"/>
                            <a:ext cx="1297440" cy="190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20—50 (USD per tCO2 -eq)</w:t>
                              </w:r>
                            </w:p>
                          </w:txbxContent>
                        </wps:txbx>
                        <wps:bodyPr lIns="90000" rIns="90000" tIns="45000" bIns="45000" anchor="t">
                          <a:noAutofit/>
                        </wps:bodyPr>
                      </wps:wsp>
                      <wps:wsp>
                        <wps:cNvSpPr/>
                        <wps:spPr>
                          <a:xfrm>
                            <a:off x="5200560" y="7088400"/>
                            <a:ext cx="1333440" cy="191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50—100 (USD per tCO2 -eq)</w:t>
                              </w:r>
                            </w:p>
                          </w:txbxContent>
                        </wps:txbx>
                        <wps:bodyPr lIns="90000" rIns="90000" tIns="45000" bIns="45000" anchor="t">
                          <a:noAutofit/>
                        </wps:bodyPr>
                      </wps:wsp>
                      <wps:wsp>
                        <wps:cNvSpPr/>
                        <wps:spPr>
                          <a:xfrm>
                            <a:off x="5144760" y="7241040"/>
                            <a:ext cx="1425600" cy="191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100—200 (USD per tCO2 -eq)</w:t>
                              </w:r>
                            </w:p>
                          </w:txbxContent>
                        </wps:txbx>
                        <wps:bodyPr lIns="90000" rIns="90000" tIns="45000" bIns="45000" anchor="t">
                          <a:noAutofit/>
                        </wps:bodyPr>
                      </wps:wsp>
                      <wps:wsp>
                        <wps:cNvSpPr/>
                        <wps:spPr>
                          <a:xfrm>
                            <a:off x="5212080" y="7409880"/>
                            <a:ext cx="129024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Kosto ne asignita pro alta ŝanĝebleco aŭ manko de datumoj</w:t>
                              </w:r>
                            </w:p>
                          </w:txbxContent>
                        </wps:txbx>
                        <wps:bodyPr lIns="90000" rIns="90000" tIns="45000" bIns="45000" anchor="t">
                          <a:noAutofit/>
                        </wps:bodyPr>
                      </wps:wsp>
                      <wps:wsp>
                        <wps:cNvSpPr/>
                        <wps:spPr>
                          <a:xfrm>
                            <a:off x="1625040" y="7011720"/>
                            <a:ext cx="1724040" cy="353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000000"/>
                                  <w:lang w:val="eo"/>
                                </w:rPr>
                                <w:t xml:space="preserve">Konfida nivelo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000000"/>
                                  <w:lang w:val="eo"/>
                                </w:rPr>
                                <w:t>en ebla farebleco kaj en sinergioj kun mildigo</w:t>
                              </w:r>
                            </w:p>
                          </w:txbxContent>
                        </wps:txbx>
                        <wps:bodyPr lIns="90000" rIns="90000" tIns="45000" bIns="45000" anchor="t">
                          <a:noAutofit/>
                        </wps:bodyPr>
                      </wps:wsp>
                      <wps:wsp>
                        <wps:cNvSpPr/>
                        <wps:spPr>
                          <a:xfrm>
                            <a:off x="1625040" y="7384320"/>
                            <a:ext cx="43056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Alta</w:t>
                              </w:r>
                            </w:p>
                          </w:txbxContent>
                        </wps:txbx>
                        <wps:bodyPr lIns="90000" rIns="90000" tIns="45000" bIns="45000" anchor="t">
                          <a:noAutofit/>
                        </wps:bodyPr>
                      </wps:wsp>
                      <wps:wsp>
                        <wps:cNvSpPr/>
                        <wps:spPr>
                          <a:xfrm>
                            <a:off x="198720" y="7301160"/>
                            <a:ext cx="428040" cy="17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Alta</w:t>
                              </w:r>
                            </w:p>
                          </w:txbxContent>
                        </wps:txbx>
                        <wps:bodyPr lIns="90000" rIns="90000" tIns="45000" bIns="45000" anchor="t">
                          <a:noAutofit/>
                        </wps:bodyPr>
                      </wps:wsp>
                      <wps:wsp>
                        <wps:cNvSpPr/>
                        <wps:spPr>
                          <a:xfrm>
                            <a:off x="1959480" y="7409880"/>
                            <a:ext cx="49788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Meza</w:t>
                              </w:r>
                            </w:p>
                          </w:txbxContent>
                        </wps:txbx>
                        <wps:bodyPr lIns="90000" rIns="90000" tIns="45000" bIns="45000" anchor="t">
                          <a:noAutofit/>
                        </wps:bodyPr>
                      </wps:wsp>
                      <wps:wsp>
                        <wps:cNvSpPr/>
                        <wps:spPr>
                          <a:xfrm>
                            <a:off x="2556000" y="7409880"/>
                            <a:ext cx="53388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w:t>
                              </w:r>
                            </w:p>
                          </w:txbxContent>
                        </wps:txbx>
                        <wps:bodyPr lIns="90000" rIns="90000" tIns="45000" bIns="45000" anchor="t">
                          <a:noAutofit/>
                        </wps:bodyPr>
                      </wps:wsp>
                      <wps:wsp>
                        <wps:cNvSpPr/>
                        <wps:spPr>
                          <a:xfrm>
                            <a:off x="0" y="7045200"/>
                            <a:ext cx="1724040" cy="353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000000"/>
                                  <w:lang w:val="eo"/>
                                </w:rPr>
                                <w:t>Realigebla nivelo kaj sinergioj kun mildigo</w:t>
                              </w:r>
                            </w:p>
                          </w:txbxContent>
                        </wps:txbx>
                        <wps:bodyPr lIns="90000" rIns="90000" tIns="45000" bIns="45000" anchor="t">
                          <a:noAutofit/>
                        </wps:bodyPr>
                      </wps:wsp>
                      <wps:wsp>
                        <wps:cNvSpPr/>
                        <wps:spPr>
                          <a:xfrm>
                            <a:off x="626040" y="7310160"/>
                            <a:ext cx="49788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Meza</w:t>
                              </w:r>
                            </w:p>
                          </w:txbxContent>
                        </wps:txbx>
                        <wps:bodyPr lIns="90000" rIns="90000" tIns="45000" bIns="45000" anchor="t">
                          <a:noAutofit/>
                        </wps:bodyPr>
                      </wps:wsp>
                      <wps:wsp>
                        <wps:cNvSpPr/>
                        <wps:spPr>
                          <a:xfrm>
                            <a:off x="1126440" y="7301160"/>
                            <a:ext cx="477360" cy="17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w:t>
                              </w:r>
                            </w:p>
                          </w:txbxContent>
                        </wps:txbx>
                        <wps:bodyPr lIns="90000" rIns="90000" tIns="45000" bIns="45000" anchor="t">
                          <a:noAutofit/>
                        </wps:bodyPr>
                      </wps:wsp>
                      <wps:wsp>
                        <wps:cNvSpPr/>
                        <wps:spPr>
                          <a:xfrm>
                            <a:off x="198720" y="7443000"/>
                            <a:ext cx="102564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Nesufiĉa indico</w:t>
                              </w:r>
                            </w:p>
                          </w:txbxContent>
                        </wps:txbx>
                        <wps:bodyPr lIns="90000" rIns="90000" tIns="45000" bIns="45000" anchor="t">
                          <a:noAutofit/>
                        </wps:bodyPr>
                      </wps:wsp>
                      <wps:wsp>
                        <wps:cNvSpPr/>
                        <wps:spPr>
                          <a:xfrm>
                            <a:off x="531000" y="6768360"/>
                            <a:ext cx="1391760" cy="173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Diversigo de vivrimedoj</w:t>
                              </w:r>
                            </w:p>
                          </w:txbxContent>
                        </wps:txbx>
                        <wps:bodyPr lIns="90000" rIns="90000" tIns="45000" bIns="45000" anchor="t">
                          <a:noAutofit/>
                        </wps:bodyPr>
                      </wps:wsp>
                      <wps:wsp>
                        <wps:cNvSpPr/>
                        <wps:spPr>
                          <a:xfrm>
                            <a:off x="531000" y="6577200"/>
                            <a:ext cx="139176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Planita translokiĝo kaj reloĝigo</w:t>
                              </w:r>
                            </w:p>
                          </w:txbxContent>
                        </wps:txbx>
                        <wps:bodyPr lIns="90000" rIns="90000" tIns="45000" bIns="45000" anchor="t">
                          <a:noAutofit/>
                        </wps:bodyPr>
                      </wps:wsp>
                      <wps:wsp>
                        <wps:cNvSpPr/>
                        <wps:spPr>
                          <a:xfrm>
                            <a:off x="531000" y="6379200"/>
                            <a:ext cx="139176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homa migrado</w:t>
                              </w:r>
                            </w:p>
                          </w:txbxContent>
                        </wps:txbx>
                        <wps:bodyPr lIns="90000" rIns="90000" tIns="45000" bIns="45000" anchor="t">
                          <a:noAutofit/>
                        </wps:bodyPr>
                      </wps:wsp>
                      <wps:wsp>
                        <wps:cNvSpPr/>
                        <wps:spPr>
                          <a:xfrm>
                            <a:off x="322560" y="6237720"/>
                            <a:ext cx="160020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administrado de risko de katastrofoj</w:t>
                              </w:r>
                            </w:p>
                          </w:txbxContent>
                        </wps:txbx>
                        <wps:bodyPr lIns="90000" rIns="90000" tIns="45000" bIns="45000" anchor="t">
                          <a:noAutofit/>
                        </wps:bodyPr>
                      </wps:wsp>
                      <wps:wsp>
                        <wps:cNvSpPr/>
                        <wps:spPr>
                          <a:xfrm>
                            <a:off x="531000" y="6047640"/>
                            <a:ext cx="139176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Klimatservoj, inkluzive de Fruaj Avertaj Sistemoj</w:t>
                              </w:r>
                            </w:p>
                          </w:txbxContent>
                        </wps:txbx>
                        <wps:bodyPr lIns="90000" rIns="90000" tIns="45000" bIns="45000" anchor="t">
                          <a:noAutofit/>
                        </wps:bodyPr>
                      </wps:wsp>
                      <wps:wsp>
                        <wps:cNvSpPr/>
                        <wps:spPr>
                          <a:xfrm>
                            <a:off x="531000" y="5906160"/>
                            <a:ext cx="139176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Retoj de socia sekureco</w:t>
                              </w:r>
                            </w:p>
                          </w:txbxContent>
                        </wps:txbx>
                        <wps:bodyPr lIns="90000" rIns="90000" tIns="45000" bIns="45000" anchor="t">
                          <a:noAutofit/>
                        </wps:bodyPr>
                      </wps:wsp>
                      <wps:wsp>
                        <wps:cNvSpPr/>
                        <wps:spPr>
                          <a:xfrm>
                            <a:off x="531000" y="5707440"/>
                            <a:ext cx="139176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Risko disvastigi kaj kundividi</w:t>
                              </w:r>
                            </w:p>
                          </w:txbxContent>
                        </wps:txbx>
                        <wps:bodyPr lIns="90000" rIns="90000" tIns="45000" bIns="45000" anchor="t">
                          <a:noAutofit/>
                        </wps:bodyPr>
                      </wps:wsp>
                      <wps:wsp>
                        <wps:cNvSpPr/>
                        <wps:spPr>
                          <a:xfrm>
                            <a:off x="531000" y="5318280"/>
                            <a:ext cx="139176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Plibonigitaj sanservoj (ekz. WASH, nutrado kaj dietoj)</w:t>
                              </w:r>
                            </w:p>
                          </w:txbxContent>
                        </wps:txbx>
                        <wps:bodyPr lIns="90000" rIns="90000" tIns="45000" bIns="45000" anchor="t">
                          <a:noAutofit/>
                        </wps:bodyPr>
                      </wps:wsp>
                      <wps:wsp>
                        <wps:cNvSpPr/>
                        <wps:spPr>
                          <a:xfrm>
                            <a:off x="531000" y="4787280"/>
                            <a:ext cx="139176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Verda infrastrukturo kaj ekosistemservoj</w:t>
                              </w:r>
                            </w:p>
                          </w:txbxContent>
                        </wps:txbx>
                        <wps:bodyPr lIns="90000" rIns="90000" tIns="45000" bIns="45000" anchor="t">
                          <a:noAutofit/>
                        </wps:bodyPr>
                      </wps:wsp>
                      <wps:wsp>
                        <wps:cNvSpPr/>
                        <wps:spPr>
                          <a:xfrm>
                            <a:off x="365040" y="4579560"/>
                            <a:ext cx="149148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kultivado kaj urboplanado</w:t>
                              </w:r>
                            </w:p>
                          </w:txbxContent>
                        </wps:txbx>
                        <wps:bodyPr lIns="90000" rIns="90000" tIns="45000" bIns="45000" anchor="t">
                          <a:noAutofit/>
                        </wps:bodyPr>
                      </wps:wsp>
                      <wps:wsp>
                        <wps:cNvSpPr/>
                        <wps:spPr>
                          <a:xfrm>
                            <a:off x="331560" y="4389120"/>
                            <a:ext cx="155844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urba akvoadministrado</w:t>
                              </w:r>
                            </w:p>
                          </w:txbxContent>
                        </wps:txbx>
                        <wps:bodyPr lIns="90000" rIns="90000" tIns="45000" bIns="45000" anchor="t">
                          <a:noAutofit/>
                        </wps:bodyPr>
                      </wps:wsp>
                      <wps:wsp>
                        <wps:cNvSpPr/>
                        <wps:spPr>
                          <a:xfrm>
                            <a:off x="397440" y="4056840"/>
                            <a:ext cx="1558800" cy="1962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Marborda defendo kaj malmoliĝo</w:t>
                              </w:r>
                            </w:p>
                          </w:txbxContent>
                        </wps:txbx>
                        <wps:bodyPr lIns="90000" rIns="90000" tIns="45000" bIns="45000" anchor="t">
                          <a:noAutofit/>
                        </wps:bodyPr>
                      </wps:wsp>
                      <wps:wsp>
                        <wps:cNvSpPr/>
                        <wps:spPr>
                          <a:xfrm>
                            <a:off x="365040" y="3858120"/>
                            <a:ext cx="1557720" cy="1962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Integrita marborda zonadministrado</w:t>
                              </w:r>
                            </w:p>
                          </w:txbxContent>
                        </wps:txbx>
                        <wps:bodyPr lIns="90000" rIns="90000" tIns="45000" bIns="45000" anchor="t">
                          <a:noAutofit/>
                        </wps:bodyPr>
                      </wps:wsp>
                      <wps:wsp>
                        <wps:cNvSpPr/>
                        <wps:spPr>
                          <a:xfrm>
                            <a:off x="365040" y="3659400"/>
                            <a:ext cx="1557720" cy="195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Arbar-bazita adapto</w:t>
                              </w:r>
                            </w:p>
                          </w:txbxContent>
                        </wps:txbx>
                        <wps:bodyPr lIns="90000" rIns="90000" tIns="45000" bIns="45000" anchor="t">
                          <a:noAutofit/>
                        </wps:bodyPr>
                      </wps:wsp>
                      <wps:wsp>
                        <wps:cNvSpPr/>
                        <wps:spPr>
                          <a:xfrm>
                            <a:off x="219240" y="3493080"/>
                            <a:ext cx="1703880" cy="1969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akvokulturo kaj fiŝfarmo</w:t>
                              </w:r>
                            </w:p>
                          </w:txbxContent>
                        </wps:txbx>
                        <wps:bodyPr lIns="90000" rIns="90000" tIns="45000" bIns="45000" anchor="t">
                          <a:noAutofit/>
                        </wps:bodyPr>
                      </wps:wsp>
                      <wps:wsp>
                        <wps:cNvSpPr/>
                        <wps:spPr>
                          <a:xfrm>
                            <a:off x="331560" y="3294360"/>
                            <a:ext cx="1558440" cy="195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Agroforstado</w:t>
                              </w:r>
                            </w:p>
                          </w:txbxContent>
                        </wps:txbx>
                        <wps:bodyPr lIns="90000" rIns="90000" tIns="45000" bIns="45000" anchor="t">
                          <a:noAutofit/>
                        </wps:bodyPr>
                      </wps:wsp>
                      <wps:wsp>
                        <wps:cNvSpPr/>
                        <wps:spPr>
                          <a:xfrm>
                            <a:off x="331560" y="3061800"/>
                            <a:ext cx="155844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Biodiversecadministrado kaj ekosistemkonekteco</w:t>
                              </w:r>
                            </w:p>
                          </w:txbxContent>
                        </wps:txbx>
                        <wps:bodyPr lIns="90000" rIns="90000" tIns="45000" bIns="45000" anchor="t">
                          <a:noAutofit/>
                        </wps:bodyPr>
                      </wps:wsp>
                      <wps:wsp>
                        <wps:cNvSpPr/>
                        <wps:spPr>
                          <a:xfrm>
                            <a:off x="298440" y="2896920"/>
                            <a:ext cx="155844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Akvouzo-efikeco kaj akvoresursa administrado</w:t>
                              </w:r>
                            </w:p>
                          </w:txbxContent>
                        </wps:txbx>
                        <wps:bodyPr lIns="90000" rIns="90000" tIns="45000" bIns="45000" anchor="t">
                          <a:noAutofit/>
                        </wps:bodyPr>
                      </wps:wsp>
                      <wps:wsp>
                        <wps:cNvSpPr/>
                        <wps:spPr>
                          <a:xfrm>
                            <a:off x="240120" y="2763360"/>
                            <a:ext cx="1649880" cy="1962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Plibonigita administrado de kultivejoj</w:t>
                              </w:r>
                            </w:p>
                          </w:txbxContent>
                        </wps:txbx>
                        <wps:bodyPr lIns="90000" rIns="90000" tIns="45000" bIns="45000" anchor="t">
                          <a:noAutofit/>
                        </wps:bodyPr>
                      </wps:wsp>
                      <wps:wsp>
                        <wps:cNvSpPr/>
                        <wps:spPr>
                          <a:xfrm>
                            <a:off x="298440" y="2598480"/>
                            <a:ext cx="1558440" cy="195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Efikaj brutsistemoj</w:t>
                              </w:r>
                            </w:p>
                          </w:txbxContent>
                        </wps:txbx>
                        <wps:bodyPr lIns="90000" rIns="90000" tIns="45000" bIns="45000" anchor="t">
                          <a:noAutofit/>
                        </wps:bodyPr>
                      </wps:wsp>
                      <wps:wsp>
                        <wps:cNvSpPr/>
                        <wps:spPr>
                          <a:xfrm>
                            <a:off x="365040" y="2064960"/>
                            <a:ext cx="1557720" cy="195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Plibonigu la efikecon de akvo-uzo</w:t>
                              </w:r>
                            </w:p>
                          </w:txbxContent>
                        </wps:txbx>
                        <wps:bodyPr lIns="90000" rIns="90000" tIns="45000" bIns="45000" anchor="t">
                          <a:noAutofit/>
                        </wps:bodyPr>
                      </wps:wsp>
                      <wps:wsp>
                        <wps:cNvSpPr/>
                        <wps:spPr>
                          <a:xfrm>
                            <a:off x="331560" y="1866240"/>
                            <a:ext cx="1558440" cy="195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Fortikaj potencaj sistemoj</w:t>
                              </w:r>
                            </w:p>
                          </w:txbxContent>
                        </wps:txbx>
                        <wps:bodyPr lIns="90000" rIns="90000" tIns="45000" bIns="45000" anchor="t">
                          <a:noAutofit/>
                        </wps:bodyPr>
                      </wps:wsp>
                      <wps:wsp>
                        <wps:cNvSpPr/>
                        <wps:spPr>
                          <a:xfrm>
                            <a:off x="298440" y="1666800"/>
                            <a:ext cx="155844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Energia fidindeco (ekz. diversigo, aliro, stabileco</w:t>
                              </w:r>
                            </w:p>
                          </w:txbxContent>
                        </wps:txbx>
                        <wps:bodyPr lIns="90000" rIns="90000" tIns="45000" bIns="45000" anchor="t">
                          <a:noAutofit/>
                        </wps:bodyPr>
                      </wps:wsp>
                      <wps:wsp>
                        <wps:cNvSpPr/>
                        <wps:spPr>
                          <a:xfrm>
                            <a:off x="365040" y="8104680"/>
                            <a:ext cx="1623600" cy="3535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DejaVu Sans" w:cs="DejaVu Sans"/>
                                  <w:color w:val="000000"/>
                                  <w:lang w:val="eo"/>
                                </w:rPr>
                                <w:t>la gamo de GHG-emisio-reduktopotencialo estas 40-70% en tiuj fin-uzaj sektoroj</w:t>
                              </w:r>
                            </w:p>
                          </w:txbxContent>
                        </wps:txbx>
                        <wps:bodyPr lIns="90000" rIns="90000" tIns="45000" bIns="45000" anchor="t">
                          <a:noAutofit/>
                        </wps:bodyPr>
                      </wps:wsp>
                      <wps:wsp>
                        <wps:cNvSpPr/>
                        <wps:spPr>
                          <a:xfrm>
                            <a:off x="762480" y="8495640"/>
                            <a:ext cx="1027440" cy="1587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Totalaj emisioj (2050)</w:t>
                              </w:r>
                            </w:p>
                          </w:txbxContent>
                        </wps:txbx>
                        <wps:bodyPr lIns="90000" rIns="90000" tIns="45000" bIns="45000" anchor="t">
                          <a:noAutofit/>
                        </wps:bodyPr>
                      </wps:wsp>
                      <wps:wsp>
                        <wps:cNvSpPr/>
                        <wps:spPr>
                          <a:xfrm>
                            <a:off x="198720" y="7443000"/>
                            <a:ext cx="102564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Nesufiĉa indico</w:t>
                              </w:r>
                            </w:p>
                          </w:txbxContent>
                        </wps:txbx>
                        <wps:bodyPr lIns="90000" rIns="90000" tIns="45000" bIns="45000" anchor="t">
                          <a:noAutofit/>
                        </wps:bodyPr>
                      </wps:wsp>
                      <wps:wsp>
                        <wps:cNvSpPr/>
                        <wps:spPr>
                          <a:xfrm>
                            <a:off x="762480" y="8607600"/>
                            <a:ext cx="1193760" cy="159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Procento de ebla redukto</w:t>
                              </w:r>
                            </w:p>
                          </w:txbxContent>
                        </wps:txbx>
                        <wps:bodyPr lIns="90000" rIns="90000" tIns="45000" bIns="45000" anchor="t">
                          <a:noAutofit/>
                        </wps:bodyPr>
                      </wps:wsp>
                      <wps:wsp>
                        <wps:cNvSpPr/>
                        <wps:spPr>
                          <a:xfrm>
                            <a:off x="762480" y="8736480"/>
                            <a:ext cx="1285920" cy="159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Potencialo de mildigo de postulo</w:t>
                              </w:r>
                            </w:p>
                          </w:txbxContent>
                        </wps:txbx>
                        <wps:bodyPr lIns="90000" rIns="90000" tIns="45000" bIns="45000" anchor="t">
                          <a:noAutofit/>
                        </wps:bodyPr>
                      </wps:wsp>
                      <wps:wsp>
                        <wps:cNvSpPr/>
                        <wps:spPr>
                          <a:xfrm>
                            <a:off x="762480" y="8827920"/>
                            <a:ext cx="1193760" cy="1594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potenciala gamo</w:t>
                              </w:r>
                            </w:p>
                          </w:txbxContent>
                        </wps:txbx>
                        <wps:bodyPr lIns="90000" rIns="90000" tIns="45000" bIns="45000" anchor="t">
                          <a:noAutofit/>
                        </wps:bodyPr>
                      </wps:wsp>
                      <wps:wsp>
                        <wps:cNvSpPr/>
                        <wps:spPr>
                          <a:xfrm>
                            <a:off x="198720" y="8438040"/>
                            <a:ext cx="42804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ŝlosilo</w:t>
                              </w:r>
                            </w:p>
                          </w:txbxContent>
                        </wps:txbx>
                        <wps:bodyPr lIns="90000" rIns="90000" tIns="45000" bIns="45000" anchor="t">
                          <a:noAutofit/>
                        </wps:bodyPr>
                      </wps:wsp>
                      <wps:wsp>
                        <wps:cNvSpPr/>
                        <wps:spPr>
                          <a:xfrm>
                            <a:off x="2426400" y="7907760"/>
                            <a:ext cx="55764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manĝaĵo</w:t>
                              </w:r>
                            </w:p>
                          </w:txbxContent>
                        </wps:txbx>
                        <wps:bodyPr lIns="90000" rIns="90000" tIns="45000" bIns="45000" anchor="t">
                          <a:noAutofit/>
                        </wps:bodyPr>
                      </wps:wsp>
                      <wps:wsp>
                        <wps:cNvSpPr/>
                        <wps:spPr>
                          <a:xfrm>
                            <a:off x="2324880" y="8833320"/>
                            <a:ext cx="67680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Elektro</w:t>
                              </w:r>
                            </w:p>
                          </w:txbxContent>
                        </wps:txbx>
                        <wps:bodyPr lIns="90000" rIns="90000" tIns="45000" bIns="45000" anchor="t">
                          <a:noAutofit/>
                        </wps:bodyPr>
                      </wps:wsp>
                      <wps:wsp>
                        <wps:cNvSpPr/>
                        <wps:spPr>
                          <a:xfrm>
                            <a:off x="2257560" y="8603640"/>
                            <a:ext cx="75996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Industrio</w:t>
                              </w:r>
                            </w:p>
                          </w:txbxContent>
                        </wps:txbx>
                        <wps:bodyPr lIns="90000" rIns="90000" tIns="45000" bIns="45000" anchor="t">
                          <a:noAutofit/>
                        </wps:bodyPr>
                      </wps:wsp>
                      <wps:wsp>
                        <wps:cNvSpPr/>
                        <wps:spPr>
                          <a:xfrm>
                            <a:off x="2313360" y="8438040"/>
                            <a:ext cx="67068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Konstruaĵoj</w:t>
                              </w:r>
                            </w:p>
                          </w:txbxContent>
                        </wps:txbx>
                        <wps:bodyPr lIns="90000" rIns="90000" tIns="45000" bIns="45000" anchor="t">
                          <a:noAutofit/>
                        </wps:bodyPr>
                      </wps:wsp>
                      <wps:wsp>
                        <wps:cNvSpPr/>
                        <wps:spPr>
                          <a:xfrm>
                            <a:off x="2216160" y="8238960"/>
                            <a:ext cx="82620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tertransportado</w:t>
                              </w:r>
                            </w:p>
                          </w:txbxContent>
                        </wps:txbx>
                        <wps:bodyPr lIns="90000" rIns="90000" tIns="45000" bIns="45000" anchor="t">
                          <a:noAutofit/>
                        </wps:bodyPr>
                      </wps:wsp>
                      <wps:wsp>
                        <wps:cNvSpPr/>
                        <wps:spPr>
                          <a:xfrm>
                            <a:off x="4944240" y="8769960"/>
                            <a:ext cx="1359360" cy="4446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Plia elektrizo (+60%)</w:t>
                              </w:r>
                            </w:p>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00864B"/>
                                  <w:lang w:val="eo"/>
                                </w:rPr>
                                <w:t xml:space="preserve">73%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00864B"/>
                                  <w:lang w:val="eo"/>
                                </w:rPr>
                                <w:t>redukto (antaŭ plia elektrizo)</w:t>
                              </w:r>
                            </w:p>
                          </w:txbxContent>
                        </wps:txbx>
                        <wps:bodyPr lIns="90000" rIns="90000" tIns="45000" bIns="45000" anchor="t">
                          <a:noAutofit/>
                        </wps:bodyPr>
                      </wps:wsp>
                      <wps:wsp>
                        <wps:cNvSpPr/>
                        <wps:spPr>
                          <a:xfrm>
                            <a:off x="4579560" y="8078400"/>
                            <a:ext cx="722160" cy="1904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GtCO2/jaro</w:t>
                              </w:r>
                            </w:p>
                          </w:txbxContent>
                        </wps:txbx>
                        <wps:bodyPr lIns="90000" rIns="90000" tIns="45000" bIns="45000" anchor="t">
                          <a:noAutofit/>
                        </wps:bodyPr>
                      </wps:wsp>
                      <wps:wsp>
                        <wps:cNvSpPr/>
                        <wps:spPr>
                          <a:xfrm>
                            <a:off x="4579560" y="7713360"/>
                            <a:ext cx="915840" cy="1911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GtCO2 -eq/jaro</w:t>
                              </w:r>
                            </w:p>
                          </w:txbxContent>
                        </wps:txbx>
                        <wps:bodyPr lIns="90000" rIns="90000" tIns="45000" bIns="45000" anchor="t">
                          <a:noAutofit/>
                        </wps:bodyPr>
                      </wps:wsp>
                      <wps:wsp>
                        <wps:cNvSpPr/>
                        <wps:spPr>
                          <a:xfrm rot="16200000">
                            <a:off x="-496800" y="5974200"/>
                            <a:ext cx="1323360" cy="26280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SOCIO, VIVO KAJ EKONOMIO</w:t>
                              </w:r>
                            </w:p>
                          </w:txbxContent>
                        </wps:txbx>
                        <wps:bodyPr lIns="90000" rIns="90000" tIns="45000" bIns="45000" anchor="t">
                          <a:noAutofit/>
                        </wps:bodyPr>
                      </wps:wsp>
                      <wps:wsp>
                        <wps:cNvSpPr/>
                        <wps:spPr>
                          <a:xfrm rot="16200000">
                            <a:off x="-160920" y="5271840"/>
                            <a:ext cx="56016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SANO</w:t>
                              </w:r>
                            </w:p>
                          </w:txbxContent>
                        </wps:txbx>
                        <wps:bodyPr lIns="90000" rIns="90000" tIns="45000" bIns="45000" anchor="t">
                          <a:noAutofit/>
                        </wps:bodyPr>
                      </wps:wsp>
                      <wps:wsp>
                        <wps:cNvSpPr/>
                        <wps:spPr>
                          <a:xfrm rot="16200000">
                            <a:off x="-360360" y="4552920"/>
                            <a:ext cx="1049760" cy="26208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KLOSO KAJ INFRASTRUKTURO</w:t>
                              </w:r>
                            </w:p>
                          </w:txbxContent>
                        </wps:txbx>
                        <wps:bodyPr lIns="90000" rIns="90000" tIns="45000" bIns="45000" anchor="t">
                          <a:noAutofit/>
                        </wps:bodyPr>
                      </wps:wsp>
                      <wps:wsp>
                        <wps:cNvSpPr/>
                        <wps:spPr>
                          <a:xfrm rot="16200000">
                            <a:off x="-625680" y="3259080"/>
                            <a:ext cx="148860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TERO, AKVO, MANĜO</w:t>
                              </w:r>
                            </w:p>
                          </w:txbxContent>
                        </wps:txbx>
                        <wps:bodyPr lIns="90000" rIns="90000" tIns="45000" bIns="45000" anchor="t">
                          <a:noAutofit/>
                        </wps:bodyPr>
                      </wps:wsp>
                      <wps:wsp>
                        <wps:cNvSpPr/>
                        <wps:spPr>
                          <a:xfrm rot="16200000">
                            <a:off x="-426600" y="1877400"/>
                            <a:ext cx="1090800" cy="17064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ENERGIA PROPONO</w:t>
                              </w:r>
                            </w:p>
                          </w:txbxContent>
                        </wps:txbx>
                        <wps:bodyPr lIns="90000" rIns="90000" tIns="45000" bIns="45000" anchor="t">
                          <a:noAutofit/>
                        </wps:bodyPr>
                      </wps:wsp>
                      <wps:wsp>
                        <wps:cNvSpPr/>
                        <wps:spPr>
                          <a:xfrm rot="16200000">
                            <a:off x="2163240" y="6187680"/>
                            <a:ext cx="1091520" cy="17136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INDUSTRIO, RUBO</w:t>
                              </w:r>
                            </w:p>
                          </w:txbxContent>
                        </wps:txbx>
                        <wps:bodyPr lIns="90000" rIns="90000" tIns="45000" bIns="45000" anchor="t">
                          <a:noAutofit/>
                        </wps:bodyPr>
                      </wps:wsp>
                    </wpg:wgp>
                  </a:graphicData>
                </a:graphic>
              </wp:anchor>
            </w:drawing>
          </mc:Choice>
          <mc:Fallback>
            <w:pict>
              <v:group id="shape_0" alt="Forme2" style="position:absolute;margin-left:1.35pt;margin-top:7.8pt;width:569.1pt;height:725.55pt" coordorigin="27,156" coordsize="11382,14511">
                <v:shape id="shape_0" stroked="f" o:allowincell="f" style="position:absolute;left:1064;top:1449;width:9926;height:13086;mso-wrap-style:none;v-text-anchor:middle" type="_x0000_t75">
                  <v:imagedata r:id="rId16" o:detectmouseclick="t"/>
                  <v:stroke color="#3465a4" joinstyle="round" endcap="flat"/>
                  <w10:wrap type="topAndBottom"/>
                </v:shape>
                <v:rect id="shape_0" path="m0,0l-2147483645,0l-2147483645,-2147483646l0,-2147483646xe" stroked="f" o:allowincell="f" style="position:absolute;left:1350;top:156;width:8491;height:415;mso-wrap-style:square;v-text-anchor:top">
                  <v:textbox>
                    <w:txbxContent>
                      <w:p>
                        <w:pPr>
                          <w:overflowPunct w:val="false"/>
                          <w:spacing w:before="0" w:after="0" w:lineRule="auto" w:line="240"/>
                          <w:ind w:hanging="0"/>
                          <w:jc w:val="left"/>
                          <w:rPr/>
                        </w:pPr>
                        <w:r>
                          <w:rPr>
                            <w:sz w:val="28"/>
                            <w:b/>
                            <w:u w:val="none"/>
                            <w:dstrike w:val="false"/>
                            <w:strike w:val="false"/>
                            <w:i w:val="false"/>
                            <w:vertAlign w:val="baseline"/>
                            <w:position w:val="0"/>
                            <w:spacing w:val="0"/>
                            <w:szCs w:val="28"/>
                            <w:bCs/>
                            <w:iCs w:val="false"/>
                            <w:smallCaps w:val="false"/>
                            <w:caps w:val="false"/>
                            <w:rFonts w:ascii="Arial" w:hAnsi="Arial" w:eastAsia="DejaVu Sans" w:cs="DejaVu Sans"/>
                            <w:color w:val="000000"/>
                            <w:lang w:val="eo"/>
                          </w:rPr>
                          <w:t>Estas multoblaj ŝancoj por pligrandigi klimatan agadon</w:t>
                        </w:r>
                      </w:p>
                    </w:txbxContent>
                  </v:textbox>
                  <v:fill o:detectmouseclick="t" on="false"/>
                  <v:stroke color="#3465a4" joinstyle="round" endcap="flat"/>
                  <w10:wrap type="topAndBottom"/>
                </v:rect>
                <v:rect id="shape_0" path="m0,0l-2147483645,0l-2147483645,-2147483646l0,-2147483646xe" stroked="f" o:allowincell="f" style="position:absolute;left:1147;top:626;width:10261;height:374;mso-wrap-style:square;v-text-anchor:top">
                  <v:textbox>
                    <w:txbxContent>
                      <w:p>
                        <w:pPr>
                          <w:overflowPunct w:val="false"/>
                          <w:spacing w:before="0" w:after="0" w:lineRule="auto" w:line="240"/>
                          <w:ind w:hanging="0"/>
                          <w:jc w:val="left"/>
                          <w:rPr/>
                        </w:pPr>
                        <w:r>
                          <w:rPr>
                            <w:sz w:val="20"/>
                            <w:b w:val="false"/>
                            <w:u w:val="none"/>
                            <w:dstrike w:val="false"/>
                            <w:strike w:val="false"/>
                            <w:i w:val="false"/>
                            <w:vertAlign w:val="baseline"/>
                            <w:position w:val="0"/>
                            <w:spacing w:val="0"/>
                            <w:szCs w:val="20"/>
                            <w:bCs w:val="false"/>
                            <w:iCs w:val="false"/>
                            <w:smallCaps w:val="false"/>
                            <w:caps w:val="false"/>
                            <w:rFonts w:ascii="Arial" w:hAnsi="Arial" w:eastAsia="DejaVu Sans" w:cs="DejaVu Sans"/>
                            <w:color w:val="000000"/>
                            <w:lang w:val="eo"/>
                          </w:rPr>
                          <w:t>a) Farebleco de klimataj respondoj kaj adaptado, kaj potencialo de mildigaj elektoj baldaŭ</w:t>
                        </w:r>
                      </w:p>
                    </w:txbxContent>
                  </v:textbox>
                  <v:fill o:detectmouseclick="t" on="false"/>
                  <v:stroke color="#3465a4" joinstyle="round" endcap="flat"/>
                  <w10:wrap type="topAndBottom"/>
                </v:rect>
                <v:rect id="shape_0" path="m0,0l-2147483645,0l-2147483645,-2147483646l0,-2147483646xe" stroked="f" o:allowincell="f" style="position:absolute;left:1064;top:12298;width:3037;height:620;mso-wrap-style:square;v-text-anchor:top">
                  <v:textbox>
                    <w:txbxContent>
                      <w:p>
                        <w:pPr>
                          <w:overflowPunct w:val="false"/>
                          <w:spacing w:before="0" w:after="0" w:lineRule="auto" w:line="240"/>
                          <w:ind w:hanging="0"/>
                          <w:jc w:val="left"/>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b) Potencialo de postul-flanko mildigaj elektoj antaŭ 2050</w:t>
                        </w:r>
                      </w:p>
                    </w:txbxContent>
                  </v:textbox>
                  <v:fill o:detectmouseclick="t" on="false"/>
                  <v:stroke color="#3465a4" joinstyle="round" endcap="flat"/>
                  <w10:wrap type="topAndBottom"/>
                </v:rect>
                <v:rect id="shape_0" path="m0,0l-2147483645,0l-2147483645,-2147483646l0,-2147483646xe" stroked="f" o:allowincell="f" style="position:absolute;left:1325;top:1632;width:2714;height:537;mso-wrap-style:square;v-text-anchor:top">
                  <v:textbox>
                    <w:txbxContent>
                      <w:p>
                        <w:pPr>
                          <w:overflowPunct w:val="false"/>
                          <w:spacing w:before="0" w:after="0" w:lineRule="auto" w:line="240"/>
                          <w:ind w:hanging="0"/>
                          <w:jc w:val="center"/>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Klimatrespondoj kaj</w:t>
                        </w:r>
                      </w:p>
                      <w:p>
                        <w:pPr>
                          <w:overflowPunct w:val="false"/>
                          <w:spacing w:before="0" w:after="0" w:lineRule="auto" w:line="240"/>
                          <w:ind w:hanging="0"/>
                          <w:jc w:val="center"/>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opcioj de adaptado</w:t>
                        </w:r>
                      </w:p>
                    </w:txbxContent>
                  </v:textbox>
                  <v:fill o:detectmouseclick="t" on="false"/>
                  <v:stroke color="#3465a4" joinstyle="round" endcap="flat"/>
                  <w10:wrap type="topAndBottom"/>
                </v:rect>
                <v:rect id="shape_0" path="m0,0l-2147483645,0l-2147483645,-2147483646l0,-2147483646xe" stroked="f" o:allowincell="f" style="position:absolute;left:5403;top:1737;width:2449;height:359;mso-wrap-style:square;v-text-anchor:top">
                  <v:textbox>
                    <w:txbxContent>
                      <w:p>
                        <w:pPr>
                          <w:overflowPunct w:val="false"/>
                          <w:spacing w:before="0" w:after="0" w:lineRule="auto" w:line="240"/>
                          <w:ind w:hanging="0"/>
                          <w:jc w:val="center"/>
                          <w:rPr/>
                        </w:pPr>
                        <w:r>
                          <w:rPr>
                            <w:sz w:val="20"/>
                            <w:b/>
                            <w:u w:val="none"/>
                            <w:dstrike w:val="false"/>
                            <w:strike w:val="false"/>
                            <w:i w:val="false"/>
                            <w:vertAlign w:val="baseline"/>
                            <w:position w:val="0"/>
                            <w:spacing w:val="0"/>
                            <w:szCs w:val="20"/>
                            <w:bCs/>
                            <w:iCs w:val="false"/>
                            <w:smallCaps w:val="false"/>
                            <w:caps w:val="false"/>
                            <w:rFonts w:ascii="Arial" w:hAnsi="Arial" w:eastAsia="DejaVu Sans" w:cs="DejaVu Sans"/>
                            <w:color w:val="000000"/>
                            <w:lang w:val="eo"/>
                          </w:rPr>
                          <w:t>Opcia mildigo</w:t>
                        </w:r>
                      </w:p>
                    </w:txbxContent>
                  </v:textbox>
                  <v:fill o:detectmouseclick="t" on="false"/>
                  <v:stroke color="#3465a4" joinstyle="round" endcap="flat"/>
                  <w10:wrap type="topAndBottom"/>
                </v:rect>
                <v:rect id="shape_0" path="m0,0l-2147483645,0l-2147483645,-2147483646l0,-2147483646xe" stroked="f" o:allowincell="f" style="position:absolute;left:3683;top:1301;width:1272;height:556;mso-wrap-style:square;v-text-anchor:top;rotation:270">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Ebla farebleco ĝis 1,5 °C</w:t>
                        </w:r>
                      </w:p>
                    </w:txbxContent>
                  </v:textbox>
                  <v:fill o:detectmouseclick="t" on="false"/>
                  <v:stroke color="#3465a4" joinstyle="round" endcap="flat"/>
                  <w10:wrap type="topAndBottom"/>
                </v:rect>
                <v:rect id="shape_0" path="m0,0l-2147483645,0l-2147483645,-2147483646l0,-2147483646xe" stroked="f" o:allowincell="f" style="position:absolute;left:4366;top:1400;width:1097;height:555;mso-wrap-style:square;v-text-anchor:top;rotation:270">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Sinergioj kun mildigo</w:t>
                        </w:r>
                      </w:p>
                    </w:txbxContent>
                  </v:textbox>
                  <v:fill o:detectmouseclick="t" on="false"/>
                  <v:stroke color="#3465a4" joinstyle="round" endcap="flat"/>
                  <w10:wrap type="topAndBottom"/>
                </v:rect>
                <v:rect id="shape_0" path="m0,0l-2147483645,0l-2147483645,-2147483646l0,-2147483646xe" stroked="f" o:allowincell="f" style="position:absolute;left:7962;top:1005;width:2594;height:587;mso-wrap-style:square;v-text-anchor:top">
                  <v:textbo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DejaVu Sans" w:cs="DejaVu Sans"/>
                            <w:color w:val="000000"/>
                            <w:lang w:val="eo"/>
                          </w:rPr>
                          <w:t>Opcioj kostantaj 100 USD tCO2 -eq aŭ malpli povus redukti tutmondajn emisiojn almenaŭ duonon de la nivelo de 2019 antaŭ 2030</w:t>
                        </w:r>
                      </w:p>
                    </w:txbxContent>
                  </v:textbox>
                  <v:fill o:detectmouseclick="t" on="false"/>
                  <v:stroke color="#3465a4" joinstyle="round" endcap="flat"/>
                  <w10:wrap type="topAndBottom"/>
                </v:rect>
                <v:rect id="shape_0" path="m0,0l-2147483645,0l-2147483645,-2147483646l0,-2147483646xe" stroked="f" o:allowincell="f" style="position:absolute;left:7753;top:1789;width:2506;height:412;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 xml:space="preserve">Ebla kontribuo al neta emisioredukto, </w:t>
                        </w:r>
                        <w:r>
                          <w:rPr>
                            <w:sz w:val="14"/>
                            <w:u w:val="none"/>
                            <w:dstrike w:val="false"/>
                            <w:strike w:val="false"/>
                            <w:i w:val="false"/>
                            <w:vertAlign w:val="baseline"/>
                            <w:position w:val="0"/>
                            <w:spacing w:val="0"/>
                            <w:szCs w:val="14"/>
                            <w:iCs w:val="false"/>
                            <w:smallCaps w:val="false"/>
                            <w:caps w:val="false"/>
                            <w:b/>
                            <w:bCs/>
                            <w:rFonts w:ascii="Arial" w:hAnsi="Arial" w:eastAsia="DejaVu Sans" w:cs="DejaVu Sans"/>
                            <w:color w:val="000000"/>
                            <w:lang w:val="eo"/>
                          </w:rPr>
                          <w:t>2030</w:t>
                        </w:r>
                      </w:p>
                    </w:txbxContent>
                  </v:textbox>
                  <v:fill o:detectmouseclick="t" on="false"/>
                  <v:stroke color="#3465a4" joinstyle="round" endcap="flat"/>
                  <w10:wrap type="topAndBottom"/>
                </v:rect>
                <v:rect id="shape_0" path="m0,0l-2147483645,0l-2147483645,-2147483646l0,-2147483646xe" stroked="f" o:allowincell="f" style="position:absolute;left:10160;top:1958;width:986;height:347;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GtCO2 -eq/jaro</w:t>
                        </w:r>
                      </w:p>
                    </w:txbxContent>
                  </v:textbox>
                  <v:fill o:detectmouseclick="t" on="false"/>
                  <v:stroke color="#3465a4" joinstyle="round" endcap="flat"/>
                  <w10:wrap type="topAndBottom"/>
                </v:rect>
                <v:rect id="shape_0" path="m0,0l-2147483645,0l-2147483645,-2147483646l0,-2147483646xe" stroked="f" o:allowincell="f" style="position:absolute;left:6604;top:2375;width:987;height:270;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Suna</w:t>
                        </w:r>
                      </w:p>
                    </w:txbxContent>
                  </v:textbox>
                  <v:fill o:detectmouseclick="t" on="false"/>
                  <v:stroke color="#3465a4" joinstyle="round" endcap="flat"/>
                  <w10:wrap type="topAndBottom"/>
                </v:rect>
                <v:rect id="shape_0" path="m0,0l-2147483645,0l-2147483645,-2147483646l0,-2147483646xe" stroked="f" o:allowincell="f" style="position:absolute;left:6604;top:2611;width:987;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Vento</w:t>
                        </w:r>
                      </w:p>
                    </w:txbxContent>
                  </v:textbox>
                  <v:fill o:detectmouseclick="t" on="false"/>
                  <v:stroke color="#3465a4" joinstyle="round" endcap="flat"/>
                  <w10:wrap type="topAndBottom"/>
                </v:rect>
                <v:rect id="shape_0" path="m0,0l-2147483645,0l-2147483645,-2147483646l0,-2147483646xe" stroked="f" o:allowincell="f" style="position:absolute;left:5037;top:2745;width:2554;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Reduktu metanon de karbo, petrolo kaj gaso</w:t>
                        </w:r>
                      </w:p>
                    </w:txbxContent>
                  </v:textbox>
                  <v:fill o:detectmouseclick="t" on="false"/>
                  <v:stroke color="#3465a4" joinstyle="round" endcap="flat"/>
                  <w10:wrap type="topAndBottom"/>
                </v:rect>
                <v:rect id="shape_0" path="m0,0l-2147483645,0l-2147483645,-2147483646l0,-2147483646xe" stroked="f" o:allowincell="f" style="position:absolute;left:5037;top:3081;width:2554;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Bioelektro (inkludas BECCS)</w:t>
                        </w:r>
                      </w:p>
                    </w:txbxContent>
                  </v:textbox>
                  <v:fill o:detectmouseclick="t" on="false"/>
                  <v:stroke color="#3465a4" joinstyle="round" endcap="flat"/>
                  <w10:wrap type="topAndBottom"/>
                </v:rect>
                <v:rect id="shape_0" path="m0,0l-2147483645,0l-2147483645,-2147483646l0,-2147483646xe" stroked="f" o:allowincell="f" style="position:absolute;left:5037;top:3290;width:2554;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Geoterma kaj akvoenergio</w:t>
                        </w:r>
                      </w:p>
                    </w:txbxContent>
                  </v:textbox>
                  <v:fill o:detectmouseclick="t" on="false"/>
                  <v:stroke color="#3465a4" joinstyle="round" endcap="flat"/>
                  <w10:wrap type="topAndBottom"/>
                </v:rect>
                <v:rect id="shape_0" path="m0,0l-2147483645,0l-2147483645,-2147483646l0,-2147483646xe" stroked="f" o:allowincell="f" style="position:absolute;left:5090;top:3512;width:2553;height:273;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Nuklea</w:t>
                        </w:r>
                      </w:p>
                    </w:txbxContent>
                  </v:textbox>
                  <v:fill o:detectmouseclick="t" on="false"/>
                  <v:stroke color="#3465a4" joinstyle="round" endcap="flat"/>
                  <w10:wrap type="topAndBottom"/>
                </v:rect>
                <v:rect id="shape_0" path="m0,0l-2147483645,0l-2147483645,-2147483646l0,-2147483646xe" stroked="f" o:allowincell="f" style="position:absolute;left:5090;top:3708;width:2553;height:416;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Fosilia Karbono-Kaptado kaj Stokado (CCS</w:t>
                        </w:r>
                      </w:p>
                    </w:txbxContent>
                  </v:textbox>
                  <v:fill o:detectmouseclick="t" on="false"/>
                  <v:stroke color="#3465a4" joinstyle="round" endcap="flat"/>
                  <w10:wrap type="topAndBottom"/>
                </v:rect>
                <v:rect id="shape_0" path="m0,0l-2147483645,0l-2147483645,-2147483646l0,-2147483646xe" stroked="f" o:allowincell="f" style="position:absolute;left:5037;top:4409;width:2554;height:411;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konvertiĝon de naturaj ekosistemoj</w:t>
                        </w:r>
                      </w:p>
                    </w:txbxContent>
                  </v:textbox>
                  <v:fill o:detectmouseclick="t" on="false"/>
                  <v:stroke color="#3465a4" joinstyle="round" endcap="flat"/>
                  <w10:wrap type="topAndBottom"/>
                </v:rect>
                <v:rect id="shape_0" path="m0,0l-2147483645,0l-2147483645,-2147483646l0,-2147483646xe" stroked="f" o:allowincell="f" style="position:absolute;left:4986;top:4770;width:2552;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Karbonsekvo en agrikulturo</w:t>
                        </w:r>
                      </w:p>
                    </w:txbxContent>
                  </v:textbox>
                  <v:fill o:detectmouseclick="t" on="false"/>
                  <v:stroke color="#3465a4" joinstyle="round" endcap="flat"/>
                  <w10:wrap type="topAndBottom"/>
                </v:rect>
                <v:rect id="shape_0" path="m0,0l-2147483645,0l-2147483645,-2147483646l0,-2147483646xe" stroked="f" o:allowincell="f" style="position:absolute;left:4986;top:5031;width:2552;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restarigo de la ekosistemo,</w:t>
                        </w:r>
                      </w:p>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afforestation, rearbarigo</w:t>
                        </w:r>
                      </w:p>
                    </w:txbxContent>
                  </v:textbox>
                  <v:fill o:detectmouseclick="t" on="false"/>
                  <v:stroke color="#3465a4" joinstyle="round" endcap="flat"/>
                  <w10:wrap type="topAndBottom"/>
                </v:rect>
                <v:rect id="shape_0" path="m0,0l-2147483645,0l-2147483645,-2147483646l0,-2147483646xe" stroked="f" o:allowincell="f" style="position:absolute;left:5056;top:5445;width:2553;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Ŝanĝu al daŭrigeblaj sanaj dietoj</w:t>
                        </w:r>
                      </w:p>
                    </w:txbxContent>
                  </v:textbox>
                  <v:fill o:detectmouseclick="t" on="false"/>
                  <v:stroke color="#3465a4" joinstyle="round" endcap="flat"/>
                  <w10:wrap type="topAndBottom"/>
                </v:rect>
                <v:rect id="shape_0" path="m0,0l-2147483645,0l-2147483645,-2147483646l0,-2147483646xe" stroked="f" o:allowincell="f" style="position:absolute;left:4986;top:5657;width:2552;height:413;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Plibonigita daŭrigebla arbara administrado</w:t>
                        </w:r>
                      </w:p>
                    </w:txbxContent>
                  </v:textbox>
                  <v:fill o:detectmouseclick="t" on="false"/>
                  <v:stroke color="#3465a4" joinstyle="round" endcap="flat"/>
                  <w10:wrap type="topAndBottom"/>
                </v:rect>
                <v:rect id="shape_0" path="m0,0l-2147483645,0l-2147483645,-2147483646l0,-2147483646xe" stroked="f" o:allowincell="f" style="position:absolute;left:4965;top:5972;width:2626;height:29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metanon kaj N2O en agrikulturo</w:t>
                        </w:r>
                      </w:p>
                    </w:txbxContent>
                  </v:textbox>
                  <v:fill o:detectmouseclick="t" on="false"/>
                  <v:stroke color="#3465a4" joinstyle="round" endcap="flat"/>
                  <w10:wrap type="topAndBottom"/>
                </v:rect>
                <v:rect id="shape_0" path="m0,0l-2147483645,0l-2147483645,-2147483646l0,-2147483646xe" stroked="f" o:allowincell="f" style="position:absolute;left:5037;top:6331;width:2554;height:350;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manĝaĵon kaj manĝmalŝparon</w:t>
                        </w:r>
                      </w:p>
                    </w:txbxContent>
                  </v:textbox>
                  <v:fill o:detectmouseclick="t" on="false"/>
                  <v:stroke color="#3465a4" joinstyle="round" endcap="flat"/>
                  <w10:wrap type="topAndBottom"/>
                </v:rect>
                <v:rect id="shape_0" path="m0,0l-2147483645,0l-2147483645,-2147483646l0,-2147483646xe" stroked="f" o:allowincell="f" style="position:absolute;left:5037;top:6911;width:2554;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Efikaj konstruaĵoj</w:t>
                        </w:r>
                      </w:p>
                    </w:txbxContent>
                  </v:textbox>
                  <v:fill o:detectmouseclick="t" on="false"/>
                  <v:stroke color="#3465a4" joinstyle="round" endcap="flat"/>
                  <w10:wrap type="topAndBottom"/>
                </v:rect>
                <v:rect id="shape_0" path="m0,0l-2147483645,0l-2147483645,-2147483646l0,-2147483646xe" stroked="f" o:allowincell="f" style="position:absolute;left:5037;top:7159;width:2554;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Fuelefikaj veturiloj</w:t>
                        </w:r>
                      </w:p>
                    </w:txbxContent>
                  </v:textbox>
                  <v:fill o:detectmouseclick="t" on="false"/>
                  <v:stroke color="#3465a4" joinstyle="round" endcap="flat"/>
                  <w10:wrap type="topAndBottom"/>
                </v:rect>
                <v:rect id="shape_0" path="m0,0l-2147483645,0l-2147483645,-2147483646l0,-2147483646xe" stroked="f" o:allowincell="f" style="position:absolute;left:5037;top:7329;width:2554;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elektraj veturiloj</w:t>
                        </w:r>
                      </w:p>
                    </w:txbxContent>
                  </v:textbox>
                  <v:fill o:detectmouseclick="t" on="false"/>
                  <v:stroke color="#3465a4" joinstyle="round" endcap="flat"/>
                  <w10:wrap type="topAndBottom"/>
                </v:rect>
                <v:rect id="shape_0" path="m0,0l-2147483645,0l-2147483645,-2147483646l0,-2147483646xe" stroked="f" o:allowincell="f" style="position:absolute;left:4986;top:7538;width:2552;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Efikaj lumaj aparatoj kaj ekipaĵoj</w:t>
                        </w:r>
                      </w:p>
                    </w:txbxContent>
                  </v:textbox>
                  <v:fill o:detectmouseclick="t" on="false"/>
                  <v:stroke color="#3465a4" joinstyle="round" endcap="flat"/>
                  <w10:wrap type="topAndBottom"/>
                </v:rect>
                <v:rect id="shape_0" path="m0,0l-2147483645,0l-2147483645,-2147483646l0,-2147483646xe" stroked="f" o:allowincell="f" style="position:absolute;left:4986;top:7786;width:2552;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Publika transporto kaj biciklado</w:t>
                        </w:r>
                      </w:p>
                    </w:txbxContent>
                  </v:textbox>
                  <v:fill o:detectmouseclick="t" on="false"/>
                  <v:stroke color="#3465a4" joinstyle="round" endcap="flat"/>
                  <w10:wrap type="topAndBottom"/>
                </v:rect>
                <v:rect id="shape_0" path="m0,0l-2147483645,0l-2147483645,-2147483646l0,-2147483646xe" stroked="f" o:allowincell="f" style="position:absolute;left:5037;top:7995;width:2554;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Biokarburaĵoj por transporto</w:t>
                        </w:r>
                      </w:p>
                    </w:txbxContent>
                  </v:textbox>
                  <v:fill o:detectmouseclick="t" on="false"/>
                  <v:stroke color="#3465a4" joinstyle="round" endcap="flat"/>
                  <w10:wrap type="topAndBottom"/>
                </v:rect>
                <v:rect id="shape_0" path="m0,0l-2147483645,0l-2147483645,-2147483646l0,-2147483646xe" stroked="f" o:allowincell="f" style="position:absolute;left:5090;top:8217;width:2553;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 kargado kaj aviado</w:t>
                        </w:r>
                      </w:p>
                    </w:txbxContent>
                  </v:textbox>
                  <v:fill o:detectmouseclick="t" on="false"/>
                  <v:stroke color="#3465a4" joinstyle="round" endcap="flat"/>
                  <w10:wrap type="topAndBottom"/>
                </v:rect>
                <v:rect id="shape_0" path="m0,0l-2147483645,0l-2147483645,-2147483646l0,-2147483646xe" stroked="f" o:allowincell="f" style="position:absolute;left:5037;top:8426;width:2554;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Evitu postulon pri energiservoj</w:t>
                        </w:r>
                      </w:p>
                    </w:txbxContent>
                  </v:textbox>
                  <v:fill o:detectmouseclick="t" on="false"/>
                  <v:stroke color="#3465a4" joinstyle="round" endcap="flat"/>
                  <w10:wrap type="topAndBottom"/>
                </v:rect>
                <v:rect id="shape_0" path="m0,0l-2147483645,0l-2147483645,-2147483646l0,-2147483646xe" stroked="f" o:allowincell="f" style="position:absolute;left:5090;top:8687;width:2553;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Surlokaj renovigeblaj energioj</w:t>
                        </w:r>
                      </w:p>
                    </w:txbxContent>
                  </v:textbox>
                  <v:fill o:detectmouseclick="t" on="false"/>
                  <v:stroke color="#3465a4" joinstyle="round" endcap="flat"/>
                  <w10:wrap type="topAndBottom"/>
                </v:rect>
                <v:rect id="shape_0" path="m0,0l-2147483645,0l-2147483645,-2147483646l0,-2147483646xe" stroked="f" o:allowincell="f" style="position:absolute;left:5508;top:9144;width:2188;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Ŝanĝo de brulaĵo</w:t>
                        </w:r>
                      </w:p>
                    </w:txbxContent>
                  </v:textbox>
                  <v:fill o:detectmouseclick="t" on="false"/>
                  <v:stroke color="#3465a4" joinstyle="round" endcap="flat"/>
                  <w10:wrap type="topAndBottom"/>
                </v:rect>
                <v:rect id="shape_0" path="m0,0l-2147483645,0l-2147483645,-2147483646l0,-2147483646xe" stroked="f" o:allowincell="f" style="position:absolute;left:5410;top:9366;width:2286;height:413;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ellason de fluorina gaso</w:t>
                        </w:r>
                      </w:p>
                    </w:txbxContent>
                  </v:textbox>
                  <v:fill o:detectmouseclick="t" on="false"/>
                  <v:stroke color="#3465a4" joinstyle="round" endcap="flat"/>
                  <w10:wrap type="topAndBottom"/>
                </v:rect>
                <v:rect id="shape_0" path="m0,0l-2147483645,0l-2147483645,-2147483646l0,-2147483646xe" stroked="f" o:allowincell="f" style="position:absolute;left:5508;top:9613;width:2188;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Energia efikeco</w:t>
                        </w:r>
                      </w:p>
                    </w:txbxContent>
                  </v:textbox>
                  <v:fill o:detectmouseclick="t" on="false"/>
                  <v:stroke color="#3465a4" joinstyle="round" endcap="flat"/>
                  <w10:wrap type="topAndBottom"/>
                </v:rect>
                <v:rect id="shape_0" path="m0,0l-2147483645,0l-2147483645,-2147483646l0,-2147483646xe" stroked="f" o:allowincell="f" style="position:absolute;left:5508;top:9822;width:2188;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Materiala efikeco</w:t>
                        </w:r>
                      </w:p>
                    </w:txbxContent>
                  </v:textbox>
                  <v:fill o:detectmouseclick="t" on="false"/>
                  <v:stroke color="#3465a4" joinstyle="round" endcap="flat"/>
                  <w10:wrap type="topAndBottom"/>
                </v:rect>
                <v:rect id="shape_0" path="m0,0l-2147483645,0l-2147483645,-2147483646l0,-2147483646xe" stroked="f" o:allowincell="f" style="position:absolute;left:5363;top:9975;width:2279;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Redukti metanon de</w:t>
                        </w:r>
                      </w:p>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rubo/kloakvo</w:t>
                        </w:r>
                      </w:p>
                    </w:txbxContent>
                  </v:textbox>
                  <v:fill o:detectmouseclick="t" on="false"/>
                  <v:stroke color="#3465a4" joinstyle="round" endcap="flat"/>
                  <w10:wrap type="topAndBottom"/>
                </v:rect>
                <v:rect id="shape_0" path="m0,0l-2147483645,0l-2147483645,-2147483646l0,-2147483646xe" stroked="f" o:allowincell="f" style="position:absolute;left:5394;top:10289;width:2188;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Anstataŭigo de konstrumaterialoj</w:t>
                        </w:r>
                      </w:p>
                    </w:txbxContent>
                  </v:textbox>
                  <v:fill o:detectmouseclick="t" on="false"/>
                  <v:stroke color="#3465a4" joinstyle="round" endcap="flat"/>
                  <w10:wrap type="topAndBottom"/>
                </v:rect>
                <v:rect id="shape_0" path="m0,0l-2147483645,0l-2147483645,-2147483646l0,-2147483646xe" stroked="f" o:allowincell="f" style="position:absolute;left:5193;top:10599;width:2389;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Plifortigita reciklado</w:t>
                        </w:r>
                      </w:p>
                    </w:txbxContent>
                  </v:textbox>
                  <v:fill o:detectmouseclick="t" on="false"/>
                  <v:stroke color="#3465a4" joinstyle="round" endcap="flat"/>
                  <w10:wrap type="topAndBottom"/>
                </v:rect>
                <v:rect id="shape_0" path="m0,0l-2147483645,0l-2147483645,-2147483646l0,-2147483646xe" stroked="f" o:allowincell="f" style="position:absolute;left:5508;top:10829;width:2188;height:416;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Karbonkapto kun uzo (CCU) kaj CCS</w:t>
                        </w:r>
                      </w:p>
                    </w:txbxContent>
                  </v:textbox>
                  <v:fill o:detectmouseclick="t" on="false"/>
                  <v:stroke color="#3465a4" joinstyle="round" endcap="flat"/>
                  <w10:wrap type="topAndBottom"/>
                </v:rect>
                <v:rect id="shape_0" path="m0,0l-2147483645,0l-2147483645,-2147483646l0,-2147483646xe" stroked="f" o:allowincell="f" style="position:absolute;left:6552;top:11188;width:2188;height:26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Neta dumviva kosto de opcioj:</w:t>
                        </w:r>
                      </w:p>
                    </w:txbxContent>
                  </v:textbox>
                  <v:fill o:detectmouseclick="t" on="false"/>
                  <v:stroke color="#3465a4" joinstyle="round" endcap="flat"/>
                  <w10:wrap type="topAndBottom"/>
                </v:rect>
                <v:rect id="shape_0" path="m0,0l-2147483645,0l-2147483645,-2147483646l0,-2147483646xe" stroked="f" o:allowincell="f" style="position:absolute;left:6837;top:11358;width:2087;height:413;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Kostoj estas pli malaltaj ol la referenco</w:t>
                        </w:r>
                      </w:p>
                    </w:txbxContent>
                  </v:textbox>
                  <v:fill o:detectmouseclick="t" on="false"/>
                  <v:stroke color="#3465a4" joinstyle="round" endcap="flat"/>
                  <w10:wrap type="topAndBottom"/>
                </v:rect>
                <v:rect id="shape_0" path="m0,0l-2147483645,0l-2147483645,-2147483646l0,-2147483646xe" stroked="f" o:allowincell="f" style="position:absolute;left:7023;top:11654;width:2028;height:30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0—20 (USD per tCO2 -eq)</w:t>
                        </w:r>
                      </w:p>
                    </w:txbxContent>
                  </v:textbox>
                  <v:fill o:detectmouseclick="t" on="false"/>
                  <v:stroke color="#3465a4" joinstyle="round" endcap="flat"/>
                  <w10:wrap type="topAndBottom"/>
                </v:rect>
                <v:rect id="shape_0" path="m0,0l-2147483645,0l-2147483645,-2147483646l0,-2147483646xe" stroked="f" o:allowincell="f" style="position:absolute;left:6873;top:11877;width:2042;height:29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20—50 (USD per tCO2 -eq)</w:t>
                        </w:r>
                      </w:p>
                    </w:txbxContent>
                  </v:textbox>
                  <v:fill o:detectmouseclick="t" on="false"/>
                  <v:stroke color="#3465a4" joinstyle="round" endcap="flat"/>
                  <w10:wrap type="topAndBottom"/>
                </v:rect>
                <v:rect id="shape_0" path="m0,0l-2147483645,0l-2147483645,-2147483646l0,-2147483646xe" stroked="f" o:allowincell="f" style="position:absolute;left:9202;top:11319;width:2099;height:30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50—100 (USD per tCO2 -eq)</w:t>
                        </w:r>
                      </w:p>
                    </w:txbxContent>
                  </v:textbox>
                  <v:fill o:detectmouseclick="t" on="false"/>
                  <v:stroke color="#3465a4" joinstyle="round" endcap="flat"/>
                  <w10:wrap type="topAndBottom"/>
                </v:rect>
                <v:rect id="shape_0" path="m0,0l-2147483645,0l-2147483645,-2147483646l0,-2147483646xe" stroked="f" o:allowincell="f" style="position:absolute;left:9114;top:11559;width:2244;height:30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100—200 (USD per tCO2 -eq)</w:t>
                        </w:r>
                      </w:p>
                    </w:txbxContent>
                  </v:textbox>
                  <v:fill o:detectmouseclick="t" on="false"/>
                  <v:stroke color="#3465a4" joinstyle="round" endcap="flat"/>
                  <w10:wrap type="topAndBottom"/>
                </v:rect>
                <v:rect id="shape_0" path="m0,0l-2147483645,0l-2147483645,-2147483646l0,-2147483646xe" stroked="f" o:allowincell="f" style="position:absolute;left:9220;top:11825;width:2031;height:412;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Kosto ne asignita pro alta ŝanĝebleco aŭ manko de datumoj</w:t>
                        </w:r>
                      </w:p>
                    </w:txbxContent>
                  </v:textbox>
                  <v:fill o:detectmouseclick="t" on="false"/>
                  <v:stroke color="#3465a4" joinstyle="round" endcap="flat"/>
                  <w10:wrap type="topAndBottom"/>
                </v:rect>
                <v:rect id="shape_0" path="m0,0l-2147483645,0l-2147483645,-2147483646l0,-2147483646xe" stroked="f" o:allowincell="f" style="position:absolute;left:3571;top:11198;width:2714;height:556;mso-wrap-style:square;v-text-anchor:top">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000000"/>
                            <w:lang w:val="eo"/>
                          </w:rPr>
                          <w:t xml:space="preserve">Konfida nivelo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000000"/>
                            <w:lang w:val="eo"/>
                          </w:rPr>
                          <w:t>en ebla farebleco kaj en sinergioj kun mildigo</w:t>
                        </w:r>
                      </w:p>
                    </w:txbxContent>
                  </v:textbox>
                  <v:fill o:detectmouseclick="t" on="false"/>
                  <v:stroke color="#3465a4" joinstyle="round" endcap="flat"/>
                  <w10:wrap type="topAndBottom"/>
                </v:rect>
                <v:rect id="shape_0" path="m0,0l-2147483645,0l-2147483645,-2147483646l0,-2147483646xe" stroked="f" o:allowincell="f" style="position:absolute;left:3571;top:11785;width:677;height:26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Alta</w:t>
                        </w:r>
                      </w:p>
                    </w:txbxContent>
                  </v:textbox>
                  <v:fill o:detectmouseclick="t" on="false"/>
                  <v:stroke color="#3465a4" joinstyle="round" endcap="flat"/>
                  <w10:wrap type="topAndBottom"/>
                </v:rect>
                <v:rect id="shape_0" path="m0,0l-2147483645,0l-2147483645,-2147483646l0,-2147483646xe" stroked="f" o:allowincell="f" style="position:absolute;left:1325;top:11654;width:673;height:27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Alta</w:t>
                        </w:r>
                      </w:p>
                    </w:txbxContent>
                  </v:textbox>
                  <v:fill o:detectmouseclick="t" on="false"/>
                  <v:stroke color="#3465a4" joinstyle="round" endcap="flat"/>
                  <w10:wrap type="topAndBottom"/>
                </v:rect>
                <v:rect id="shape_0" path="m0,0l-2147483645,0l-2147483645,-2147483646l0,-2147483646xe" stroked="f" o:allowincell="f" style="position:absolute;left:4098;top:11825;width:783;height:412;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Meza</w:t>
                        </w:r>
                      </w:p>
                    </w:txbxContent>
                  </v:textbox>
                  <v:fill o:detectmouseclick="t" on="false"/>
                  <v:stroke color="#3465a4" joinstyle="round" endcap="flat"/>
                  <w10:wrap type="topAndBottom"/>
                </v:rect>
                <v:rect id="shape_0" path="m0,0l-2147483645,0l-2147483645,-2147483646l0,-2147483646xe" stroked="f" o:allowincell="f" style="position:absolute;left:5037;top:11825;width:840;height:268;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w:t>
                        </w:r>
                      </w:p>
                    </w:txbxContent>
                  </v:textbox>
                  <v:fill o:detectmouseclick="t" on="false"/>
                  <v:stroke color="#3465a4" joinstyle="round" endcap="flat"/>
                  <w10:wrap type="topAndBottom"/>
                </v:rect>
                <v:rect id="shape_0" path="m0,0l-2147483645,0l-2147483645,-2147483646l0,-2147483646xe" stroked="f" o:allowincell="f" style="position:absolute;left:1012;top:11251;width:2714;height:556;mso-wrap-style:square;v-text-anchor:top">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000000"/>
                            <w:lang w:val="eo"/>
                          </w:rPr>
                          <w:t>Realigebla nivelo kaj sinergioj kun mildigo</w:t>
                        </w:r>
                      </w:p>
                    </w:txbxContent>
                  </v:textbox>
                  <v:fill o:detectmouseclick="t" on="false"/>
                  <v:stroke color="#3465a4" joinstyle="round" endcap="flat"/>
                  <w10:wrap type="topAndBottom"/>
                </v:rect>
                <v:rect id="shape_0" path="m0,0l-2147483645,0l-2147483645,-2147483646l0,-2147483646xe" stroked="f" o:allowincell="f" style="position:absolute;left:1998;top:11668;width:783;height:412;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Meza</w:t>
                        </w:r>
                      </w:p>
                    </w:txbxContent>
                  </v:textbox>
                  <v:fill o:detectmouseclick="t" on="false"/>
                  <v:stroke color="#3465a4" joinstyle="round" endcap="flat"/>
                  <w10:wrap type="topAndBottom"/>
                </v:rect>
                <v:rect id="shape_0" path="m0,0l-2147483645,0l-2147483645,-2147483646l0,-2147483646xe" stroked="f" o:allowincell="f" style="position:absolute;left:2786;top:11654;width:751;height:27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Malalta</w:t>
                        </w:r>
                      </w:p>
                    </w:txbxContent>
                  </v:textbox>
                  <v:fill o:detectmouseclick="t" on="false"/>
                  <v:stroke color="#3465a4" joinstyle="round" endcap="flat"/>
                  <w10:wrap type="topAndBottom"/>
                </v:rect>
                <v:rect id="shape_0" path="m0,0l-2147483645,0l-2147483645,-2147483646l0,-2147483646xe" stroked="f" o:allowincell="f" style="position:absolute;left:1325;top:11877;width:1614;height:26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Nesufiĉa indico</w:t>
                        </w:r>
                      </w:p>
                    </w:txbxContent>
                  </v:textbox>
                  <v:fill o:detectmouseclick="t" on="false"/>
                  <v:stroke color="#3465a4" joinstyle="round" endcap="flat"/>
                  <w10:wrap type="topAndBottom"/>
                </v:rect>
                <v:rect id="shape_0" path="m0,0l-2147483645,0l-2147483645,-2147483646l0,-2147483646xe" stroked="f" o:allowincell="f" style="position:absolute;left:1848;top:10815;width:2191;height:27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Diversigo de vivrimedoj</w:t>
                        </w:r>
                      </w:p>
                    </w:txbxContent>
                  </v:textbox>
                  <v:fill o:detectmouseclick="t" on="false"/>
                  <v:stroke color="#3465a4" joinstyle="round" endcap="flat"/>
                  <w10:wrap type="topAndBottom"/>
                </v:rect>
                <v:rect id="shape_0" path="m0,0l-2147483645,0l-2147483645,-2147483646l0,-2147483646xe" stroked="f" o:allowincell="f" style="position:absolute;left:1848;top:10514;width:2191;height:413;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Planita translokiĝo kaj reloĝigo</w:t>
                        </w:r>
                      </w:p>
                    </w:txbxContent>
                  </v:textbox>
                  <v:fill o:detectmouseclick="t" on="false"/>
                  <v:stroke color="#3465a4" joinstyle="round" endcap="flat"/>
                  <w10:wrap type="topAndBottom"/>
                </v:rect>
                <v:rect id="shape_0" path="m0,0l-2147483645,0l-2147483645,-2147483646l0,-2147483646xe" stroked="f" o:allowincell="f" style="position:absolute;left:1848;top:10202;width:2191;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homa migrado</w:t>
                        </w:r>
                      </w:p>
                    </w:txbxContent>
                  </v:textbox>
                  <v:fill o:detectmouseclick="t" on="false"/>
                  <v:stroke color="#3465a4" joinstyle="round" endcap="flat"/>
                  <w10:wrap type="topAndBottom"/>
                </v:rect>
                <v:rect id="shape_0" path="m0,0l-2147483645,0l-2147483645,-2147483646l0,-2147483646xe" stroked="f" o:allowincell="f" style="position:absolute;left:1520;top:9979;width:2519;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administrado de risko de katastrofoj</w:t>
                        </w:r>
                      </w:p>
                    </w:txbxContent>
                  </v:textbox>
                  <v:fill o:detectmouseclick="t" on="false"/>
                  <v:stroke color="#3465a4" joinstyle="round" endcap="flat"/>
                  <w10:wrap type="topAndBottom"/>
                </v:rect>
                <v:rect id="shape_0" path="m0,0l-2147483645,0l-2147483645,-2147483646l0,-2147483646xe" stroked="f" o:allowincell="f" style="position:absolute;left:1848;top:9680;width:2191;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Klimatservoj, inkluzive de Fruaj Avertaj Sistemoj</w:t>
                        </w:r>
                      </w:p>
                    </w:txbxContent>
                  </v:textbox>
                  <v:fill o:detectmouseclick="t" on="false"/>
                  <v:stroke color="#3465a4" joinstyle="round" endcap="flat"/>
                  <w10:wrap type="topAndBottom"/>
                </v:rect>
                <v:rect id="shape_0" path="m0,0l-2147483645,0l-2147483645,-2147483646l0,-2147483646xe" stroked="f" o:allowincell="f" style="position:absolute;left:1848;top:9457;width:2191;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Retoj de socia sekureco</w:t>
                        </w:r>
                      </w:p>
                    </w:txbxContent>
                  </v:textbox>
                  <v:fill o:detectmouseclick="t" on="false"/>
                  <v:stroke color="#3465a4" joinstyle="round" endcap="flat"/>
                  <w10:wrap type="topAndBottom"/>
                </v:rect>
                <v:rect id="shape_0" path="m0,0l-2147483645,0l-2147483645,-2147483646l0,-2147483646xe" stroked="f" o:allowincell="f" style="position:absolute;left:1848;top:9144;width:2191;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Risko disvastigi kaj kundividi</w:t>
                        </w:r>
                      </w:p>
                    </w:txbxContent>
                  </v:textbox>
                  <v:fill o:detectmouseclick="t" on="false"/>
                  <v:stroke color="#3465a4" joinstyle="round" endcap="flat"/>
                  <w10:wrap type="topAndBottom"/>
                </v:rect>
                <v:rect id="shape_0" path="m0,0l-2147483645,0l-2147483645,-2147483646l0,-2147483646xe" stroked="f" o:allowincell="f" style="position:absolute;left:1848;top:8531;width:2191;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Plibonigitaj sanservoj (ekz. WASH, nutrado kaj dietoj)</w:t>
                        </w:r>
                      </w:p>
                    </w:txbxContent>
                  </v:textbox>
                  <v:fill o:detectmouseclick="t" on="false"/>
                  <v:stroke color="#3465a4" joinstyle="round" endcap="flat"/>
                  <w10:wrap type="topAndBottom"/>
                </v:rect>
                <v:rect id="shape_0" path="m0,0l-2147483645,0l-2147483645,-2147483646l0,-2147483646xe" stroked="f" o:allowincell="f" style="position:absolute;left:1848;top:7695;width:2191;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Verda infrastrukturo kaj ekosistemservoj</w:t>
                        </w:r>
                      </w:p>
                    </w:txbxContent>
                  </v:textbox>
                  <v:fill o:detectmouseclick="t" on="false"/>
                  <v:stroke color="#3465a4" joinstyle="round" endcap="flat"/>
                  <w10:wrap type="topAndBottom"/>
                </v:rect>
                <v:rect id="shape_0" path="m0,0l-2147483645,0l-2147483645,-2147483646l0,-2147483646xe" stroked="f" o:allowincell="f" style="position:absolute;left:1587;top:7368;width:2348;height:413;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kultivado kaj urboplanado</w:t>
                        </w:r>
                      </w:p>
                    </w:txbxContent>
                  </v:textbox>
                  <v:fill o:detectmouseclick="t" on="false"/>
                  <v:stroke color="#3465a4" joinstyle="round" endcap="flat"/>
                  <w10:wrap type="topAndBottom"/>
                </v:rect>
                <v:rect id="shape_0" path="m0,0l-2147483645,0l-2147483645,-2147483646l0,-2147483646xe" stroked="f" o:allowincell="f" style="position:absolute;left:1534;top:7068;width:2453;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urba akvoadministrado</w:t>
                        </w:r>
                      </w:p>
                    </w:txbxContent>
                  </v:textbox>
                  <v:fill o:detectmouseclick="t" on="false"/>
                  <v:stroke color="#3465a4" joinstyle="round" endcap="flat"/>
                  <w10:wrap type="topAndBottom"/>
                </v:rect>
                <v:rect id="shape_0" path="m0,0l-2147483645,0l-2147483645,-2147483646l0,-2147483646xe" stroked="f" o:allowincell="f" style="position:absolute;left:1638;top:6545;width:2454;height:30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Marborda defendo kaj malmoliĝo</w:t>
                        </w:r>
                      </w:p>
                    </w:txbxContent>
                  </v:textbox>
                  <v:fill o:detectmouseclick="t" on="false"/>
                  <v:stroke color="#3465a4" joinstyle="round" endcap="flat"/>
                  <w10:wrap type="topAndBottom"/>
                </v:rect>
                <v:rect id="shape_0" path="m0,0l-2147483645,0l-2147483645,-2147483646l0,-2147483646xe" stroked="f" o:allowincell="f" style="position:absolute;left:1587;top:6232;width:2452;height:30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Integrita marborda zonadministrado</w:t>
                        </w:r>
                      </w:p>
                    </w:txbxContent>
                  </v:textbox>
                  <v:fill o:detectmouseclick="t" on="false"/>
                  <v:stroke color="#3465a4" joinstyle="round" endcap="flat"/>
                  <w10:wrap type="topAndBottom"/>
                </v:rect>
                <v:rect id="shape_0" path="m0,0l-2147483645,0l-2147483645,-2147483646l0,-2147483646xe" stroked="f" o:allowincell="f" style="position:absolute;left:1587;top:5919;width:2452;height:307;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Arbar-bazita adapto</w:t>
                        </w:r>
                      </w:p>
                    </w:txbxContent>
                  </v:textbox>
                  <v:fill o:detectmouseclick="t" on="false"/>
                  <v:stroke color="#3465a4" joinstyle="round" endcap="flat"/>
                  <w10:wrap type="topAndBottom"/>
                </v:rect>
                <v:rect id="shape_0" path="m0,0l-2147483645,0l-2147483645,-2147483646l0,-2147483646xe" stroked="f" o:allowincell="f" style="position:absolute;left:1357;top:5657;width:2682;height:30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Daŭrigebla akvokulturo kaj fiŝfarmo</w:t>
                        </w:r>
                      </w:p>
                    </w:txbxContent>
                  </v:textbox>
                  <v:fill o:detectmouseclick="t" on="false"/>
                  <v:stroke color="#3465a4" joinstyle="round" endcap="flat"/>
                  <w10:wrap type="topAndBottom"/>
                </v:rect>
                <v:rect id="shape_0" path="m0,0l-2147483645,0l-2147483645,-2147483646l0,-2147483646xe" stroked="f" o:allowincell="f" style="position:absolute;left:1534;top:5344;width:2453;height:307;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Agroforstado</w:t>
                        </w:r>
                      </w:p>
                    </w:txbxContent>
                  </v:textbox>
                  <v:fill o:detectmouseclick="t" on="false"/>
                  <v:stroke color="#3465a4" joinstyle="round" endcap="flat"/>
                  <w10:wrap type="topAndBottom"/>
                </v:rect>
                <v:rect id="shape_0" path="m0,0l-2147483645,0l-2147483645,-2147483646l0,-2147483646xe" stroked="f" o:allowincell="f" style="position:absolute;left:1534;top:4978;width:2453;height:413;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Biodiversecadministrado kaj ekosistemkonekteco</w:t>
                        </w:r>
                      </w:p>
                    </w:txbxContent>
                  </v:textbox>
                  <v:fill o:detectmouseclick="t" on="false"/>
                  <v:stroke color="#3465a4" joinstyle="round" endcap="flat"/>
                  <w10:wrap type="topAndBottom"/>
                </v:rect>
                <v:rect id="shape_0" path="m0,0l-2147483645,0l-2147483645,-2147483646l0,-2147483646xe" stroked="f" o:allowincell="f" style="position:absolute;left:1482;top:4718;width:2453;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Akvouzo-efikeco kaj akvoresursa administrado</w:t>
                        </w:r>
                      </w:p>
                    </w:txbxContent>
                  </v:textbox>
                  <v:fill o:detectmouseclick="t" on="false"/>
                  <v:stroke color="#3465a4" joinstyle="round" endcap="flat"/>
                  <w10:wrap type="topAndBottom"/>
                </v:rect>
                <v:rect id="shape_0" path="m0,0l-2147483645,0l-2147483645,-2147483646l0,-2147483646xe" stroked="f" o:allowincell="f" style="position:absolute;left:1390;top:4508;width:2597;height:30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Plibonigita administrado de kultivejoj</w:t>
                        </w:r>
                      </w:p>
                    </w:txbxContent>
                  </v:textbox>
                  <v:fill o:detectmouseclick="t" on="false"/>
                  <v:stroke color="#3465a4" joinstyle="round" endcap="flat"/>
                  <w10:wrap type="topAndBottom"/>
                </v:rect>
                <v:rect id="shape_0" path="m0,0l-2147483645,0l-2147483645,-2147483646l0,-2147483646xe" stroked="f" o:allowincell="f" style="position:absolute;left:1482;top:4248;width:2453;height:307;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Efikaj brutsistemoj</w:t>
                        </w:r>
                      </w:p>
                    </w:txbxContent>
                  </v:textbox>
                  <v:fill o:detectmouseclick="t" on="false"/>
                  <v:stroke color="#3465a4" joinstyle="round" endcap="flat"/>
                  <w10:wrap type="topAndBottom"/>
                </v:rect>
                <v:rect id="shape_0" path="m0,0l-2147483645,0l-2147483645,-2147483646l0,-2147483646xe" stroked="f" o:allowincell="f" style="position:absolute;left:1587;top:3408;width:2452;height:307;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Plibonigu la efikecon de akvo-uzo</w:t>
                        </w:r>
                      </w:p>
                    </w:txbxContent>
                  </v:textbox>
                  <v:fill o:detectmouseclick="t" on="false"/>
                  <v:stroke color="#3465a4" joinstyle="round" endcap="flat"/>
                  <w10:wrap type="topAndBottom"/>
                </v:rect>
                <v:rect id="shape_0" path="m0,0l-2147483645,0l-2147483645,-2147483646l0,-2147483646xe" stroked="f" o:allowincell="f" style="position:absolute;left:1534;top:3095;width:2453;height:307;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Fortikaj potencaj sistemoj</w:t>
                        </w:r>
                      </w:p>
                    </w:txbxContent>
                  </v:textbox>
                  <v:fill o:detectmouseclick="t" on="false"/>
                  <v:stroke color="#3465a4" joinstyle="round" endcap="flat"/>
                  <w10:wrap type="topAndBottom"/>
                </v:rect>
                <v:rect id="shape_0" path="m0,0l-2147483645,0l-2147483645,-2147483646l0,-2147483646xe" stroked="f" o:allowincell="f" style="position:absolute;left:1482;top:2781;width:2453;height:412;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Energia fidindeco (ekz. diversigo, aliro, stabileco</w:t>
                        </w:r>
                      </w:p>
                    </w:txbxContent>
                  </v:textbox>
                  <v:fill o:detectmouseclick="t" on="false"/>
                  <v:stroke color="#3465a4" joinstyle="round" endcap="flat"/>
                  <w10:wrap type="topAndBottom"/>
                </v:rect>
                <v:rect id="shape_0" path="m0,0l-2147483645,0l-2147483645,-2147483646l0,-2147483646xe" stroked="f" o:allowincell="f" style="position:absolute;left:1587;top:12919;width:2556;height:556;mso-wrap-style:square;v-text-anchor:top">
                  <v:textbox>
                    <w:txbxContent>
                      <w:p>
                        <w:pPr>
                          <w:overflowPunct w:val="false"/>
                          <w:spacing w:before="0" w:after="0" w:lineRule="auto" w:line="240"/>
                          <w:ind w:hanging="0"/>
                          <w:jc w:val="left"/>
                          <w:rPr/>
                        </w:pPr>
                        <w:r>
                          <w:rPr>
                            <w:sz w:val="14"/>
                            <w:b w:val="false"/>
                            <w:u w:val="none"/>
                            <w:dstrike w:val="false"/>
                            <w:strike w:val="false"/>
                            <w:i/>
                            <w:vertAlign w:val="baseline"/>
                            <w:position w:val="0"/>
                            <w:spacing w:val="0"/>
                            <w:szCs w:val="14"/>
                            <w:bCs w:val="false"/>
                            <w:iCs/>
                            <w:smallCaps w:val="false"/>
                            <w:caps w:val="false"/>
                            <w:rFonts w:ascii="Arial" w:hAnsi="Arial" w:eastAsia="DejaVu Sans" w:cs="DejaVu Sans"/>
                            <w:color w:val="000000"/>
                            <w:lang w:val="eo"/>
                          </w:rPr>
                          <w:t>la gamo de GHG-emisio-reduktopotencialo estas 40-70% en tiuj fin-uzaj sektoroj</w:t>
                        </w:r>
                      </w:p>
                    </w:txbxContent>
                  </v:textbox>
                  <v:fill o:detectmouseclick="t" on="false"/>
                  <v:stroke color="#3465a4" joinstyle="round" endcap="flat"/>
                  <w10:wrap type="topAndBottom"/>
                </v:rect>
                <v:rect id="shape_0" path="m0,0l-2147483645,0l-2147483645,-2147483646l0,-2147483646xe" stroked="f" o:allowincell="f" style="position:absolute;left:2213;top:13535;width:1617;height:249;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Totalaj emisioj (2050)</w:t>
                        </w:r>
                      </w:p>
                    </w:txbxContent>
                  </v:textbox>
                  <v:fill o:detectmouseclick="t" on="false"/>
                  <v:stroke color="#3465a4" joinstyle="round" endcap="flat"/>
                  <w10:wrap type="topAndBottom"/>
                </v:rect>
                <v:rect id="shape_0" path="m0,0l-2147483645,0l-2147483645,-2147483646l0,-2147483646xe" stroked="f" o:allowincell="f" style="position:absolute;left:1325;top:11877;width:1614;height:26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Nesufiĉa indico</w:t>
                        </w:r>
                      </w:p>
                    </w:txbxContent>
                  </v:textbox>
                  <v:fill o:detectmouseclick="t" on="false"/>
                  <v:stroke color="#3465a4" joinstyle="round" endcap="flat"/>
                  <w10:wrap type="topAndBottom"/>
                </v:rect>
                <v:rect id="shape_0" path="m0,0l-2147483645,0l-2147483645,-2147483646l0,-2147483646xe" stroked="f" o:allowincell="f" style="position:absolute;left:2213;top:13711;width:1879;height:250;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Procento de ebla redukto</w:t>
                        </w:r>
                      </w:p>
                    </w:txbxContent>
                  </v:textbox>
                  <v:fill o:detectmouseclick="t" on="false"/>
                  <v:stroke color="#3465a4" joinstyle="round" endcap="flat"/>
                  <w10:wrap type="topAndBottom"/>
                </v:rect>
                <v:rect id="shape_0" path="m0,0l-2147483645,0l-2147483645,-2147483646l0,-2147483646xe" stroked="f" o:allowincell="f" style="position:absolute;left:2213;top:13914;width:2024;height:250;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Potencialo de mildigo de postulo</w:t>
                        </w:r>
                      </w:p>
                    </w:txbxContent>
                  </v:textbox>
                  <v:fill o:detectmouseclick="t" on="false"/>
                  <v:stroke color="#3465a4" joinstyle="round" endcap="flat"/>
                  <w10:wrap type="topAndBottom"/>
                </v:rect>
                <v:rect id="shape_0" path="m0,0l-2147483645,0l-2147483645,-2147483646l0,-2147483646xe" stroked="f" o:allowincell="f" style="position:absolute;left:2213;top:14058;width:1879;height:250;mso-wrap-style:square;v-text-anchor:top">
                  <v:textbox>
                    <w:txbxContent>
                      <w:p>
                        <w:pPr>
                          <w:overflowPunct w:val="false"/>
                          <w:spacing w:before="0" w:after="0" w:lineRule="auto" w:line="240"/>
                          <w:ind w:hanging="0"/>
                          <w:jc w:val="left"/>
                          <w:rPr/>
                        </w:pPr>
                        <w:r>
                          <w:rPr>
                            <w:sz w:val="12"/>
                            <w:b w:val="false"/>
                            <w:u w:val="none"/>
                            <w:dstrike w:val="false"/>
                            <w:strike w:val="false"/>
                            <w:i w:val="false"/>
                            <w:vertAlign w:val="baseline"/>
                            <w:position w:val="0"/>
                            <w:spacing w:val="0"/>
                            <w:szCs w:val="12"/>
                            <w:bCs w:val="false"/>
                            <w:iCs w:val="false"/>
                            <w:smallCaps w:val="false"/>
                            <w:caps w:val="false"/>
                            <w:rFonts w:ascii="Arial" w:hAnsi="Arial" w:eastAsia="DejaVu Sans" w:cs="DejaVu Sans"/>
                            <w:color w:val="000000"/>
                            <w:lang w:val="eo"/>
                          </w:rPr>
                          <w:t>potenciala gamo</w:t>
                        </w:r>
                      </w:p>
                    </w:txbxContent>
                  </v:textbox>
                  <v:fill o:detectmouseclick="t" on="false"/>
                  <v:stroke color="#3465a4" joinstyle="round" endcap="flat"/>
                  <w10:wrap type="topAndBottom"/>
                </v:rect>
                <v:rect id="shape_0" path="m0,0l-2147483645,0l-2147483645,-2147483646l0,-2147483646xe" stroked="f" o:allowincell="f" style="position:absolute;left:1325;top:13444;width:673;height:26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ŝlosilo</w:t>
                        </w:r>
                      </w:p>
                    </w:txbxContent>
                  </v:textbox>
                  <v:fill o:detectmouseclick="t" on="false"/>
                  <v:stroke color="#3465a4" joinstyle="round" endcap="flat"/>
                  <w10:wrap type="topAndBottom"/>
                </v:rect>
                <v:rect id="shape_0" path="m0,0l-2147483645,0l-2147483645,-2147483646l0,-2147483646xe" stroked="f" o:allowincell="f" style="position:absolute;left:4833;top:12609;width:877;height:268;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manĝaĵo</w:t>
                        </w:r>
                      </w:p>
                    </w:txbxContent>
                  </v:textbox>
                  <v:fill o:detectmouseclick="t" on="false"/>
                  <v:stroke color="#3465a4" joinstyle="round" endcap="flat"/>
                  <w10:wrap type="topAndBottom"/>
                </v:rect>
                <v:rect id="shape_0" path="m0,0l-2147483645,0l-2147483645,-2147483646l0,-2147483646xe" stroked="f" o:allowincell="f" style="position:absolute;left:4673;top:14067;width:1065;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Elektro</w:t>
                        </w:r>
                      </w:p>
                    </w:txbxContent>
                  </v:textbox>
                  <v:fill o:detectmouseclick="t" on="false"/>
                  <v:stroke color="#3465a4" joinstyle="round" endcap="flat"/>
                  <w10:wrap type="topAndBottom"/>
                </v:rect>
                <v:rect id="shape_0" path="m0,0l-2147483645,0l-2147483645,-2147483646l0,-2147483646xe" stroked="f" o:allowincell="f" style="position:absolute;left:4567;top:13705;width:1196;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Industrio</w:t>
                        </w:r>
                      </w:p>
                    </w:txbxContent>
                  </v:textbox>
                  <v:fill o:detectmouseclick="t" on="false"/>
                  <v:stroke color="#3465a4" joinstyle="round" endcap="flat"/>
                  <w10:wrap type="topAndBottom"/>
                </v:rect>
                <v:rect id="shape_0" path="m0,0l-2147483645,0l-2147483645,-2147483646l0,-2147483646xe" stroked="f" o:allowincell="f" style="position:absolute;left:4655;top:13444;width:1055;height:269;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Konstruaĵoj</w:t>
                        </w:r>
                      </w:p>
                    </w:txbxContent>
                  </v:textbox>
                  <v:fill o:detectmouseclick="t" on="false"/>
                  <v:stroke color="#3465a4" joinstyle="round" endcap="flat"/>
                  <w10:wrap type="topAndBottom"/>
                </v:rect>
                <v:rect id="shape_0" path="m0,0l-2147483645,0l-2147483645,-2147483646l0,-2147483646xe" stroked="f" o:allowincell="f" style="position:absolute;left:4502;top:13131;width:1300;height:413;mso-wrap-style:square;v-text-anchor:top">
                  <v:textbox>
                    <w:txbxContent>
                      <w:p>
                        <w:pPr>
                          <w:overflowPunct w:val="false"/>
                          <w:spacing w:before="0" w:after="0" w:lineRule="auto" w:line="240"/>
                          <w:ind w:hanging="0"/>
                          <w:jc w:val="righ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tertransportado</w:t>
                        </w:r>
                      </w:p>
                    </w:txbxContent>
                  </v:textbox>
                  <v:fill o:detectmouseclick="t" on="false"/>
                  <v:stroke color="#3465a4" joinstyle="round" endcap="flat"/>
                  <w10:wrap type="topAndBottom"/>
                </v:rect>
                <v:rect id="shape_0" path="m0,0l-2147483645,0l-2147483645,-2147483646l0,-2147483646xe" stroked="f" o:allowincell="f" style="position:absolute;left:8798;top:13967;width:2140;height:69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Plia elektrizo (+60%)</w:t>
                        </w:r>
                      </w:p>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00864B"/>
                            <w:lang w:val="eo"/>
                          </w:rPr>
                          <w:t xml:space="preserve">73% </w:t>
                        </w:r>
                        <w:r>
                          <w:rPr>
                            <w:sz w:val="14"/>
                            <w:u w:val="none"/>
                            <w:dstrike w:val="false"/>
                            <w:strike w:val="false"/>
                            <w:i w:val="false"/>
                            <w:vertAlign w:val="baseline"/>
                            <w:position w:val="0"/>
                            <w:spacing w:val="0"/>
                            <w:szCs w:val="14"/>
                            <w:iCs w:val="false"/>
                            <w:smallCaps w:val="false"/>
                            <w:caps w:val="false"/>
                            <w:b w:val="false"/>
                            <w:bCs w:val="false"/>
                            <w:rFonts w:ascii="Arial" w:hAnsi="Arial" w:eastAsia="DejaVu Sans" w:cs="DejaVu Sans"/>
                            <w:color w:val="00864B"/>
                            <w:lang w:val="eo"/>
                          </w:rPr>
                          <w:t>redukto (antaŭ plia elektrizo)</w:t>
                        </w:r>
                      </w:p>
                    </w:txbxContent>
                  </v:textbox>
                  <v:fill o:detectmouseclick="t" on="false"/>
                  <v:stroke color="#3465a4" joinstyle="round" endcap="flat"/>
                  <w10:wrap type="topAndBottom"/>
                </v:rect>
                <v:rect id="shape_0" path="m0,0l-2147483645,0l-2147483645,-2147483646l0,-2147483646xe" stroked="f" o:allowincell="f" style="position:absolute;left:8224;top:12878;width:1136;height:299;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GtCO2/jaro</w:t>
                        </w:r>
                      </w:p>
                    </w:txbxContent>
                  </v:textbox>
                  <v:fill o:detectmouseclick="t" on="false"/>
                  <v:stroke color="#3465a4" joinstyle="round" endcap="flat"/>
                  <w10:wrap type="topAndBottom"/>
                </v:rect>
                <v:rect id="shape_0" path="m0,0l-2147483645,0l-2147483645,-2147483646l0,-2147483646xe" stroked="f" o:allowincell="f" style="position:absolute;left:8224;top:12303;width:1441;height:300;mso-wrap-style:square;v-text-anchor:top">
                  <v:textbox>
                    <w:txbxContent>
                      <w:p>
                        <w:pPr>
                          <w:overflowPunct w:val="false"/>
                          <w:spacing w:before="0" w:after="0" w:lineRule="auto" w:line="240"/>
                          <w:ind w:hanging="0"/>
                          <w:jc w:val="left"/>
                          <w:rPr/>
                        </w:pPr>
                        <w:r>
                          <w:rPr>
                            <w:sz w:val="14"/>
                            <w:b w:val="false"/>
                            <w:u w:val="none"/>
                            <w:dstrike w:val="false"/>
                            <w:strike w:val="false"/>
                            <w:i w:val="false"/>
                            <w:vertAlign w:val="baseline"/>
                            <w:position w:val="0"/>
                            <w:spacing w:val="0"/>
                            <w:szCs w:val="14"/>
                            <w:bCs w:val="false"/>
                            <w:iCs w:val="false"/>
                            <w:smallCaps w:val="false"/>
                            <w:caps w:val="false"/>
                            <w:rFonts w:ascii="Arial" w:hAnsi="Arial" w:eastAsia="DejaVu Sans" w:cs="DejaVu Sans"/>
                            <w:color w:val="000000"/>
                            <w:lang w:val="eo"/>
                          </w:rPr>
                          <w:t>GtCO2 -eq/jaro</w:t>
                        </w:r>
                      </w:p>
                    </w:txbxContent>
                  </v:textbox>
                  <v:fill o:detectmouseclick="t" on="false"/>
                  <v:stroke color="#3465a4" joinstyle="round" endcap="flat"/>
                  <w10:wrap type="topAndBottom"/>
                </v:rect>
                <v:rect id="shape_0" path="m0,0l-2147483645,0l-2147483645,-2147483646l0,-2147483646xe" stroked="f" o:allowincell="f" style="position:absolute;left:230;top:9564;width:2083;height:413;mso-wrap-style:square;v-text-anchor:top;rotation:270">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SOCIO, VIVO KAJ EKONOMIO</w:t>
                        </w:r>
                      </w:p>
                    </w:txbxContent>
                  </v:textbox>
                  <v:fill o:detectmouseclick="t" on="false"/>
                  <v:stroke color="#3465a4" joinstyle="round" endcap="flat"/>
                  <w10:wrap type="topAndBottom"/>
                </v:rect>
                <v:rect id="shape_0" path="m0,0l-2147483645,0l-2147483645,-2147483646l0,-2147483646xe" stroked="f" o:allowincell="f" style="position:absolute;left:759;top:8458;width:881;height:269;mso-wrap-style:square;v-text-anchor:top;rotation:270">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SANO</w:t>
                        </w:r>
                      </w:p>
                    </w:txbxContent>
                  </v:textbox>
                  <v:fill o:detectmouseclick="t" on="false"/>
                  <v:stroke color="#3465a4" joinstyle="round" endcap="flat"/>
                  <w10:wrap type="topAndBottom"/>
                </v:rect>
                <v:rect id="shape_0" path="m0,0l-2147483645,0l-2147483645,-2147483646l0,-2147483646xe" stroked="f" o:allowincell="f" style="position:absolute;left:445;top:7326;width:1652;height:412;mso-wrap-style:square;v-text-anchor:top;rotation:270">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KLOSO KAJ INFRASTRUKTURO</w:t>
                        </w:r>
                      </w:p>
                    </w:txbxContent>
                  </v:textbox>
                  <v:fill o:detectmouseclick="t" on="false"/>
                  <v:stroke color="#3465a4" joinstyle="round" endcap="flat"/>
                  <w10:wrap type="topAndBottom"/>
                </v:rect>
                <v:rect id="shape_0" path="m0,0l-2147483645,0l-2147483645,-2147483646l0,-2147483646xe" stroked="f" o:allowincell="f" style="position:absolute;left:27;top:5288;width:2343;height:268;mso-wrap-style:square;v-text-anchor:top;rotation:270">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TERO, AKVO, MANĜO</w:t>
                        </w:r>
                      </w:p>
                    </w:txbxContent>
                  </v:textbox>
                  <v:fill o:detectmouseclick="t" on="false"/>
                  <v:stroke color="#3465a4" joinstyle="round" endcap="flat"/>
                  <w10:wrap type="topAndBottom"/>
                </v:rect>
                <v:rect id="shape_0" path="m0,0l-2147483645,0l-2147483645,-2147483646l0,-2147483646xe" stroked="f" o:allowincell="f" style="position:absolute;left:340;top:3112;width:1717;height:268;mso-wrap-style:square;v-text-anchor:top;rotation:270">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ENERGIA PROPONO</w:t>
                        </w:r>
                      </w:p>
                    </w:txbxContent>
                  </v:textbox>
                  <v:fill o:detectmouseclick="t" on="false"/>
                  <v:stroke color="#3465a4" joinstyle="round" endcap="flat"/>
                  <w10:wrap type="topAndBottom"/>
                </v:rect>
                <v:rect id="shape_0" path="m0,0l-2147483645,0l-2147483645,-2147483646l0,-2147483646xe" stroked="f" o:allowincell="f" style="position:absolute;left:4419;top:9900;width:1718;height:269;mso-wrap-style:square;v-text-anchor:top;rotation:270">
                  <v:textbox>
                    <w:txbxContent>
                      <w:p>
                        <w:pPr>
                          <w:overflowPunct w:val="false"/>
                          <w:spacing w:before="0" w:after="0" w:lineRule="auto" w:line="240"/>
                          <w:ind w:hanging="0"/>
                          <w:jc w:val="left"/>
                          <w:rPr/>
                        </w:pPr>
                        <w:r>
                          <w:rPr>
                            <w:sz w:val="14"/>
                            <w:b/>
                            <w:u w:val="none"/>
                            <w:dstrike w:val="false"/>
                            <w:strike w:val="false"/>
                            <w:i w:val="false"/>
                            <w:vertAlign w:val="baseline"/>
                            <w:position w:val="0"/>
                            <w:spacing w:val="0"/>
                            <w:szCs w:val="14"/>
                            <w:bCs/>
                            <w:iCs w:val="false"/>
                            <w:smallCaps w:val="false"/>
                            <w:caps w:val="false"/>
                            <w:rFonts w:ascii="Arial" w:hAnsi="Arial" w:eastAsia="DejaVu Sans" w:cs="DejaVu Sans"/>
                            <w:color w:val="FFFFFF"/>
                            <w:lang w:val="eo"/>
                          </w:rPr>
                          <w:t>INDUSTRIO, RUBO</w:t>
                        </w:r>
                      </w:p>
                    </w:txbxContent>
                  </v:textbox>
                  <v:fill o:detectmouseclick="t" on="false"/>
                  <v:stroke color="#3465a4" joinstyle="round" endcap="flat"/>
                  <w10:wrap type="topAndBottom"/>
                </v:rect>
              </v:group>
            </w:pict>
          </mc:Fallback>
        </mc:AlternateContent>
      </w:r>
    </w:p>
    <w:p>
      <w:pPr>
        <w:pStyle w:val="ParagrapheBlancPetit"/>
        <w:rPr/>
      </w:pPr>
      <w:r>
        <w:rPr>
          <w:rStyle w:val="StyleGras"/>
        </w:rPr>
        <w:t xml:space="preserve">Figuro SPM.7: Multoblaj Ebloj por pligrandigi klimatan agadon. Panelo (a) </w:t>
      </w:r>
      <w:r>
        <w:rPr/>
        <w:t>prezentas elektitajn mildigajn kaj adaptajn elektojn trans malsamaj sistemoj. La maldekstra flanko de la panelo montras klimatajn respondojn kaj adaptajn elektojn taksitajn por ilia multdimensia farebleco je tutmonda skalo, baldaŭ kaj ĝis 1.5°C tutmonda varmiĝo. Ĉar literaturo super 1.5 °C estas limigita, farebleco ĉe pli altaj niveloj de varmiĝo povas ŝanĝiĝi, kio estas nuntempe ne eble forte taksi. La esprimo respondo estas uzita ĉi tie aldone al adaptado ĉar kelkaj respondoj, kiel ekzemple migrado, translokado kaj reloĝigo povas aŭ eble ne estas konsideritaj kiel adaptado. Arbarbazita adaptado inkludas daŭrigeblan arbaradministradon, arbarkonservadon kaj restarigon, rearbarigon kaj arbarigadon. WASH rilatas al akvo, kloakigo kaj higieno. Ses realigeblo-dimensioj (ekonomiaj, teknologiaj, instituciaj, sociaj, mediaj kaj geofizikaj) estis uzitaj por kalkuli la eblan fareblecon de klimataj respondoj kaj adaptaj elektoj, kune kun siaj sinergioj kun mildigo. Por ebla realigeblo kaj realigeblo-dimensioj, la figuro montras altan, mezan aŭ malaltan fareblecon. Sinergioj kun mildigo estas identigitaj kiel altaj, mezaj kaj malaltaj.</w:t>
      </w:r>
    </w:p>
    <w:p>
      <w:pPr>
        <w:pStyle w:val="ParagrapheBlancPetit"/>
        <w:rPr/>
      </w:pPr>
      <w:r>
        <w:rPr/>
        <w:t>La dekstra flanko de Panelo a disponigas superrigardon de elektitaj mildigaj elektoj kaj iliaj laŭtaksaj kostoj kaj potencialoj en 2030. Kostoj estas netaj dumvivaj rabataj monkostoj de evititaj GHG-emisioj kalkulitaj rilate al referenca teknologio. Relativaj potencialoj kaj kostoj varias laŭ loko, kunteksto kaj tempo kaj en la pli longa perspektivo kompare kun 2030. La potencialo (horizontala akso) estas la neta GHG-emisioredukto (sumo de reduktitaj emisioj kaj/aŭ plifortigitaj lavujoj) dividita en kostkategoriojn (koloraj stangosegmentoj) relative al emisiobazo konsistanta el aktuala politiko (ĉirkaŭ 2019) referencaj scenaroj de la AR6-scenaraj datumbazo. La potencialoj estas taksitaj sendepende por ĉiu opcio kaj ne estas aldonaj. Sansistemaj mildigaj elektoj estas inkluditaj plejparte en setlejo kaj infrastrukturo (ekz., efikaj sankonstruaĵoj) kaj ne povas esti identigitaj aparte. Fuelŝanĝo en industrio rilatas al ŝanĝo al elektro, hidrogeno, bioenergio kaj tergaso. Laŭgradaj kolortransiroj indikas necertan kolapson en kostkategoriojn pro necerteco aŭ peza kunteksta dependeco. La necerteco en la totala potencialo estas tipe 25-50%.</w:t>
      </w:r>
    </w:p>
    <w:p>
      <w:pPr>
        <w:pStyle w:val="ParagrapheBlancPetit"/>
        <w:rPr/>
      </w:pPr>
      <w:r>
        <w:rPr>
          <w:rStyle w:val="StyleGras"/>
        </w:rPr>
        <w:t xml:space="preserve">Panelo (b) </w:t>
      </w:r>
      <w:r>
        <w:rPr/>
        <w:t>montras la indikan potencialon de postul-flankaj mildigaj elektoj por 2050. Potencialoj estas taksitaj surbaze de proksimume 500 desupraj studoj reprezentantaj ĉiujn tutmondajn regionojn. La bazlinio (blanka stango) estas disponigita per la sektoraj averaĝaj GHG-emisioj en 2050 el la du scenaroj (IEA-STEPS kaj IP_ModAct) kongrua kun politikoj anoncitaj de naciaj registaroj ĝis 2020. La verda sago reprezentas la postul-flankajn emisio-reduktajn potencialojn. La intervalo en potencialo estas montrita per linio liganta punktojn elmontrantajn la plej altajn kaj la plej malsuprajn potencialojn raportitajn en la literaturo. Manĝaĵo montras postul-flankan potencialon de socikulturaj faktoroj kaj infrastrukturuzon, kaj ŝanĝojn en teruzopadronoj ebligitaj per ŝanĝo en manĝpostulo. Postulflankaj iniciatoj kaj novaj manieroj de finuza servoprovizo povas redukti tutmondajn GHG-emisiojn en finuzaj sektoroj (konstruaĵoj, tertransporto, manĝaĵo) je 40-70% antaŭ 2050 kompare kun bazliniaj scenaroj, dum kelkaj regionoj kaj sociekonomikaj grupoj postulas plia energio kaj rimedoj. La lasta vico montras kiel postul-flankaj mildigaj elektoj en aliaj sektoroj povas influi ĝeneralan elektropostulon. La malhelgriza stango montras la projektitan pliiĝon de elektra postulo super la bazlinio de 2050 pro kreskanta elektrizo en la aliaj sektoroj. Surbaze de desupra takso, tiu projekciita pliiĝo en elektropostulo povas esti evitita per postul-flankaj mildigaj elektoj en la domajnoj de infrastrukturuzo kaj socikulturaj faktoroj kiuj influas elektrouzokutimon en industrio, tertransporto, kaj konstruaĵoj (verda sago). {Figuro 4.4}</w:t>
      </w:r>
    </w:p>
    <w:p>
      <w:pPr>
        <w:pStyle w:val="ParagrapheBlanc"/>
        <w:rPr/>
      </w:pPr>
      <w:r>
        <w:rPr>
          <w:rStyle w:val="StyleGras"/>
        </w:rPr>
        <w:t>[FINO FIGURO SPM.7 ĈI TIE]</w:t>
      </w:r>
    </w:p>
    <w:p>
      <w:pPr>
        <w:pStyle w:val="ParagrapheBlanc"/>
        <w:rPr/>
      </w:pPr>
      <w:r>
        <w:rPr>
          <w:rStyle w:val="StyleGras"/>
        </w:rPr>
        <w:t>Mildigaj kaj Adaptaj Opcioj tra Sistemoj</w:t>
      </w:r>
    </w:p>
    <w:p>
      <w:pPr>
        <w:pStyle w:val="ParagrapheBistre"/>
        <w:rPr/>
      </w:pPr>
      <w:r>
        <w:rPr>
          <w:b/>
          <w:color w:val="000000"/>
          <w:spacing w:val="-8"/>
          <w:w w:val="100"/>
          <w:sz w:val="22"/>
        </w:rPr>
        <w:t xml:space="preserve">C.3 Rapidaj kaj ampleksaj transiroj tra ĉiuj sektoroj kaj sistemoj estas necesaj por atingi profundajn </w:t>
      </w:r>
      <w:r>
        <w:rPr>
          <w:b/>
          <w:color w:val="000000"/>
          <w:spacing w:val="0"/>
          <w:w w:val="100"/>
          <w:sz w:val="22"/>
        </w:rPr>
        <w:t xml:space="preserve">kaj </w:t>
      </w:r>
      <w:r>
        <w:rPr>
          <w:b/>
          <w:color w:val="000000"/>
          <w:w w:val="100"/>
          <w:sz w:val="22"/>
        </w:rPr>
        <w:t>daŭrajn emisiajn reduktojn kaj certigi viveblan kaj daŭrigeblan estontecon por ĉiuj. Tiuj sistemaj transiroj implikas signifan plialtigon de larĝa biletujo da mildigaj kaj adaptaj elektoj. Realigeblaj, efikaj kaj malmultekostaj opcioj por mildigo kaj adaptado jam estas haveblaj, kun diferencoj inter sistemoj kaj regionoj. (</w:t>
      </w:r>
      <w:r>
        <w:rPr>
          <w:rStyle w:val="StyleItaliques"/>
          <w:b/>
          <w:color w:val="000000"/>
          <w:w w:val="100"/>
          <w:sz w:val="22"/>
        </w:rPr>
        <w:t>alta konfido)</w:t>
      </w:r>
      <w:r>
        <w:rPr>
          <w:b/>
          <w:color w:val="000000"/>
          <w:w w:val="100"/>
          <w:sz w:val="22"/>
        </w:rPr>
        <w:t xml:space="preserve"> {4.1, 4.5, 4.6} (Figuro SPM.7)</w:t>
      </w:r>
    </w:p>
    <w:p>
      <w:pPr>
        <w:pStyle w:val="ParagrapheBlanc"/>
        <w:rPr/>
      </w:pPr>
      <w:r>
        <w:rPr>
          <w:rStyle w:val="StyleGras"/>
        </w:rPr>
        <w:t xml:space="preserve">C.3.1 </w:t>
      </w:r>
      <w:r>
        <w:rPr/>
        <w:t xml:space="preserve">La sistema ŝanĝo bezonata por atingi rapidajn kaj profundajn emisiajn reduktojn kaj transforman adaptiĝon al klimata ŝanĝo estas senprecedenca laŭ skalo, sed ne nepre laŭ rapideco </w:t>
      </w:r>
      <w:r>
        <w:rPr>
          <w:rStyle w:val="StyleItaliques"/>
        </w:rPr>
        <w:t>(meza fido).</w:t>
      </w:r>
      <w:r>
        <w:rPr/>
        <w:t xml:space="preserve"> Sistemtransiroj inkludas: deplojo de malalt- aŭ nul-emisioteknologioj; reduktante kaj ŝanĝanta postulon per infrastruktura dezajno kaj aliro, socikulturaj kaj kondutismaj ŝanĝoj, kaj pliigita teknologia efikeco kaj adopto; socia protekto, klimataj servoj aŭ aliaj servoj; kaj protektado kaj restarigo de ekosistemoj (</w:t>
      </w:r>
      <w:r>
        <w:rPr>
          <w:rStyle w:val="StyleItaliques"/>
        </w:rPr>
        <w:t>alta fido)</w:t>
      </w:r>
      <w:r>
        <w:rPr/>
        <w:t>. Realigeblaj, efikaj kaj malmultekostaj opcioj por mildigo kaj adaptado jam haveblas (</w:t>
      </w:r>
      <w:r>
        <w:rPr>
          <w:rStyle w:val="StyleItaliques"/>
        </w:rPr>
        <w:t>alta fido)</w:t>
      </w:r>
      <w:r>
        <w:rPr/>
        <w:t xml:space="preserve">. La havebleco, farebleco kaj potencialo de mildigaj kaj adaptaj elektoj en la baldaŭa tempo malsamas laŭ sistemoj kaj regionoj </w:t>
      </w:r>
      <w:r>
        <w:rPr>
          <w:rStyle w:val="StyleItaliques"/>
        </w:rPr>
        <w:t>(tre alta fido).</w:t>
      </w:r>
      <w:r>
        <w:rPr/>
        <w:t xml:space="preserve"> {4.1, 4.5.1– 4.5.6}(Figuro SPM.7)</w:t>
      </w:r>
    </w:p>
    <w:p>
      <w:pPr>
        <w:pStyle w:val="ParagrapheBlanc"/>
        <w:rPr/>
      </w:pPr>
      <w:r>
        <w:rPr>
          <w:rStyle w:val="StyleGrasItaliques"/>
        </w:rPr>
        <w:t>Energiaj Sistemoj</w:t>
      </w:r>
    </w:p>
    <w:p>
      <w:pPr>
        <w:pStyle w:val="ParagrapheBlanc"/>
        <w:shd w:val="clear" w:fill="FFFFFF"/>
        <w:bidi w:val="0"/>
        <w:rPr/>
      </w:pPr>
      <w:r>
        <w:rPr>
          <w:rStyle w:val="StyleGras"/>
        </w:rPr>
        <w:t xml:space="preserve">C.3.2 </w:t>
      </w:r>
      <w:r>
        <w:rPr/>
        <w:t>Neta nul CO</w:t>
      </w:r>
      <w:r>
        <w:rPr>
          <w:rStyle w:val="StyleNormalIndice"/>
        </w:rPr>
        <w:t>2</w:t>
      </w:r>
      <w:r>
        <w:rPr/>
        <w:t xml:space="preserve"> energisistemoj implicas: grandan redukton en totala fosilia fuelo, minimuma uzado de nereduktita fosilia fuelo </w:t>
      </w:r>
      <w:r>
        <w:rPr>
          <w:rStyle w:val="Ancredenotedebasdepage"/>
        </w:rPr>
        <w:footnoteReference w:id="52"/>
      </w:r>
      <w:r>
        <w:rPr/>
        <w:t>, kaj uzo de karbonkaptado kaj stokado en la ceteraj fosiliaj fuelaj sistemoj; elektraj sistemoj kiuj elsendas neniun retan CO</w:t>
      </w:r>
      <w:r>
        <w:rPr>
          <w:rStyle w:val="StyleNormalIndice"/>
        </w:rPr>
        <w:t>2</w:t>
      </w:r>
      <w:r>
        <w:rPr>
          <w:vertAlign w:val="subscript"/>
        </w:rPr>
        <w:t xml:space="preserve"> </w:t>
      </w:r>
      <w:r>
        <w:rPr/>
        <w:t>; disvastigita elektrizo; alternativenergiaj portantoj en aplikoj malpli alireblaj al elektrizo; energia konservado kaj efikeco; kaj pli granda integriĝo trans la energisistemo (</w:t>
      </w:r>
      <w:r>
        <w:rPr>
          <w:rStyle w:val="StyleItaliques"/>
        </w:rPr>
        <w:t>alta fido)</w:t>
      </w:r>
      <w:r>
        <w:rPr/>
        <w:t>. Grandaj kontribuoj al emisioreduktoj kun kostoj malpli ol USD 20 tCO</w:t>
      </w:r>
      <w:r>
        <w:rPr>
          <w:vertAlign w:val="subscript"/>
        </w:rPr>
        <w:t xml:space="preserve">2 </w:t>
      </w:r>
      <w:r>
        <w:rPr/>
        <w:t xml:space="preserve">-eq-1 venas de suna kaj ventoenergio, energiefikecplibonigoj, kaj metanemisioreduktoj (karbminado, petrolo kaj gaso, rubo) </w:t>
      </w:r>
      <w:r>
        <w:rPr>
          <w:rStyle w:val="StyleItaliques"/>
        </w:rPr>
        <w:t>(meza fido).</w:t>
      </w:r>
      <w:r>
        <w:rPr/>
        <w:t xml:space="preserve"> Estas realigeblaj adaptaj opcioj kiuj subtenas infrastrukturan rezistecon, fidindajn energisistemojn kaj efikan akvouzon por ekzistantaj kaj novaj energiproduktadsistemoj </w:t>
      </w:r>
      <w:r>
        <w:rPr>
          <w:rStyle w:val="StyleItaliques"/>
        </w:rPr>
        <w:t>(tre alta fido).</w:t>
      </w:r>
      <w:r>
        <w:rPr/>
        <w:t xml:space="preserve"> Diversigo de energiproduktado (ekz. per vento, suna, malgrandskala akvoenergio) kaj postula flankadministrado (ekz., stokado kaj energiefikecplibonigoj) povas pliigi energian fidindecon kaj redukti vundeblecojn al klimata ŝanĝo (alta fido)</w:t>
      </w:r>
      <w:r>
        <w:rPr>
          <w:rStyle w:val="StyleItaliques"/>
        </w:rPr>
        <w:t>.</w:t>
      </w:r>
      <w:r>
        <w:rPr/>
        <w:t xml:space="preserve"> Klimata respondemaj energimerkatoj, ĝisdatigitaj dezajnaj normoj pri energiaj aktivoj laŭ aktuala kaj projekciita klimata ŝanĝo, inteligentaj retaj teknologioj, fortikaj transmisiaj sistemoj kaj plibonigita kapacito respondi al provizo-deficitoj havas altan fareblecon en mez-allonga limtempo, kun mildigo kunprofitoj </w:t>
      </w:r>
      <w:r>
        <w:rPr>
          <w:rStyle w:val="StyleItaliques"/>
        </w:rPr>
        <w:t>(tre alta konfido).</w:t>
      </w:r>
      <w:r>
        <w:rPr/>
        <w:t xml:space="preserve"> {4.5.1} (Figuro SPM.7)</w:t>
      </w:r>
    </w:p>
    <w:p>
      <w:pPr>
        <w:pStyle w:val="ParagrapheBlanc"/>
        <w:rPr/>
      </w:pPr>
      <w:r>
        <w:rPr>
          <w:rStyle w:val="StyleGrasItaliques"/>
        </w:rPr>
        <w:t>Industrio kaj Transportado</w:t>
      </w:r>
    </w:p>
    <w:p>
      <w:pPr>
        <w:pStyle w:val="ParagrapheBlanc"/>
        <w:rPr/>
      </w:pPr>
      <w:r>
        <w:rPr>
          <w:rStyle w:val="StyleGras"/>
        </w:rPr>
        <w:t xml:space="preserve">C.3.3 </w:t>
      </w:r>
      <w:r>
        <w:rPr/>
        <w:t>Redukti industriajn GHG-emisiojn implicas kunordigitan agadon tra valorĉenoj por antaŭenigi ĉiujn mildigajn elektojn, inkluzive de postuladministrado, energio kaj materiala efikeco, cirklaj materialaj fluoj, same kiel malpliigo-teknologioj kaj transformaj ŝanĝoj en produktadaj procezoj (alta fido)</w:t>
      </w:r>
      <w:r>
        <w:rPr>
          <w:rStyle w:val="StyleItaliques"/>
        </w:rPr>
        <w:t>.</w:t>
      </w:r>
      <w:r>
        <w:rPr/>
        <w:t xml:space="preserve"> En transporto, daŭrigeblaj biofueloj, malalt-emisia hidrogeno, kaj derivaĵoj (inkluzive de amoniako kaj sintezaj fueloj) povas apogi mildigon de CO</w:t>
      </w:r>
      <w:r>
        <w:rPr>
          <w:vertAlign w:val="subscript"/>
        </w:rPr>
        <w:t xml:space="preserve">2 </w:t>
      </w:r>
      <w:r>
        <w:rPr/>
        <w:t xml:space="preserve">emisioj de kargado, aviado, kaj peza tera transporto sed postulas produktadprocezplibonigojn kaj kostoreduktojn </w:t>
      </w:r>
      <w:r>
        <w:rPr>
          <w:rStyle w:val="StyleItaliques"/>
        </w:rPr>
        <w:t>(meza fido).</w:t>
      </w:r>
      <w:r>
        <w:rPr/>
        <w:t xml:space="preserve"> Daŭrigeblaj biofueloj povas oferti kromajn mildigajn avantaĝojn en terbazita transporto en mallonga kaj meza limtempo </w:t>
      </w:r>
      <w:r>
        <w:rPr>
          <w:rStyle w:val="StyleItaliques"/>
        </w:rPr>
        <w:t>(meza fido).</w:t>
      </w:r>
      <w:r>
        <w:rPr/>
        <w:t xml:space="preserve"> Elektraj veturiloj funkciigitaj per elektro emisio de malaltaj GHG havas grandan eblon redukti emisiojn de GHG de transporto surterbaze, sur vivciklobazo (</w:t>
      </w:r>
      <w:r>
        <w:rPr>
          <w:rStyle w:val="StyleItaliques"/>
        </w:rPr>
        <w:t>alta fido)</w:t>
      </w:r>
      <w:r>
        <w:rPr/>
        <w:t xml:space="preserve">. Progresoj en bateriaj teknologioj povus faciligi la elektrizo de pezaj kamionoj kaj komplimenti konvenciajn elektrajn fervojajn sistemojn </w:t>
      </w:r>
      <w:r>
        <w:rPr>
          <w:rStyle w:val="StyleItaliques"/>
        </w:rPr>
        <w:t>(meza fido).</w:t>
      </w:r>
      <w:r>
        <w:rPr/>
        <w:t xml:space="preserve"> La media spuro de kuirilaroproduktado kaj kreskantaj zorgoj pri kritikaj mineraloj povas esti traktitaj per materialaj kaj provizodiversstrategioj, energio kaj materiala efikeco plibonigoj, kaj cirklaj materialaj fluoj </w:t>
      </w:r>
      <w:r>
        <w:rPr>
          <w:rStyle w:val="StyleItaliques"/>
        </w:rPr>
        <w:t>(meza fido).</w:t>
      </w:r>
      <w:r>
        <w:rPr/>
        <w:t xml:space="preserve"> 4.5.2, 4.5.3} (Figuro SPM.7)</w:t>
      </w:r>
    </w:p>
    <w:p>
      <w:pPr>
        <w:pStyle w:val="ParagrapheBlanc"/>
        <w:rPr/>
      </w:pPr>
      <w:r>
        <w:rPr>
          <w:rStyle w:val="StyleGrasItaliques"/>
        </w:rPr>
        <w:t>Urboj, Setlejoj kaj Infrastrukturo</w:t>
      </w:r>
    </w:p>
    <w:p>
      <w:pPr>
        <w:pStyle w:val="ParagrapheBlanc"/>
        <w:rPr/>
      </w:pPr>
      <w:r>
        <w:rPr>
          <w:rStyle w:val="StyleGras"/>
        </w:rPr>
        <w:t xml:space="preserve">C.3.4 </w:t>
      </w:r>
      <w:r>
        <w:rPr/>
        <w:t>Urbaj sistemoj estas kritikaj por atingi profundajn emisiajn reduktojn kaj antaŭenigi klimatan rezisteman disvolviĝon (</w:t>
      </w:r>
      <w:r>
        <w:rPr>
          <w:rStyle w:val="StyleItaliques"/>
        </w:rPr>
        <w:t>alta fido)</w:t>
      </w:r>
      <w:r>
        <w:rPr/>
        <w:t xml:space="preserve">. Ŝlosilaj adaptaj kaj mildigaj elementoj en urboj inkluzivas konsideri klimatajn ŝanĝojn efikojn kaj riskojn (ekz. per klimataj servoj) en la dezajno kaj planado de setlejoj kaj infrastrukturoj; planado de uzado de tero por atingi kompaktan urban formon, samlokigon de laborlokoj kaj loĝejoj; subteni publikan transporton kaj aktivan moviĝeblon (ekz., promenado kaj biciklado); la efika dezajno, konstruo, renovigo, kaj uzo de konstruaĵoj; redukti kaj ŝanĝi energion kaj materialan konsumon; sufiĉo </w:t>
      </w:r>
      <w:r>
        <w:rPr>
          <w:rStyle w:val="Ancredenotedebasdepage"/>
        </w:rPr>
        <w:footnoteReference w:id="53"/>
      </w:r>
      <w:r>
        <w:rPr/>
        <w:t>; materia anstataŭigo; kaj elektrizo en kombinaĵo kun malaltaj emisiaj fontoj (</w:t>
      </w:r>
      <w:r>
        <w:rPr>
          <w:rStyle w:val="StyleItaliques"/>
        </w:rPr>
        <w:t>alta fido)</w:t>
      </w:r>
      <w:r>
        <w:rPr/>
        <w:t>. Urbaj transiroj kiuj ofertas avantaĝojn por mildigo, adaptado, homa sano kaj bonfarto, ekosistemservoj, kaj vundebleco-redukto por malriĉaj komunumoj estas kreskigita per inkluziva longperspektiva planado kiu prenas integran aliron al fizika, natura kaj socia infrastrukturo (</w:t>
      </w:r>
      <w:r>
        <w:rPr>
          <w:rStyle w:val="StyleItaliques"/>
        </w:rPr>
        <w:t>alta fido)</w:t>
      </w:r>
      <w:r>
        <w:rPr/>
        <w:t xml:space="preserve">. Verda/natura kaj blua infrastrukturo subtenas karbonkonsumadon kaj stokadon kaj aŭ unuope aŭ kombinite kun griza infrastrukturo povas redukti energiuzon kaj riskon de ekstremaj eventoj kiel varmondoj, inundado, forta precipitaĵo kaj sekeco, dum generado de ko-profitoj por sano, bone- estaĵo kaj vivrimedoj </w:t>
      </w:r>
      <w:r>
        <w:rPr>
          <w:rStyle w:val="StyleItaliques"/>
        </w:rPr>
        <w:t>(meza konfido).</w:t>
      </w:r>
      <w:r>
        <w:rPr/>
        <w:t xml:space="preserve"> {4.5.3}</w:t>
      </w:r>
    </w:p>
    <w:p>
      <w:pPr>
        <w:pStyle w:val="ParagrapheBlanc"/>
        <w:rPr/>
      </w:pPr>
      <w:r>
        <w:rPr>
          <w:rStyle w:val="StyleGrasItaliques"/>
        </w:rPr>
        <w:t>Tero, Oceano, Manĝaĵo kaj Akvo</w:t>
      </w:r>
    </w:p>
    <w:p>
      <w:pPr>
        <w:pStyle w:val="ParagrapheBlanc"/>
        <w:rPr/>
      </w:pPr>
      <w:r>
        <w:rPr>
          <w:rStyle w:val="StyleGras"/>
        </w:rPr>
        <w:t xml:space="preserve">C.3.5 </w:t>
      </w:r>
      <w:r>
        <w:rPr/>
        <w:t xml:space="preserve">Multaj opcioj pri agrikulturo, forstado kaj alia kultivado (AFOLU) disponigas adaptajn kaj mildigajn avantaĝojn, kiuj povus esti pligrandigitaj baldaŭ trans la plej multaj regionoj. Konservado, plibonigita administrado, kaj restarigo de arbaroj kaj aliaj ekosistemoj ofertas la plej grandan parton de ekonomia mildigpotencialo, kun reduktita senarbarigo en tropikaj regionoj havantaj la plej altan totalan mildigpotencialon. Ekosistemrestarigo, rearbarigo, kaj arbarigado povas konduki al avantaĝinterŝanĝoj pro konkurantaj postuloj sur tero. Minimumigi avantaĝinterŝanĝojn postulas integrajn alirojn por renkonti plurajn celojn inkluzive de nutraĵsekureco. Postulflankaj iniciatoj (ŝanĝiĝado al daŭrigeblaj sanaj dietoj </w:t>
      </w:r>
      <w:r>
        <w:rPr>
          <w:rStyle w:val="Ancredenotedebasdepage"/>
        </w:rPr>
        <w:footnoteReference w:id="54"/>
      </w:r>
      <w:r>
        <w:rPr/>
        <w:t>kaj reduktado de manĝperdo/malŝparo) kaj daŭrigebla agrikultura intensigo povas redukti ekosistemkonverton, kaj metan- kaj nitrooksidan emisiojn, kaj liberigi teron por rearbarigo kaj ekosistemrestarigo. Daŭrige fontaj agrikulturaj kaj arbaraj produktoj, inkluzive de longvivaj lignoproduktoj, povas esti uzataj anstataŭ pli da GHG-intensaj produktoj en aliaj sektoroj. Efikaj adaptaj elektoj inkluzivas kultur-plibonigojn, agroforstumado, komunum-bazitan adaptadon, bienon kaj pejzaĝan diversigon, kaj urban agrikulturon. Ĉi tiuj respondaj elektoj de AFOLU postulas integriĝon de biofizikaj, sociekonomikaj kaj aliaj ebligaj faktoroj. Iuj elektoj, kiel konservado de altkarbonaj ekosistemoj (ekz., torfejoj, malsekregionoj, paŝtejoj, mangrovoj kaj arbaroj), liveras tujajn avantaĝojn, dum aliaj, kiel ekzemple restarigo de altkarbonaj ekosistemoj, bezonas jardekojn por liveri mezureblajn rezultojn. {4.5.4} (Figuro SPM.7)</w:t>
      </w:r>
    </w:p>
    <w:p>
      <w:pPr>
        <w:pStyle w:val="ParagrapheBlanc"/>
        <w:rPr/>
      </w:pPr>
      <w:r>
        <w:rPr>
          <w:rStyle w:val="StyleGras"/>
        </w:rPr>
        <w:t xml:space="preserve">C.3.6 </w:t>
      </w:r>
      <w:r>
        <w:rPr/>
        <w:t>Konservi la rezistecon de biodiverseco kaj ekosistemaj servoj je tutmonda skalo dependas de efika kaj justa konservado de proksimume 30% ĝis 50% de la teraj, dolĉakvaj kaj oceanaj areoj, inkluzive de nuntempe preskaŭ-naturaj ekosistemoj (alta fido)</w:t>
      </w:r>
      <w:r>
        <w:rPr>
          <w:rStyle w:val="StyleItaliques"/>
        </w:rPr>
        <w:t>.</w:t>
      </w:r>
      <w:r>
        <w:rPr/>
        <w:t xml:space="preserve"> Konservado, protekto kaj restarigo de teraj, dolĉakvaj, marbordaj kaj oceanaj ekosistemoj, kune kun celita administrado por adaptiĝi al neeviteblaj efikoj de klimata ŝanĝo reduktas la vundeblecon de biodiverseco kaj ekosistemservoj al klimata ŝanĝo (alta fido), reduktas marbordan erozion kaj inundon (</w:t>
      </w:r>
      <w:r>
        <w:rPr>
          <w:rStyle w:val="StyleItaliques"/>
        </w:rPr>
        <w:t>alta)</w:t>
      </w:r>
      <w:r>
        <w:rPr/>
        <w:t>.</w:t>
      </w:r>
      <w:r>
        <w:rPr>
          <w:rStyle w:val="StyleItaliques"/>
        </w:rPr>
        <w:t xml:space="preserve"> konfido)</w:t>
      </w:r>
      <w:r>
        <w:rPr/>
        <w:t xml:space="preserve">, kaj povus pliigi karbon-sorbadon kaj stokadon se mondvarmiĝo estas limigita </w:t>
      </w:r>
      <w:r>
        <w:rPr>
          <w:rStyle w:val="StyleItaliques"/>
        </w:rPr>
        <w:t>(meza fido).</w:t>
      </w:r>
      <w:r>
        <w:rPr/>
        <w:t xml:space="preserve"> Rekonstruado de troekspluataj aŭ elĉerpitaj fiŝfarmoj reduktas negativajn efikojn de klimata ŝanĝo al fiŝfarmoj </w:t>
      </w:r>
      <w:r>
        <w:rPr>
          <w:rStyle w:val="StyleItaliques"/>
        </w:rPr>
        <w:t xml:space="preserve">(meza fido) </w:t>
      </w:r>
      <w:r>
        <w:rPr/>
        <w:t>kaj subtenas manĝaĵsekurecon, biodiversecon, homan sanon kaj bonfarton (</w:t>
      </w:r>
      <w:r>
        <w:rPr>
          <w:rStyle w:val="StyleItaliques"/>
        </w:rPr>
        <w:t>alta fido)</w:t>
      </w:r>
      <w:r>
        <w:rPr/>
        <w:t>. Terrestarigo kontribuas al klimatŝanĝa mildigo kaj adaptado kun sinergioj per plifortigitaj ekosistemservoj kaj kun ekonomie pozitivaj rendimentoj kaj kunprofitoj por malriĉecredukto kaj plibonigitaj vivrimedoj (</w:t>
      </w:r>
      <w:r>
        <w:rPr>
          <w:rStyle w:val="StyleItaliques"/>
        </w:rPr>
        <w:t>alta fido)</w:t>
      </w:r>
      <w:r>
        <w:rPr/>
        <w:t>. Kunlaboro, kaj inkluziva decidiĝo, kun Indiĝenaj Popoloj kaj lokaj komunumoj, same kiel rekono de enecaj rajtoj de Indiĝenaj Popoloj, estas integritaj al sukcesa adaptado kaj mildigo trans arbaroj kaj aliaj ekosistemoj (alta fido)</w:t>
      </w:r>
      <w:r>
        <w:rPr>
          <w:rStyle w:val="StyleItaliques"/>
        </w:rPr>
        <w:t>.</w:t>
      </w:r>
      <w:r>
        <w:rPr/>
        <w:t xml:space="preserve"> {4.5.4, 4.6} (Figuro SPM.7)</w:t>
      </w:r>
    </w:p>
    <w:p>
      <w:pPr>
        <w:pStyle w:val="ParagrapheBlanc"/>
        <w:rPr/>
      </w:pPr>
      <w:r>
        <w:rPr>
          <w:rStyle w:val="StyleGrasItaliques"/>
        </w:rPr>
        <w:t>Sano kaj Nutrado</w:t>
      </w:r>
    </w:p>
    <w:p>
      <w:pPr>
        <w:pStyle w:val="ParagrapheBlanc"/>
        <w:rPr/>
      </w:pPr>
      <w:r>
        <w:rPr>
          <w:rStyle w:val="StyleGras"/>
        </w:rPr>
        <w:t xml:space="preserve">C.3.7 </w:t>
      </w:r>
      <w:r>
        <w:rPr/>
        <w:t xml:space="preserve">Homa sano profitos de integraj mildigaj kaj adaptaj elektoj, kiuj enkondukas sanon en nutraĵoj, infrastrukturoj, socia protekto kaj akvopolitikoj </w:t>
      </w:r>
      <w:r>
        <w:rPr>
          <w:rStyle w:val="StyleItaliques"/>
        </w:rPr>
        <w:t>(tre alta fido).</w:t>
      </w:r>
      <w:r>
        <w:rPr/>
        <w:t xml:space="preserve"> Efikaj adaptaj elektoj ekzistas por helpi protekti homan sanon kaj bonfarton, inkluzive de: plifortigo de publikaj sanaj programoj rilataj al klimat-sentemaj malsanoj, pliigo de sansistemo-rezisto, plibonigo de ekosistemsano, plibonigo de aliro al trinkakvo, redukto de eksponiĝo de akvo kaj kloakigsistemoj al inundado, plibonigado de gvatado kaj fruaj avertaj sistemoj, vakcino-evoluo </w:t>
      </w:r>
      <w:r>
        <w:rPr>
          <w:rStyle w:val="StyleItaliques"/>
        </w:rPr>
        <w:t xml:space="preserve">(tre alta fido) </w:t>
      </w:r>
      <w:r>
        <w:rPr/>
        <w:t>, plibonigado de aliro al menshigieno, kaj Heat Health Action Plans kiuj inkluzivas fruan averton kaj respondsistemojn (</w:t>
      </w:r>
      <w:r>
        <w:rPr>
          <w:rStyle w:val="StyleItaliques"/>
        </w:rPr>
        <w:t>alta fido)</w:t>
      </w:r>
      <w:r>
        <w:rPr/>
        <w:t>. Adaptostrategioj kiuj reduktas manĝperdon kaj malŝparon aŭ subtenas ekvilibrajn, daŭrigeblajn sanajn dietojn kontribuas al nutrado, sano, biodiverseco kaj aliaj mediaj avantaĝoj (</w:t>
      </w:r>
      <w:r>
        <w:rPr>
          <w:rStyle w:val="StyleItaliques"/>
        </w:rPr>
        <w:t>alta fido)</w:t>
      </w:r>
      <w:r>
        <w:rPr/>
        <w:t>. {4.5.5} (Figuro SPM.7)</w:t>
      </w:r>
    </w:p>
    <w:p>
      <w:pPr>
        <w:pStyle w:val="ParagrapheBlanc"/>
        <w:rPr/>
      </w:pPr>
      <w:r>
        <w:rPr>
          <w:rStyle w:val="StyleGrasItaliques"/>
        </w:rPr>
        <w:t>Socio, Porvivaĵoj kaj Ekonomioj</w:t>
      </w:r>
    </w:p>
    <w:p>
      <w:pPr>
        <w:pStyle w:val="ParagrapheBlanc"/>
        <w:rPr/>
      </w:pPr>
      <w:r>
        <w:rPr>
          <w:rStyle w:val="StyleGras"/>
        </w:rPr>
        <w:t xml:space="preserve">C.3.8 </w:t>
      </w:r>
      <w:r>
        <w:rPr/>
        <w:t>Politikaj miksaĵoj, kiuj inkluzivas veteron kaj sanasekuron, socian protekton kaj adaptajn sociajn sekurecajn retojn, kontingencan financon kaj rezervajn fondusojn, kaj universalan aliron al fruaj avertaj sistemoj kombinitaj kun efikaj eventualaj planoj, povas redukti vundeblecon kaj malkovron de homaj sistemoj. Administrado de katastrofaj riskoj, fruaj avertaj sistemoj, klimataj servoj kaj risko-disvastigo kaj dividado de aliroj havas larĝan aplikeblecon trans sektoroj. Pliigi edukadon inkluzive de kapablokonstruado, klimatlegopovo, kaj informoj provizitaj per klimataj servoj kaj komunumaj aliroj povas faciligi pliigitan riskpercepton kaj akceli kondutismajn ŝanĝojn kaj planadon. (</w:t>
      </w:r>
      <w:r>
        <w:rPr>
          <w:rStyle w:val="StyleItaliques"/>
        </w:rPr>
        <w:t>alta konfido)</w:t>
      </w:r>
      <w:r>
        <w:rPr/>
        <w:t xml:space="preserve"> {4.5.6}</w:t>
      </w:r>
    </w:p>
    <w:p>
      <w:pPr>
        <w:pStyle w:val="ParagrapheBlanc"/>
        <w:rPr/>
      </w:pPr>
      <w:r>
        <w:rPr>
          <w:rStyle w:val="StyleGras"/>
        </w:rPr>
        <w:t>Sinergioj kaj Komercoj kun Daŭripova Evoluo</w:t>
      </w:r>
    </w:p>
    <w:p>
      <w:pPr>
        <w:pStyle w:val="ParagrapheBistre"/>
        <w:rPr/>
      </w:pPr>
      <w:r>
        <w:rPr>
          <w:b/>
          <w:color w:val="000000"/>
          <w:spacing w:val="-7"/>
          <w:w w:val="100"/>
          <w:sz w:val="22"/>
        </w:rPr>
        <w:t xml:space="preserve">C.4 </w:t>
      </w:r>
      <w:r>
        <w:rPr>
          <w:b/>
          <w:color w:val="000000"/>
          <w:spacing w:val="-8"/>
          <w:w w:val="100"/>
          <w:sz w:val="22"/>
        </w:rPr>
        <w:t xml:space="preserve">Akcelita kaj justa agado en mildigo kaj adaptiĝo al klimatŝanĝaj efikoj estas kritika </w:t>
      </w:r>
      <w:r>
        <w:rPr>
          <w:b/>
          <w:color w:val="000000"/>
          <w:spacing w:val="-7"/>
          <w:w w:val="100"/>
          <w:sz w:val="22"/>
        </w:rPr>
        <w:t xml:space="preserve">por </w:t>
      </w:r>
      <w:r>
        <w:rPr>
          <w:b/>
          <w:color w:val="000000"/>
          <w:w w:val="100"/>
          <w:sz w:val="22"/>
        </w:rPr>
        <w:t xml:space="preserve">daŭripova evoluo. </w:t>
      </w:r>
      <w:r>
        <w:rPr>
          <w:b/>
          <w:color w:val="1C1C1C"/>
          <w:w w:val="100"/>
          <w:sz w:val="22"/>
        </w:rPr>
        <w:t>Mildigaj kaj adaptadaj agoj havas pli da sinergioj ol kompromisoj kun Daŭripovaj Evoluigaj Celoj. Sinergioj kaj kompromisoj dependas de kunteksto kaj skalo de efektivigo. (</w:t>
      </w:r>
      <w:r>
        <w:rPr>
          <w:rStyle w:val="StyleItaliques"/>
          <w:b/>
          <w:color w:val="1C1C1C"/>
          <w:w w:val="100"/>
          <w:sz w:val="22"/>
        </w:rPr>
        <w:t>alta konfido)</w:t>
      </w:r>
      <w:r>
        <w:rPr>
          <w:b/>
          <w:color w:val="1C1C1C"/>
          <w:w w:val="100"/>
          <w:sz w:val="22"/>
        </w:rPr>
        <w:t xml:space="preserve"> {3.4, 4.2, 4.4, 4.5, 4.6, 4.9, Figuro 4.5}</w:t>
      </w:r>
      <w:r>
        <w:rPr>
          <w:b/>
          <w:color w:val="FF0000"/>
          <w:w w:val="100"/>
          <w:sz w:val="22"/>
        </w:rPr>
        <w:t xml:space="preserve"> </w:t>
      </w:r>
    </w:p>
    <w:p>
      <w:pPr>
        <w:pStyle w:val="ParagrapheBlanc"/>
        <w:rPr/>
      </w:pPr>
      <w:r>
        <w:rPr/>
        <w:t>C.</w:t>
      </w:r>
      <w:r>
        <w:rPr>
          <w:rStyle w:val="StyleGras"/>
        </w:rPr>
        <w:t xml:space="preserve">4.1 </w:t>
      </w:r>
      <w:r>
        <w:rPr/>
        <w:t xml:space="preserve">Mildigaj klopodoj enkonstruitaj en la pli larĝa disvolva kunteksto povas pliigi la rapidecon, profundon kaj amplekson de emisioreduktoj </w:t>
      </w:r>
      <w:r>
        <w:rPr>
          <w:rStyle w:val="StyleItaliques"/>
        </w:rPr>
        <w:t>(meza fido).</w:t>
      </w:r>
      <w:r>
        <w:rPr/>
        <w:t xml:space="preserve"> Landoj en ĉiuj stadioj de ekonomia evoluo serĉas plibonigi la bonfarton de homoj, kaj iliaj disvolvaj prioritatoj reflektas malsamajn deirpunktojn kaj kuntekstojn. Malsamaj kuntekstoj inkludas sed ne estas limigitaj al sociaj, ekonomiaj, mediaj, kulturaj, politikaj cirkonstancoj, rimedodoto, kapabloj, internacia medio, kaj antaŭa evoluo (alta </w:t>
      </w:r>
      <w:r>
        <w:rPr>
          <w:rStyle w:val="StyleItaliques"/>
        </w:rPr>
        <w:t>fido)</w:t>
      </w:r>
      <w:r>
        <w:rPr/>
        <w:t>. En regionoj kun alta dependeco de fosiliaj brulaĵoj por, interalie, enspezo kaj dungadogenerado, mildigi riskon por daŭripova evoluo postulas politikojn kiuj antaŭenigas ekonomian kaj energisektoron diversigon kaj konsiderojn de justaj transiroj principoj, procezoj kaj praktikoj (alta fido)</w:t>
      </w:r>
      <w:r>
        <w:rPr>
          <w:rStyle w:val="StyleItaliques"/>
        </w:rPr>
        <w:t>.</w:t>
      </w:r>
      <w:r>
        <w:rPr/>
        <w:t xml:space="preserve"> Elradiki ekstreman malriĉecon, energimalriĉecon, kaj provizi decajn vivnivelojn en malaltaj emisiaj landoj/regionoj en la kunteksto de atingado de daŭripovaj celoj, baldaŭ, povas esti atingita sen signifa tutmonda emisiokresko (</w:t>
      </w:r>
      <w:r>
        <w:rPr>
          <w:rStyle w:val="StyleItaliques"/>
        </w:rPr>
        <w:t>alta fido</w:t>
      </w:r>
      <w:r>
        <w:rPr/>
        <w:t>)</w:t>
      </w:r>
      <w:r>
        <w:rPr>
          <w:rStyle w:val="StyleItaliques"/>
        </w:rPr>
        <w:t>.</w:t>
      </w:r>
      <w:r>
        <w:rPr/>
        <w:t xml:space="preserve"> {4.4, 4.6, Anekso I: Terminaro}</w:t>
      </w:r>
    </w:p>
    <w:p>
      <w:pPr>
        <w:pStyle w:val="ParagrapheBlanc"/>
        <w:rPr/>
      </w:pPr>
      <w:r>
        <w:rPr>
          <w:rStyle w:val="StyleGras"/>
        </w:rPr>
        <w:t xml:space="preserve">C.4.2 </w:t>
      </w:r>
      <w:r>
        <w:rPr/>
        <w:t>Multaj mildigaj kaj adaptaj agoj havas multoblajn sinergiojn kun Daŭripova Evoluo-Celoj (SDGs) kaj daŭripova evoluo ĝenerale, sed kelkaj agoj ankaŭ povas havi kompromisojn. Eblaj sinergioj kun SDG-oj superas eblajn kompromisojn; sinergioj kaj kompromisoj dependas de la rapideco kaj grandeco de ŝanĝo kaj la evolukunteksto inkluzive de malegalecoj kun konsidero de klimata justeco. Komercoj povas esti taksitaj kaj minimumigitaj donante emfazon al kapacitkonstruado, financo, administrado, teknologitransigo, investoj, evoluo, kuntekstospecifaj seks-bazitaj kaj aliaj sociaj egalecaj konsideroj kun signifa partopreno de indiĝenaj popoloj, hejmkomunumoj kaj vundeblaj populacioj. (</w:t>
      </w:r>
      <w:r>
        <w:rPr>
          <w:rStyle w:val="StyleItaliques"/>
        </w:rPr>
        <w:t>alta konfido)</w:t>
      </w:r>
      <w:r>
        <w:rPr/>
        <w:t xml:space="preserve"> {3.4.1, 4.6, Figuro 4.5, 4.9}</w:t>
      </w:r>
    </w:p>
    <w:p>
      <w:pPr>
        <w:pStyle w:val="ParagrapheBlanc"/>
        <w:rPr/>
      </w:pPr>
      <w:r>
        <w:rPr>
          <w:rStyle w:val="StyleGras"/>
        </w:rPr>
        <w:t xml:space="preserve">C.4.3 </w:t>
      </w:r>
      <w:r>
        <w:rPr/>
        <w:t>Efektivigi kaj mildigajn kaj adaptajn agojn kune kaj enkalkuli kompromisojn subtenas kunprofitojn kaj sinergiojn por homa sano kaj bonfarto. Ekzemple, plibonigita aliro al puraj energifontoj kaj teknologioj generas sanajn avantaĝojn precipe por virinoj kaj infanoj; elektrizo kombinita kun malalt-GHG-energio, kaj ŝanĝoj al aktiva moviĝeblo kaj publika transporto povas plibonigi aerkvaliton, sanon, dungadon, kaj povas ellogi energisekurecon kaj liveri egalecon. (</w:t>
      </w:r>
      <w:r>
        <w:rPr>
          <w:rStyle w:val="StyleItaliques"/>
        </w:rPr>
        <w:t>alta konfido)</w:t>
      </w:r>
      <w:r>
        <w:rPr/>
        <w:t xml:space="preserve"> {4.2, 4.5.3, 4.5.5, 4.6, 4.9}</w:t>
      </w:r>
    </w:p>
    <w:p>
      <w:pPr>
        <w:pStyle w:val="ParagrapheBlanc"/>
        <w:rPr/>
      </w:pPr>
      <w:r>
        <w:rPr>
          <w:rStyle w:val="StyleGras"/>
        </w:rPr>
        <w:t>Egaleco kaj Inkluzivo</w:t>
      </w:r>
    </w:p>
    <w:p>
      <w:pPr>
        <w:pStyle w:val="ParagrapheBistre"/>
        <w:rPr/>
      </w:pPr>
      <w:r>
        <w:rPr>
          <w:b/>
          <w:color w:val="000000"/>
          <w:spacing w:val="-7"/>
          <w:w w:val="100"/>
          <w:sz w:val="22"/>
        </w:rPr>
        <w:t xml:space="preserve">C.5 </w:t>
      </w:r>
      <w:r>
        <w:rPr>
          <w:b/>
          <w:color w:val="1C1C1C"/>
          <w:spacing w:val="-7"/>
          <w:w w:val="100"/>
          <w:sz w:val="22"/>
        </w:rPr>
        <w:t xml:space="preserve">Priorigi egalecon, klimatan justecon, socian justecon, inkluzivon kaj justajn transirajn procezojn povas </w:t>
      </w:r>
      <w:r>
        <w:rPr>
          <w:b/>
          <w:color w:val="1C1C1C"/>
          <w:spacing w:val="-8"/>
          <w:w w:val="100"/>
          <w:sz w:val="22"/>
        </w:rPr>
        <w:t xml:space="preserve">ebligi adaptadon kaj ambiciajn mildigajn agojn kaj klimatrezisteman disvolviĝon. Adaptaj </w:t>
      </w:r>
      <w:r>
        <w:rPr>
          <w:b/>
          <w:color w:val="1C1C1C"/>
          <w:w w:val="100"/>
          <w:sz w:val="22"/>
        </w:rPr>
        <w:t xml:space="preserve">rezultoj </w:t>
      </w:r>
      <w:r>
        <w:rPr>
          <w:b/>
          <w:color w:val="1C1C1C"/>
          <w:spacing w:val="-8"/>
          <w:w w:val="100"/>
          <w:sz w:val="22"/>
        </w:rPr>
        <w:t xml:space="preserve">estas plifortigitaj per pliigita subteno al regionoj kaj homoj kun la plej alta vundebleco al klimataj </w:t>
      </w:r>
      <w:r>
        <w:rPr>
          <w:b/>
          <w:color w:val="1C1C1C"/>
          <w:w w:val="100"/>
          <w:sz w:val="22"/>
        </w:rPr>
        <w:t>danĝeroj. Integrigi klimatan adaptadon en programojn pri socia protekto plibonigas rezistecon. Multaj elektoj estas disponeblaj por redukti emisi-intensan konsumon, inkluzive per kondutismaj kaj vivstilaj ŝanĝoj, kun ko-profitoj por socia bonfarto. (</w:t>
      </w:r>
      <w:r>
        <w:rPr>
          <w:rStyle w:val="StyleItaliques"/>
          <w:b/>
          <w:color w:val="1C1C1C"/>
          <w:w w:val="100"/>
          <w:sz w:val="22"/>
        </w:rPr>
        <w:t>alta konfido)</w:t>
      </w:r>
      <w:r>
        <w:rPr>
          <w:b/>
          <w:color w:val="1C1C1C"/>
          <w:w w:val="100"/>
          <w:sz w:val="22"/>
        </w:rPr>
        <w:t xml:space="preserve"> {4.4, 4.5}</w:t>
      </w:r>
      <w:r>
        <w:rPr>
          <w:b/>
          <w:color w:val="FF0000"/>
          <w:w w:val="100"/>
          <w:sz w:val="22"/>
        </w:rPr>
        <w:t xml:space="preserve"> </w:t>
      </w:r>
    </w:p>
    <w:p>
      <w:pPr>
        <w:pStyle w:val="ParagrapheBlanc"/>
        <w:rPr/>
      </w:pPr>
      <w:r>
        <w:rPr>
          <w:rStyle w:val="StyleGras"/>
        </w:rPr>
        <w:t xml:space="preserve">C.5.1 </w:t>
      </w:r>
      <w:r>
        <w:rPr/>
        <w:t>Egaleco restas centra elemento en la klimata reĝimo de UN, malgraŭ ŝanĝoj en diferencigo inter ŝtatoj laŭlonge de la tempo kaj defioj en taksado de justaj akcioj. Ambiciaj mildigaj vojoj implicas grandajn kaj foje interrompajn ŝanĝojn en ekonomia strukturo, kun signifaj distribuaj sekvoj, ene de kaj inter landoj. Distribuaj sekvoj ene de kaj inter landoj inkludas ŝanĝon de enspezo kaj dungado dum la transiro de alt- ĝis malalt-emisaj agadoj. (</w:t>
      </w:r>
      <w:r>
        <w:rPr>
          <w:rStyle w:val="StyleItaliques"/>
        </w:rPr>
        <w:t>alta konfido)</w:t>
      </w:r>
      <w:r>
        <w:rPr/>
        <w:t xml:space="preserve"> {4.4}</w:t>
      </w:r>
    </w:p>
    <w:p>
      <w:pPr>
        <w:pStyle w:val="ParagrapheBlanc"/>
        <w:rPr/>
      </w:pPr>
      <w:r>
        <w:rPr>
          <w:rStyle w:val="StyleGras"/>
        </w:rPr>
        <w:t xml:space="preserve">C.5.2 </w:t>
      </w:r>
      <w:r>
        <w:rPr/>
        <w:t>Adaptaj kaj mildigaj agoj, kiuj prioritatas egalecon, socian justecon, klimatan justecon, rajto-bazitajn alirojn kaj inkluzivecon, kondukas al pli daŭrigeblaj rezultoj, reduktas kompromisojn, subtenas transforman ŝanĝon kaj antaŭenigas klimatan rezisteman disvolviĝon. Redistribuaj politikoj trans sektoroj kaj regionoj, kiuj ŝirmas malriĉulojn kaj vundeblajn, sociajn sekurecajn retojn, egalecon, inkluzivon kaj justajn transirojn, je ĉiuj skaloj, povas ebligi pli profundajn sociajn ambiciojn kaj solvi interŝanĝojn kun daŭripovaj celoj. Atento al egaleco kaj larĝa kaj signifa partopreno de ĉiuj koncernaj aktoroj en decidado je ĉiuj skaloj povas konstrui socian fidon kiu konstruas sur justa kundivido de avantaĝoj kaj ŝarĝoj de mildigo kiuj profundigas kaj plilarĝigas subtenon por transformaj ŝanĝoj. (</w:t>
      </w:r>
      <w:r>
        <w:rPr>
          <w:rStyle w:val="StyleItaliques"/>
        </w:rPr>
        <w:t>alta konfido)</w:t>
      </w:r>
      <w:r>
        <w:rPr/>
        <w:t xml:space="preserve"> {4.4}</w:t>
      </w:r>
    </w:p>
    <w:p>
      <w:pPr>
        <w:pStyle w:val="ParagrapheBlanc"/>
        <w:rPr/>
      </w:pPr>
      <w:r>
        <w:rPr>
          <w:rStyle w:val="StyleGras"/>
        </w:rPr>
        <w:t xml:space="preserve">C.5.3 </w:t>
      </w:r>
      <w:r>
        <w:rPr/>
        <w:t>Regionoj kaj homoj (3,3 ĝis 3,6 miliardoj en nombro) kun konsiderindaj evoluaj limoj havas altan vundeblecon al klimataj danĝeroj (vidu A.2.2). Adaptorezultoj por la plej vundeblaj ene de kaj trans landoj kaj regionoj estas plifortigitaj per aliroj temigantaj egalecon, inkluzivecon kaj rajtoj-bazitajn alirojn. Vundebleco estas pliseverigita per maljusteco kaj marĝenigo ligita al ekz., sekso, etneco, malaltaj enspezoj, neformalaj setlejoj, handikapo, aĝo, kaj historiaj kaj daŭrantaj padronoj de maljusteco kiel ekzemple koloniismo, precipe por multaj Indiĝenaj Popoloj kaj hejmkomunumoj. Integri klimatan adaptadon en programojn pri socia protekto, inkluzive de montranspagoj kaj publiklaboraj programoj, estas tre farebla kaj pliigas rezistecon al klimata ŝanĝo, precipe kiam subtenata de bazaj servoj kaj infrastrukturo. La plej grandaj gajnoj en bonfarto en urbaj areoj povas esti atingitaj per prioritato de aliro al financo por redukti klimatan riskon por malriĉaj kaj marĝenigitaj komunumoj inkluzive de homoj vivantaj en neformalaj setlejoj. (</w:t>
      </w:r>
      <w:r>
        <w:rPr>
          <w:rStyle w:val="StyleItaliques"/>
        </w:rPr>
        <w:t>alta konfido)</w:t>
      </w:r>
      <w:r>
        <w:rPr/>
        <w:t>. {4.4, 4.5.3, 4.5.5, 4.5.6}</w:t>
      </w:r>
    </w:p>
    <w:p>
      <w:pPr>
        <w:pStyle w:val="ParagrapheBlanc"/>
        <w:rPr/>
      </w:pPr>
      <w:r>
        <w:rPr>
          <w:rStyle w:val="StyleGras"/>
        </w:rPr>
        <w:t xml:space="preserve">C.5.4 </w:t>
      </w:r>
      <w:r>
        <w:rPr/>
        <w:t>La dezajno de reguligaj instrumentoj kaj ekonomiaj instrumentoj kaj konsum-bazitaj aliroj povas antaŭenigi egalecon. Individuoj kun alta sociekonomika statuso kontribuas misproporcie al emisioj, kaj havas la plej altan potencialon por emisioreduktoj. Multaj elektoj estas disponeblaj por redukti emisi-intensan konsumon dum plibonigo de socia bonfarto. Socikulturaj elektoj, konduto- kaj vivstilaj ŝanĝoj subtenataj de politikoj, infrastrukturo kaj teknologio povas helpi finuzantojn ŝanĝi al malalt-emisio-intensa konsumo, kun multoblaj kunprofitoj. Granda parto de la populacio en malaltemisaj landoj mankas aliro al modernaj energiservoj. Teknologia evoluo, translokigo, kapablokonstruado kaj financado povas subteni evolulandojn/regionojn transsalti aŭ transiri al malaltemisioj transportsistemoj tiel disponigante multoblajn kunprofitojn. Klimata rezistema evoluo progresas kiam aktoroj laboras en justaj, justaj kaj inkluzivaj manieroj por akordigi diverĝajn interesojn, valorojn kaj mondkonceptojn, al justaj kaj justaj rezultoj. (</w:t>
      </w:r>
      <w:r>
        <w:rPr>
          <w:rStyle w:val="StyleItaliques"/>
        </w:rPr>
        <w:t>alta konfido)</w:t>
      </w:r>
      <w:r>
        <w:rPr/>
        <w:t xml:space="preserve"> {2.1, 4.4}</w:t>
      </w:r>
    </w:p>
    <w:p>
      <w:pPr>
        <w:pStyle w:val="ParagrapheBlanc"/>
        <w:rPr/>
      </w:pPr>
      <w:r>
        <w:rPr>
          <w:rStyle w:val="StyleGras"/>
        </w:rPr>
        <w:t>Administrado kaj Politikoj</w:t>
      </w:r>
    </w:p>
    <w:p>
      <w:pPr>
        <w:pStyle w:val="ParagrapheBistre"/>
        <w:rPr/>
      </w:pPr>
      <w:r>
        <w:rPr>
          <w:b/>
          <w:color w:val="000000"/>
          <w:spacing w:val="-7"/>
          <w:w w:val="100"/>
          <w:sz w:val="22"/>
        </w:rPr>
        <w:t>C.</w:t>
      </w:r>
      <w:r>
        <w:rPr>
          <w:b/>
          <w:color w:val="000000"/>
          <w:spacing w:val="-8"/>
          <w:w w:val="100"/>
          <w:sz w:val="22"/>
        </w:rPr>
        <w:t xml:space="preserve">6 Efika klimata ago estas ebligita per politika engaĝiĝo, bone vicigita plurnivela regado, </w:t>
      </w:r>
      <w:r>
        <w:rPr>
          <w:b/>
          <w:color w:val="000000"/>
          <w:spacing w:val="-7"/>
          <w:w w:val="100"/>
          <w:sz w:val="22"/>
        </w:rPr>
        <w:t>instituciaj kadroj, leĝoj, politikoj kaj strategioj kaj plifortigita aliro al financo kaj teknologio.</w:t>
      </w:r>
      <w:r>
        <w:rPr>
          <w:b/>
          <w:color w:val="000000"/>
          <w:spacing w:val="-8"/>
          <w:w w:val="100"/>
          <w:sz w:val="22"/>
        </w:rPr>
        <w:t xml:space="preserve"> Klaraj celoj, kunordigo trans multoblaj politikaj domajnoj, kaj inkluzivaj administradprocezoj </w:t>
      </w:r>
      <w:r>
        <w:rPr>
          <w:b/>
          <w:color w:val="000000"/>
          <w:w w:val="100"/>
          <w:sz w:val="22"/>
        </w:rPr>
        <w:t xml:space="preserve">faciligas </w:t>
      </w:r>
      <w:r>
        <w:rPr>
          <w:b/>
          <w:color w:val="000000"/>
          <w:spacing w:val="-8"/>
          <w:w w:val="100"/>
          <w:sz w:val="22"/>
        </w:rPr>
        <w:t xml:space="preserve">efikan klimatan agadon. Reguligaj kaj ekonomiaj instrumentoj povas subteni profundajn emisiajn </w:t>
      </w:r>
      <w:r>
        <w:rPr>
          <w:b/>
          <w:color w:val="000000"/>
          <w:spacing w:val="-7"/>
          <w:w w:val="100"/>
          <w:sz w:val="22"/>
        </w:rPr>
        <w:t xml:space="preserve">reduktojn kaj klimatan rezistecon, se pligrandigitaj kaj vaste aplikataj. Klimata eltenema </w:t>
      </w:r>
      <w:r>
        <w:rPr>
          <w:b/>
          <w:color w:val="000000"/>
          <w:w w:val="100"/>
          <w:sz w:val="22"/>
        </w:rPr>
        <w:t>evoluo profitas de tirado de diversa scio. (</w:t>
      </w:r>
      <w:r>
        <w:rPr>
          <w:rStyle w:val="StyleItaliques"/>
          <w:b/>
          <w:color w:val="000000"/>
          <w:w w:val="100"/>
          <w:sz w:val="22"/>
        </w:rPr>
        <w:t>alta konfido)</w:t>
      </w:r>
      <w:r>
        <w:rPr>
          <w:b/>
          <w:color w:val="000000"/>
          <w:w w:val="100"/>
          <w:sz w:val="22"/>
        </w:rPr>
        <w:t xml:space="preserve"> {2.2, 4.4, 4.5, 4.7}</w:t>
      </w:r>
    </w:p>
    <w:p>
      <w:pPr>
        <w:pStyle w:val="ParagrapheBlanc"/>
        <w:rPr/>
      </w:pPr>
      <w:r>
        <w:rPr>
          <w:rStyle w:val="StyleGras"/>
        </w:rPr>
        <w:t xml:space="preserve">C.6.1 </w:t>
      </w:r>
      <w:r>
        <w:rPr/>
        <w:t>Efika klimata regado ebligas mildigon kaj adaptiĝon. Efika regado disponigas ĝeneralan direkton pri fiksado de celoj kaj prioritatoj kaj enkonduko de klimata ago trans politikaj domajnoj kaj niveloj, surbaze de naciaj cirkonstancoj kaj en la kunteksto de internacia kunlaboro. Ĝi plibonigas monitoradon kaj taksadon kaj reguligan certecon, prioritatante inkluzivan, travideblan kaj justan decidon, kaj plibonigas aliron al financo kaj teknologio (vidu C.7). (</w:t>
      </w:r>
      <w:r>
        <w:rPr>
          <w:rStyle w:val="StyleItaliques"/>
        </w:rPr>
        <w:t>alta konfido)</w:t>
      </w:r>
      <w:r>
        <w:rPr/>
        <w:t xml:space="preserve"> {2.2.2, 4.7}</w:t>
      </w:r>
    </w:p>
    <w:p>
      <w:pPr>
        <w:pStyle w:val="ParagrapheBlanc"/>
        <w:rPr/>
      </w:pPr>
      <w:r>
        <w:rPr>
          <w:rStyle w:val="StyleGras"/>
        </w:rPr>
        <w:t xml:space="preserve">C.6.2 </w:t>
      </w:r>
      <w:r>
        <w:rPr/>
        <w:t>Efikaj lokaj, municipaj, naciaj kaj subnaciaj institucioj konstruas konsenton por klimata agado inter diversaj interesoj, ebligas kunordigon kaj informan strategion, sed postulas adekvatan institucian kapablon. Politiksubteno estas influita fare de aktoroj en burĝa socio, inkluzive de entreprenoj, juneco, virinoj, laboro, amaskomunikilaro, Indiĝenaj Popoloj, kaj hejmkomunumoj. Efikeco estas plifortigita per politika engaĝiĝo kaj partnerecoj inter malsamaj grupoj en socio. (</w:t>
      </w:r>
      <w:r>
        <w:rPr>
          <w:rStyle w:val="StyleItaliques"/>
        </w:rPr>
        <w:t>alta konfido)</w:t>
      </w:r>
      <w:r>
        <w:rPr/>
        <w:t xml:space="preserve"> {2.2; 4.7}</w:t>
      </w:r>
    </w:p>
    <w:p>
      <w:pPr>
        <w:pStyle w:val="ParagrapheBlanc"/>
        <w:rPr/>
      </w:pPr>
      <w:r>
        <w:rPr>
          <w:rStyle w:val="StyleGras"/>
        </w:rPr>
        <w:t xml:space="preserve">C.6.3 </w:t>
      </w:r>
      <w:r>
        <w:rPr/>
        <w:t>Efika plurnivela regado por mildigo, adaptado, riska administrado kaj klimata rezistema evoluo estas ebligita per inkluzivaj decidprocezoj kiuj prioritatas egalecon kaj justecon en planado kaj efektivigo, asigno de taŭgaj resursoj, institucia revizio, kaj monitorado kaj taksado. Vundeblecoj kaj klimataj riskoj ofte estas reduktitaj per zorge dezajnitaj kaj efektivigitaj leĝoj, politikoj, partoprenaj procezoj kaj intervenoj, kiuj traktas kuntekston specifajn malegalecojn kiel tiuj bazitaj sur sekso, etneco, handikapo, aĝo, loko kaj enspezo. (</w:t>
      </w:r>
      <w:r>
        <w:rPr>
          <w:rStyle w:val="StyleItaliques"/>
        </w:rPr>
        <w:t>alta konfido)</w:t>
      </w:r>
      <w:r>
        <w:rPr/>
        <w:t xml:space="preserve"> {4.4, 4.7}</w:t>
      </w:r>
    </w:p>
    <w:p>
      <w:pPr>
        <w:pStyle w:val="ParagrapheBlanc"/>
        <w:rPr/>
      </w:pPr>
      <w:r>
        <w:rPr>
          <w:rStyle w:val="StyleGras"/>
        </w:rPr>
        <w:t xml:space="preserve">C.6.4 </w:t>
      </w:r>
      <w:r>
        <w:rPr/>
        <w:t>Reguligaj kaj ekonomiaj instrumentoj povus subteni profundajn emisiajn reduktojn se pligrandigitaj kaj aplikataj pli vaste (</w:t>
      </w:r>
      <w:r>
        <w:rPr>
          <w:rStyle w:val="StyleItaliques"/>
        </w:rPr>
        <w:t>alta fido)</w:t>
      </w:r>
      <w:r>
        <w:rPr/>
        <w:t>. Pligrandigi kaj plibonigi la uzon de reguligaj instrumentoj povas plibonigi mildigajn rezultojn en sektoraj aplikoj, kongruaj kun naciaj cirkonstancoj (</w:t>
      </w:r>
      <w:r>
        <w:rPr>
          <w:rStyle w:val="StyleItaliques"/>
        </w:rPr>
        <w:t>alta fido)</w:t>
      </w:r>
      <w:r>
        <w:rPr/>
        <w:t>. Kie efektivigite, karbonprezaj instrumentoj instigis malalt-kostajn emisio-reduktiniciatojn sed estis malpli efikaj, memstare kaj ĉe regantaj prezoj dum la taksadperiodo, antaŭenigi pli altajn kostajn iniciatojn necesajn por pliaj reduktoj (meza fido)</w:t>
      </w:r>
      <w:r>
        <w:rPr>
          <w:rStyle w:val="StyleItaliques"/>
        </w:rPr>
        <w:t>.</w:t>
      </w:r>
      <w:r>
        <w:rPr/>
        <w:t xml:space="preserve"> Egaleco kaj distribuaj efikoj de tiaj karbonprezaj instrumentoj, ekz., karbonimpostoj kaj emisiokomerco, povas esti traktitaj uzante enspezon por subteni malriĉajn domanarojn, inter aliaj aliroj. Forigi subvenciojn de fosilia fuelo reduktus emisiojn </w:t>
      </w:r>
      <w:r>
        <w:rPr>
          <w:rStyle w:val="Ancredenotedebasdepage"/>
        </w:rPr>
        <w:footnoteReference w:id="55"/>
      </w:r>
      <w:r>
        <w:rPr/>
        <w:t>kaj donus avantaĝojn kiel ekzemple plibonigita publika enspezo, makroekonomia kaj daŭripovefikeco; forigo de subvencio povas havi malfavorajn distribuajn efikojn, precipe sur la plej ekonomie vundeblaj grupoj kiuj, en kelkaj kazoj povas esti mildigitaj per mezuroj kiel ekzemple redistribuo de enspezo ŝparita, kiuj ĉiuj dependas de naciaj cirkonstancoj (alta fido)</w:t>
      </w:r>
      <w:r>
        <w:rPr>
          <w:rStyle w:val="StyleItaliques"/>
        </w:rPr>
        <w:t>.</w:t>
      </w:r>
      <w:r>
        <w:rPr/>
        <w:t xml:space="preserve"> Tutekonomiaj politikaj pakoj, kiel publikaj elspezaj engaĝiĝoj, prezoj de reformoj, povas plenumi mallongperspektivajn ekonomiajn celojn dum redukto de emisioj kaj ŝanĝado de evoluaj vojoj al daŭripovo </w:t>
      </w:r>
      <w:r>
        <w:rPr>
          <w:rStyle w:val="StyleItaliques"/>
        </w:rPr>
        <w:t>(meza fido).</w:t>
      </w:r>
      <w:r>
        <w:rPr/>
        <w:t xml:space="preserve"> Efikaj politikaj pakoj estus ampleksaj, konsekvencaj, ekvilibraj trans celoj, kaj adaptitaj al naciaj cirkonstancoj (</w:t>
      </w:r>
      <w:r>
        <w:rPr>
          <w:rStyle w:val="StyleItaliques"/>
        </w:rPr>
        <w:t>alta fido)</w:t>
      </w:r>
      <w:r>
        <w:rPr/>
        <w:t>. {2.2.2, 4.7}</w:t>
      </w:r>
    </w:p>
    <w:p>
      <w:pPr>
        <w:pStyle w:val="ParagrapheBlanc"/>
        <w:rPr/>
      </w:pPr>
      <w:r>
        <w:rPr>
          <w:rStyle w:val="StyleGras"/>
        </w:rPr>
        <w:t xml:space="preserve">C.6.5 </w:t>
      </w:r>
      <w:r>
        <w:rPr/>
        <w:t>Utiligi diversajn sciojn kaj kulturajn valorojn, signifan partoprenon kaj inkluzivajn engaĝiĝprocezojn—inkluzive de Indiĝena Scio, loka scio kaj scienca scio—faciligas klimatan rezisteman disvolviĝon, konstruas kapablon kaj permesas loke taŭgajn kaj socie akcepteblajn solvojn. (</w:t>
      </w:r>
      <w:r>
        <w:rPr>
          <w:rStyle w:val="StyleItaliques"/>
        </w:rPr>
        <w:t>alta konfido)</w:t>
      </w:r>
      <w:r>
        <w:rPr/>
        <w:t xml:space="preserve"> {4.4, 4.5.6, 4.7}</w:t>
      </w:r>
    </w:p>
    <w:p>
      <w:pPr>
        <w:pStyle w:val="ParagrapheBlanc"/>
        <w:rPr/>
      </w:pPr>
      <w:r>
        <w:rPr>
          <w:rStyle w:val="StyleGras"/>
        </w:rPr>
        <w:t>Financo, Teknologio kaj Internacia Kunlaboro</w:t>
      </w:r>
      <w:r>
        <w:rPr>
          <w:rStyle w:val="StyleGras"/>
          <w:color w:val="000000"/>
          <w:spacing w:val="-8"/>
          <w:w w:val="100"/>
          <w:sz w:val="22"/>
        </w:rPr>
        <w:t xml:space="preserve"> </w:t>
      </w:r>
    </w:p>
    <w:p>
      <w:pPr>
        <w:pStyle w:val="ParagrapheBistre"/>
        <w:rPr/>
      </w:pPr>
      <w:r>
        <w:rPr>
          <w:b/>
          <w:color w:val="000000"/>
          <w:spacing w:val="-7"/>
          <w:w w:val="100"/>
          <w:sz w:val="22"/>
        </w:rPr>
        <w:t xml:space="preserve">C.7 </w:t>
      </w:r>
      <w:r>
        <w:rPr>
          <w:b/>
          <w:color w:val="000000"/>
          <w:spacing w:val="-8"/>
          <w:w w:val="100"/>
          <w:sz w:val="22"/>
        </w:rPr>
        <w:t>Financo, teknologio kaj internacia kunlaboro estas kritikaj ebligantoj</w:t>
      </w:r>
      <w:r>
        <w:rPr>
          <w:b/>
          <w:i/>
          <w:color w:val="000000"/>
          <w:spacing w:val="-8"/>
          <w:w w:val="100"/>
          <w:sz w:val="22"/>
        </w:rPr>
        <w:t xml:space="preserve"> </w:t>
      </w:r>
      <w:r>
        <w:rPr>
          <w:b/>
          <w:color w:val="000000"/>
          <w:spacing w:val="-8"/>
          <w:w w:val="100"/>
          <w:sz w:val="22"/>
        </w:rPr>
        <w:t xml:space="preserve">por akcelita klimata </w:t>
      </w:r>
      <w:r>
        <w:rPr>
          <w:b/>
          <w:color w:val="000000"/>
          <w:spacing w:val="0"/>
          <w:w w:val="100"/>
          <w:sz w:val="22"/>
        </w:rPr>
        <w:t xml:space="preserve">agado. Se </w:t>
      </w:r>
      <w:r>
        <w:rPr>
          <w:b/>
          <w:color w:val="000000"/>
          <w:spacing w:val="-7"/>
          <w:w w:val="100"/>
          <w:sz w:val="22"/>
        </w:rPr>
        <w:t xml:space="preserve">klimataj celoj estas atingotaj, kaj adaptado kaj mildiga financado devus </w:t>
      </w:r>
      <w:r>
        <w:rPr>
          <w:b/>
          <w:color w:val="000000"/>
          <w:spacing w:val="-14"/>
          <w:w w:val="100"/>
          <w:sz w:val="22"/>
        </w:rPr>
        <w:t>multoble pliiĝi.</w:t>
      </w:r>
      <w:r>
        <w:rPr>
          <w:b/>
          <w:color w:val="000000"/>
          <w:spacing w:val="-5"/>
          <w:w w:val="100"/>
          <w:sz w:val="22"/>
        </w:rPr>
        <w:t xml:space="preserve"> Estas sufiĉa tutmonda kapitalo por fermi la tutmondajn investinterspacojn </w:t>
      </w:r>
      <w:r>
        <w:rPr>
          <w:b/>
          <w:color w:val="000000"/>
          <w:spacing w:val="-7"/>
          <w:w w:val="100"/>
          <w:sz w:val="22"/>
        </w:rPr>
        <w:t xml:space="preserve">sed ekzistas baroj por redirekti kapitalon al klimata ago. Plibonigi </w:t>
      </w:r>
      <w:r>
        <w:rPr>
          <w:b/>
          <w:color w:val="000000"/>
          <w:w w:val="100"/>
          <w:sz w:val="22"/>
        </w:rPr>
        <w:t xml:space="preserve">teknologiajn novigajn sistemojn estas ŝlosilo por akceli la ĝeneraligitan adopton de teknologioj kaj praktikoj. Plifortigi internacian kunlaboron eblas per multoblaj kanaloj. </w:t>
      </w:r>
      <w:r>
        <w:rPr>
          <w:b/>
          <w:i/>
          <w:color w:val="000000"/>
          <w:w w:val="100"/>
          <w:sz w:val="22"/>
        </w:rPr>
        <w:t>(</w:t>
      </w:r>
      <w:r>
        <w:rPr>
          <w:rStyle w:val="StyleItaliques"/>
          <w:b/>
          <w:color w:val="000000"/>
          <w:w w:val="100"/>
          <w:sz w:val="22"/>
        </w:rPr>
        <w:t>alta konfido)</w:t>
      </w:r>
      <w:r>
        <w:rPr>
          <w:b/>
          <w:color w:val="000000"/>
          <w:w w:val="100"/>
          <w:sz w:val="22"/>
        </w:rPr>
        <w:t xml:space="preserve"> {2.3, 4.8}</w:t>
      </w:r>
    </w:p>
    <w:p>
      <w:pPr>
        <w:pStyle w:val="ParagrapheBlanc"/>
        <w:rPr/>
      </w:pPr>
      <w:r>
        <w:rPr>
          <w:rStyle w:val="StyleGras"/>
        </w:rPr>
        <w:t>C.7.</w:t>
      </w:r>
      <w:r>
        <w:rPr/>
        <w:t xml:space="preserve">1 Plibonigita havebleco kaj aliro al financado </w:t>
      </w:r>
      <w:r>
        <w:rPr>
          <w:rStyle w:val="Ancredenotedebasdepage"/>
        </w:rPr>
        <w:footnoteReference w:id="56"/>
      </w:r>
      <w:r>
        <w:rPr/>
        <w:t xml:space="preserve">ebligus akcelitan klimatan agadon </w:t>
      </w:r>
      <w:r>
        <w:rPr>
          <w:rStyle w:val="StyleItaliques"/>
        </w:rPr>
        <w:t>(tre alta fido).</w:t>
      </w:r>
      <w:r>
        <w:rPr/>
        <w:t xml:space="preserve"> Trakti bezonojn kaj breĉojn kaj plilarĝigi justan aliron al hejma kaj internacia financo, kiam kombinite kun aliaj subtenaj agoj, povas funkcii kiel katalizilo por akceli adaptadon kaj mildigon, kaj ebligi klimatan rezisteman evoluon (alta fido)</w:t>
      </w:r>
      <w:r>
        <w:rPr>
          <w:rStyle w:val="StyleItaliques"/>
        </w:rPr>
        <w:t>.</w:t>
      </w:r>
      <w:r>
        <w:rPr/>
        <w:t xml:space="preserve"> Se klimataj celoj estas atingitaj, kaj trakti altiĝantajn riskojn kaj akceli investojn en emisioreduktoj, kaj adaptado kaj mildigo-financo devus multoble pliiĝi (</w:t>
      </w:r>
      <w:r>
        <w:rPr>
          <w:rStyle w:val="StyleItaliques"/>
        </w:rPr>
        <w:t>alta fido)</w:t>
      </w:r>
      <w:r>
        <w:rPr/>
        <w:t>. {4.8.1}</w:t>
      </w:r>
    </w:p>
    <w:p>
      <w:pPr>
        <w:pStyle w:val="ParagrapheBlanc"/>
        <w:rPr/>
      </w:pPr>
      <w:r>
        <w:rPr>
          <w:rStyle w:val="StyleGras"/>
        </w:rPr>
        <w:t xml:space="preserve">C.7.2 </w:t>
      </w:r>
      <w:r>
        <w:rPr/>
        <w:t>Pliigita aliro al financado povas konstrui kapablon kaj trakti molajn limojn al adaptado kaj eviti altiĝantajn riskojn, precipe por evolulandoj, vundeblaj grupoj, regionoj kaj sektoroj (</w:t>
      </w:r>
      <w:r>
        <w:rPr>
          <w:rStyle w:val="StyleItaliques"/>
        </w:rPr>
        <w:t>alta fido)</w:t>
      </w:r>
      <w:r>
        <w:rPr/>
        <w:t>. Publika financo estas grava ebliganto de adaptado kaj mildigo, kaj ankaŭ povas utiligi privatan financon (</w:t>
      </w:r>
      <w:r>
        <w:rPr>
          <w:rStyle w:val="StyleItaliques"/>
        </w:rPr>
        <w:t>alta fido)</w:t>
      </w:r>
      <w:r>
        <w:rPr/>
        <w:t xml:space="preserve">. Mezaj ĉiujaraj modeligitaj mildigaj investpostuloj por 2020 ĝis 2030 en scenaroj kiuj limigas varmiĝon al 2 °C aŭ 1,5 °C estas faktoro de tri ĝis ses pli granda ol nunaj niveloj, kaj totalaj mildigaj investoj (publikaj, privataj, hejmaj </w:t>
      </w:r>
      <w:r>
        <w:rPr>
          <w:rStyle w:val="Ancredenotedebasdepage"/>
        </w:rPr>
        <w:footnoteReference w:id="57"/>
      </w:r>
      <w:r>
        <w:rPr/>
        <w:t xml:space="preserve">kaj internaciaj) bezonus. pliiĝi trans ĉiuj sektoroj kaj regionoj </w:t>
      </w:r>
      <w:r>
        <w:rPr>
          <w:rStyle w:val="StyleItaliques"/>
        </w:rPr>
        <w:t>(meza fido).</w:t>
      </w:r>
      <w:r>
        <w:rPr/>
        <w:t xml:space="preserve"> Eĉ se ampleksaj tutmondaj mildigaj klopodoj estos efektivigitaj, estos bezono de financaj, teknikaj kaj homaj rimedoj por adaptado (</w:t>
      </w:r>
      <w:r>
        <w:rPr>
          <w:rStyle w:val="StyleItaliques"/>
        </w:rPr>
        <w:t>alta fido)</w:t>
      </w:r>
      <w:r>
        <w:rPr/>
        <w:t>. {4.3, 4.8.1}</w:t>
      </w:r>
    </w:p>
    <w:p>
      <w:pPr>
        <w:pStyle w:val="ParagrapheBlanc"/>
        <w:rPr/>
      </w:pPr>
      <w:r>
        <w:rPr>
          <w:rStyle w:val="StyleGras"/>
        </w:rPr>
        <w:t xml:space="preserve">C.7.3 </w:t>
      </w:r>
      <w:r>
        <w:rPr/>
        <w:t>Estas sufiĉe da tutmonda kapitalo kaj likvideco por fermi tutmondajn investajn breĉojn, konsiderante la grandecon de la tutmonda financa sistemo, sed ekzistas baroj por redirekti kapitalon al klimata ago kaj ene kaj ekster la tutmonda financa sektoro kaj en la kunteksto de ekonomiaj vundeblecoj. kaj ŝuldo alfrontantaj evolulandojn. Redukti financajn barojn por pligrandigo de financaj fluoj postulus klaran signaladon kaj subtenon de registaroj, inkluzive de pli forta vicigo de publikaj financoj por malaltigi realajn kaj perceptitajn reguligajn, kostajn kaj merkatajn barojn kaj riskojn kaj plibonigi la riskon-rendimentan profilon de investoj. Samtempe, depende de naciaj kuntekstoj, financaj aktoroj, inkluzive de investantoj, financaj perantoj, centraj bankoj kaj financaj reguligistoj povas ŝanĝi la sisteman subprezojn de klimat-rilataj riskoj, kaj redukti sektorajn kaj regionajn misagordojn inter disponeblaj kapitaloj kaj investbezonoj. (</w:t>
      </w:r>
      <w:r>
        <w:rPr>
          <w:rStyle w:val="StyleItaliques"/>
        </w:rPr>
        <w:t>alta konfido)</w:t>
      </w:r>
      <w:r>
        <w:rPr/>
        <w:t xml:space="preserve"> {4.8.1}</w:t>
      </w:r>
    </w:p>
    <w:p>
      <w:pPr>
        <w:pStyle w:val="ParagrapheBlanc"/>
        <w:rPr/>
      </w:pPr>
      <w:r>
        <w:rPr>
          <w:rStyle w:val="StyleGras"/>
        </w:rPr>
        <w:t xml:space="preserve">C.7.4 </w:t>
      </w:r>
      <w:r>
        <w:rPr/>
        <w:t>Spuritaj financaj fluoj mankas al la niveloj necesaj por adaptiĝo kaj atingi mildigajn celojn tra ĉiuj sektoroj kaj regionoj. Tiuj mankoj kreas multajn ŝancojn kaj la defio de fermo de interspacoj estas plej granda en evolulandoj. Akcelita financa subteno por evolulandoj de evolulandoj kaj aliaj fontoj estas kritika ebliganto por plifortigi adaptajn kaj mildigajn agojn kaj trakti malegalecojn en aliro al financo, inkluzive de ĝiaj kostoj, kondiĉoj kaj kondiĉoj, kaj ekonomia vundebleco al klimata ŝanĝo por evolulandoj. Pligrandigitaj publikaj subvencioj por mildigo kaj adapta financado por vundeblaj regionoj, precipe en Subsahara Afriko, estus kostefikaj kaj havus altan socian rendimenton laŭ aliro al baza energio. Opcioj por pligrandigi mildigon en evolulandoj inkluzivas: pliigitaj niveloj de publika financo kaj publike mobilizitaj privataj financaj fluoj de evoluintaj al evolulandoj en la kunteksto de la celo de USD 100 miliardoj jare; pliigita uzo de publikaj garantioj por redukti riskojn kaj utiligi privatajn fluojn je pli malalta kosto; disvolviĝo de lokaj kapitalmerkatoj; kaj konstrui pli grandan fidon en internaciaj kunlaboraj procezoj. Kunordigita klopodo por igi la postpandemian reakiron daŭrigebla longtempe povas akceli klimatan agadon, inkluzive en evoluantaj regionoj kaj landoj alfrontantaj altajn ŝuldkostojn, ŝuldmalfacilon kaj makroekonomian necertecon. (</w:t>
      </w:r>
      <w:r>
        <w:rPr>
          <w:rStyle w:val="StyleItaliques"/>
        </w:rPr>
        <w:t>alta konfido)</w:t>
      </w:r>
      <w:r>
        <w:rPr/>
        <w:t xml:space="preserve"> {4.8.1}</w:t>
      </w:r>
    </w:p>
    <w:p>
      <w:pPr>
        <w:pStyle w:val="ParagrapheBlanc"/>
        <w:rPr/>
      </w:pPr>
      <w:r>
        <w:rPr>
          <w:rStyle w:val="StyleGras"/>
        </w:rPr>
        <w:t xml:space="preserve">C.7.5 </w:t>
      </w:r>
      <w:r>
        <w:rPr/>
        <w:t xml:space="preserve">Plibonigi teknologiajn novigajn sistemojn povas doni ŝancojn malpliigi emisiokreskon, krei sociajn kaj mediajn kunprofitojn kaj atingi aliajn SDG-ojn. Politikpakaĵoj adaptitaj al naciaj kuntekstoj kaj teknologiaj karakterizaĵoj estis efikaj en apogado de malaltemisionovigado kaj teknologiodisvastigo. Publikaj politikoj povas apogi trejnadon kaj R&amp;D, kompletigitajn per kaj reguligaj kaj merkat-bazitaj instrumentoj kiuj kreas instigojn kaj merkatŝancojn. Teknologia novigado povas havi kompromisojn kiel ekzemple novaj kaj pli grandaj mediaj efikoj, sociaj neegalecoj, trodependeco de eksterlandaj scio kaj provizantoj, distribuaj efikoj kaj resaltefikoj </w:t>
      </w:r>
      <w:r>
        <w:rPr>
          <w:rStyle w:val="Ancredenotedebasdepage"/>
        </w:rPr>
        <w:footnoteReference w:id="58"/>
      </w:r>
      <w:r>
        <w:rPr/>
        <w:t>, postulante taŭgan administradon kaj politikojn plifortigi potencialon kaj redukti avantaĝojn. Novigado kaj adopto de malalt-emisaj teknologioj postrestas en la plej multaj evolulandoj, precipe malplej evoluintaj, parte pro pli malfortaj ebligaj kondiĉoj, inkluzive de limigita financo, teknologio-evoluo kaj translokigo, kaj kapacitkonstruado. (</w:t>
      </w:r>
      <w:r>
        <w:rPr>
          <w:rStyle w:val="StyleItaliques"/>
        </w:rPr>
        <w:t>alta konfido)</w:t>
      </w:r>
      <w:r>
        <w:rPr/>
        <w:t xml:space="preserve"> {4.8.3}</w:t>
      </w:r>
    </w:p>
    <w:p>
      <w:pPr>
        <w:pStyle w:val="ParagrapheBlanc"/>
        <w:shd w:val="clear" w:fill="FFFFFF"/>
        <w:spacing w:before="156" w:after="156"/>
        <w:rPr/>
      </w:pPr>
      <w:r>
        <w:rPr>
          <w:rStyle w:val="StyleGras"/>
        </w:rPr>
        <w:t xml:space="preserve">C.7.6 </w:t>
      </w:r>
      <w:r>
        <w:rPr/>
        <w:t>Internacia kunlaboro estas kritika ebligilo por atingi ambician klimatŝanĝan mildigon, adaptadon kaj klimatrezistan disvolviĝon (</w:t>
      </w:r>
      <w:r>
        <w:rPr>
          <w:rStyle w:val="StyleItaliques"/>
        </w:rPr>
        <w:t>alta fido)</w:t>
      </w:r>
      <w:r>
        <w:rPr/>
        <w:t>. Klimata rezistema evoluo estas ebligita per pliigita internacia kunlaboro inkluzive de mobilizado kaj plibonigado de aliro al financo, precipe por evolulandoj, vundeblaj regionoj, sektoroj kaj grupoj kaj vicigado de financaj fluoj por ke klimata ago estu kongrua kun ambiciaj niveloj kaj financaj bezonoj (alta fido)</w:t>
      </w:r>
      <w:r>
        <w:rPr>
          <w:rStyle w:val="StyleItaliques"/>
        </w:rPr>
        <w:t>.</w:t>
      </w:r>
      <w:r>
        <w:rPr/>
        <w:t xml:space="preserve"> Plifortigi internacian kunlaboron pri financo, teknologio kaj kapacitkonstruado povas ebligi pli grandan ambicion kaj povas funkcii kiel katalizilo por akceli mildigon kaj adaptadon, kaj ŝanĝi disvolvajn vojojn al daŭripovo (</w:t>
      </w:r>
      <w:r>
        <w:rPr>
          <w:rStyle w:val="StyleItaliques"/>
        </w:rPr>
        <w:t>alta fido)</w:t>
      </w:r>
      <w:r>
        <w:rPr/>
        <w:t>. Ĉi tio inkluzivas subtenon por NDCoj kaj akcelado de teknologia evoluo kaj deplojo (</w:t>
      </w:r>
      <w:r>
        <w:rPr>
          <w:rStyle w:val="StyleItaliques"/>
        </w:rPr>
        <w:t>alta fido)</w:t>
      </w:r>
      <w:r>
        <w:rPr/>
        <w:t xml:space="preserve">. Transnaciaj partnerecoj povas stimuli politikevoluon, teknologian disvastigon, adaptadon kaj mildigon, kvankam necertecoj restas pri siaj kostoj, farebleco kaj efikeco </w:t>
      </w:r>
      <w:r>
        <w:rPr>
          <w:rStyle w:val="StyleItaliques"/>
        </w:rPr>
        <w:t>(meza fido).</w:t>
      </w:r>
      <w:r>
        <w:rPr/>
        <w:t xml:space="preserve"> Internaciaj mediaj kaj sektoraj interkonsentoj, institucioj kaj iniciatoj helpas, kaj en kelkaj kazoj povas helpi, stimuli malaltajn emisiajn investojn kaj redukti emisiojn </w:t>
      </w:r>
      <w:r>
        <w:rPr>
          <w:rStyle w:val="StyleItaliques"/>
        </w:rPr>
        <w:t>(meza fido).</w:t>
      </w:r>
      <w:r>
        <w:rPr/>
        <w:t xml:space="preserve"> {2.2.2, 4.8.2}</w:t>
      </w:r>
    </w:p>
    <w:sectPr>
      <w:headerReference w:type="default" r:id="rId17"/>
      <w:footerReference w:type="default" r:id="rId18"/>
      <w:footnotePr>
        <w:numFmt w:val="decimal"/>
      </w:footnotePr>
      <w:type w:val="nextPage"/>
      <w:pgSz w:w="11906" w:h="16850"/>
      <w:pgMar w:left="500" w:right="500" w:gutter="0" w:header="500" w:top="1261" w:footer="368" w:bottom="9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00"/>
    <w:family w:val="swiss"/>
    <w:pitch w:val="variable"/>
  </w:font>
  <w:font w:name="Arial">
    <w:charset w:val="00"/>
    <w:family w:val="roman"/>
    <w:pitch w:val="variable"/>
  </w:font>
  <w:font w:name="Algerian">
    <w:altName w:val="comic"/>
    <w:charset w:val="00"/>
    <w:family w:val="roman"/>
    <w:pitch w:val="variable"/>
  </w:font>
  <w:font w:name="TimesNewRomanPS-BoldMT">
    <w:charset w:val="00"/>
    <w:family w:val="roman"/>
    <w:pitch w:val="variable"/>
  </w:font>
  <w:font w:name="Arial">
    <w:charset w:val="00"/>
    <w:family w:val="auto"/>
    <w:pitch w:val="default"/>
  </w:font>
  <w:font w:name="TimesNewRomanPS-BoldMT">
    <w:altName w:val="serif"/>
    <w:charset w:val="00"/>
    <w:family w:val="roman"/>
    <w:pitch w:val="variable"/>
  </w:font>
  <w:font w:name="TimesNewRomanPSM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156" w:after="156"/>
      <w:jc w:val="center"/>
      <w:rPr/>
    </w:pPr>
    <w:r>
      <w:rPr>
        <w:rStyle w:val="StyleGras"/>
      </w:rPr>
      <w:t xml:space="preserve">Subjekto al Kopiredakto </w:t>
    </w:r>
    <w:r>
      <w:rPr/>
      <w:tab/>
      <w:t xml:space="preserve">p </w:t>
    </w:r>
    <w:r>
      <w:rPr/>
      <w:fldChar w:fldCharType="begin"/>
    </w:r>
    <w:r>
      <w:rPr/>
      <w:instrText> PAGE </w:instrText>
    </w:r>
    <w:r>
      <w:rPr/>
      <w:fldChar w:fldCharType="separate"/>
    </w:r>
    <w:r>
      <w:rPr/>
      <w:t>29</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edebasdepage"/>
        <w:suppressLineNumbers/>
        <w:spacing w:before="156" w:after="0"/>
        <w:ind w:left="339" w:right="0" w:hanging="339"/>
        <w:rPr/>
      </w:pPr>
      <w:r>
        <w:rPr>
          <w:rStyle w:val="Caractresdenotedebasdepage"/>
        </w:rPr>
        <w:footnoteRef/>
      </w:r>
      <w:r>
        <w:rPr/>
        <w:tab/>
        <w:t>La tri laborgrupo-kontribuoj al AR6 estas: AR6 Klimata Ŝanĝo 2021: La Fizika Scienca Bazo; AR6 Klimata Ŝanĝo 2022: Efikoj, Adaptado kaj Vundebleco; kaj AR6 Klimata Ŝanĝo 2022: Mildigo de Klimata Ŝanĝo. Iliaj taksoj kovras sciencan literaturon akceptitan por publikigo respektive antaŭ 31 januaro 2021, 1 septembro 2021 kaj 11 oktobro 2021.</w:t>
      </w:r>
    </w:p>
  </w:footnote>
  <w:footnote w:id="3">
    <w:p>
      <w:pPr>
        <w:pStyle w:val="Notedebasdepage"/>
        <w:suppressLineNumbers/>
        <w:spacing w:before="156" w:after="0"/>
        <w:ind w:left="339" w:right="0" w:hanging="339"/>
        <w:rPr/>
      </w:pPr>
      <w:r>
        <w:rPr>
          <w:rStyle w:val="Caractresdenotedebasdepage"/>
        </w:rPr>
        <w:footnoteRef/>
      </w:r>
      <w:r>
        <w:rPr/>
        <w:tab/>
        <w:t>La tri Specialaj Raportoj estas: Tutmonda Varmiĝo de 1,5 °C (2018): IPCC Speciala Raporto pri la efikoj de tutmonda varmiĝo de 1,5 °C super antaŭindustriaj niveloj kaj rilataj tutmondaj forcejgasaj ellasaj vojoj, en la kunteksto de plifortigo de la tutmonda varmiĝo. respondo al la minaco de klimata ŝanĝo, daŭripovo, kaj klopodoj ekstermi malriĉecon (SR1.5); Klimata Ŝanĝo kaj Tero (2019): Speciala Raporto de IPCC pri klimata ŝanĝo, dezertiĝo, terdegenero, daŭrigebla teradministrado, manĝaĵsekureco kaj forcejgasaj fluoj en teraj ekosistemoj (SRCCL); kaj The Ocean and Cryosphere in a Changing Climate (2019) (SROCC). La Specialaj Raportoj kovras sciencan literaturon akceptitan por publikigo respektive ĝis la 15-a de majo 2018, la 7-a de aprilo 2019 kaj la 15-a de majo 2019.</w:t>
      </w:r>
    </w:p>
  </w:footnote>
  <w:footnote w:id="4">
    <w:p>
      <w:pPr>
        <w:pStyle w:val="Notedebasdepage"/>
        <w:suppressLineNumbers/>
        <w:spacing w:before="156" w:after="0"/>
        <w:ind w:left="339" w:right="0" w:hanging="339"/>
        <w:rPr/>
      </w:pPr>
      <w:r>
        <w:rPr>
          <w:rStyle w:val="Caractresdenotedebasdepage"/>
        </w:rPr>
        <w:footnoteRef/>
      </w:r>
      <w:r>
        <w:rPr/>
        <w:tab/>
        <w:t>En ĉi tiu raporto, la proksima tempo estas difinita kiel la periodo ĝis 2040. La longtempa estas difinita kiel la periodo post 2040.</w:t>
      </w:r>
    </w:p>
  </w:footnote>
  <w:footnote w:id="5">
    <w:p>
      <w:pPr>
        <w:pStyle w:val="Notedebasdepage"/>
        <w:suppressLineNumbers/>
        <w:spacing w:before="156" w:after="0"/>
        <w:ind w:left="339" w:right="0" w:hanging="339"/>
        <w:rPr/>
      </w:pPr>
      <w:r>
        <w:rPr>
          <w:rStyle w:val="Caractresdenotedebasdepage"/>
        </w:rPr>
        <w:footnoteRef/>
      </w:r>
      <w:r>
        <w:rPr/>
        <w:tab/>
        <w:t xml:space="preserve">Ĉiu trovo estas bazita en taksado de subesta indico kaj interkonsento. La IPCC kalibrita lingvo uzas kvin kvalifikigojn por esprimi nivelon de konfido: tre malalta, malalta, meza, alta kaj tre alta, kaj kompostita en kursivo, ekzemple, </w:t>
      </w:r>
      <w:r>
        <w:rPr>
          <w:rStyle w:val="StyleItaliques"/>
        </w:rPr>
        <w:t>meza konfido.</w:t>
      </w:r>
      <w:r>
        <w:rPr/>
        <w:t xml:space="preserve"> La sekvaj terminoj estas uzataj por indiki la taksitan verŝajnecon de rezulto aŭ rezulto: </w:t>
      </w:r>
      <w:r>
        <w:rPr>
          <w:rStyle w:val="StyleItaliques"/>
        </w:rPr>
        <w:t xml:space="preserve">preskaŭ certa </w:t>
      </w:r>
      <w:r>
        <w:rPr/>
        <w:t xml:space="preserve">99–100% probableco, </w:t>
      </w:r>
      <w:r>
        <w:rPr>
          <w:rStyle w:val="StyleItaliques"/>
        </w:rPr>
        <w:t xml:space="preserve">tre verŝajne </w:t>
      </w:r>
      <w:r>
        <w:rPr/>
        <w:t xml:space="preserve">90–100%, verŝajne 66–100%, </w:t>
      </w:r>
      <w:r>
        <w:rPr>
          <w:rStyle w:val="StyleItaliques"/>
        </w:rPr>
        <w:t xml:space="preserve">pli verŝajne ol ne </w:t>
      </w:r>
      <w:r>
        <w:rPr/>
        <w:t xml:space="preserve">&gt;50–100%, proksimume kiel verŝajne kiel ne 33-66%, neverŝajna 0-33%, tre neverŝajna 0-10%, escepte neverŝajna 0-1%. Kromaj terminoj (ege verŝajna 95–100%; </w:t>
      </w:r>
      <w:r>
        <w:rPr>
          <w:rStyle w:val="StyleItaliques"/>
        </w:rPr>
        <w:t xml:space="preserve">pli verŝajne ol ne </w:t>
      </w:r>
      <w:r>
        <w:rPr/>
        <w:t xml:space="preserve">&gt;50–100%; kaj ekstreme neverŝajna 0–5%) ankaŭ estas uzataj kiam konvene. Taksita verŝajneco estas kompostita en kursivo, ekz., </w:t>
      </w:r>
      <w:r>
        <w:rPr>
          <w:rStyle w:val="StyleItaliques"/>
        </w:rPr>
        <w:t>tre verŝajne.</w:t>
      </w:r>
      <w:r>
        <w:rPr/>
        <w:t xml:space="preserve"> Ĉi tio kongruas kun AR5 kaj la aliaj AR6-Raportoj.</w:t>
      </w:r>
    </w:p>
  </w:footnote>
  <w:footnote w:id="6">
    <w:p>
      <w:pPr>
        <w:pStyle w:val="Notedebasdepage"/>
        <w:suppressLineNumbers/>
        <w:spacing w:before="156" w:after="0"/>
        <w:ind w:left="339" w:right="0" w:hanging="339"/>
        <w:rPr/>
      </w:pPr>
      <w:r>
        <w:rPr>
          <w:rStyle w:val="Caractresdenotedebasdepage"/>
        </w:rPr>
        <w:footnoteRef/>
      </w:r>
      <w:r>
        <w:rPr/>
        <w:tab/>
        <w:t xml:space="preserve">Intervaloj donitaj ĉie en la SPM reprezentas </w:t>
      </w:r>
      <w:r>
        <w:rPr>
          <w:rStyle w:val="StyleItaliques"/>
        </w:rPr>
        <w:t xml:space="preserve">tre verŝajnajn </w:t>
      </w:r>
      <w:r>
        <w:rPr/>
        <w:t>intervalojn (5-95% intervalo) krom se alie deklarite.</w:t>
      </w:r>
    </w:p>
  </w:footnote>
  <w:footnote w:id="7">
    <w:p>
      <w:pPr>
        <w:pStyle w:val="Notedebasdepage"/>
        <w:suppressLineNumbers/>
        <w:spacing w:before="156" w:after="0"/>
        <w:ind w:left="339" w:right="0" w:hanging="339"/>
        <w:rPr/>
      </w:pPr>
      <w:r>
        <w:rPr>
          <w:rStyle w:val="Caractresdenotedebasdepage"/>
        </w:rPr>
        <w:footnoteRef/>
      </w:r>
      <w:r>
        <w:rPr/>
        <w:tab/>
        <w:t>La laŭtaksa pliiĝo en tutmonda surfactemperaturo ekde AR5 ŝuldiĝas plejparte al plia varmiĝo ekde 2003–2012 (+0,19 °C [0,16 °C–0,22 °C]). Plie, metodikaj progresoj kaj novaj datenserioj disponigis pli kompletan spacan reprezentadon de ŝanĝoj en surfactemperaturo, inkluzive de en la Arkto. Tiuj kaj aliaj plibonigoj ankaŭ pliigis la takson de tutmonda surfactemperaturoŝanĝo je proksimume 0.1 °C, sed tiu pliiĝo ne reprezentas kroman fizikan varmiĝon ekde AR5.</w:t>
      </w:r>
    </w:p>
  </w:footnote>
  <w:footnote w:id="8">
    <w:p>
      <w:pPr>
        <w:pStyle w:val="Notedebasdepage"/>
        <w:suppressLineNumbers/>
        <w:spacing w:before="156" w:after="0"/>
        <w:ind w:left="339" w:right="0" w:hanging="339"/>
        <w:rPr/>
      </w:pPr>
      <w:r>
        <w:rPr>
          <w:rStyle w:val="Caractresdenotedebasdepage"/>
        </w:rPr>
        <w:footnoteRef/>
      </w:r>
      <w:r>
        <w:rPr/>
        <w:tab/>
        <w:t>La distingperiodo kun A.1.1 ekestas ĉar la atribuostudoj konsideras ĉi tiun iomete pli fruan periodon. La observita varmiĝo al 2010–2019 estas 1,06 °C [0,88 °C–1,21 °C].</w:t>
      </w:r>
    </w:p>
  </w:footnote>
  <w:footnote w:id="9">
    <w:p>
      <w:pPr>
        <w:pStyle w:val="Notedebasdepage"/>
        <w:suppressLineNumbers/>
        <w:spacing w:before="156" w:after="0"/>
        <w:ind w:left="339" w:right="0" w:hanging="339"/>
        <w:rPr/>
      </w:pPr>
      <w:r>
        <w:rPr>
          <w:rStyle w:val="Caractresdenotedebasdepage"/>
        </w:rPr>
        <w:footnoteRef/>
      </w:r>
      <w:r>
        <w:rPr/>
        <w:tab/>
        <w:t>Kontribuoj de emisioj al la varmiĝo de 2010-2019 rilate al 1850-1900 taksitaj el studoj pri radiativa devigado estas: CO</w:t>
      </w:r>
      <w:r>
        <w:rPr>
          <w:vertAlign w:val="subscript"/>
        </w:rPr>
        <w:t xml:space="preserve">2 </w:t>
      </w:r>
      <w:r>
        <w:rPr/>
        <w:t>0,8 [0,5 ĝis 1,2]°C; metano 0,5 [0,3 ĝis 0,8]°C; nitrooksido 0,1 [0,0 ĝis 0,2]°C kaj fluorigitaj gasoj 0,1 [0,0 ĝis 0,2]°C. {2.1.1}</w:t>
      </w:r>
    </w:p>
  </w:footnote>
  <w:footnote w:id="10">
    <w:p>
      <w:pPr>
        <w:pStyle w:val="Notedebasdepage"/>
        <w:suppressLineNumbers/>
        <w:spacing w:before="156" w:after="0"/>
        <w:ind w:left="339" w:right="0" w:hanging="339"/>
        <w:rPr/>
      </w:pPr>
      <w:r>
        <w:rPr>
          <w:rStyle w:val="Caractresdenotedebasdepage"/>
        </w:rPr>
        <w:footnoteRef/>
      </w:r>
      <w:r>
        <w:rPr/>
        <w:tab/>
        <w:t>GHG-emisiometriko estas utiligita por esprimi emisiojn de malsamaj forcej-efikaj gasoj en ofta unuo. Kunigitaj GHG-emisioj en ĉi tiu raporto estas deklaritaj en CO</w:t>
      </w:r>
      <w:r>
        <w:rPr>
          <w:vertAlign w:val="subscript"/>
        </w:rPr>
        <w:t xml:space="preserve">2 </w:t>
      </w:r>
      <w:r>
        <w:rPr/>
        <w:t>-ekvivalentoj (CO</w:t>
      </w:r>
      <w:r>
        <w:rPr>
          <w:vertAlign w:val="subscript"/>
        </w:rPr>
        <w:t xml:space="preserve">2 </w:t>
      </w:r>
      <w:r>
        <w:rPr/>
        <w:t>-eq) uzante la Potencialon de Tutmonda Varmiĝo kun tempohorizonto de 100 jaroj (GWP100) kun valoroj bazitaj sur la kontribuo de Laborgrupo I al la AR6. La AR6 WGI kaj WGIII-raportoj enhavas ĝisdatigitajn emisiajn metrikvalorojn, taksojn de malsamaj metrikoj kun konsidero al mildigaj celoj, kaj taksas novajn alirojn al agregado de gasoj. La elekto de metriko dependas de la celo de la analizo kaj ĉiuj GHG-emisiometrioj havas limigojn kaj necertecojn, ĉar ili simpligas la kompleksecon de la fizika klimata sistemo kaj ĝian respondon al pasintaj kaj estontaj GHG-emisioj. {2.1.1}</w:t>
      </w:r>
    </w:p>
  </w:footnote>
  <w:footnote w:id="11">
    <w:p>
      <w:pPr>
        <w:pStyle w:val="Notedebasdepage"/>
        <w:suppressLineNumbers/>
        <w:spacing w:before="156" w:after="0"/>
        <w:ind w:left="339" w:right="0" w:hanging="339"/>
        <w:rPr/>
      </w:pPr>
      <w:r>
        <w:rPr>
          <w:rStyle w:val="Caractresdenotedebasdepage"/>
        </w:rPr>
        <w:footnoteRef/>
      </w:r>
      <w:r>
        <w:rPr/>
        <w:tab/>
        <w:t>GHG-emisioniveloj estas rondigitaj al du signifaj ciferoj; sekve, malgrandaj diferencoj en sumoj pro rondigo povas okazi. {2.1.1}</w:t>
      </w:r>
    </w:p>
  </w:footnote>
  <w:footnote w:id="12">
    <w:p>
      <w:pPr>
        <w:pStyle w:val="Notedebasdepage"/>
        <w:suppressLineNumbers/>
        <w:spacing w:before="156" w:after="0"/>
        <w:ind w:left="339" w:right="0" w:hanging="339"/>
        <w:rPr/>
      </w:pPr>
      <w:r>
        <w:rPr>
          <w:rStyle w:val="Caractresdenotedebasdepage"/>
        </w:rPr>
        <w:footnoteRef/>
      </w:r>
      <w:r>
        <w:rPr/>
        <w:tab/>
        <w:t>Teritoriaj elsendoj.</w:t>
      </w:r>
    </w:p>
  </w:footnote>
  <w:footnote w:id="13">
    <w:p>
      <w:pPr>
        <w:pStyle w:val="Notedebasdepage"/>
        <w:suppressLineNumbers/>
        <w:spacing w:before="156" w:after="0"/>
        <w:ind w:left="339" w:right="0" w:hanging="339"/>
        <w:rPr/>
      </w:pPr>
      <w:r>
        <w:rPr>
          <w:rStyle w:val="Caractresdenotedebasdepage"/>
        </w:rPr>
        <w:footnoteRef/>
      </w:r>
      <w:r>
        <w:rPr/>
        <w:tab/>
        <w:t>Akuta manĝsekureco povas okazi iam ajn kun severeco kiu minacas vivojn, vivrimedojn aŭ ambaŭ, sendepende de la kaŭzoj, kunteksto aŭ daŭro, kiel rezulto de ŝokoj riskantaj determinantojn de nutraĵsekureco kaj nutrado, kaj estas uzata por taksi la bezonon de humanitara. ago {2.1}.</w:t>
      </w:r>
    </w:p>
  </w:footnote>
  <w:footnote w:id="14">
    <w:p>
      <w:pPr>
        <w:pStyle w:val="Notedebasdepage"/>
        <w:suppressLineNumbers/>
        <w:spacing w:before="156" w:after="0"/>
        <w:ind w:left="339" w:right="0" w:hanging="339"/>
        <w:rPr/>
      </w:pPr>
      <w:r>
        <w:rPr>
          <w:rStyle w:val="Caractresdenotedebasdepage"/>
        </w:rPr>
        <w:footnoteRef/>
      </w:r>
      <w:r>
        <w:rPr/>
        <w:tab/>
        <w:t>En ĉi tiu raporto, la esprimo "perdoj kaj damaĝoj" rilatas al malfavoraj observitaj efikoj kaj/aŭ projekciitaj riskoj kaj povas esti ekonomiaj kaj/aŭ ne-ekonomiaj. (Vidu Aneksaĵon I: Glosaro)</w:t>
      </w:r>
    </w:p>
  </w:footnote>
  <w:footnote w:id="15">
    <w:p>
      <w:pPr>
        <w:pStyle w:val="Notedebasdepage"/>
        <w:suppressLineNumbers/>
        <w:spacing w:before="156" w:after="0"/>
        <w:ind w:left="339" w:right="0" w:hanging="339"/>
        <w:rPr/>
      </w:pPr>
      <w:r>
        <w:rPr>
          <w:rStyle w:val="Caractresdenotedebasdepage"/>
        </w:rPr>
        <w:footnoteRef/>
      </w:r>
      <w:r>
        <w:rPr/>
        <w:tab/>
        <w:t>Malrapidaj eventoj estas priskribitaj inter la klimat-efikaj pelantaĵoj de la WGI AR6 kaj rilatas al la riskoj kaj efikoj asociitaj kun ekz. pliiĝantaj temperaturrimedoj, dezertiĝo, malpliiĝanta precipitaĵo, perdo de biodiverseco, tero kaj arbardegenero, glacia retiriĝo kaj rilataj efikoj, oceana acidiĝo, marnivelo pliiĝo kaj salinigo. {2.1.2}</w:t>
      </w:r>
    </w:p>
  </w:footnote>
  <w:footnote w:id="16">
    <w:p>
      <w:pPr>
        <w:pStyle w:val="Notedebasdepage"/>
        <w:suppressLineNumbers/>
        <w:spacing w:before="156" w:after="0"/>
        <w:ind w:left="339" w:right="0" w:hanging="339"/>
        <w:rPr/>
      </w:pPr>
      <w:r>
        <w:rPr>
          <w:rStyle w:val="Caractresdenotedebasdepage"/>
        </w:rPr>
        <w:footnoteRef/>
      </w:r>
      <w:r>
        <w:rPr/>
        <w:tab/>
        <w:t>Efikeco rilatas ĉi tie al la mezuro al kiu adapta opcio estas antaŭvidita aŭ observita por redukti klimat-rilatan riskon. {2.2.3}</w:t>
      </w:r>
    </w:p>
  </w:footnote>
  <w:footnote w:id="17">
    <w:p>
      <w:pPr>
        <w:pStyle w:val="Notedebasdepage"/>
        <w:suppressLineNumbers/>
        <w:spacing w:before="156" w:after="0"/>
        <w:ind w:left="339" w:right="0" w:hanging="339"/>
        <w:rPr/>
      </w:pPr>
      <w:r>
        <w:rPr>
          <w:rStyle w:val="Caractresdenotedebasdepage"/>
        </w:rPr>
        <w:footnoteRef/>
      </w:r>
      <w:r>
        <w:rPr/>
        <w:tab/>
        <w:t>Vidu Aneksaĵon I: Terminaro {2.2.3}</w:t>
      </w:r>
    </w:p>
  </w:footnote>
  <w:footnote w:id="18">
    <w:p>
      <w:pPr>
        <w:pStyle w:val="Notedebasdepage"/>
        <w:suppressLineNumbers/>
        <w:spacing w:before="156" w:after="0"/>
        <w:ind w:left="339" w:right="0" w:hanging="339"/>
        <w:rPr/>
      </w:pPr>
      <w:r>
        <w:rPr>
          <w:rStyle w:val="Caractresdenotedebasdepage"/>
        </w:rPr>
        <w:footnoteRef/>
      </w:r>
      <w:r>
        <w:rPr/>
        <w:tab/>
        <w:t>Ekosistemo bazita Adaptado (EbA) estas rekonita internacie sub la Konvencio pri Biologia Diverseco (CBD14/5). Rilata koncepto estas Nature-bazitaj Solvoj (NbS), vidu Aneksaĵon I: Glosaro.</w:t>
      </w:r>
    </w:p>
  </w:footnote>
  <w:footnote w:id="19">
    <w:p>
      <w:pPr>
        <w:pStyle w:val="Notedebasdepage"/>
        <w:suppressLineNumbers/>
        <w:spacing w:before="156" w:after="0"/>
        <w:ind w:left="339" w:right="0" w:hanging="339"/>
        <w:rPr/>
      </w:pPr>
      <w:r>
        <w:rPr>
          <w:rStyle w:val="Caractresdenotedebasdepage"/>
        </w:rPr>
        <w:footnoteRef/>
      </w:r>
      <w:r>
        <w:rPr/>
        <w:tab/>
        <w:t>Pliaj adaptiĝoj al ŝanĝo en klimato estas komprenitaj kiel etendaĵoj de agoj kaj kondutoj kiuj jam reduktas la perdojn aŭ plifortigas la avantaĝojn de naturaj varioj en ekstremaj vetero/klimataj eventoj. {2.3.2}</w:t>
      </w:r>
    </w:p>
  </w:footnote>
  <w:footnote w:id="20">
    <w:p>
      <w:pPr>
        <w:pStyle w:val="Notedebasdepage"/>
        <w:suppressLineNumbers/>
        <w:spacing w:before="156" w:after="0"/>
        <w:ind w:left="339" w:right="0" w:hanging="339"/>
        <w:rPr/>
      </w:pPr>
      <w:r>
        <w:rPr>
          <w:rStyle w:val="Caractresdenotedebasdepage"/>
        </w:rPr>
        <w:footnoteRef/>
      </w:r>
      <w:r>
        <w:rPr/>
        <w:tab/>
        <w:t>En la literaturo, la esprimoj padoj kaj scenaroj estas uzitaj interŝanĝeble, kun la unua pli ofte uzita rilate al klimataj celoj. WGI ĉefe uzis la esprimon scenaroj kaj WGIII plejparte uzis la esprimon modeligitan emision kaj mildigajn padojn. La SYR ĉefe utiligas scenarojn dum rilatado al WGI kaj modeligitaj emisio kaj mildigaj padoj kiam rilatante al WGIII.</w:t>
      </w:r>
    </w:p>
  </w:footnote>
  <w:footnote w:id="21">
    <w:p>
      <w:pPr>
        <w:pStyle w:val="Notedebasdepage"/>
        <w:suppressLineNumbers/>
        <w:spacing w:before="156" w:after="0"/>
        <w:ind w:left="339" w:right="0" w:hanging="339"/>
        <w:rPr/>
      </w:pPr>
      <w:r>
        <w:rPr>
          <w:rStyle w:val="Caractresdenotedebasdepage"/>
        </w:rPr>
        <w:footnoteRef/>
      </w:r>
      <w:r>
        <w:rPr/>
        <w:tab/>
        <w:t>Ĉirkaŭ duono de ĉiuj modeligitaj tutmondaj emisiaj vojoj supozas kostefikajn alirojn kiuj dependas de malplej kostaj mildigaj/malpliigaj elektoj tutmonde. La alia duono rigardas ekzistantajn politikojn kaj regione kaj sektore diferencigitajn agojn.</w:t>
      </w:r>
    </w:p>
  </w:footnote>
  <w:footnote w:id="22">
    <w:p>
      <w:pPr>
        <w:pStyle w:val="Notedebasdepage"/>
        <w:suppressLineNumbers/>
        <w:spacing w:before="156" w:after="0"/>
        <w:ind w:left="339" w:right="0" w:hanging="339"/>
        <w:rPr/>
      </w:pPr>
      <w:r>
        <w:rPr>
          <w:rStyle w:val="Caractresdenotedebasdepage"/>
        </w:rPr>
        <w:footnoteRef/>
      </w:r>
      <w:r>
        <w:rPr/>
        <w:tab/>
        <w:t>SSP-bazitaj scenaroj estas referitaj kiel SSPx-y, kie "SSPx" rilatas al la Komuna Sociekonomia Pado priskribanta la sociekonomikajn tendencojn subestajn la scenarojn, kaj "y" rilatas al la nivelo de radiativa devigado (en vatoj je kvadrata metro, aŭ Wm</w:t>
      </w:r>
      <w:r>
        <w:rPr>
          <w:vertAlign w:val="superscript"/>
        </w:rPr>
        <w:t>-2</w:t>
      </w:r>
      <w:r>
        <w:rPr/>
        <w:t>) rezultanta el la scenaro en la jaro 2100. {Kesto-Sekcio.2}</w:t>
      </w:r>
    </w:p>
  </w:footnote>
  <w:footnote w:id="23">
    <w:p>
      <w:pPr>
        <w:pStyle w:val="Notedebasdepage"/>
        <w:suppressLineNumbers/>
        <w:spacing w:before="156" w:after="0"/>
        <w:ind w:left="339" w:right="0" w:hanging="339"/>
        <w:rPr/>
      </w:pPr>
      <w:r>
        <w:rPr>
          <w:rStyle w:val="Caractresdenotedebasdepage"/>
        </w:rPr>
        <w:footnoteRef/>
      </w:r>
      <w:r>
        <w:rPr/>
        <w:tab/>
        <w:t>Tre altaj emisioscenaroj fariĝis malpli verŝajnaj sed ne povas esti ekskluditaj. Varmiĝantaj niveloj &gt;4 °C povas rezultiĝi el tre altaj emisioscenaroj, sed ankaŭ povas okazi de pli malaltaj emisioscenaroj se klimatsentemo aŭ karboncikloreligoj estas pli altaj ol la plej bona takso. {3.1.1}</w:t>
      </w:r>
    </w:p>
  </w:footnote>
  <w:footnote w:id="24">
    <w:p>
      <w:pPr>
        <w:pStyle w:val="Notedebasdepage"/>
        <w:suppressLineNumbers/>
        <w:spacing w:before="156" w:after="0"/>
        <w:ind w:left="339" w:right="0" w:hanging="339"/>
        <w:rPr/>
      </w:pPr>
      <w:r>
        <w:rPr>
          <w:rStyle w:val="Caractresdenotedebasdepage"/>
        </w:rPr>
        <w:footnoteRef/>
      </w:r>
      <w:r>
        <w:rPr/>
        <w:tab/>
        <w:t xml:space="preserve">RCP-bazitaj scenaroj estas referitaj kiel RCPy, kie "y" rilatas al la nivelo de radiativa devigado (en vatoj je kvadrata metro, aŭ Wm </w:t>
      </w:r>
      <w:r>
        <w:rPr>
          <w:vertAlign w:val="superscript"/>
        </w:rPr>
        <w:t>-2</w:t>
      </w:r>
      <w:r>
        <w:rPr/>
        <w:t xml:space="preserve">) rezultiĝanta el la scenaro en la jaro 2100. La SSP-scenaroj kovras pli larĝan gamon de forcej-efikaj gasoj kaj aerpoluaj estontecoj ol la RCP-oj. Ili estas similaj sed ne identaj, kun diferencoj en koncentriĝaj trajektorioj. La totala efika radiativa devigado tendencas esti pli alta por la SSP-oj komparite kun la RCP-oj kun la sama etikedo </w:t>
      </w:r>
      <w:r>
        <w:rPr>
          <w:rStyle w:val="StyleItaliques"/>
        </w:rPr>
        <w:t>(meza fido).</w:t>
      </w:r>
      <w:r>
        <w:rPr/>
        <w:t xml:space="preserve"> {Transsekca Skatolo.2}</w:t>
      </w:r>
    </w:p>
  </w:footnote>
  <w:footnote w:id="25">
    <w:p>
      <w:pPr>
        <w:pStyle w:val="Notedebasdepage"/>
        <w:suppressLineNumbers/>
        <w:spacing w:before="156" w:after="0"/>
        <w:ind w:left="339" w:right="0" w:hanging="339"/>
        <w:rPr/>
      </w:pPr>
      <w:r>
        <w:rPr>
          <w:rStyle w:val="Caractresdenotedebasdepage"/>
        </w:rPr>
        <w:footnoteRef/>
      </w:r>
      <w:r>
        <w:rPr/>
        <w:tab/>
        <w:t>Almenaŭ 1.8 GtCO</w:t>
      </w:r>
      <w:r>
        <w:rPr>
          <w:vertAlign w:val="subscript"/>
        </w:rPr>
        <w:t xml:space="preserve">2 </w:t>
      </w:r>
      <w:r>
        <w:rPr/>
        <w:t xml:space="preserve">-eq yr </w:t>
      </w:r>
      <w:r>
        <w:rPr>
          <w:vertAlign w:val="superscript"/>
        </w:rPr>
        <w:t xml:space="preserve">-1 </w:t>
      </w:r>
      <w:r>
        <w:rPr/>
        <w:t>povas esti kalkulita per agregado de apartaj taksoj por la efikoj de ekonomiaj kaj reguligaj instrumentoj. Kreskanta nombro da leĝoj kaj plenumaj ordonoj influis tutmondajn emisiojn kaj estis taksitaj rezultigi 5.9 GtCO</w:t>
      </w:r>
      <w:r>
        <w:rPr>
          <w:vertAlign w:val="subscript"/>
        </w:rPr>
        <w:t xml:space="preserve">2 </w:t>
      </w:r>
      <w:r>
        <w:rPr/>
        <w:t xml:space="preserve">- eq yr </w:t>
      </w:r>
      <w:r>
        <w:rPr>
          <w:vertAlign w:val="superscript"/>
        </w:rPr>
        <w:t xml:space="preserve">-1 </w:t>
      </w:r>
      <w:r>
        <w:rPr/>
        <w:t xml:space="preserve">malpli da emisioj en 2016 ol ili alie estus. </w:t>
      </w:r>
      <w:r>
        <w:rPr>
          <w:rStyle w:val="StyleItaliques"/>
        </w:rPr>
        <w:t xml:space="preserve">(meza konfido) </w:t>
      </w:r>
      <w:r>
        <w:rPr/>
        <w:t>{2.2.2}</w:t>
      </w:r>
    </w:p>
  </w:footnote>
  <w:footnote w:id="26">
    <w:p>
      <w:pPr>
        <w:pStyle w:val="Notedebasdepage"/>
        <w:suppressLineNumbers/>
        <w:spacing w:before="156" w:after="0"/>
        <w:ind w:left="339" w:right="0" w:hanging="339"/>
        <w:rPr/>
      </w:pPr>
      <w:r>
        <w:rPr>
          <w:rStyle w:val="Caractresdenotedebasdepage"/>
        </w:rPr>
        <w:footnoteRef/>
      </w:r>
      <w:r>
        <w:rPr/>
        <w:tab/>
        <w:t>Reduktoj estis ligitaj al energiprovizadsenkarbonigo, energiefikecgajnoj, kaj energipostuloredukto, kiuj rezultiĝis el kaj politikoj kaj ŝanĝoj en ekonomia strukturo (</w:t>
      </w:r>
      <w:r>
        <w:rPr>
          <w:rStyle w:val="StyleItaliques"/>
        </w:rPr>
        <w:t>alta fido)</w:t>
      </w:r>
      <w:r>
        <w:rPr/>
        <w:t>. {2.2.2}</w:t>
      </w:r>
    </w:p>
  </w:footnote>
  <w:footnote w:id="27">
    <w:p>
      <w:pPr>
        <w:pStyle w:val="Notedebasdepage"/>
        <w:suppressLineNumbers/>
        <w:spacing w:before="156" w:after="0"/>
        <w:ind w:left="339" w:right="0" w:hanging="339"/>
        <w:rPr/>
      </w:pPr>
      <w:r>
        <w:rPr>
          <w:rStyle w:val="Caractresdenotedebasdepage"/>
        </w:rPr>
        <w:footnoteRef/>
      </w:r>
      <w:r>
        <w:rPr/>
        <w:tab/>
        <w:t>Pro la limdato pri literaturo de WGIII, la kromaj NDC-oj prezentitaj post la 11-a de oktobro 2021 ne estas taksitaj ĉi tie. {Piednoto 32 en Pli longa Raporto}</w:t>
      </w:r>
    </w:p>
  </w:footnote>
  <w:footnote w:id="28">
    <w:p>
      <w:pPr>
        <w:pStyle w:val="Notedebasdepage"/>
        <w:suppressLineNumbers/>
        <w:spacing w:before="156" w:after="0"/>
        <w:ind w:left="339" w:right="0" w:hanging="339"/>
        <w:rPr/>
      </w:pPr>
      <w:r>
        <w:rPr>
          <w:rStyle w:val="Caractresdenotedebasdepage"/>
        </w:rPr>
        <w:footnoteRef/>
      </w:r>
      <w:r>
        <w:rPr/>
        <w:tab/>
        <w:t>Projekciitaj 2030 GHG-emisioj estas 50 (47-55) GtCO</w:t>
      </w:r>
      <w:r>
        <w:rPr>
          <w:vertAlign w:val="subscript"/>
        </w:rPr>
        <w:t xml:space="preserve">2 </w:t>
      </w:r>
      <w:r>
        <w:rPr/>
        <w:t>-eq se ĉiuj kondiĉaj NDC-elementoj estas enkalkulitaj. Sen kondiĉaj elementoj, la tutmondaj emisioj estas projekciitaj esti proksimume similaj al modeligitaj 2019-niveloj ĉe 53 (50-57) GtCO</w:t>
      </w:r>
      <w:r>
        <w:rPr>
          <w:vertAlign w:val="subscript"/>
        </w:rPr>
        <w:t xml:space="preserve">2 </w:t>
      </w:r>
      <w:r>
        <w:rPr/>
        <w:t>-eq. {2.3.1, Tabelo 2.2}</w:t>
      </w:r>
    </w:p>
  </w:footnote>
  <w:footnote w:id="29">
    <w:p>
      <w:pPr>
        <w:pStyle w:val="Notedebasdepage"/>
        <w:suppressLineNumbers/>
        <w:spacing w:before="156" w:after="0"/>
        <w:ind w:left="339" w:right="0" w:hanging="339"/>
        <w:rPr/>
      </w:pPr>
      <w:r>
        <w:rPr>
          <w:rStyle w:val="Caractresdenotedebasdepage"/>
        </w:rPr>
        <w:footnoteRef/>
      </w:r>
      <w:r>
        <w:rPr/>
        <w:tab/>
        <w:t xml:space="preserve">Mondvarmiĝo (vidu Aneksaĵon I: Glosaro) estas ĉi tie raportita kiel kurantaj 20-jaraj mezumoj, krom se deklarite alie, relative al 1850-1900. Tutmonda surfactemperaturo en iu ununura jaro povas varii super aŭ sub la longperspektiva hom-kaŭzata tendenco, pro natura ŝanĝebleco. La interna ŝanĝebleco de tutmonda surfactemperaturo en ununura jaro estas taksita esti proksimume ±0.25 °C (5-95% intervalo, </w:t>
      </w:r>
      <w:r>
        <w:rPr>
          <w:rStyle w:val="StyleItaliques"/>
        </w:rPr>
        <w:t>alta fido)</w:t>
      </w:r>
      <w:r>
        <w:rPr/>
        <w:t>. La okazo de individuaj jaroj kun tutmonda surfactemperaturoŝanĝo super certa nivelo ne implicas ke tiu mondvarmiĝonivelo estis atingita. {4.3, Sekca Skatolo.2}</w:t>
      </w:r>
    </w:p>
  </w:footnote>
  <w:footnote w:id="30">
    <w:p>
      <w:pPr>
        <w:pStyle w:val="Notedebasdepage"/>
        <w:suppressLineNumbers/>
        <w:spacing w:before="156" w:after="0"/>
        <w:ind w:left="339" w:right="0" w:hanging="339"/>
        <w:rPr/>
      </w:pPr>
      <w:r>
        <w:rPr>
          <w:rStyle w:val="Caractresdenotedebasdepage"/>
        </w:rPr>
        <w:footnoteRef/>
      </w:r>
      <w:r>
        <w:rPr/>
        <w:tab/>
        <w:t>Meza kvinjara intervalo je kiu 1.5°C mondvarmiĝonivelo estas atingita (50% verŝajneco) en kategorioj da modeligitaj padoj pripensitaj en WGIII estas 2030-2035. Ĝis 2030, tutmonda surfactemperaturo en iu individua jaro povus superi 1.5 °C relative al 1850-1900 kun probableco inter 40% kaj 60%, tra la kvin scenaroj taksitaj en WGI (meza fido)</w:t>
      </w:r>
      <w:r>
        <w:rPr>
          <w:rStyle w:val="StyleItaliques"/>
        </w:rPr>
        <w:t>.</w:t>
      </w:r>
      <w:r>
        <w:rPr/>
        <w:t xml:space="preserve"> En ĉiuj scenaroj konsiderataj en WGI krom la tre alta emisioscenaro (SSP5-8.5), la mezpunkto de la unua 20-jara kuranta averaĝa periodo dum kiu la taksita averaĝa tutmonda surfactemperaturoŝanĝo atingas 1.5°C kuŝas en la unua duono de la 2030-aj jaroj.. En la tre alta GHG-emisioscenaro, la mezpunkto estas en la malfruaj 2020-aj jaroj. {3.1.1, 3.3.1, 4.3} (Kesto SPM.1)</w:t>
      </w:r>
    </w:p>
  </w:footnote>
  <w:footnote w:id="31">
    <w:p>
      <w:pPr>
        <w:pStyle w:val="Notedebasdepage"/>
        <w:suppressLineNumbers/>
        <w:spacing w:before="156" w:after="0"/>
        <w:ind w:left="339" w:right="0" w:hanging="339"/>
        <w:rPr/>
      </w:pPr>
      <w:r>
        <w:rPr>
          <w:rStyle w:val="Caractresdenotedebasdepage"/>
        </w:rPr>
        <w:footnoteRef/>
      </w:r>
      <w:r>
        <w:rPr/>
        <w:tab/>
        <w:t xml:space="preserve">La plej bonaj taksoj [kaj </w:t>
      </w:r>
      <w:r>
        <w:rPr>
          <w:rStyle w:val="StyleItaliques"/>
        </w:rPr>
        <w:t xml:space="preserve">tre verŝajnaj </w:t>
      </w:r>
      <w:r>
        <w:rPr/>
        <w:t>intervaloj] por la malsamaj scenaroj estas: 1.4°C [1.0°C–1.8°C] (SSP1-1.9); 1,8 °C [1,3 °C–2,4 °C] (SSP1-2,6); 2,7 °C [2,1 °C–3,5 °C] (SSP2-4,5)); 3,6 °C [2,8 °C–4,6 °C] (SSP3-7,0); kaj 4,4 °C [3,3 °C–5,7 °C] (SSP5-8,5). {3.1.1} (Kesto SPM.1)</w:t>
      </w:r>
    </w:p>
  </w:footnote>
  <w:footnote w:id="32">
    <w:p>
      <w:pPr>
        <w:pStyle w:val="Notedebasdepage"/>
        <w:suppressLineNumbers/>
        <w:spacing w:before="156" w:after="0"/>
        <w:ind w:left="339" w:right="0" w:hanging="339"/>
        <w:rPr/>
      </w:pPr>
      <w:r>
        <w:rPr>
          <w:rStyle w:val="Caractresdenotedebasdepage"/>
        </w:rPr>
        <w:footnoteRef/>
      </w:r>
      <w:r>
        <w:rPr/>
        <w:tab/>
        <w:t>Taksitaj estontaj ŝanĝoj en tutmonda surfactemperaturo estis konstruitaj, por la unua fojo, kombinante multi-modelaj projekcioj kun observaj limoj kaj la taksita ekvilibra klimata sentemo kaj pasema klimata respondo. La necerteco estas pli mallarĝa ol en la AR5 danke al plibonigita scio pri klimataj procezoj, paleoklimataj indicoj kaj model-bazitaj emerĝaj limoj. {3.1.1}</w:t>
      </w:r>
    </w:p>
  </w:footnote>
  <w:footnote w:id="33">
    <w:p>
      <w:pPr>
        <w:pStyle w:val="Notedebasdepage"/>
        <w:suppressLineNumbers/>
        <w:spacing w:before="156" w:after="0"/>
        <w:ind w:left="339" w:right="0" w:hanging="339"/>
        <w:rPr/>
      </w:pPr>
      <w:r>
        <w:rPr>
          <w:rStyle w:val="Caractresdenotedebasdepage"/>
        </w:rPr>
        <w:footnoteRef/>
      </w:r>
      <w:r>
        <w:rPr/>
        <w:tab/>
        <w:t>Vidu Aneksaĵon I: Terminaro. Natura ŝanĝebleco inkludas naturajn pelantaĵojn kaj internan ŝanĝeblecon. La ĉefaj internaj ŝanĝfenomenoj inkludas El Niño-Southern Oscillation, Pacific Decadal Variability kaj atlantikan Multi-decadal Variability. {4.3}</w:t>
      </w:r>
    </w:p>
  </w:footnote>
  <w:footnote w:id="34">
    <w:p>
      <w:pPr>
        <w:pStyle w:val="Notedebasdepage"/>
        <w:suppressLineNumbers/>
        <w:spacing w:before="156" w:after="0"/>
        <w:ind w:left="339" w:right="0" w:hanging="339"/>
        <w:rPr/>
      </w:pPr>
      <w:r>
        <w:rPr>
          <w:rStyle w:val="Caractresdenotedebasdepage"/>
        </w:rPr>
        <w:footnoteRef/>
      </w:r>
      <w:r>
        <w:rPr/>
        <w:tab/>
        <w:t>Surbaze de pliaj scenaroj.</w:t>
      </w:r>
    </w:p>
  </w:footnote>
  <w:footnote w:id="35">
    <w:p>
      <w:pPr>
        <w:pStyle w:val="Notedebasdepage"/>
        <w:suppressLineNumbers/>
        <w:spacing w:before="156" w:after="0"/>
        <w:ind w:left="339" w:right="0" w:hanging="339"/>
        <w:rPr/>
      </w:pPr>
      <w:r>
        <w:rPr>
          <w:rStyle w:val="Caractresdenotedebasdepage"/>
        </w:rPr>
        <w:footnoteRef/>
      </w:r>
      <w:r>
        <w:rPr/>
        <w:tab/>
        <w:t>Permafrosto, laŭsezona neĝkovraĵo, glaĉeroj, la Gronlando kaj Antarktaj Glacivetoj, kaj Arkta Mara glacio.</w:t>
      </w:r>
    </w:p>
  </w:footnote>
  <w:footnote w:id="36">
    <w:p>
      <w:pPr>
        <w:pStyle w:val="Notedebasdepage"/>
        <w:suppressLineNumbers/>
        <w:spacing w:before="156" w:after="0"/>
        <w:ind w:left="339" w:right="0" w:hanging="339"/>
        <w:rPr/>
      </w:pPr>
      <w:r>
        <w:rPr>
          <w:rStyle w:val="Caractresdenotedebasdepage"/>
        </w:rPr>
        <w:footnoteRef/>
      </w:r>
      <w:r>
        <w:rPr/>
        <w:tab/>
        <w:t>Surbaze de 2500-jaraj rekonstruoj, erupcioj kun radiativa devigado pli negativa ol -1 Wm</w:t>
      </w:r>
      <w:r>
        <w:rPr>
          <w:rStyle w:val="StyleNormalExposant"/>
        </w:rPr>
        <w:t>-2</w:t>
      </w:r>
      <w:r>
        <w:rPr/>
        <w:t>, rilataj al la radiativa efiko de vulkanaj stratosferaj aerosoloj en la literaturo taksita en ĉi tiu raporto, okazas averaĝe dufoje en jarcento. {4.3}</w:t>
      </w:r>
    </w:p>
  </w:footnote>
  <w:footnote w:id="37">
    <w:p>
      <w:pPr>
        <w:pStyle w:val="Notedebasdepage"/>
        <w:suppressLineNumbers/>
        <w:spacing w:before="156" w:after="0"/>
        <w:ind w:left="339" w:right="0" w:hanging="339"/>
        <w:rPr/>
      </w:pPr>
      <w:r>
        <w:rPr>
          <w:rStyle w:val="Caractresdenotedebasdepage"/>
        </w:rPr>
        <w:footnoteRef/>
      </w:r>
      <w:r>
        <w:rPr/>
        <w:tab/>
        <w:t>En ĉiuj taksitaj regionoj.</w:t>
      </w:r>
    </w:p>
  </w:footnote>
  <w:footnote w:id="38">
    <w:p>
      <w:pPr>
        <w:pStyle w:val="Notedebasdepage"/>
        <w:suppressLineNumbers/>
        <w:spacing w:before="156" w:after="0"/>
        <w:ind w:left="339" w:right="0" w:hanging="339"/>
        <w:rPr/>
      </w:pPr>
      <w:r>
        <w:rPr>
          <w:rStyle w:val="Caractresdenotedebasdepage"/>
        </w:rPr>
        <w:footnoteRef/>
      </w:r>
      <w:r>
        <w:rPr/>
        <w:tab/>
        <w:t xml:space="preserve">Nerimarkebla risknivelo indikas ke neniuj rilataj efikoj estas konstateblaj kaj atribueblaj al klimata ŝanĝo; modera risko indikas, ke rilataj efikoj estas kaj konstateblaj kaj atribueblaj al klimata ŝanĝo kun almenaŭ </w:t>
      </w:r>
      <w:r>
        <w:rPr>
          <w:rStyle w:val="StyleItaliques"/>
        </w:rPr>
        <w:t xml:space="preserve">meza fido </w:t>
      </w:r>
      <w:r>
        <w:rPr/>
        <w:t>, ankaŭ respondecante pri la aliaj specifaj kriterioj por ŝlosilaj riskoj; alta risko indikas severajn kaj ĝeneraligitajn efikojn, kiuj estas taksataj altaj laŭ unu aŭ pluraj kriterioj por taksi ŝlosilajn riskojn; kaj tre alta riska nivelo indikas tre altan riskon de severaj efikoj kaj la ĉeesto de signifa neinversigebleco aŭ la persisto de klimat-rilataj danĝeroj, kombinita kun limigita kapablo adaptiĝi pro la naturo de la danĝero aŭ efikoj/riskoj. {3.1.2}</w:t>
      </w:r>
    </w:p>
  </w:footnote>
  <w:footnote w:id="39">
    <w:p>
      <w:pPr>
        <w:pStyle w:val="Notedebasdepage"/>
        <w:suppressLineNumbers/>
        <w:spacing w:before="156" w:after="0"/>
        <w:ind w:left="339" w:right="0" w:hanging="339"/>
        <w:rPr/>
      </w:pPr>
      <w:r>
        <w:rPr>
          <w:rStyle w:val="Caractresdenotedebasdepage"/>
        </w:rPr>
        <w:footnoteRef/>
      </w:r>
      <w:r>
        <w:rPr/>
        <w:tab/>
        <w:t>La Reasons for Concern (RFC) kadro komunikas sciencan komprenon pri akumulado de risko por kvin larĝaj kategorioj.</w:t>
      </w:r>
    </w:p>
  </w:footnote>
  <w:footnote w:id="40">
    <w:p>
      <w:pPr>
        <w:pStyle w:val="Notedebasdepage"/>
        <w:suppressLineNumbers/>
        <w:spacing w:before="156" w:after="0"/>
        <w:ind w:left="339" w:right="0" w:hanging="339"/>
        <w:rPr/>
      </w:pPr>
      <w:r>
        <w:rPr>
          <w:rStyle w:val="Caractresdenotedebasdepage"/>
        </w:rPr>
        <w:footnoteRef/>
      </w:r>
      <w:r>
        <w:rPr/>
        <w:tab/>
        <w:t>Netaj nulaj GHG-emisioj difinitaj per la 100-jara mondvarmiĝo-potencialo. Vidu piednoton 9.</w:t>
      </w:r>
    </w:p>
  </w:footnote>
  <w:footnote w:id="41">
    <w:p>
      <w:pPr>
        <w:pStyle w:val="Notedebasdepage"/>
        <w:spacing w:before="156" w:after="0"/>
        <w:rPr/>
      </w:pPr>
      <w:r>
        <w:rPr>
          <w:rStyle w:val="Caractresdenotedebasdepage"/>
        </w:rPr>
        <w:footnoteRef/>
      </w:r>
      <w:r>
        <w:rPr/>
        <w:tab/>
        <w:t>Tutmondaj datumbazoj faras malsamajn elektojn pri kiuj emisioj kaj forigoj okazantaj surtere estas konsideritaj antropogenaj. Plej multaj landoj raportas siajn antropogenajn terajn CO</w:t>
      </w:r>
      <w:r>
        <w:rPr>
          <w:vertAlign w:val="subscript"/>
        </w:rPr>
        <w:t xml:space="preserve">2 </w:t>
      </w:r>
      <w:r>
        <w:rPr/>
        <w:t>fluojn inkluzive de fluoj pro homkaŭzita media ŝanĝo (ekz., CO</w:t>
      </w:r>
      <w:r>
        <w:rPr>
          <w:vertAlign w:val="subscript"/>
        </w:rPr>
        <w:t xml:space="preserve">2 </w:t>
      </w:r>
      <w:r>
        <w:rPr/>
        <w:t>fekundigo) sur "administrita" tero en siaj naciaj GHG-stokregistroj. Uzante emisiotaksojn bazitajn sur tiuj stokregistroj, la ceteraj karbonbuĝetoj devas esti ekvivalente reduktitaj. {3.3.1}</w:t>
      </w:r>
    </w:p>
  </w:footnote>
  <w:footnote w:id="42">
    <w:p>
      <w:pPr>
        <w:pStyle w:val="Notedebasdepage"/>
        <w:suppressLineNumbers/>
        <w:spacing w:before="156" w:after="0"/>
        <w:ind w:left="339" w:right="0" w:hanging="339"/>
        <w:rPr/>
      </w:pPr>
      <w:r>
        <w:rPr>
          <w:rStyle w:val="Caractresdenotedebasdepage"/>
        </w:rPr>
        <w:footnoteRef/>
      </w:r>
      <w:r>
        <w:rPr/>
        <w:tab/>
        <w:t>Ekzemple, ceteraj karbonbuĝetoj povus esti 300 aŭ 600 GtCO</w:t>
      </w:r>
      <w:r>
        <w:rPr>
          <w:vertAlign w:val="subscript"/>
        </w:rPr>
        <w:t xml:space="preserve">2 </w:t>
      </w:r>
      <w:r>
        <w:rPr/>
        <w:t>por 1,5 °C (50%), respektive por altaj kaj malaltaj ne-CO</w:t>
      </w:r>
      <w:r>
        <w:rPr>
          <w:vertAlign w:val="subscript"/>
        </w:rPr>
        <w:t xml:space="preserve">2 </w:t>
      </w:r>
      <w:r>
        <w:rPr/>
        <w:t>emisioj, kompare kun 500 GtCO</w:t>
      </w:r>
      <w:r>
        <w:rPr>
          <w:vertAlign w:val="subscript"/>
        </w:rPr>
        <w:t xml:space="preserve">2 </w:t>
      </w:r>
      <w:r>
        <w:rPr/>
        <w:t>en la centra kazo. {3.3.1}</w:t>
      </w:r>
    </w:p>
  </w:footnote>
  <w:footnote w:id="43">
    <w:p>
      <w:pPr>
        <w:pStyle w:val="Notedebasdepage"/>
        <w:suppressLineNumbers/>
        <w:spacing w:before="156" w:after="0"/>
        <w:ind w:left="339" w:right="0" w:hanging="339"/>
        <w:rPr/>
      </w:pPr>
      <w:r>
        <w:rPr>
          <w:rStyle w:val="Caractresdenotedebasdepage"/>
        </w:rPr>
        <w:footnoteRef/>
      </w:r>
      <w:r>
        <w:rPr/>
        <w:tab/>
        <w:t>Malkresko ĉi tie rilatas al homaj intervenoj kiuj reduktas la kvanton de forcej-efikaj gasoj kiuj estas liberigitaj de fosilia fuelinfrastrukturo al la atmosfero.</w:t>
      </w:r>
    </w:p>
  </w:footnote>
  <w:footnote w:id="44">
    <w:p>
      <w:pPr>
        <w:pStyle w:val="Notedebasdepage"/>
        <w:suppressLineNumbers/>
        <w:spacing w:before="156" w:after="0"/>
        <w:ind w:left="339" w:right="0" w:hanging="339"/>
        <w:rPr/>
      </w:pPr>
      <w:r>
        <w:rPr>
          <w:rStyle w:val="Caractresdenotedebasdepage"/>
        </w:rPr>
        <w:footnoteRef/>
      </w:r>
      <w:r>
        <w:rPr/>
        <w:tab/>
        <w:t>Ibid.</w:t>
      </w:r>
    </w:p>
  </w:footnote>
  <w:footnote w:id="45">
    <w:p>
      <w:pPr>
        <w:pStyle w:val="Notedebasdepage"/>
        <w:suppressLineNumbers/>
        <w:spacing w:before="156" w:after="0"/>
        <w:ind w:left="339" w:right="0" w:hanging="339"/>
        <w:rPr/>
      </w:pPr>
      <w:r>
        <w:rPr>
          <w:rStyle w:val="Caractresdenotedebasdepage"/>
        </w:rPr>
        <w:footnoteRef/>
      </w:r>
      <w:r>
        <w:rPr/>
        <w:tab/>
        <w:t>WGI disponigas karbonbuĝetojn kiuj estas en linio kun limigado de mondvarmiĝo al temperaturlimoj kun malsamaj verŝajnecoj, kiel ekzemple 50%, 67% aŭ 83%. {3.3.1}</w:t>
      </w:r>
    </w:p>
  </w:footnote>
  <w:footnote w:id="46">
    <w:p>
      <w:pPr>
        <w:pStyle w:val="Notedebasdepage"/>
        <w:suppressLineNumbers/>
        <w:spacing w:before="156" w:after="0"/>
        <w:ind w:left="339" w:right="0" w:hanging="339"/>
        <w:rPr/>
      </w:pPr>
      <w:r>
        <w:rPr>
          <w:rStyle w:val="Caractresdenotedebasdepage"/>
        </w:rPr>
        <w:footnoteRef/>
      </w:r>
      <w:r>
        <w:rPr/>
        <w:tab/>
        <w:t>Necertecoj por totalaj karbonbuĝetoj ne estis taksitaj kaj povus influi la specifajn kalkulitajn frakciojn.</w:t>
      </w:r>
    </w:p>
  </w:footnote>
  <w:footnote w:id="47">
    <w:p>
      <w:pPr>
        <w:pStyle w:val="Notedebasdepage"/>
        <w:suppressLineNumbers/>
        <w:spacing w:before="156" w:after="0"/>
        <w:ind w:left="339" w:right="0" w:hanging="339"/>
        <w:rPr/>
      </w:pPr>
      <w:r>
        <w:rPr>
          <w:rStyle w:val="Caractresdenotedebasdepage"/>
        </w:rPr>
        <w:footnoteRef/>
      </w:r>
      <w:r>
        <w:rPr/>
        <w:tab/>
        <w:t>Ibid.</w:t>
      </w:r>
    </w:p>
  </w:footnote>
  <w:footnote w:id="48">
    <w:p>
      <w:pPr>
        <w:pStyle w:val="Notedebasdepage"/>
        <w:suppressLineNumbers/>
        <w:spacing w:before="156" w:after="0"/>
        <w:ind w:left="339" w:right="0" w:hanging="339"/>
        <w:rPr/>
      </w:pPr>
      <w:r>
        <w:rPr>
          <w:rStyle w:val="Caractresdenotedebasdepage"/>
        </w:rPr>
        <w:footnoteRef/>
      </w:r>
      <w:r>
        <w:rPr/>
        <w:tab/>
        <w:t>CCS estas opcio por redukti emisiojn de grandskalaj fosili-bazitaj energio kaj industrifontoj kondiĉe ke geologia stokado estas havebla. Kiam CO</w:t>
      </w:r>
      <w:r>
        <w:rPr>
          <w:vertAlign w:val="subscript"/>
        </w:rPr>
        <w:t xml:space="preserve">2 </w:t>
      </w:r>
      <w:r>
        <w:rPr/>
        <w:t>estas kaptita rekte de la atmosfero (DACCS), aŭ de biomaso (BECCS), CCS disponigas la stokadkomponenton de tiuj CDR-metodoj. Kapto de CO</w:t>
      </w:r>
      <w:r>
        <w:rPr>
          <w:vertAlign w:val="subscript"/>
        </w:rPr>
        <w:t xml:space="preserve">2 </w:t>
      </w:r>
      <w:r>
        <w:rPr/>
        <w:t>kaj subtera injekto estas matura teknologio por gaspretigo kaj plifortigita nafto-reakiro. Kontraste al la petrolo kaj gassektoro, CCS estas malpli matura en la elektrosektoro, same kiel en cemento kaj kemiaĵoj produktado, kie ĝi estas kritika mildiga elekto. La teknika geologia stokkapablo estas taksita esti sur la ordo de 1000 GtCO</w:t>
      </w:r>
      <w:r>
        <w:rPr>
          <w:vertAlign w:val="subscript"/>
        </w:rPr>
        <w:t xml:space="preserve">2 </w:t>
      </w:r>
      <w:r>
        <w:rPr/>
        <w:t>, kio estas pli ol la CO</w:t>
      </w:r>
      <w:r>
        <w:rPr>
          <w:vertAlign w:val="subscript"/>
        </w:rPr>
        <w:t xml:space="preserve">2 </w:t>
      </w:r>
      <w:r>
        <w:rPr/>
        <w:t>stokado postuloj ĝis 2100 por limigi mondvarmiĝon al 1.5 °C, kvankam la regiona havebleco de geologia stokado povus esti limiga faktoro. Se la geologia stokejo estas taŭge elektita kaj administrita, oni taksas, ke la CO</w:t>
      </w:r>
      <w:r>
        <w:rPr>
          <w:vertAlign w:val="subscript"/>
        </w:rPr>
        <w:t xml:space="preserve">2 </w:t>
      </w:r>
      <w:r>
        <w:rPr/>
        <w:t>povas esti konstante izolita de la atmosfero. Efektivigo de CCS nuntempe alfrontas teknologiajn, ekonomiajn, instituciajn, ekologi-mediajn kaj socikulturajn barojn. Nuntempe, tutmondaj tarifoj de CCS-deplojo estas multe sub tiuj en modeligitaj padoj limigantaj mondvarmiĝon al 1.5 °C ĝis 2 °C. Ebligaj kondiĉoj kiel politikaj instrumentoj, pli granda publika subteno kaj teknologia novigado povus redukti ĉi tiujn barojn. (</w:t>
      </w:r>
      <w:r>
        <w:rPr>
          <w:rStyle w:val="StyleItaliques"/>
        </w:rPr>
        <w:t>alta konfido)</w:t>
      </w:r>
      <w:r>
        <w:rPr/>
        <w:t xml:space="preserve"> {3.3.3}</w:t>
      </w:r>
    </w:p>
  </w:footnote>
  <w:footnote w:id="49">
    <w:p>
      <w:pPr>
        <w:pStyle w:val="Notedebasdepage"/>
        <w:suppressLineNumbers/>
        <w:spacing w:before="156" w:after="0"/>
        <w:ind w:left="339" w:right="0" w:hanging="339"/>
        <w:rPr/>
      </w:pPr>
      <w:r>
        <w:rPr>
          <w:rStyle w:val="Caractresdenotedebasdepage"/>
        </w:rPr>
        <w:footnoteRef/>
      </w:r>
      <w:r>
        <w:rPr/>
        <w:tab/>
        <w:t xml:space="preserve"> </w:t>
      </w:r>
      <w:r>
        <w:rPr/>
        <w:t>La efikoj, riskoj kaj ko-profitoj de CDR-deplojo por ekosistemoj, biodiverseco kaj homoj estos tre variaj depende de la metodo, ejo-specifa kunteksto, efektivigo kaj skalo (</w:t>
      </w:r>
      <w:r>
        <w:rPr>
          <w:rStyle w:val="StyleItaliques"/>
        </w:rPr>
        <w:t>alta fido)</w:t>
      </w:r>
      <w:r>
        <w:rPr/>
        <w:t>.</w:t>
      </w:r>
    </w:p>
  </w:footnote>
  <w:footnote w:id="50">
    <w:p>
      <w:pPr>
        <w:pStyle w:val="Notedebasdepage"/>
        <w:suppressLineNumbers/>
        <w:spacing w:before="156" w:after="0"/>
        <w:ind w:left="339" w:right="0" w:hanging="339"/>
        <w:rPr/>
      </w:pPr>
      <w:r>
        <w:rPr>
          <w:rStyle w:val="Caractresdenotedebasdepage"/>
        </w:rPr>
        <w:footnoteRef/>
      </w:r>
      <w:r>
        <w:rPr/>
        <w:tab/>
        <w:t>La suda parto de Meksiko estas inkludita en la klimaksa subregiono Suda Centrameriko (SCA) por WGI. Meksiko estas taksita kiel parto de Nordameriko por WGII. La literaturo pri klimata ŝanĝo por la regiono SCA foje inkluzivas Meksikon, kaj en tiuj kazoj WGII takso faras referencon al Latin-Ameriko. Meksiko estas konsiderita parto de Latin-Ameriko kaj Karibio por WGIII.</w:t>
      </w:r>
    </w:p>
  </w:footnote>
  <w:footnote w:id="51">
    <w:p>
      <w:pPr>
        <w:pStyle w:val="Notedebasdepage"/>
        <w:suppressLineNumbers/>
        <w:spacing w:before="156" w:after="0"/>
        <w:ind w:left="339" w:right="0" w:hanging="339"/>
        <w:rPr/>
      </w:pPr>
      <w:r>
        <w:rPr>
          <w:rStyle w:val="Caractresdenotedebasdepage"/>
        </w:rPr>
        <w:footnoteRef/>
      </w:r>
      <w:r>
        <w:rPr/>
        <w:tab/>
        <w:t>La indico estas tro limigita por fari similan fortikan konkludon por limigi varmiĝon al 1.5 °C. Limigi tutmondan varmiĝon al 1,5 °C anstataŭ 2 °C pliigus la kostojn de mildigo, sed ankaŭ pliigus la avantaĝojn laŭ reduktitaj efikoj kaj rilataj riskoj, kaj reduktitajn adaptajn bezonojn (</w:t>
      </w:r>
      <w:r>
        <w:rPr>
          <w:rStyle w:val="StyleItaliques"/>
        </w:rPr>
        <w:t>alta fido</w:t>
      </w:r>
      <w:r>
        <w:rPr/>
        <w:t>)</w:t>
      </w:r>
      <w:r>
        <w:rPr>
          <w:rStyle w:val="StyleItaliques"/>
        </w:rPr>
        <w:t>.</w:t>
      </w:r>
    </w:p>
  </w:footnote>
  <w:footnote w:id="52">
    <w:p>
      <w:pPr>
        <w:pStyle w:val="Notedebasdepage"/>
        <w:suppressLineNumbers/>
        <w:spacing w:before="156" w:after="0"/>
        <w:ind w:left="339" w:right="0" w:hanging="339"/>
        <w:rPr/>
      </w:pPr>
      <w:r>
        <w:rPr>
          <w:rStyle w:val="Caractresdenotedebasdepage"/>
        </w:rPr>
        <w:footnoteRef/>
      </w:r>
      <w:r>
        <w:rPr/>
        <w:tab/>
        <w:t>En ĉi tiu kunteksto, "senĉesaj fosiliaj fueloj" rilatas al fosiliaj fueloj produktitaj kaj uzitaj sen intervenoj kiuj konsiderinde reduktas la kvanton de GHG elsendita dum la vivociklo; ekzemple, kaptante 90% aŭ pli da CO</w:t>
      </w:r>
      <w:r>
        <w:rPr>
          <w:vertAlign w:val="subscript"/>
        </w:rPr>
        <w:t xml:space="preserve">2 </w:t>
      </w:r>
      <w:r>
        <w:rPr/>
        <w:t>de elektrocentraloj, aŭ 50–80% de fuĝantaj metanemisioj de energiprovizo.</w:t>
      </w:r>
    </w:p>
  </w:footnote>
  <w:footnote w:id="53">
    <w:p>
      <w:pPr>
        <w:pStyle w:val="Notedebasdepage"/>
        <w:suppressLineNumbers/>
        <w:spacing w:before="156" w:after="0"/>
        <w:ind w:left="339" w:right="0" w:hanging="339"/>
        <w:rPr/>
      </w:pPr>
      <w:r>
        <w:rPr>
          <w:rStyle w:val="Caractresdenotedebasdepage"/>
        </w:rPr>
        <w:footnoteRef/>
      </w:r>
      <w:r>
        <w:rPr/>
        <w:tab/>
        <w:t>Aro da mezuroj kaj ĉiutagaj praktikoj, kiuj evitas postulon je energio, materialoj, tero kaj akvo dum ili liveras homan bonfarton por ĉiuj ene de planedaj limoj {4.5.3}</w:t>
      </w:r>
    </w:p>
  </w:footnote>
  <w:footnote w:id="54">
    <w:p>
      <w:pPr>
        <w:pStyle w:val="Notedebasdepage"/>
        <w:suppressLineNumbers/>
        <w:spacing w:before="156" w:after="0"/>
        <w:ind w:left="339" w:right="0" w:hanging="339"/>
        <w:rPr/>
      </w:pPr>
      <w:r>
        <w:rPr>
          <w:rStyle w:val="Caractresdenotedebasdepage"/>
        </w:rPr>
        <w:footnoteRef/>
      </w:r>
      <w:r>
        <w:rPr/>
        <w:tab/>
        <w:t>" Daŭrigeblaj sanaj dietoj" antaŭenigas ĉiujn grandecojn de la sano kaj bonfarto de individuoj; havas malaltan median premon kaj efikon; estas alireblaj, pageblaj, sekuraj kaj justaj; kaj estas kulture akcepteblaj, kiel priskribite en FAO kaj OMS. La rilata koncepto de "ekvilibraj dietoj" rilatas al dietoj kiuj prezentas plant-bazitajn manĝaĵojn, kiel tiuj bazitaj sur krudaj grenoj, guŝoj, fruktoj kaj legomoj, nuksoj kaj semoj, kaj best-fontaj manĝaĵoj produktitaj en rezistema, daŭrigebla kaj malalta GHG. emisiosistemoj, kiel priskribite en SRCCL.</w:t>
      </w:r>
    </w:p>
  </w:footnote>
  <w:footnote w:id="55">
    <w:p>
      <w:pPr>
        <w:pStyle w:val="Notedebasdepage"/>
        <w:suppressLineNumbers/>
        <w:spacing w:before="156" w:after="0"/>
        <w:ind w:left="339" w:right="0" w:hanging="339"/>
        <w:rPr/>
      </w:pPr>
      <w:r>
        <w:rPr>
          <w:rStyle w:val="Caractresdenotedebasdepage"/>
        </w:rPr>
        <w:footnoteRef/>
      </w:r>
      <w:r>
        <w:rPr/>
        <w:tab/>
        <w:t>La forigo de subvencio de fosiliaj fueloj estas projekciita de diversaj studoj redukti tutmondan CO</w:t>
      </w:r>
      <w:r>
        <w:rPr>
          <w:vertAlign w:val="subscript"/>
        </w:rPr>
        <w:t xml:space="preserve">2 </w:t>
      </w:r>
      <w:r>
        <w:rPr/>
        <w:t xml:space="preserve">emision je 1-4%, kaj GHG-emisiojn je ĝis 10% antaŭ 2030, variante laŭ regionoj </w:t>
      </w:r>
      <w:r>
        <w:rPr>
          <w:rStyle w:val="StyleItaliques"/>
        </w:rPr>
        <w:t>(meza fido).</w:t>
      </w:r>
    </w:p>
  </w:footnote>
  <w:footnote w:id="56">
    <w:p>
      <w:pPr>
        <w:pStyle w:val="Notedebasdepage"/>
        <w:suppressLineNumbers/>
        <w:spacing w:before="156" w:after="0"/>
        <w:ind w:left="339" w:right="0" w:hanging="339"/>
        <w:rPr/>
      </w:pPr>
      <w:r>
        <w:rPr>
          <w:rStyle w:val="Caractresdenotedebasdepage"/>
        </w:rPr>
        <w:footnoteRef/>
      </w:r>
      <w:r>
        <w:rPr/>
        <w:tab/>
        <w:t>Financo fontas el diversaj fontoj: publika aŭ privata, loka, nacia aŭ internacia, duflanka aŭ plurflanka, kaj alternativaj fontoj. Ĝi povas preni la formon de subvencioj, teknika asistado, pruntoj (koncesiaj kaj nekoncesiaj), obligacioj, egaleco, riskasekuro kaj financaj garantioj (malsamaj).</w:t>
      </w:r>
    </w:p>
  </w:footnote>
  <w:footnote w:id="57">
    <w:p>
      <w:pPr>
        <w:pStyle w:val="Notedebasdepage"/>
        <w:suppressLineNumbers/>
        <w:spacing w:before="156" w:after="0"/>
        <w:ind w:left="339" w:right="0" w:hanging="339"/>
        <w:rPr/>
      </w:pPr>
      <w:r>
        <w:rPr>
          <w:rStyle w:val="Caractresdenotedebasdepage"/>
        </w:rPr>
        <w:footnoteRef/>
      </w:r>
      <w:r>
        <w:rPr/>
        <w:tab/>
        <w:t>Ĉi tiuj taksoj dependas de scenaraj supozoj.</w:t>
      </w:r>
    </w:p>
  </w:footnote>
  <w:footnote w:id="58">
    <w:p>
      <w:pPr>
        <w:pStyle w:val="Notedebasdepage"/>
        <w:suppressLineNumbers/>
        <w:spacing w:before="156" w:after="0"/>
        <w:ind w:left="339" w:right="0" w:hanging="339"/>
        <w:rPr/>
      </w:pPr>
      <w:r>
        <w:rPr>
          <w:rStyle w:val="Caractresdenotedebasdepage"/>
        </w:rPr>
        <w:footnoteRef/>
      </w:r>
      <w:r>
        <w:rPr/>
        <w:tab/>
        <w:t>Kaŭzante pli malaltajn netajn emisioreduktojn aŭ eĉ emisiopliiĝojn.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exact" w:line="268" w:before="210" w:after="0"/>
      <w:ind w:left="557" w:right="0" w:hanging="0"/>
      <w:jc w:val="center"/>
      <w:rPr>
        <w:rFonts w:ascii="TimesNewRomanPSMT" w:hAnsi="TimesNewRomanPSMT" w:cs="TimesNewRomanPSMT"/>
        <w:color w:val="000000"/>
        <w:spacing w:val="-3"/>
        <w:sz w:val="19"/>
        <w:szCs w:val="19"/>
      </w:rPr>
    </w:pPr>
    <w:r>
      <w:rPr>
        <w:rFonts w:cs="TimesNewRomanPSMT" w:ascii="TimesNewRomanPSMT" w:hAnsi="TimesNewRomanPSMT"/>
        <w:color w:val="000000"/>
        <w:spacing w:val="-3"/>
        <w:sz w:val="19"/>
        <w:szCs w:val="19"/>
      </w:rPr>
      <w:t xml:space="preserve">Aprobita </w:t>
      <w:tab/>
      <w:tab/>
      <w:tab/>
      <w:t xml:space="preserve">Resumo por Politikistoj </w:t>
      <w:tab/>
      <w:tab/>
      <w:tab/>
      <w:t>IPCC AR6 SYR</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val="bestFit" w:percent="141"/>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2"/>
        <w:szCs w:val="22"/>
        <w:lang w:val="eo" w:eastAsia="zh-CN" w:bidi="ar-SA"/>
      </w:rPr>
    </w:rPrDefault>
    <w:pPrDefault>
      <w:pPr>
        <w:suppressAutoHyphens w:val="true"/>
      </w:pPr>
    </w:pPrDefault>
  </w:docDefaults>
  <w:style w:type="paragraph" w:styleId="Normal">
    <w:name w:val="Normal"/>
    <w:qFormat/>
    <w:pPr>
      <w:widowControl w:val="false"/>
      <w:suppressAutoHyphens w:val="true"/>
      <w:overflowPunct w:val="true"/>
      <w:bidi w:val="0"/>
      <w:spacing w:before="156" w:after="156"/>
      <w:ind w:left="567" w:right="567" w:hanging="0"/>
      <w:jc w:val="both"/>
    </w:pPr>
    <w:rPr>
      <w:rFonts w:ascii="Times New Roman" w:hAnsi="Times New Roman" w:eastAsia="Times New Roman" w:cs="Times New Roman"/>
      <w:color w:val="00000A"/>
      <w:kern w:val="0"/>
      <w:sz w:val="22"/>
      <w:szCs w:val="22"/>
      <w:lang w:val="eo" w:eastAsia="zh-CN" w:bidi="ar-SA"/>
    </w:rPr>
  </w:style>
  <w:style w:type="paragraph" w:styleId="Titre1">
    <w:name w:val="Heading 1"/>
    <w:basedOn w:val="Titre"/>
    <w:qFormat/>
    <w:pPr>
      <w:numPr>
        <w:ilvl w:val="0"/>
        <w:numId w:val="1"/>
      </w:numPr>
      <w:spacing w:before="240" w:after="120"/>
      <w:ind w:left="630" w:right="0" w:hanging="0"/>
      <w:outlineLvl w:val="0"/>
    </w:pPr>
    <w:rPr>
      <w:rFonts w:ascii="Times New Roman" w:hAnsi="Times New Roman"/>
      <w:b/>
      <w:bCs/>
      <w:sz w:val="30"/>
      <w:szCs w:val="36"/>
    </w:rPr>
  </w:style>
  <w:style w:type="character" w:styleId="DefaultParagraphFont">
    <w:name w:val="Default Paragraph Font"/>
    <w:qFormat/>
    <w:rPr/>
  </w:style>
  <w:style w:type="character" w:styleId="Caractresdenotedefin">
    <w:name w:val="Caractères de note de fin"/>
    <w:qFormat/>
    <w:rPr/>
  </w:style>
  <w:style w:type="character" w:styleId="LienInternet">
    <w:name w:val="Lien Internet"/>
    <w:rPr>
      <w:color w:val="000080"/>
      <w:u w:val="single"/>
      <w:lang w:val="eo" w:eastAsia="zxx" w:bidi="zxx"/>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character" w:styleId="Sautdindex">
    <w:name w:val="Saut d'index"/>
    <w:qFormat/>
    <w:rPr/>
  </w:style>
  <w:style w:type="character" w:styleId="Ancredenotedefin">
    <w:name w:val="Ancre de note de fin"/>
    <w:rPr>
      <w:vertAlign w:val="superscript"/>
    </w:rPr>
  </w:style>
  <w:style w:type="character" w:styleId="StyleGras">
    <w:name w:val="StyleGras"/>
    <w:qFormat/>
    <w:rPr>
      <w:b/>
    </w:rPr>
  </w:style>
  <w:style w:type="character" w:styleId="StyleItaliques">
    <w:name w:val="StyleItaliques"/>
    <w:qFormat/>
    <w:rPr>
      <w:i/>
    </w:rPr>
  </w:style>
  <w:style w:type="character" w:styleId="StyleGrasItaliques">
    <w:name w:val="StyleGrasItaliques"/>
    <w:basedOn w:val="StyleGras"/>
    <w:qFormat/>
    <w:rPr>
      <w:i/>
    </w:rPr>
  </w:style>
  <w:style w:type="character" w:styleId="StyleNormalIndice">
    <w:name w:val="StyleNormalIndice"/>
    <w:basedOn w:val="DefaultParagraphFont"/>
    <w:qFormat/>
    <w:rPr>
      <w:rFonts w:ascii="Arial" w:hAnsi="Arial"/>
      <w:vertAlign w:val="subscript"/>
    </w:rPr>
  </w:style>
  <w:style w:type="character" w:styleId="StyleNormalExposant">
    <w:name w:val="StyleNormalExposant"/>
    <w:basedOn w:val="DefaultParagraphFont"/>
    <w:qFormat/>
    <w:rPr>
      <w:vertAlign w:val="superscript"/>
    </w:rPr>
  </w:style>
  <w:style w:type="character" w:styleId="LienInternetvisit">
    <w:name w:val="Lien Internet visité"/>
    <w:rPr>
      <w:color w:val="800000"/>
      <w:u w:val="single"/>
      <w:lang w:val="eo" w:eastAsia="zxx" w:bidi="zxx"/>
    </w:rPr>
  </w:style>
  <w:style w:type="paragraph" w:styleId="Titre">
    <w:name w:val="Titre"/>
    <w:basedOn w:val="Normal"/>
    <w:next w:val="Corpsdetexte"/>
    <w:qFormat/>
    <w:pPr>
      <w:keepNext w:val="true"/>
      <w:spacing w:before="240" w:after="120"/>
    </w:pPr>
    <w:rPr>
      <w:rFonts w:ascii="Arial" w:hAnsi="Arial" w:eastAsia="Microsoft YaHei" w:cs="Arial"/>
      <w:sz w:val="28"/>
      <w:szCs w:val="28"/>
    </w:rPr>
  </w:style>
  <w:style w:type="paragraph" w:styleId="Corpsdetexte">
    <w:name w:val="Body Text"/>
    <w:basedOn w:val="Normal"/>
    <w:pPr>
      <w:spacing w:before="159" w:after="0"/>
      <w:ind w:left="511" w:right="0" w:hanging="0"/>
    </w:pPr>
    <w:rPr>
      <w:rFonts w:ascii="Algerian" w:hAnsi="Algerian" w:eastAsia="Algerian"/>
      <w:sz w:val="24"/>
      <w:szCs w:val="24"/>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qFormat/>
    <w:pPr/>
    <w:rPr/>
  </w:style>
  <w:style w:type="paragraph" w:styleId="TableParagraph">
    <w:name w:val="Table Paragraph"/>
    <w:basedOn w:val="Normal"/>
    <w:qFormat/>
    <w:pPr/>
    <w:rPr/>
  </w:style>
  <w:style w:type="paragraph" w:styleId="Contenudecadre">
    <w:name w:val="Contenu de cadre"/>
    <w:basedOn w:val="Normal"/>
    <w:qFormat/>
    <w:pPr/>
    <w:rPr/>
  </w:style>
  <w:style w:type="paragraph" w:styleId="Entteetpieddepage">
    <w:name w:val="En-tête et pied de page"/>
    <w:basedOn w:val="Normal"/>
    <w:qFormat/>
    <w:pPr>
      <w:suppressLineNumbers/>
      <w:tabs>
        <w:tab w:val="clear" w:pos="720"/>
        <w:tab w:val="center" w:pos="4819" w:leader="none"/>
        <w:tab w:val="right" w:pos="9638" w:leader="none"/>
      </w:tabs>
    </w:pPr>
    <w:rPr/>
  </w:style>
  <w:style w:type="paragraph" w:styleId="Entte">
    <w:name w:val="Header"/>
    <w:basedOn w:val="Normal"/>
    <w:pPr>
      <w:suppressLineNumbers/>
      <w:tabs>
        <w:tab w:val="clear" w:pos="720"/>
        <w:tab w:val="center" w:pos="5453" w:leader="none"/>
        <w:tab w:val="right" w:pos="10906" w:leader="none"/>
      </w:tabs>
    </w:pPr>
    <w:rPr/>
  </w:style>
  <w:style w:type="paragraph" w:styleId="Pieddepage">
    <w:name w:val="Footer"/>
    <w:basedOn w:val="Normal"/>
    <w:pPr>
      <w:suppressLineNumbers/>
      <w:tabs>
        <w:tab w:val="clear" w:pos="720"/>
        <w:tab w:val="center" w:pos="5453" w:leader="none"/>
        <w:tab w:val="right" w:pos="10906" w:leader="none"/>
      </w:tabs>
    </w:pPr>
    <w:rPr/>
  </w:style>
  <w:style w:type="paragraph" w:styleId="TOAHeading">
    <w:name w:val="TOA Heading"/>
    <w:basedOn w:val="Titre"/>
    <w:qFormat/>
    <w:pPr>
      <w:suppressLineNumbers/>
      <w:ind w:left="0" w:right="0" w:hanging="0"/>
    </w:pPr>
    <w:rPr>
      <w:b/>
      <w:bCs/>
      <w:sz w:val="32"/>
      <w:szCs w:val="32"/>
    </w:rPr>
  </w:style>
  <w:style w:type="paragraph" w:styleId="Notedebasdepage">
    <w:name w:val="Footnote Text"/>
    <w:basedOn w:val="Normal"/>
    <w:pPr>
      <w:suppressLineNumbers/>
      <w:spacing w:before="156" w:after="0"/>
      <w:ind w:left="339" w:right="0" w:hanging="339"/>
    </w:pPr>
    <w:rPr>
      <w:sz w:val="20"/>
      <w:szCs w:val="20"/>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 w:type="paragraph" w:styleId="ParagrapheBistre">
    <w:name w:val="ParagrapheBistre"/>
    <w:basedOn w:val="Normal"/>
    <w:qFormat/>
    <w:pPr>
      <w:shd w:val="clear" w:fill="FDB94D"/>
      <w:ind w:left="210" w:right="210" w:hanging="0"/>
    </w:pPr>
    <w:rPr>
      <w:b/>
    </w:rPr>
  </w:style>
  <w:style w:type="paragraph" w:styleId="Tabledesmatiresniveau1">
    <w:name w:val="TOC 1"/>
    <w:basedOn w:val="Index"/>
    <w:pPr>
      <w:tabs>
        <w:tab w:val="clear" w:pos="720"/>
        <w:tab w:val="right" w:pos="10906" w:leader="dot"/>
      </w:tabs>
      <w:ind w:left="0" w:right="0" w:hanging="0"/>
    </w:pPr>
    <w:rPr/>
  </w:style>
  <w:style w:type="paragraph" w:styleId="ParagrapheBleu">
    <w:name w:val="ParagrapheBleu"/>
    <w:basedOn w:val="ParagrapheBistre"/>
    <w:qFormat/>
    <w:pPr>
      <w:shd w:val="clear" w:fill="BCE4E5"/>
    </w:pPr>
    <w:rPr>
      <w:b w:val="false"/>
    </w:rPr>
  </w:style>
  <w:style w:type="paragraph" w:styleId="ParagrapheBlanc">
    <w:name w:val="ParagrapheBlanc"/>
    <w:basedOn w:val="ParagrapheBistre"/>
    <w:qFormat/>
    <w:pPr>
      <w:shd w:val="clear" w:fill="FFFFFF"/>
    </w:pPr>
    <w:rPr>
      <w:b w:val="false"/>
    </w:rPr>
  </w:style>
  <w:style w:type="paragraph" w:styleId="ParagrapheBlancPetit">
    <w:name w:val="ParagrapheBlancPetit"/>
    <w:basedOn w:val="ParagrapheBlanc"/>
    <w:qFormat/>
    <w:pPr>
      <w:shd w:val="clear" w:fill="FFFFFF"/>
    </w:pPr>
    <w:rPr>
      <w:sz w:val="20"/>
    </w:rPr>
  </w:style>
  <w:style w:type="paragraph" w:styleId="Titreprincipal">
    <w:name w:val="Title"/>
    <w:basedOn w:val="Titre"/>
    <w:next w:val="Corpsdetexte"/>
    <w:qFormat/>
    <w:pPr>
      <w:jc w:val="center"/>
    </w:pPr>
    <w:rPr>
      <w:b/>
      <w:bCs/>
      <w:sz w:val="56"/>
      <w:szCs w:val="56"/>
    </w:rPr>
  </w:style>
  <w:style w:type="paragraph" w:styleId="Soustitre">
    <w:name w:val="Subtitle"/>
    <w:basedOn w:val="Titre"/>
    <w:next w:val="Corpsdetexte"/>
    <w:qFormat/>
    <w:pPr>
      <w:spacing w:before="60" w:after="120"/>
      <w:jc w:val="center"/>
    </w:pPr>
    <w:rPr>
      <w:sz w:val="36"/>
      <w:szCs w:val="36"/>
    </w:rPr>
  </w:style>
  <w:style w:type="paragraph" w:styleId="Lignehorizontale">
    <w:name w:val="Ligne horizontale"/>
    <w:basedOn w:val="Normal"/>
    <w:next w:val="Corpsdetexte"/>
    <w:qFormat/>
    <w:pPr>
      <w:suppressLineNumbers/>
      <w:pBdr>
        <w:bottom w:val="double" w:sz="2" w:space="0" w:color="808080"/>
      </w:pBdr>
      <w:spacing w:before="156"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e-d-e.org/" TargetMode="External"/><Relationship Id="rId4" Type="http://schemas.openxmlformats.org/officeDocument/2006/relationships/hyperlink" Target="https://e-d-e.org/" TargetMode="External"/><Relationship Id="rId5" Type="http://schemas.openxmlformats.org/officeDocument/2006/relationships/hyperlink" Target="https://report.ipcc.ch/ar6syr/pdf/IPCC_AR6_SYR_SPM.pdf" TargetMode="External"/><Relationship Id="rId6" Type="http://schemas.openxmlformats.org/officeDocument/2006/relationships/hyperlink" Target="http://europokune.eu/index.php?article13/klimata-sango-jen-resumo-de-la-sesa-raporto-de-interregistara-spertularo-pri-klimata-sangigo-isks-ipcc" TargetMode="External"/><Relationship Id="rId7" Type="http://schemas.openxmlformats.org/officeDocument/2006/relationships/hyperlink" Target="http://europokune.eu/index.php?contact" TargetMode="External"/><Relationship Id="rId8" Type="http://schemas.openxmlformats.org/officeDocument/2006/relationships/hyperlink" Target="https://e-d-e.org/-Kontakti-EDE"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yperlink" Target="https://interactive-atlas.ipcc.ch/"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notes" Target="footnote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722</TotalTime>
  <Application>LibreOffice/7.2.1.2$Windows_x86 LibreOffice_project/87b77fad49947c1441b67c559c339af8f3517e22</Application>
  <AppVersion>15.0000</AppVersion>
  <Pages>35</Pages>
  <Words>17013</Words>
  <Characters>105311</Characters>
  <CharactersWithSpaces>121991</CharactersWithSpaces>
  <Paragraphs>316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2023-03-24T11:25:13Z</dcterms:created>
  <dc:creator/>
  <dc:description/>
  <dc:language>fr-FR</dc:language>
  <cp:lastModifiedBy>Pierre Dieumegard</cp:lastModifiedBy>
  <dcterms:modified xsi:type="dcterms:W3CDTF">2023-03-30T08:38:53Z</dcterms:modified>
  <cp:revision>84</cp:revision>
  <dc:subject/>
  <dc:title/>
</cp:coreProperties>
</file>

<file path=docProps/custom.xml><?xml version="1.0" encoding="utf-8"?>
<Properties xmlns="http://schemas.openxmlformats.org/officeDocument/2006/custom-properties" xmlns:vt="http://schemas.openxmlformats.org/officeDocument/2006/docPropsVTypes"/>
</file>