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19"/>
        </w:rPr>
        <w:t xml:space="preserve">Konference om </w:t>
      </w:r>
      <w:r>
        <w:rPr/>
        <w:br/>
        <w:t>Europas fremtid</w:t>
      </w:r>
    </w:p>
    <w:p>
      <w:pPr>
        <w:pStyle w:val="P68B1DB1Normal2"/>
        <w:widowControl w:val="false"/>
        <w:spacing w:lineRule="exact" w:line="557"/>
        <w:ind w:left="56" w:right="1390" w:firstLine="8"/>
        <w:jc w:val="left"/>
        <w:rPr>
          <w:rFonts w:ascii="Arial" w:hAnsi="Arial"/>
          <w:color w:val="0000BE"/>
          <w:sz w:val="44"/>
        </w:rPr>
      </w:pPr>
      <w:r>
        <w:rPr/>
        <w:t xml:space="preserve">ENDELIG RESULTATRAPPORT </w:t>
      </w:r>
    </w:p>
    <w:p>
      <w:pPr>
        <w:pStyle w:val="P68B1DB1Normal3"/>
        <w:widowControl w:val="false"/>
        <w:spacing w:lineRule="exact" w:line="557"/>
        <w:ind w:left="56" w:right="1390" w:hanging="0"/>
        <w:jc w:val="left"/>
        <w:rPr>
          <w:rFonts w:ascii="Roboto" w:hAnsi="Roboto"/>
          <w:color w:val="0000BE"/>
          <w:sz w:val="28"/>
        </w:rPr>
      </w:pPr>
      <w:r>
        <w:rPr/>
        <w:t>maj 2022</w:t>
      </w:r>
      <w:r>
        <w:rPr>
          <w:rFonts w:ascii="Roboto" w:hAnsi="Roboto"/>
        </w:rPr>
        <w:t xml:space="preserve"> </w:t>
      </w:r>
    </w:p>
    <w:p>
      <w:pPr>
        <w:pStyle w:val="Normal"/>
        <w:rPr/>
      </w:pPr>
      <w:r>
        <w:rPr/>
        <w:drawing>
          <wp:anchor behindDoc="0" distT="0" distB="0" distL="0" distR="0" simplePos="0" locked="0" layoutInCell="1" allowOverlap="1" relativeHeight="63">
            <wp:simplePos x="0" y="0"/>
            <wp:positionH relativeFrom="column">
              <wp:posOffset>88265</wp:posOffset>
            </wp:positionH>
            <wp:positionV relativeFrom="paragraph">
              <wp:posOffset>52070</wp:posOffset>
            </wp:positionV>
            <wp:extent cx="5660390" cy="4556125"/>
            <wp:effectExtent l="0" t="0" r="0" b="0"/>
            <wp:wrapTopAndBottom/>
            <wp:docPr id="1" name="Billed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6525" cy="1110615"/>
                <wp:effectExtent l="0" t="0" r="0" b="0"/>
                <wp:wrapSquare wrapText="bothSides"/>
                <wp:docPr id="2" name="Ramme1"/>
                <a:graphic xmlns:a="http://schemas.openxmlformats.org/drawingml/2006/main">
                  <a:graphicData uri="http://schemas.microsoft.com/office/word/2010/wordprocessingShape">
                    <wps:wsp>
                      <wps:cNvSpPr/>
                      <wps:spPr>
                        <a:xfrm>
                          <a:off x="0" y="0"/>
                          <a:ext cx="2675880" cy="110988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Billed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Konference om</w:t>
                            </w:r>
                            <w:r>
                              <w:rPr>
                                <w:b/>
                              </w:rPr>
                              <w:t>Europas fremtid</w:t>
                            </w:r>
                            <w:r>
                              <w:rPr/>
                              <w:t xml:space="preserve"> </w:t>
                            </w:r>
                          </w:p>
                        </w:txbxContent>
                      </wps:txbx>
                      <wps:bodyPr lIns="54000" rIns="54000" tIns="54000" bIns="54000">
                        <a:noAutofit/>
                      </wps:bodyPr>
                    </wps:wsp>
                  </a:graphicData>
                </a:graphic>
              </wp:anchor>
            </w:drawing>
          </mc:Choice>
          <mc:Fallback>
            <w:pict>
              <v:rect id="shape_0" ID="Ramme1" fillcolor="white" stroked="f" style="position:absolute;margin-left:251.95pt;margin-top:17.3pt;width:210.65pt;height:87.35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Billed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Konference om</w:t>
                      </w:r>
                      <w:r>
                        <w:rPr>
                          <w:b/>
                        </w:rPr>
                        <w:t>Europas fremtid</w:t>
                      </w:r>
                      <w:r>
                        <w:rPr/>
                        <w:t xml:space="preserve"> </w:t>
                      </w:r>
                    </w:p>
                  </w:txbxContent>
                </v:textbox>
              </v:rect>
            </w:pict>
          </mc:Fallback>
        </mc:AlternateContent>
      </w:r>
      <w:r>
        <w:rPr>
          <w:b/>
          <w:color w:val="0000BE"/>
          <w:sz w:val="48"/>
        </w:rPr>
        <w:t>Fremtiden</w:t>
      </w:r>
      <w:r>
        <w:rPr>
          <w:color w:val="0000BE"/>
          <w:sz w:val="48"/>
        </w:rPr>
        <w:t xml:space="preserve"> er</w:t>
      </w:r>
      <w:r>
        <w:rPr/>
        <w:t xml:space="preserve"> </w:t>
      </w:r>
    </w:p>
    <w:p>
      <w:pPr>
        <w:pStyle w:val="P68B1DB1Normal5"/>
        <w:widowControl w:val="false"/>
        <w:spacing w:lineRule="exact" w:line="576"/>
        <w:ind w:left="51" w:right="0" w:hanging="0"/>
        <w:jc w:val="left"/>
        <w:rPr>
          <w:rFonts w:ascii="Arial" w:hAnsi="Arial"/>
        </w:rPr>
      </w:pPr>
      <w:r>
        <w:rPr/>
        <w:t>i dine hænder</w:t>
      </w:r>
    </w:p>
    <w:p>
      <w:pPr>
        <w:pStyle w:val="Normal"/>
        <w:rPr/>
      </w:pPr>
      <w:r>
        <w:rPr/>
      </w:r>
      <w:r>
        <w:br w:type="page"/>
      </w:r>
    </w:p>
    <w:p>
      <w:pPr>
        <w:pStyle w:val="Normal"/>
        <w:spacing w:before="13682" w:after="57"/>
        <w:rPr/>
      </w:pPr>
      <w:r>
        <w:rPr/>
        <mc:AlternateContent>
          <mc:Choice Requires="wps">
            <w:drawing>
              <wp:anchor behindDoc="0" distT="72390" distB="72390" distL="72390" distR="72390" simplePos="0" locked="0" layoutInCell="1" allowOverlap="1" relativeHeight="62">
                <wp:simplePos x="0" y="0"/>
                <wp:positionH relativeFrom="column">
                  <wp:posOffset>4445</wp:posOffset>
                </wp:positionH>
                <wp:positionV relativeFrom="paragraph">
                  <wp:posOffset>85725</wp:posOffset>
                </wp:positionV>
                <wp:extent cx="6021070" cy="8688705"/>
                <wp:effectExtent l="0" t="0" r="0" b="0"/>
                <wp:wrapSquare wrapText="bothSides"/>
                <wp:docPr id="6" name="Rammer16"/>
                <a:graphic xmlns:a="http://schemas.openxmlformats.org/drawingml/2006/main">
                  <a:graphicData uri="http://schemas.microsoft.com/office/word/2010/wordprocessingShape">
                    <wps:wsp>
                      <wps:cNvSpPr/>
                      <wps:spPr>
                        <a:xfrm>
                          <a:off x="0" y="0"/>
                          <a:ext cx="6020280" cy="868824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00000A"/>
                              </w:rPr>
                              <w:t>Dokument udarbejdet af Pierre Dieumegard</w:t>
                            </w:r>
                            <w:r>
                              <w:rPr>
                                <w:color w:val="00000A"/>
                              </w:rPr>
                              <w:drawing>
                                <wp:inline distT="0" distB="0" distL="0" distR="0">
                                  <wp:extent cx="2494280" cy="765175"/>
                                  <wp:effectExtent l="0" t="0" r="0" b="0"/>
                                  <wp:docPr id="8" name="Billeder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r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00000A"/>
                              </w:rPr>
                              <w:t xml:space="preserve"> </w:t>
                            </w:r>
                            <w:r>
                              <w:rPr>
                                <w:color w:val="00000A"/>
                              </w:rPr>
                              <w:t>for Europa-demokratiet-Esperanto</w:t>
                            </w:r>
                          </w:p>
                          <w:p>
                            <w:pPr>
                              <w:pStyle w:val="P68B1DB1Normal7"/>
                              <w:rPr>
                                <w:rFonts w:ascii="Times New Roman" w:hAnsi="Times New Roman"/>
                                <w:sz w:val="24"/>
                              </w:rPr>
                            </w:pPr>
                            <w:r>
                              <w:rPr>
                                <w:color w:val="00000A"/>
                              </w:rPr>
                              <w:t xml:space="preserve"> </w:t>
                            </w:r>
                          </w:p>
                          <w:p>
                            <w:pPr>
                              <w:pStyle w:val="Normal"/>
                              <w:rPr>
                                <w:rFonts w:ascii="Times New Roman" w:hAnsi="Times New Roman"/>
                                <w:color w:val="00000A"/>
                                <w:sz w:val="24"/>
                              </w:rPr>
                            </w:pPr>
                            <w:r>
                              <w:rPr>
                                <w:rFonts w:ascii="Times New Roman" w:hAnsi="Times New Roman"/>
                                <w:color w:val="00000A"/>
                                <w:sz w:val="24"/>
                              </w:rPr>
                            </w:r>
                          </w:p>
                          <w:p>
                            <w:pPr>
                              <w:pStyle w:val="Normal"/>
                              <w:rPr/>
                            </w:pPr>
                            <w:r>
                              <w:rPr>
                                <w:rFonts w:ascii="Times New Roman" w:hAnsi="Times New Roman"/>
                                <w:color w:val="00000A"/>
                                <w:sz w:val="24"/>
                              </w:rPr>
                              <w:t xml:space="preserve">Formålet med dette "foreløbige" dokument er at gøre det muligt for flere mennesker i Den Europæiske Union at forstå de dokumenter, der udarbejdes for Den Europæiske Union (og finansieres af deres bidrag). Det </w:t>
                            </w:r>
                            <w:hyperlink r:id="rId5">
                              <w:r>
                                <w:rPr>
                                  <w:rStyle w:val="LienInternet"/>
                                  <w:rFonts w:ascii="Times New Roman" w:hAnsi="Times New Roman"/>
                                  <w:color w:val="00000A"/>
                                  <w:sz w:val="24"/>
                                </w:rPr>
                                <w:t xml:space="preserve">originale dokument påfransk i pdf-format </w:t>
                              </w:r>
                            </w:hyperlink>
                            <w:r>
                              <w:rPr>
                                <w:rFonts w:ascii="Times New Roman" w:hAnsi="Times New Roman"/>
                                <w:color w:val="00000A"/>
                                <w:sz w:val="24"/>
                              </w:rPr>
                              <w:t xml:space="preserve">er blevet formateret ved hjælp af Libre Office-software. Oversættelse til alle Den Europæiske Unions officielle sprog sker via </w:t>
                            </w:r>
                            <w:hyperlink r:id="rId6">
                              <w:r>
                                <w:rPr>
                                  <w:rStyle w:val="LienInternet"/>
                                  <w:rFonts w:ascii="Times New Roman" w:hAnsi="Times New Roman"/>
                                  <w:color w:val="00000A"/>
                                  <w:sz w:val="24"/>
                                </w:rPr>
                                <w:t>https://webgate.ec.europa.eu/etranslation</w:t>
                              </w:r>
                            </w:hyperlink>
                            <w:r>
                              <w:rPr>
                                <w:rFonts w:ascii="Times New Roman" w:hAnsi="Times New Roman"/>
                                <w:color w:val="00000A"/>
                                <w:sz w:val="24"/>
                              </w:rPr>
                              <w:t>.</w:t>
                            </w:r>
                          </w:p>
                          <w:p>
                            <w:pPr>
                              <w:pStyle w:val="P68B1DB1Normal7"/>
                              <w:rPr>
                                <w:rFonts w:ascii="Times New Roman" w:hAnsi="Times New Roman"/>
                                <w:sz w:val="24"/>
                              </w:rPr>
                            </w:pPr>
                            <w:r>
                              <w:rPr>
                                <w:color w:val="00000A"/>
                              </w:rPr>
                              <w:t xml:space="preserve">Vi har gjort dette på grund af behovet for bedre flersprogethed i EU: uden oversættelser er en stor del af befolkningen udelukket fra debatten. </w:t>
                            </w:r>
                            <w:r>
                              <w:rPr>
                                <w:b/>
                                <w:color w:val="00000A"/>
                              </w:rPr>
                              <w:t>Det er ønskeligt, at EU's administration overtager oversættelsen af vigtige dokumenter, så alle europæere kan forstå, hvad det drejer sig om, og drøfte deres fælles fremtid sammen.</w:t>
                            </w:r>
                          </w:p>
                          <w:p>
                            <w:pPr>
                              <w:pStyle w:val="P68B1DB1Normal7"/>
                              <w:rPr>
                                <w:rFonts w:ascii="Times New Roman" w:hAnsi="Times New Roman"/>
                                <w:sz w:val="24"/>
                              </w:rPr>
                            </w:pPr>
                            <w:r>
                              <w:rPr>
                                <w:color w:val="00000A"/>
                              </w:rPr>
                              <w:t xml:space="preserve"> </w:t>
                            </w:r>
                          </w:p>
                          <w:p>
                            <w:pPr>
                              <w:pStyle w:val="P68B1DB1Normal7"/>
                              <w:rPr>
                                <w:rFonts w:ascii="Times New Roman" w:hAnsi="Times New Roman"/>
                                <w:sz w:val="24"/>
                              </w:rPr>
                            </w:pPr>
                            <w:r>
                              <w:rPr>
                                <w:color w:val="00000A"/>
                              </w:rPr>
                              <w:t xml:space="preserve">For en god direkte kommunikation mellem de europæiske borgere og pålidelige oversættelser ville det internationale esperantosprog være meget nyttigt på grund af dets enkelhed, regelmæssighed og præcision. </w:t>
                            </w:r>
                          </w:p>
                          <w:p>
                            <w:pPr>
                              <w:pStyle w:val="P68B1DB1Normal7"/>
                              <w:rPr>
                                <w:rFonts w:ascii="Times New Roman" w:hAnsi="Times New Roman"/>
                                <w:sz w:val="24"/>
                              </w:rPr>
                            </w:pPr>
                            <w:r>
                              <w:rPr>
                                <w:color w:val="00000A"/>
                              </w:rPr>
                              <w:t xml:space="preserve"> </w:t>
                            </w:r>
                          </w:p>
                          <w:p>
                            <w:pPr>
                              <w:pStyle w:val="P68B1DB1Normal7"/>
                              <w:rPr>
                                <w:rFonts w:ascii="Times New Roman" w:hAnsi="Times New Roman"/>
                                <w:sz w:val="24"/>
                              </w:rPr>
                            </w:pPr>
                            <w:r>
                              <w:rPr>
                                <w:color w:val="00000A"/>
                              </w:rPr>
                              <w:t xml:space="preserve"> </w:t>
                            </w:r>
                            <w:r>
                              <w:rPr>
                                <w:color w:val="00000A"/>
                              </w:rPr>
                              <w:t xml:space="preserve">På internettet: </w:t>
                            </w:r>
                          </w:p>
                          <w:p>
                            <w:pPr>
                              <w:pStyle w:val="Normal"/>
                              <w:rPr/>
                            </w:pPr>
                            <w:r>
                              <w:rPr>
                                <w:rFonts w:ascii="Times New Roman" w:hAnsi="Times New Roman"/>
                                <w:color w:val="00000A"/>
                                <w:sz w:val="24"/>
                              </w:rPr>
                              <w:t xml:space="preserve"> </w:t>
                            </w:r>
                            <w:r>
                              <w:rPr>
                                <w:rFonts w:ascii="Times New Roman" w:hAnsi="Times New Roman"/>
                                <w:color w:val="00000A"/>
                                <w:sz w:val="24"/>
                              </w:rPr>
                              <w:t xml:space="preserve">Føderation Eŭropo-Demokratio-Esperanto:   </w:t>
                            </w:r>
                            <w:hyperlink r:id="rId7">
                              <w:r>
                                <w:rPr>
                                  <w:rStyle w:val="LienInternet"/>
                                  <w:rFonts w:ascii="Times New Roman" w:hAnsi="Times New Roman"/>
                                  <w:color w:val="00000A"/>
                                  <w:sz w:val="24"/>
                                </w:rPr>
                                <w:t>https://e-d-e.org/</w:t>
                              </w:r>
                            </w:hyperlink>
                            <w:r>
                              <w:rPr>
                                <w:rFonts w:ascii="Times New Roman" w:hAnsi="Times New Roman"/>
                                <w:color w:val="00000A"/>
                                <w:sz w:val="24"/>
                              </w:rPr>
                              <w:t xml:space="preserve"> (eller </w:t>
                            </w:r>
                            <w:hyperlink r:id="rId8">
                              <w:r>
                                <w:rPr>
                                  <w:rStyle w:val="LienInternet"/>
                                  <w:rFonts w:ascii="Times New Roman" w:hAnsi="Times New Roman"/>
                                  <w:color w:val="00000A"/>
                                  <w:sz w:val="24"/>
                                </w:rPr>
                                <w:t>www.demokratio.eu</w:t>
                              </w:r>
                            </w:hyperlink>
                            <w:r>
                              <w:rPr>
                                <w:rFonts w:ascii="Times New Roman" w:hAnsi="Times New Roman"/>
                                <w:color w:val="00000A"/>
                                <w:sz w:val="24"/>
                              </w:rPr>
                              <w:t>)</w:t>
                            </w:r>
                          </w:p>
                          <w:p>
                            <w:pPr>
                              <w:pStyle w:val="Normal"/>
                              <w:spacing w:before="62" w:after="62"/>
                              <w:rPr/>
                            </w:pPr>
                            <w:r>
                              <w:rPr>
                                <w:rFonts w:ascii="Times New Roman" w:hAnsi="Times New Roman"/>
                                <w:color w:val="00000A"/>
                                <w:sz w:val="24"/>
                              </w:rPr>
                              <w:t xml:space="preserve">Sammenslutningen Europa-demokrati-Esperanto (Frankrig):   </w:t>
                            </w:r>
                            <w:hyperlink r:id="rId9">
                              <w:r>
                                <w:rPr>
                                  <w:rStyle w:val="LienInternet"/>
                                  <w:rFonts w:ascii="Times New Roman" w:hAnsi="Times New Roman"/>
                                  <w:color w:val="00000A"/>
                                  <w:sz w:val="24"/>
                                </w:rPr>
                                <w:t>https://e-d-e.fr/</w:t>
                              </w:r>
                            </w:hyperlink>
                            <w:r>
                              <w:rPr>
                                <w:rFonts w:ascii="Times New Roman" w:hAnsi="Times New Roman"/>
                                <w:color w:val="00000A"/>
                                <w:sz w:val="24"/>
                              </w:rPr>
                              <w:t xml:space="preserve"> </w:t>
                            </w:r>
                          </w:p>
                          <w:p>
                            <w:pPr>
                              <w:pStyle w:val="Normal"/>
                              <w:spacing w:before="62" w:after="62"/>
                              <w:rPr/>
                            </w:pPr>
                            <w:r>
                              <w:rPr>
                                <w:rFonts w:ascii="Times New Roman" w:hAnsi="Times New Roman"/>
                                <w:color w:val="00000A"/>
                                <w:sz w:val="24"/>
                              </w:rPr>
                              <w:t xml:space="preserve">Europæiske dokumenter på alle officielle sprog: </w:t>
                            </w:r>
                            <w:hyperlink r:id="rId10">
                              <w:r>
                                <w:rPr>
                                  <w:rStyle w:val="LienInternet"/>
                                  <w:rFonts w:ascii="Times New Roman" w:hAnsi="Times New Roman"/>
                                  <w:color w:val="00000A"/>
                                  <w:sz w:val="24"/>
                                </w:rPr>
                                <w:t>http://www.europokune.eu/</w:t>
                              </w:r>
                            </w:hyperlink>
                            <w:r>
                              <w:rPr>
                                <w:rFonts w:ascii="Times New Roman" w:hAnsi="Times New Roman"/>
                                <w:color w:val="00000A"/>
                                <w:sz w:val="24"/>
                              </w:rPr>
                              <w:t xml:space="preserve"> </w:t>
                            </w:r>
                          </w:p>
                          <w:p>
                            <w:pPr>
                              <w:pStyle w:val="Normal"/>
                              <w:rPr>
                                <w:rFonts w:ascii="Times New Roman" w:hAnsi="Times New Roman"/>
                                <w:color w:val="00000A"/>
                                <w:sz w:val="24"/>
                              </w:rPr>
                            </w:pPr>
                            <w:r>
                              <w:rPr>
                                <w:rFonts w:ascii="Times New Roman" w:hAnsi="Times New Roman"/>
                                <w:color w:val="00000A"/>
                                <w:sz w:val="24"/>
                              </w:rPr>
                            </w:r>
                          </w:p>
                          <w:p>
                            <w:pPr>
                              <w:pStyle w:val="Normal"/>
                              <w:rPr>
                                <w:rFonts w:ascii="Times New Roman" w:hAnsi="Times New Roman"/>
                                <w:color w:val="00000A"/>
                                <w:sz w:val="24"/>
                              </w:rPr>
                            </w:pPr>
                            <w:r>
                              <w:rPr>
                                <w:rFonts w:ascii="Times New Roman" w:hAnsi="Times New Roman"/>
                                <w:color w:val="00000A"/>
                                <w:sz w:val="24"/>
                              </w:rPr>
                            </w:r>
                          </w:p>
                          <w:p>
                            <w:pPr>
                              <w:pStyle w:val="P68B1DB1Normal7"/>
                              <w:rPr>
                                <w:rFonts w:ascii="Times New Roman" w:hAnsi="Times New Roman"/>
                                <w:sz w:val="24"/>
                              </w:rPr>
                            </w:pPr>
                            <w:r>
                              <w:rPr>
                                <w:color w:val="00000A"/>
                              </w:rPr>
                              <w:t xml:space="preserve">I forhold til det oprindelige dokument er der nogle ændringer (forbedringer?): </w:t>
                            </w:r>
                          </w:p>
                          <w:p>
                            <w:pPr>
                              <w:pStyle w:val="P68B1DB1Normal7"/>
                              <w:rPr>
                                <w:rFonts w:ascii="Times New Roman" w:hAnsi="Times New Roman"/>
                                <w:sz w:val="24"/>
                              </w:rPr>
                            </w:pPr>
                            <w:r>
                              <w:rPr>
                                <w:color w:val="00000A"/>
                              </w:rPr>
                              <w:t xml:space="preserve">— </w:t>
                            </w:r>
                            <w:r>
                              <w:rPr>
                                <w:color w:val="00000A"/>
                              </w:rPr>
                              <w:t>nogle stavefejl er blevet rettet. Måske har der været andre fejl?</w:t>
                            </w:r>
                          </w:p>
                          <w:p>
                            <w:pPr>
                              <w:pStyle w:val="P68B1DB1Normal7"/>
                              <w:rPr>
                                <w:rFonts w:ascii="Times New Roman" w:hAnsi="Times New Roman"/>
                                <w:sz w:val="24"/>
                              </w:rPr>
                            </w:pPr>
                            <w:r>
                              <w:rPr>
                                <w:color w:val="00000A"/>
                              </w:rPr>
                              <w:t xml:space="preserve">— </w:t>
                            </w:r>
                            <w:r>
                              <w:rPr>
                                <w:color w:val="00000A"/>
                              </w:rPr>
                              <w:t>layoutet er blevet harmoniseret, og alle sider er nummereret korrekt (det oprindelige dokument var en sammenstilling af separate pdf-filer med uafhængige nummereringer).</w:t>
                            </w:r>
                          </w:p>
                          <w:p>
                            <w:pPr>
                              <w:pStyle w:val="P68B1DB1Normal7"/>
                              <w:rPr>
                                <w:rFonts w:ascii="Times New Roman" w:hAnsi="Times New Roman"/>
                                <w:sz w:val="24"/>
                              </w:rPr>
                            </w:pPr>
                            <w:r>
                              <w:rPr>
                                <w:color w:val="00000A"/>
                              </w:rPr>
                              <w:t xml:space="preserve">— </w:t>
                            </w:r>
                            <w:r>
                              <w:rPr>
                                <w:color w:val="00000A"/>
                              </w:rPr>
                              <w:t>slutnoterne er blevet omdannet til slutnoter (nederst på siderne).</w:t>
                            </w:r>
                          </w:p>
                          <w:p>
                            <w:pPr>
                              <w:pStyle w:val="P68B1DB1Normal7"/>
                              <w:spacing w:before="57" w:after="57"/>
                              <w:rPr/>
                            </w:pPr>
                            <w:r>
                              <w:rPr>
                                <w:color w:val="00000A"/>
                              </w:rPr>
                              <w:t xml:space="preserve">— </w:t>
                            </w:r>
                            <w:r>
                              <w:rPr>
                                <w:color w:val="00000A"/>
                              </w:rPr>
                              <w:t>dokumenter i første omgang i form af billeder er blevet omdannet til tabeller, der let kan oversættes.</w:t>
                            </w:r>
                          </w:p>
                        </w:txbxContent>
                      </wps:txbx>
                      <wps:bodyPr lIns="54000" rIns="54000" tIns="54000" bIns="54000">
                        <a:noAutofit/>
                      </wps:bodyPr>
                    </wps:wsp>
                  </a:graphicData>
                </a:graphic>
              </wp:anchor>
            </w:drawing>
          </mc:Choice>
          <mc:Fallback>
            <w:pict>
              <v:rect id="shape_0" ID="Rammer16" fillcolor="white" stroked="t" style="position:absolute;margin-left:0.35pt;margin-top:6.75pt;width:474pt;height:684.05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00000A"/>
                        </w:rPr>
                        <w:t>Dokument udarbejdet af Pierre Dieumegard</w:t>
                      </w:r>
                      <w:r>
                        <w:rPr>
                          <w:color w:val="00000A"/>
                        </w:rPr>
                        <w:drawing>
                          <wp:inline distT="0" distB="0" distL="0" distR="0">
                            <wp:extent cx="2494280" cy="765175"/>
                            <wp:effectExtent l="0" t="0" r="0" b="0"/>
                            <wp:docPr id="9" name="Billeder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r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00000A"/>
                        </w:rPr>
                        <w:t xml:space="preserve"> </w:t>
                      </w:r>
                      <w:r>
                        <w:rPr>
                          <w:color w:val="00000A"/>
                        </w:rPr>
                        <w:t>for Europa-demokratiet-Esperanto</w:t>
                      </w:r>
                    </w:p>
                    <w:p>
                      <w:pPr>
                        <w:pStyle w:val="P68B1DB1Normal7"/>
                        <w:rPr>
                          <w:rFonts w:ascii="Times New Roman" w:hAnsi="Times New Roman"/>
                          <w:sz w:val="24"/>
                        </w:rPr>
                      </w:pPr>
                      <w:r>
                        <w:rPr>
                          <w:color w:val="00000A"/>
                        </w:rPr>
                        <w:t xml:space="preserve"> </w:t>
                      </w:r>
                    </w:p>
                    <w:p>
                      <w:pPr>
                        <w:pStyle w:val="Normal"/>
                        <w:rPr>
                          <w:rFonts w:ascii="Times New Roman" w:hAnsi="Times New Roman"/>
                          <w:color w:val="00000A"/>
                          <w:sz w:val="24"/>
                        </w:rPr>
                      </w:pPr>
                      <w:r>
                        <w:rPr>
                          <w:rFonts w:ascii="Times New Roman" w:hAnsi="Times New Roman"/>
                          <w:color w:val="00000A"/>
                          <w:sz w:val="24"/>
                        </w:rPr>
                      </w:r>
                    </w:p>
                    <w:p>
                      <w:pPr>
                        <w:pStyle w:val="Normal"/>
                        <w:rPr/>
                      </w:pPr>
                      <w:r>
                        <w:rPr>
                          <w:rFonts w:ascii="Times New Roman" w:hAnsi="Times New Roman"/>
                          <w:color w:val="00000A"/>
                          <w:sz w:val="24"/>
                        </w:rPr>
                        <w:t xml:space="preserve">Formålet med dette "foreløbige" dokument er at gøre det muligt for flere mennesker i Den Europæiske Union at forstå de dokumenter, der udarbejdes for Den Europæiske Union (og finansieres af deres bidrag). Det </w:t>
                      </w:r>
                      <w:hyperlink r:id="rId11">
                        <w:r>
                          <w:rPr>
                            <w:rStyle w:val="LienInternet"/>
                            <w:rFonts w:ascii="Times New Roman" w:hAnsi="Times New Roman"/>
                            <w:color w:val="00000A"/>
                            <w:sz w:val="24"/>
                          </w:rPr>
                          <w:t xml:space="preserve">originale dokument påfransk i pdf-format </w:t>
                        </w:r>
                      </w:hyperlink>
                      <w:r>
                        <w:rPr>
                          <w:rFonts w:ascii="Times New Roman" w:hAnsi="Times New Roman"/>
                          <w:color w:val="00000A"/>
                          <w:sz w:val="24"/>
                        </w:rPr>
                        <w:t xml:space="preserve">er blevet formateret ved hjælp af Libre Office-software. Oversættelse til alle Den Europæiske Unions officielle sprog sker via </w:t>
                      </w:r>
                      <w:hyperlink r:id="rId12">
                        <w:r>
                          <w:rPr>
                            <w:rStyle w:val="LienInternet"/>
                            <w:rFonts w:ascii="Times New Roman" w:hAnsi="Times New Roman"/>
                            <w:color w:val="00000A"/>
                            <w:sz w:val="24"/>
                          </w:rPr>
                          <w:t>https://webgate.ec.europa.eu/etranslation</w:t>
                        </w:r>
                      </w:hyperlink>
                      <w:r>
                        <w:rPr>
                          <w:rFonts w:ascii="Times New Roman" w:hAnsi="Times New Roman"/>
                          <w:color w:val="00000A"/>
                          <w:sz w:val="24"/>
                        </w:rPr>
                        <w:t>.</w:t>
                      </w:r>
                    </w:p>
                    <w:p>
                      <w:pPr>
                        <w:pStyle w:val="P68B1DB1Normal7"/>
                        <w:rPr>
                          <w:rFonts w:ascii="Times New Roman" w:hAnsi="Times New Roman"/>
                          <w:sz w:val="24"/>
                        </w:rPr>
                      </w:pPr>
                      <w:r>
                        <w:rPr>
                          <w:color w:val="00000A"/>
                        </w:rPr>
                        <w:t xml:space="preserve">Vi har gjort dette på grund af behovet for bedre flersprogethed i EU: uden oversættelser er en stor del af befolkningen udelukket fra debatten. </w:t>
                      </w:r>
                      <w:r>
                        <w:rPr>
                          <w:b/>
                          <w:color w:val="00000A"/>
                        </w:rPr>
                        <w:t>Det er ønskeligt, at EU's administration overtager oversættelsen af vigtige dokumenter, så alle europæere kan forstå, hvad det drejer sig om, og drøfte deres fælles fremtid sammen.</w:t>
                      </w:r>
                    </w:p>
                    <w:p>
                      <w:pPr>
                        <w:pStyle w:val="P68B1DB1Normal7"/>
                        <w:rPr>
                          <w:rFonts w:ascii="Times New Roman" w:hAnsi="Times New Roman"/>
                          <w:sz w:val="24"/>
                        </w:rPr>
                      </w:pPr>
                      <w:r>
                        <w:rPr>
                          <w:color w:val="00000A"/>
                        </w:rPr>
                        <w:t xml:space="preserve"> </w:t>
                      </w:r>
                    </w:p>
                    <w:p>
                      <w:pPr>
                        <w:pStyle w:val="P68B1DB1Normal7"/>
                        <w:rPr>
                          <w:rFonts w:ascii="Times New Roman" w:hAnsi="Times New Roman"/>
                          <w:sz w:val="24"/>
                        </w:rPr>
                      </w:pPr>
                      <w:r>
                        <w:rPr>
                          <w:color w:val="00000A"/>
                        </w:rPr>
                        <w:t xml:space="preserve">For en god direkte kommunikation mellem de europæiske borgere og pålidelige oversættelser ville det internationale esperantosprog være meget nyttigt på grund af dets enkelhed, regelmæssighed og præcision. </w:t>
                      </w:r>
                    </w:p>
                    <w:p>
                      <w:pPr>
                        <w:pStyle w:val="P68B1DB1Normal7"/>
                        <w:rPr>
                          <w:rFonts w:ascii="Times New Roman" w:hAnsi="Times New Roman"/>
                          <w:sz w:val="24"/>
                        </w:rPr>
                      </w:pPr>
                      <w:r>
                        <w:rPr>
                          <w:color w:val="00000A"/>
                        </w:rPr>
                        <w:t xml:space="preserve"> </w:t>
                      </w:r>
                    </w:p>
                    <w:p>
                      <w:pPr>
                        <w:pStyle w:val="P68B1DB1Normal7"/>
                        <w:rPr>
                          <w:rFonts w:ascii="Times New Roman" w:hAnsi="Times New Roman"/>
                          <w:sz w:val="24"/>
                        </w:rPr>
                      </w:pPr>
                      <w:r>
                        <w:rPr>
                          <w:color w:val="00000A"/>
                        </w:rPr>
                        <w:t xml:space="preserve"> </w:t>
                      </w:r>
                      <w:r>
                        <w:rPr>
                          <w:color w:val="00000A"/>
                        </w:rPr>
                        <w:t xml:space="preserve">På internettet: </w:t>
                      </w:r>
                    </w:p>
                    <w:p>
                      <w:pPr>
                        <w:pStyle w:val="Normal"/>
                        <w:rPr/>
                      </w:pPr>
                      <w:r>
                        <w:rPr>
                          <w:rFonts w:ascii="Times New Roman" w:hAnsi="Times New Roman"/>
                          <w:color w:val="00000A"/>
                          <w:sz w:val="24"/>
                        </w:rPr>
                        <w:t xml:space="preserve"> </w:t>
                      </w:r>
                      <w:r>
                        <w:rPr>
                          <w:rFonts w:ascii="Times New Roman" w:hAnsi="Times New Roman"/>
                          <w:color w:val="00000A"/>
                          <w:sz w:val="24"/>
                        </w:rPr>
                        <w:t xml:space="preserve">Føderation Eŭropo-Demokratio-Esperanto:   </w:t>
                      </w:r>
                      <w:hyperlink r:id="rId13">
                        <w:r>
                          <w:rPr>
                            <w:rStyle w:val="LienInternet"/>
                            <w:rFonts w:ascii="Times New Roman" w:hAnsi="Times New Roman"/>
                            <w:color w:val="00000A"/>
                            <w:sz w:val="24"/>
                          </w:rPr>
                          <w:t>https://e-d-e.org/</w:t>
                        </w:r>
                      </w:hyperlink>
                      <w:r>
                        <w:rPr>
                          <w:rFonts w:ascii="Times New Roman" w:hAnsi="Times New Roman"/>
                          <w:color w:val="00000A"/>
                          <w:sz w:val="24"/>
                        </w:rPr>
                        <w:t xml:space="preserve"> (eller </w:t>
                      </w:r>
                      <w:hyperlink r:id="rId14">
                        <w:r>
                          <w:rPr>
                            <w:rStyle w:val="LienInternet"/>
                            <w:rFonts w:ascii="Times New Roman" w:hAnsi="Times New Roman"/>
                            <w:color w:val="00000A"/>
                            <w:sz w:val="24"/>
                          </w:rPr>
                          <w:t>www.demokratio.eu</w:t>
                        </w:r>
                      </w:hyperlink>
                      <w:r>
                        <w:rPr>
                          <w:rFonts w:ascii="Times New Roman" w:hAnsi="Times New Roman"/>
                          <w:color w:val="00000A"/>
                          <w:sz w:val="24"/>
                        </w:rPr>
                        <w:t>)</w:t>
                      </w:r>
                    </w:p>
                    <w:p>
                      <w:pPr>
                        <w:pStyle w:val="Normal"/>
                        <w:spacing w:before="62" w:after="62"/>
                        <w:rPr/>
                      </w:pPr>
                      <w:r>
                        <w:rPr>
                          <w:rFonts w:ascii="Times New Roman" w:hAnsi="Times New Roman"/>
                          <w:color w:val="00000A"/>
                          <w:sz w:val="24"/>
                        </w:rPr>
                        <w:t xml:space="preserve">Sammenslutningen Europa-demokrati-Esperanto (Frankrig):   </w:t>
                      </w:r>
                      <w:hyperlink r:id="rId15">
                        <w:r>
                          <w:rPr>
                            <w:rStyle w:val="LienInternet"/>
                            <w:rFonts w:ascii="Times New Roman" w:hAnsi="Times New Roman"/>
                            <w:color w:val="00000A"/>
                            <w:sz w:val="24"/>
                          </w:rPr>
                          <w:t>https://e-d-e.fr/</w:t>
                        </w:r>
                      </w:hyperlink>
                      <w:r>
                        <w:rPr>
                          <w:rFonts w:ascii="Times New Roman" w:hAnsi="Times New Roman"/>
                          <w:color w:val="00000A"/>
                          <w:sz w:val="24"/>
                        </w:rPr>
                        <w:t xml:space="preserve"> </w:t>
                      </w:r>
                    </w:p>
                    <w:p>
                      <w:pPr>
                        <w:pStyle w:val="Normal"/>
                        <w:spacing w:before="62" w:after="62"/>
                        <w:rPr/>
                      </w:pPr>
                      <w:r>
                        <w:rPr>
                          <w:rFonts w:ascii="Times New Roman" w:hAnsi="Times New Roman"/>
                          <w:color w:val="00000A"/>
                          <w:sz w:val="24"/>
                        </w:rPr>
                        <w:t xml:space="preserve">Europæiske dokumenter på alle officielle sprog: </w:t>
                      </w:r>
                      <w:hyperlink r:id="rId16">
                        <w:r>
                          <w:rPr>
                            <w:rStyle w:val="LienInternet"/>
                            <w:rFonts w:ascii="Times New Roman" w:hAnsi="Times New Roman"/>
                            <w:color w:val="00000A"/>
                            <w:sz w:val="24"/>
                          </w:rPr>
                          <w:t>http://www.europokune.eu/</w:t>
                        </w:r>
                      </w:hyperlink>
                      <w:r>
                        <w:rPr>
                          <w:rFonts w:ascii="Times New Roman" w:hAnsi="Times New Roman"/>
                          <w:color w:val="00000A"/>
                          <w:sz w:val="24"/>
                        </w:rPr>
                        <w:t xml:space="preserve"> </w:t>
                      </w:r>
                    </w:p>
                    <w:p>
                      <w:pPr>
                        <w:pStyle w:val="Normal"/>
                        <w:rPr>
                          <w:rFonts w:ascii="Times New Roman" w:hAnsi="Times New Roman"/>
                          <w:color w:val="00000A"/>
                          <w:sz w:val="24"/>
                        </w:rPr>
                      </w:pPr>
                      <w:r>
                        <w:rPr>
                          <w:rFonts w:ascii="Times New Roman" w:hAnsi="Times New Roman"/>
                          <w:color w:val="00000A"/>
                          <w:sz w:val="24"/>
                        </w:rPr>
                      </w:r>
                    </w:p>
                    <w:p>
                      <w:pPr>
                        <w:pStyle w:val="Normal"/>
                        <w:rPr>
                          <w:rFonts w:ascii="Times New Roman" w:hAnsi="Times New Roman"/>
                          <w:color w:val="00000A"/>
                          <w:sz w:val="24"/>
                        </w:rPr>
                      </w:pPr>
                      <w:r>
                        <w:rPr>
                          <w:rFonts w:ascii="Times New Roman" w:hAnsi="Times New Roman"/>
                          <w:color w:val="00000A"/>
                          <w:sz w:val="24"/>
                        </w:rPr>
                      </w:r>
                    </w:p>
                    <w:p>
                      <w:pPr>
                        <w:pStyle w:val="P68B1DB1Normal7"/>
                        <w:rPr>
                          <w:rFonts w:ascii="Times New Roman" w:hAnsi="Times New Roman"/>
                          <w:sz w:val="24"/>
                        </w:rPr>
                      </w:pPr>
                      <w:r>
                        <w:rPr>
                          <w:color w:val="00000A"/>
                        </w:rPr>
                        <w:t xml:space="preserve">I forhold til det oprindelige dokument er der nogle ændringer (forbedringer?): </w:t>
                      </w:r>
                    </w:p>
                    <w:p>
                      <w:pPr>
                        <w:pStyle w:val="P68B1DB1Normal7"/>
                        <w:rPr>
                          <w:rFonts w:ascii="Times New Roman" w:hAnsi="Times New Roman"/>
                          <w:sz w:val="24"/>
                        </w:rPr>
                      </w:pPr>
                      <w:r>
                        <w:rPr>
                          <w:color w:val="00000A"/>
                        </w:rPr>
                        <w:t xml:space="preserve">— </w:t>
                      </w:r>
                      <w:r>
                        <w:rPr>
                          <w:color w:val="00000A"/>
                        </w:rPr>
                        <w:t>nogle stavefejl er blevet rettet. Måske har der været andre fejl?</w:t>
                      </w:r>
                    </w:p>
                    <w:p>
                      <w:pPr>
                        <w:pStyle w:val="P68B1DB1Normal7"/>
                        <w:rPr>
                          <w:rFonts w:ascii="Times New Roman" w:hAnsi="Times New Roman"/>
                          <w:sz w:val="24"/>
                        </w:rPr>
                      </w:pPr>
                      <w:r>
                        <w:rPr>
                          <w:color w:val="00000A"/>
                        </w:rPr>
                        <w:t xml:space="preserve">— </w:t>
                      </w:r>
                      <w:r>
                        <w:rPr>
                          <w:color w:val="00000A"/>
                        </w:rPr>
                        <w:t>layoutet er blevet harmoniseret, og alle sider er nummereret korrekt (det oprindelige dokument var en sammenstilling af separate pdf-filer med uafhængige nummereringer).</w:t>
                      </w:r>
                    </w:p>
                    <w:p>
                      <w:pPr>
                        <w:pStyle w:val="P68B1DB1Normal7"/>
                        <w:rPr>
                          <w:rFonts w:ascii="Times New Roman" w:hAnsi="Times New Roman"/>
                          <w:sz w:val="24"/>
                        </w:rPr>
                      </w:pPr>
                      <w:r>
                        <w:rPr>
                          <w:color w:val="00000A"/>
                        </w:rPr>
                        <w:t xml:space="preserve">— </w:t>
                      </w:r>
                      <w:r>
                        <w:rPr>
                          <w:color w:val="00000A"/>
                        </w:rPr>
                        <w:t>slutnoterne er blevet omdannet til slutnoter (nederst på siderne).</w:t>
                      </w:r>
                    </w:p>
                    <w:p>
                      <w:pPr>
                        <w:pStyle w:val="P68B1DB1Normal7"/>
                        <w:spacing w:before="57" w:after="57"/>
                        <w:rPr/>
                      </w:pPr>
                      <w:r>
                        <w:rPr>
                          <w:color w:val="00000A"/>
                        </w:rPr>
                        <w:t xml:space="preserve">— </w:t>
                      </w:r>
                      <w:r>
                        <w:rPr>
                          <w:color w:val="00000A"/>
                        </w:rPr>
                        <w:t>dokumenter i første omgang i form af billeder er blevet omdannet til tabeller, der let kan oversættes.</w:t>
                      </w:r>
                    </w:p>
                  </w:txbxContent>
                </v:textbox>
              </v:rect>
            </w:pict>
          </mc:Fallback>
        </mc:AlternateContent>
      </w:r>
      <w:r>
        <w:br w:type="page"/>
      </w:r>
    </w:p>
    <w:sdt>
      <w:sdtPr>
        <w:docPartObj>
          <w:docPartGallery w:val="Table of Contents"/>
          <w:docPartUnique w:val="true"/>
        </w:docPartObj>
      </w:sdtPr>
      <w:sdtContent>
        <w:p>
          <w:pPr>
            <w:pStyle w:val="TOAHeading"/>
            <w:rPr/>
          </w:pPr>
          <w:r>
            <w:rPr/>
            <w:t>Oversigt over indhold</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Konferencens arkitektur</w:t>
              <w:tab/>
              <w:t>7</w:t>
            </w:r>
          </w:hyperlink>
        </w:p>
        <w:p>
          <w:pPr>
            <w:pStyle w:val="Tabledesmatiresniveau2"/>
            <w:tabs>
              <w:tab w:val="right" w:pos="9638" w:leader="dot"/>
            </w:tabs>
            <w:rPr/>
          </w:pPr>
          <w:hyperlink w:anchor="__RefHeading___Toc298048_1346298689">
            <w:r>
              <w:rPr>
                <w:rStyle w:val="Sautdindex"/>
              </w:rPr>
              <w:t>1. Fælles erklæring</w:t>
              <w:tab/>
              <w:t>8</w:t>
            </w:r>
          </w:hyperlink>
        </w:p>
        <w:p>
          <w:pPr>
            <w:pStyle w:val="Tabledesmatiresniveau2"/>
            <w:tabs>
              <w:tab w:val="right" w:pos="9638" w:leader="dot"/>
            </w:tabs>
            <w:rPr/>
          </w:pPr>
          <w:hyperlink w:anchor="__RefHeading___Toc298050_1346298689">
            <w:r>
              <w:rPr>
                <w:rStyle w:val="Sautdindex"/>
              </w:rPr>
              <w:t>2. Forretningsorden</w:t>
              <w:tab/>
              <w:t>9</w:t>
            </w:r>
          </w:hyperlink>
        </w:p>
        <w:p>
          <w:pPr>
            <w:pStyle w:val="Tabledesmatiresniveau2"/>
            <w:tabs>
              <w:tab w:val="right" w:pos="9638" w:leader="dot"/>
            </w:tabs>
            <w:rPr/>
          </w:pPr>
          <w:hyperlink w:anchor="__RefHeading___Toc298052_1346298689">
            <w:r>
              <w:rPr>
                <w:rStyle w:val="Sautdindex"/>
              </w:rPr>
              <w:t>3. Begivenheder relateret til konferencen</w:t>
              <w:tab/>
              <w:t>9</w:t>
            </w:r>
          </w:hyperlink>
        </w:p>
        <w:p>
          <w:pPr>
            <w:pStyle w:val="Tabledesmatiresniveau2"/>
            <w:tabs>
              <w:tab w:val="right" w:pos="9638" w:leader="dot"/>
            </w:tabs>
            <w:rPr/>
          </w:pPr>
          <w:hyperlink w:anchor="__RefHeading___Toc298054_1346298689">
            <w:r>
              <w:rPr>
                <w:rStyle w:val="Sautdindex"/>
              </w:rPr>
              <w:t>4. Gennemførelse af den flersprogede digitale platform</w:t>
              <w:tab/>
              <w:t>9</w:t>
            </w:r>
          </w:hyperlink>
        </w:p>
        <w:p>
          <w:pPr>
            <w:pStyle w:val="Tabledesmatiresniveau2"/>
            <w:tabs>
              <w:tab w:val="right" w:pos="9638" w:leader="dot"/>
            </w:tabs>
            <w:rPr/>
          </w:pPr>
          <w:hyperlink w:anchor="__RefHeading___Toc298056_1346298689">
            <w:r>
              <w:rPr>
                <w:rStyle w:val="Sautdindex"/>
              </w:rPr>
              <w:t>5. Europæiske borgerpaneler</w:t>
              <w:tab/>
              <w:t>10</w:t>
            </w:r>
          </w:hyperlink>
        </w:p>
        <w:p>
          <w:pPr>
            <w:pStyle w:val="Tabledesmatiresniveau2"/>
            <w:tabs>
              <w:tab w:val="right" w:pos="9638" w:leader="dot"/>
            </w:tabs>
            <w:rPr/>
          </w:pPr>
          <w:hyperlink w:anchor="__RefHeading___Toc298058_1346298689">
            <w:r>
              <w:rPr>
                <w:rStyle w:val="Sautdindex"/>
              </w:rPr>
              <w:t>6. Nationale borgerpaneler</w:t>
              <w:tab/>
              <w:t>10</w:t>
            </w:r>
          </w:hyperlink>
        </w:p>
        <w:p>
          <w:pPr>
            <w:pStyle w:val="Tabledesmatiresniveau1"/>
            <w:tabs>
              <w:tab w:val="right" w:pos="9638" w:leader="dot"/>
            </w:tabs>
            <w:rPr/>
          </w:pPr>
          <w:hyperlink w:anchor="__RefHeading___Toc298188_1346298689">
            <w:r>
              <w:rPr>
                <w:rStyle w:val="Sautdindex"/>
              </w:rPr>
              <w:t>NEJ, NEJ, NEJ, NEJ. Borgernes bidrag til konferencen</w:t>
              <w:tab/>
              <w:t>11</w:t>
            </w:r>
          </w:hyperlink>
        </w:p>
        <w:p>
          <w:pPr>
            <w:pStyle w:val="Tabledesmatiresniveau2"/>
            <w:tabs>
              <w:tab w:val="right" w:pos="9638" w:leader="dot"/>
            </w:tabs>
            <w:rPr/>
          </w:pPr>
          <w:hyperlink w:anchor="__RefHeading___Toc298190_1346298689">
            <w:r>
              <w:rPr>
                <w:rStyle w:val="Sautdindex"/>
              </w:rPr>
              <w:t>A. Flersproget digital platform</w:t>
              <w:tab/>
              <w:t>12</w:t>
            </w:r>
          </w:hyperlink>
        </w:p>
        <w:p>
          <w:pPr>
            <w:pStyle w:val="Tabledesmatiresniveau2"/>
            <w:tabs>
              <w:tab w:val="right" w:pos="9638" w:leader="dot"/>
            </w:tabs>
            <w:rPr/>
          </w:pPr>
          <w:hyperlink w:anchor="__RefHeading___Toc298192_1346298689">
            <w:r>
              <w:rPr>
                <w:rStyle w:val="Sautdindex"/>
              </w:rPr>
              <w:t>B. Borgerpaneler</w:t>
              <w:tab/>
              <w:t>17</w:t>
            </w:r>
          </w:hyperlink>
        </w:p>
        <w:p>
          <w:pPr>
            <w:pStyle w:val="Tabledesmatiresniveau2"/>
            <w:tabs>
              <w:tab w:val="right" w:pos="9638" w:leader="dot"/>
            </w:tabs>
            <w:rPr/>
          </w:pPr>
          <w:hyperlink w:anchor="__RefHeading___Toc298228_1346298689">
            <w:r>
              <w:rPr>
                <w:rStyle w:val="Sautdindex"/>
              </w:rPr>
              <w:t>C. Arrangementer, der afholdes inden for rammerne af konferencen</w:t>
              <w:tab/>
              <w:t>27</w:t>
            </w:r>
          </w:hyperlink>
        </w:p>
        <w:p>
          <w:pPr>
            <w:pStyle w:val="Tabledesmatiresniveau1"/>
            <w:tabs>
              <w:tab w:val="right" w:pos="9638" w:leader="dot"/>
            </w:tabs>
            <w:rPr/>
          </w:pPr>
          <w:hyperlink w:anchor="__RefHeading___Toc298238_1346298689">
            <w:r>
              <w:rPr>
                <w:rStyle w:val="Sautdindex"/>
              </w:rPr>
              <w:t>III. Konferencens plenarforsamling</w:t>
              <w:tab/>
              <w:t>36</w:t>
            </w:r>
          </w:hyperlink>
        </w:p>
        <w:p>
          <w:pPr>
            <w:pStyle w:val="Tabledesmatiresniveau2"/>
            <w:tabs>
              <w:tab w:val="right" w:pos="9638" w:leader="dot"/>
            </w:tabs>
            <w:rPr/>
          </w:pPr>
          <w:hyperlink w:anchor="__RefHeading___Toc298240_1346298689">
            <w:r>
              <w:rPr>
                <w:rStyle w:val="Sautdindex"/>
              </w:rPr>
              <w:t>A. plenarforsamlingens rolle og funktion</w:t>
              <w:tab/>
              <w:t>37</w:t>
            </w:r>
          </w:hyperlink>
        </w:p>
        <w:p>
          <w:pPr>
            <w:pStyle w:val="Tabledesmatiresniveau2"/>
            <w:tabs>
              <w:tab w:val="right" w:pos="9638" w:leader="dot"/>
            </w:tabs>
            <w:rPr/>
          </w:pPr>
          <w:hyperlink w:anchor="__RefHeading___Toc298242_1346298689">
            <w:r>
              <w:rPr>
                <w:rStyle w:val="Sautdindex"/>
              </w:rPr>
              <w:t>B. Arbejdsgrupper</w:t>
              <w:tab/>
              <w:t>38</w:t>
            </w:r>
          </w:hyperlink>
        </w:p>
        <w:p>
          <w:pPr>
            <w:pStyle w:val="Tabledesmatiresniveau2"/>
            <w:tabs>
              <w:tab w:val="right" w:pos="9638" w:leader="dot"/>
            </w:tabs>
            <w:rPr/>
          </w:pPr>
          <w:hyperlink w:anchor="__RefHeading___Toc298244_1346298689">
            <w:r>
              <w:rPr>
                <w:rStyle w:val="Sautdindex"/>
              </w:rPr>
              <w:t>C. Kronologisk oversigt</w:t>
              <w:tab/>
              <w:t>39</w:t>
            </w:r>
          </w:hyperlink>
        </w:p>
        <w:p>
          <w:pPr>
            <w:pStyle w:val="Tabledesmatiresniveau1"/>
            <w:tabs>
              <w:tab w:val="right" w:pos="9638" w:leader="dot"/>
            </w:tabs>
            <w:rPr/>
          </w:pPr>
          <w:hyperlink w:anchor="__RefHeading___Toc298246_1346298689">
            <w:r>
              <w:rPr>
                <w:rStyle w:val="Sautdindex"/>
              </w:rPr>
              <w:t>IV. Forslag fra plenarforsamlingen</w:t>
              <w:tab/>
              <w:t>45</w:t>
            </w:r>
          </w:hyperlink>
        </w:p>
        <w:p>
          <w:pPr>
            <w:pStyle w:val="Tabledesmatiresniveau2"/>
            <w:tabs>
              <w:tab w:val="right" w:pos="9638" w:leader="dot"/>
            </w:tabs>
            <w:rPr/>
          </w:pPr>
          <w:hyperlink w:anchor="__RefHeading___Toc298248_1346298689">
            <w:r>
              <w:rPr>
                <w:rStyle w:val="Sautdindex"/>
              </w:rPr>
              <w:t>Klimaændringer og miljø</w:t>
              <w:tab/>
              <w:t>46</w:t>
            </w:r>
          </w:hyperlink>
        </w:p>
        <w:p>
          <w:pPr>
            <w:pStyle w:val="Tabledesmatiresniveau2"/>
            <w:tabs>
              <w:tab w:val="right" w:pos="9638" w:leader="dot"/>
            </w:tabs>
            <w:rPr/>
          </w:pPr>
          <w:hyperlink w:anchor="__RefHeading___Toc298272_1346298689">
            <w:r>
              <w:rPr>
                <w:rStyle w:val="Sautdindex"/>
              </w:rPr>
              <w:t>"Sundhed"</w:t>
              <w:tab/>
              <w:t>52</w:t>
            </w:r>
          </w:hyperlink>
        </w:p>
        <w:p>
          <w:pPr>
            <w:pStyle w:val="Tabledesmatiresniveau2"/>
            <w:tabs>
              <w:tab w:val="right" w:pos="9638" w:leader="dot"/>
            </w:tabs>
            <w:rPr/>
          </w:pPr>
          <w:hyperlink w:anchor="__RefHeading___Toc298288_1346298689">
            <w:r>
              <w:rPr>
                <w:rStyle w:val="Sautdindex"/>
              </w:rPr>
              <w:t>En stærkere økonomi, social retfærdighed og beskæftigelse</w:t>
              <w:tab/>
              <w:t>56</w:t>
            </w:r>
          </w:hyperlink>
        </w:p>
        <w:p>
          <w:pPr>
            <w:pStyle w:val="Tabledesmatiresniveau2"/>
            <w:tabs>
              <w:tab w:val="right" w:pos="9638" w:leader="dot"/>
            </w:tabs>
            <w:rPr/>
          </w:pPr>
          <w:hyperlink w:anchor="__RefHeading___Toc298302_1346298689">
            <w:r>
              <w:rPr>
                <w:rStyle w:val="Sautdindex"/>
              </w:rPr>
              <w:t>"EU i verden"</w:t>
              <w:tab/>
              <w:t>65</w:t>
            </w:r>
          </w:hyperlink>
        </w:p>
        <w:p>
          <w:pPr>
            <w:pStyle w:val="Tabledesmatiresniveau2"/>
            <w:tabs>
              <w:tab w:val="right" w:pos="9638" w:leader="dot"/>
            </w:tabs>
            <w:rPr/>
          </w:pPr>
          <w:hyperlink w:anchor="__RefHeading___Toc298320_1346298689">
            <w:r>
              <w:rPr>
                <w:rStyle w:val="Sautdindex"/>
              </w:rPr>
              <w:t>Værdier og rettigheder, retsstatsprincippet, sikkerhed</w:t>
              <w:tab/>
              <w:t>72</w:t>
            </w:r>
          </w:hyperlink>
        </w:p>
        <w:p>
          <w:pPr>
            <w:pStyle w:val="Tabledesmatiresniveau2"/>
            <w:tabs>
              <w:tab w:val="right" w:pos="9638" w:leader="dot"/>
            </w:tabs>
            <w:rPr/>
          </w:pPr>
          <w:hyperlink w:anchor="__RefHeading___Toc298334_1346298689">
            <w:r>
              <w:rPr>
                <w:rStyle w:val="Sautdindex"/>
              </w:rPr>
              <w:t>"Digital transformation"</w:t>
              <w:tab/>
              <w:t>77</w:t>
            </w:r>
          </w:hyperlink>
        </w:p>
        <w:p>
          <w:pPr>
            <w:pStyle w:val="Tabledesmatiresniveau2"/>
            <w:tabs>
              <w:tab w:val="right" w:pos="9638" w:leader="dot"/>
            </w:tabs>
            <w:rPr/>
          </w:pPr>
          <w:hyperlink w:anchor="__RefHeading___Toc298346_1346298689">
            <w:r>
              <w:rPr>
                <w:rStyle w:val="Sautdindex"/>
              </w:rPr>
              <w:t>"Det europæiske demokrati"</w:t>
              <w:tab/>
              <w:t>82</w:t>
            </w:r>
          </w:hyperlink>
        </w:p>
        <w:p>
          <w:pPr>
            <w:pStyle w:val="Tabledesmatiresniveau2"/>
            <w:tabs>
              <w:tab w:val="right" w:pos="9638" w:leader="dot"/>
            </w:tabs>
            <w:rPr/>
          </w:pPr>
          <w:hyperlink w:anchor="__RefHeading___Toc298358_1346298689">
            <w:r>
              <w:rPr>
                <w:rStyle w:val="Sautdindex"/>
              </w:rPr>
              <w:t>"Migration"</w:t>
              <w:tab/>
              <w:t>88</w:t>
            </w:r>
          </w:hyperlink>
        </w:p>
        <w:p>
          <w:pPr>
            <w:pStyle w:val="Tabledesmatiresniveau2"/>
            <w:tabs>
              <w:tab w:val="right" w:pos="9638" w:leader="dot"/>
            </w:tabs>
            <w:rPr/>
          </w:pPr>
          <w:hyperlink w:anchor="__RefHeading___Toc298370_1346298689">
            <w:r>
              <w:rPr>
                <w:rStyle w:val="Sautdindex"/>
              </w:rPr>
              <w:t>Uddannelse, kultur, ungdom og sport</w:t>
              <w:tab/>
              <w:t>92</w:t>
            </w:r>
          </w:hyperlink>
        </w:p>
        <w:p>
          <w:pPr>
            <w:pStyle w:val="Tabledesmatiresniveau1"/>
            <w:tabs>
              <w:tab w:val="right" w:pos="9638" w:leader="dot"/>
            </w:tabs>
            <w:rPr/>
          </w:pPr>
          <w:hyperlink w:anchor="__RefHeading___Toc298380_1346298689">
            <w:r>
              <w:rPr>
                <w:rStyle w:val="Sautdindex"/>
              </w:rPr>
              <w:t>De endelige overvejelser i direktionen</w:t>
              <w:tab/>
              <w:t>96</w:t>
            </w:r>
          </w:hyperlink>
        </w:p>
        <w:p>
          <w:pPr>
            <w:pStyle w:val="Tabledesmatiresniveau1"/>
            <w:tabs>
              <w:tab w:val="right" w:pos="9638" w:leader="dot"/>
            </w:tabs>
            <w:rPr/>
          </w:pPr>
          <w:hyperlink w:anchor="__RefHeading___Toc297141_1346298689">
            <w:r>
              <w:rPr>
                <w:rStyle w:val="Sautdindex"/>
              </w:rPr>
              <w:t>Bilag I — Anbefalinger fra de fire europæiske borgerpaneler</w:t>
              <w:tab/>
              <w:t>99</w:t>
            </w:r>
          </w:hyperlink>
        </w:p>
        <w:p>
          <w:pPr>
            <w:pStyle w:val="Tabledesmatiresniveau2"/>
            <w:tabs>
              <w:tab w:val="right" w:pos="9638" w:leader="dot"/>
            </w:tabs>
            <w:rPr/>
          </w:pPr>
          <w:hyperlink w:anchor="__RefHeading___Toc297143_1346298689">
            <w:r>
              <w:rPr>
                <w:rStyle w:val="Sautdindex"/>
              </w:rPr>
              <w:t>Det europæiske borgerpanel 1: En stærkere økonomi, social retfærdighed og beskæftigelse/uddannelse, kultur, ungdom og sport/digital omstilling</w:t>
              <w:tab/>
              <w:t>100</w:t>
            </w:r>
          </w:hyperlink>
        </w:p>
        <w:p>
          <w:pPr>
            <w:pStyle w:val="Tabledesmatiresniveau2"/>
            <w:tabs>
              <w:tab w:val="right" w:pos="9638" w:leader="dot"/>
            </w:tabs>
            <w:rPr/>
          </w:pPr>
          <w:hyperlink w:anchor="__RefHeading___Toc297195_1346298689">
            <w:r>
              <w:rPr>
                <w:rStyle w:val="Sautdindex"/>
              </w:rPr>
              <w:t>Det europæiske borgerpanel 2: "Det europæiske demokrati, værdier og rettigheder, retsstatsprincippet, sikkerhed</w:t>
              <w:tab/>
              <w:t>116</w:t>
            </w:r>
          </w:hyperlink>
        </w:p>
        <w:p>
          <w:pPr>
            <w:pStyle w:val="Tabledesmatiresniveau2"/>
            <w:tabs>
              <w:tab w:val="right" w:pos="9638" w:leader="dot"/>
            </w:tabs>
            <w:rPr/>
          </w:pPr>
          <w:hyperlink w:anchor="__RefHeading___Toc297245_1346298689">
            <w:r>
              <w:rPr>
                <w:rStyle w:val="Sautdindex"/>
              </w:rPr>
              <w:t>Det europæiske borgerpanel 3: Klimaændringer og miljø/sundhed</w:t>
              <w:tab/>
              <w:t>129</w:t>
            </w:r>
          </w:hyperlink>
        </w:p>
        <w:p>
          <w:pPr>
            <w:pStyle w:val="Tabledesmatiresniveau2"/>
            <w:tabs>
              <w:tab w:val="right" w:pos="9638" w:leader="dot"/>
            </w:tabs>
            <w:rPr/>
          </w:pPr>
          <w:hyperlink w:anchor="__RefHeading___Toc297297_1346298689">
            <w:r>
              <w:rPr>
                <w:rStyle w:val="Sautdindex"/>
              </w:rPr>
              <w:t>Det europæiske borgerpanel 4: "EU i verden/Migration"</w:t>
              <w:tab/>
              <w:t>146</w:t>
            </w:r>
          </w:hyperlink>
        </w:p>
        <w:p>
          <w:pPr>
            <w:pStyle w:val="Tabledesmatiresniveau1"/>
            <w:tabs>
              <w:tab w:val="right" w:pos="9638" w:leader="dot"/>
            </w:tabs>
            <w:rPr/>
          </w:pPr>
          <w:hyperlink w:anchor="__RefHeading___Toc297345_1346298689">
            <w:r>
              <w:rPr>
                <w:rStyle w:val="Sautdindex"/>
              </w:rPr>
              <w:t>II A — De nationale paneler: Belgien</w:t>
              <w:tab/>
              <w:t>159</w:t>
            </w:r>
          </w:hyperlink>
        </w:p>
        <w:p>
          <w:pPr>
            <w:pStyle w:val="Tabledesmatiresniveau1"/>
            <w:tabs>
              <w:tab w:val="right" w:pos="9638" w:leader="dot"/>
            </w:tabs>
            <w:rPr/>
          </w:pPr>
          <w:hyperlink w:anchor="__RefHeading___Toc297349_1346298689">
            <w:r>
              <w:rPr>
                <w:rStyle w:val="Sautdindex"/>
              </w:rPr>
              <w:t>II B De nationale paneler: Frankrig</w:t>
              <w:tab/>
              <w:t>173</w:t>
            </w:r>
          </w:hyperlink>
        </w:p>
        <w:p>
          <w:pPr>
            <w:pStyle w:val="Tabledesmatiresniveau2"/>
            <w:tabs>
              <w:tab w:val="right" w:pos="9638" w:leader="dot"/>
            </w:tabs>
            <w:rPr/>
          </w:pPr>
          <w:hyperlink w:anchor="__RefHeading___Toc300448_1346298689">
            <w:r>
              <w:rPr>
                <w:rStyle w:val="Sautdindex"/>
              </w:rPr>
              <w:t>Introduktion</w:t>
              <w:tab/>
              <w:t>176</w:t>
            </w:r>
          </w:hyperlink>
        </w:p>
        <w:p>
          <w:pPr>
            <w:pStyle w:val="Tabledesmatiresniveau2"/>
            <w:tabs>
              <w:tab w:val="right" w:pos="9638" w:leader="dot"/>
            </w:tabs>
            <w:rPr/>
          </w:pPr>
          <w:hyperlink w:anchor="__RefHeading___Toc300450_1346298689">
            <w:r>
              <w:rPr>
                <w:rStyle w:val="Sautdindex"/>
              </w:rPr>
              <w:t>Præsentation af de vigtigste resultater</w:t>
              <w:tab/>
              <w:t>179</w:t>
            </w:r>
          </w:hyperlink>
        </w:p>
        <w:p>
          <w:pPr>
            <w:pStyle w:val="Tabledesmatiresniveau2"/>
            <w:tabs>
              <w:tab w:val="right" w:pos="9638" w:leader="dot"/>
            </w:tabs>
            <w:rPr/>
          </w:pPr>
          <w:hyperlink w:anchor="__RefHeading___Toc300452_1346298689">
            <w:r>
              <w:rPr>
                <w:rStyle w:val="Sautdindex"/>
              </w:rPr>
              <w:t>Præsentation af panelerne på regionale konferencer</w:t>
              <w:tab/>
              <w:t>181</w:t>
            </w:r>
          </w:hyperlink>
        </w:p>
        <w:p>
          <w:pPr>
            <w:pStyle w:val="Tabledesmatiresniveau2"/>
            <w:tabs>
              <w:tab w:val="right" w:pos="9638" w:leader="dot"/>
            </w:tabs>
            <w:rPr/>
          </w:pPr>
          <w:hyperlink w:anchor="__RefHeading___Toc300454_1346298689">
            <w:r>
              <w:rPr>
                <w:rStyle w:val="Sautdindex"/>
              </w:rPr>
              <w:t>Metodologiske forpligtelser og fordomme</w:t>
              <w:tab/>
              <w:t>183</w:t>
            </w:r>
          </w:hyperlink>
        </w:p>
        <w:p>
          <w:pPr>
            <w:pStyle w:val="Tabledesmatiresniveau2"/>
            <w:tabs>
              <w:tab w:val="right" w:pos="9638" w:leader="dot"/>
            </w:tabs>
            <w:rPr/>
          </w:pPr>
          <w:hyperlink w:anchor="__RefHeading___Toc297351_1346298689">
            <w:r>
              <w:rPr>
                <w:rStyle w:val="Sautdindex"/>
              </w:rPr>
              <w:t>Anden del: fremlæggelse af resultaterne af høringen "Words to Youth"</w:t>
              <w:tab/>
              <w:t>199</w:t>
            </w:r>
          </w:hyperlink>
        </w:p>
        <w:p>
          <w:pPr>
            <w:pStyle w:val="Tabledesmatiresniveau2"/>
            <w:tabs>
              <w:tab w:val="right" w:pos="9638" w:leader="dot"/>
            </w:tabs>
            <w:rPr/>
          </w:pPr>
          <w:hyperlink w:anchor="__RefHeading___Toc300458_1346298689">
            <w:r>
              <w:rPr>
                <w:rStyle w:val="Sautdindex"/>
              </w:rPr>
              <w:t>Konklusion</w:t>
              <w:tab/>
              <w:t>202</w:t>
            </w:r>
          </w:hyperlink>
        </w:p>
        <w:p>
          <w:pPr>
            <w:pStyle w:val="Tabledesmatiresniveau1"/>
            <w:tabs>
              <w:tab w:val="right" w:pos="9638" w:leader="dot"/>
            </w:tabs>
            <w:rPr/>
          </w:pPr>
          <w:hyperlink w:anchor="__RefHeading___Toc297353_1346298689">
            <w:r>
              <w:rPr>
                <w:rStyle w:val="Sautdindex"/>
              </w:rPr>
              <w:t>II C De nationale paneler: Tyskland</w:t>
              <w:tab/>
              <w:t>203</w:t>
            </w:r>
          </w:hyperlink>
        </w:p>
        <w:p>
          <w:pPr>
            <w:pStyle w:val="Tabledesmatiresniveau1"/>
            <w:tabs>
              <w:tab w:val="right" w:pos="9638" w:leader="dot"/>
            </w:tabs>
            <w:rPr/>
          </w:pPr>
          <w:hyperlink w:anchor="__RefHeading___Toc297355_1346298689">
            <w:r>
              <w:rPr>
                <w:rStyle w:val="Sautdindex"/>
              </w:rPr>
              <w:t>II D De nationale paneler: Italien</w:t>
              <w:tab/>
              <w:t>209</w:t>
            </w:r>
          </w:hyperlink>
        </w:p>
        <w:p>
          <w:pPr>
            <w:pStyle w:val="Tabledesmatiresniveau2"/>
            <w:tabs>
              <w:tab w:val="right" w:pos="9638" w:leader="dot"/>
            </w:tabs>
            <w:rPr/>
          </w:pPr>
          <w:hyperlink w:anchor="__RefHeading___Toc300314_1346298689">
            <w:r>
              <w:rPr>
                <w:rStyle w:val="Sautdindex"/>
              </w:rPr>
              <w:t>4. Program for arbejde</w:t>
              <w:tab/>
              <w:t>215</w:t>
            </w:r>
          </w:hyperlink>
        </w:p>
        <w:p>
          <w:pPr>
            <w:pStyle w:val="Tabledesmatiresniveau2"/>
            <w:tabs>
              <w:tab w:val="right" w:pos="9638" w:leader="dot"/>
            </w:tabs>
            <w:rPr/>
          </w:pPr>
          <w:hyperlink w:anchor="__RefHeading___Toc300322_1346298689">
            <w:r>
              <w:rPr>
                <w:rStyle w:val="Sautdindex"/>
              </w:rPr>
              <w:t>6. Endelig evaluering foretaget af deltagerne</w:t>
              <w:tab/>
              <w:t>224</w:t>
            </w:r>
          </w:hyperlink>
        </w:p>
        <w:p>
          <w:pPr>
            <w:pStyle w:val="Tabledesmatiresniveau1"/>
            <w:tabs>
              <w:tab w:val="right" w:pos="9638" w:leader="dot"/>
            </w:tabs>
            <w:rPr/>
          </w:pPr>
          <w:hyperlink w:anchor="__RefHeading___Toc298382_1346298689">
            <w:r>
              <w:rPr>
                <w:rStyle w:val="Sautdindex"/>
              </w:rPr>
              <w:t>II E De nationale paneler: Litauen</w:t>
              <w:tab/>
              <w:t>227</w:t>
            </w:r>
          </w:hyperlink>
        </w:p>
        <w:p>
          <w:pPr>
            <w:pStyle w:val="Tabledesmatiresniveau1"/>
            <w:tabs>
              <w:tab w:val="right" w:pos="9638" w:leader="dot"/>
            </w:tabs>
            <w:rPr/>
          </w:pPr>
          <w:hyperlink w:anchor="__RefHeading___Toc297357_1346298689">
            <w:r>
              <w:rPr>
                <w:rStyle w:val="Sautdindex"/>
              </w:rPr>
              <w:t>II F De nationale paneler: Nederlandene</w:t>
              <w:tab/>
              <w:t>235</w:t>
            </w:r>
          </w:hyperlink>
        </w:p>
        <w:p>
          <w:pPr>
            <w:pStyle w:val="Tabledesmatiresniveau1"/>
            <w:tabs>
              <w:tab w:val="right" w:pos="9638" w:leader="dot"/>
            </w:tabs>
            <w:rPr/>
          </w:pPr>
          <w:hyperlink w:anchor="__RefHeading___Toc297359_1346298689">
            <w:r>
              <w:rPr>
                <w:rStyle w:val="Sautdindex"/>
              </w:rPr>
              <w:t>III — Henvisninger til resultaterne af nationale begivenheder</w:t>
              <w:tab/>
              <w:t>288</w:t>
            </w:r>
          </w:hyperlink>
        </w:p>
        <w:p>
          <w:pPr>
            <w:pStyle w:val="Tabledesmatiresniveau1"/>
            <w:tabs>
              <w:tab w:val="right" w:pos="9638" w:leader="dot"/>
            </w:tabs>
            <w:rPr/>
          </w:pPr>
          <w:hyperlink w:anchor="__RefHeading___Toc344888_2081073262">
            <w:r>
              <w:rPr>
                <w:rStyle w:val="Sautdindex"/>
              </w:rPr>
              <w:t>IV — Henvisning til rapporten fra den flersprogede digitale platform</w:t>
              <w:tab/>
              <w:t>289</w:t>
            </w:r>
          </w:hyperlink>
        </w:p>
        <w:p>
          <w:pPr>
            <w:pStyle w:val="Normal"/>
            <w:rPr/>
          </w:pPr>
          <w:r>
            <w:rPr/>
          </w:r>
          <w:r>
            <w:rPr/>
            <w:fldChar w:fldCharType="end"/>
          </w:r>
        </w:p>
        <w:p>
          <w:pPr>
            <w:pStyle w:val="Normal"/>
            <w:rPr/>
          </w:pPr>
          <w:r>
            <w:rPr/>
          </w:r>
          <w:r>
            <w:br w:type="page"/>
          </w:r>
        </w:p>
        <w:p>
          <w:pPr>
            <w:pStyle w:val="Normal"/>
            <w:spacing w:before="13643" w:after="57"/>
            <w:rPr/>
          </w:pPr>
          <w:r>
            <w:rPr/>
            <w:drawing>
              <wp:anchor behindDoc="0" distT="0" distB="0" distL="0" distR="0" simplePos="0" locked="0" layoutInCell="1" allowOverlap="1" relativeHeight="65">
                <wp:simplePos x="0" y="0"/>
                <wp:positionH relativeFrom="column">
                  <wp:align>center</wp:align>
                </wp:positionH>
                <wp:positionV relativeFrom="paragraph">
                  <wp:posOffset>635</wp:posOffset>
                </wp:positionV>
                <wp:extent cx="6120130" cy="8663305"/>
                <wp:effectExtent l="0" t="0" r="0" b="0"/>
                <wp:wrapSquare wrapText="largest"/>
                <wp:docPr id="10" name="Billed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Introduktion</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Den 10. marts 2021 undertegnede formanden for Europa-Parlamentet, David Sassoli, Portugals premierminister António Costa, på vegne af Rådet for Den Europæiske Union, og formanden for Europa-Kommissionen, Ursula von der Leyen, den fælles erklæring om konferencen om Europas fremtid. Det tilsagn, de gav, var enkelt: det var en borgercentreret øvelse baseret på en bottom-up-tilgang for at sikre, at alle europæere har indflydelse på, hvad de forventer af Den Europæiske Union, og spiller en større rolle i udformningen af EU's fremtid. Deres opgave var på den anden side yderst vanskelig: formålet var for første gang at tilrettelægge en tværnational, flersproget og interinstitutionel udøvelse af debatdemokrati med deltagelse af tusindvis af europæiske borgere samt politiske aktører, arbejdsmarkedets parter, repræsentanter for civilsamfundet og centrale interessenter som omhandlet i artikel 16 i konferencens forretningsorden.</w:t>
          </w:r>
        </w:p>
        <w:p>
          <w:pPr>
            <w:pStyle w:val="Normal"/>
            <w:rPr/>
          </w:pPr>
          <w:r>
            <w:rPr/>
            <w:t>Den 9. maj 2022 afsluttede konferencen efter måneders intense drøftelser sit arbejde og forelagde de tre EU-institutioner en rapport om de endelige resultater med 49 forslag. Disse forslag svarer til de europæiske borgeres forventninger til ni temaer: En stærkere økonomi, social retfærdighed og beskæftigelse Uddannelse, kultur, ungdom og sport Den digitale omstilling; Det europæiske demokrati; Værdier og rettigheder, retsstatsprincippet, sikkerhed Klimaændringer og miljø, Sundhed; EU i verden, og migration. Alle disse temaer er beskrevet i denne endelige rapport, som også har til formål at give et overblik over de forskellige aktiviteter, der gennemføres i forbindelse med denne enestående proces, konferencen om Europas fremtid.</w:t>
          </w:r>
        </w:p>
        <w:p>
          <w:pPr>
            <w:pStyle w:val="Corpsdetexte"/>
            <w:rPr/>
          </w:pPr>
          <w:r>
            <w:rPr/>
            <w:t>Ledet af tre medformænd (Guy Verhofstadt for Europa-Parlamentet; Ana Paula Zacarias, Gašper Dovžan og Clément Beaune, successivt for Rådet for Den Europæiske Union og Dubravka Šuica for Europa-Kommissionen) og ledet af en direktion (ligeledes sammensat af repræsentanter for de tre institutioner samt observatører fra de vigtigste interessenter) var konferencen en hidtil uset erfaring med tværnationalt debatdemokrati. Den har også vist sin historiske relevans og betydning i forbindelse med covid-19-pandemien og den russiske aggression mod Ukraine. Konferencen om Europas fremtid resulterede i oprettelsen af en flersproget digital platform for europæiske borgere, der kan bidrage på alle 24 EU-sprog og organiseringen af fire europæiske borgerpaneler, seks nationale borgerpaneler, tusindvis af nationale og lokale arrangementer og syv plenarmøder under konferencen. Det er resultatet af en hidtil uset vilje hos EU-institutionerne, medlemsstaterne, men også og frem for alt europæiske borgere til at drøfte Den Europæiske Unions prioriteter og de udfordringer, den står over for, og til at vedtage en ny tilgang til det europæiske projekt.</w:t>
          </w:r>
        </w:p>
        <w:p>
          <w:pPr>
            <w:pStyle w:val="Corpsdetexte"/>
            <w:rPr/>
          </w:pPr>
          <w:r>
            <w:rPr/>
            <w:t>Men det er kun begyndelsen. I overensstemmelse med konferencens grundlæggende tekst vil de tre institutioner nu hurtigt overveje, hvordan denne rapport kan gennemføres effektivt, hver inden for sit ansvarsområde og i overensstemmelse med traktaterne. Fastlæggelsen af de tre institutioner i denne henseende er af afgørende betydning.</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sdtContent>
    </w:sdt>
    <w:p>
      <w:pPr>
        <w:pStyle w:val="Titre1"/>
        <w:numPr>
          <w:ilvl w:val="0"/>
          <w:numId w:val="2"/>
        </w:numPr>
        <w:rPr/>
      </w:pPr>
      <w:bookmarkStart w:id="0" w:name="__RefHeading___Toc298046_1346298689"/>
      <w:bookmarkEnd w:id="0"/>
      <w:r>
        <w:rPr/>
        <w:t>I. Konferencens arkitektur</w:t>
      </w:r>
    </w:p>
    <w:p>
      <w:pPr>
        <w:pStyle w:val="Corpsdetexte"/>
        <w:rPr>
          <w:sz w:val="40"/>
        </w:rPr>
      </w:pPr>
      <w:r>
        <w:rPr>
          <w:sz w:val="40"/>
        </w:rPr>
        <w:t>Konferencen om Europas fremtid</w:t>
      </w:r>
      <w:r>
        <w:rPr>
          <w:rStyle w:val="Ancredenotedebasdepage"/>
          <w:rStyle w:val="Ancredenotedebasdepage"/>
          <w:sz w:val="40"/>
        </w:rPr>
        <w:footnoteReference w:id="2"/>
      </w:r>
      <w:r>
        <w:rPr>
          <w:sz w:val="40"/>
        </w:rPr>
        <w:t xml:space="preserve"> var en ny og innovativ proces, som åbnede op for et nyt rum for debat med borgerne med henblik på at undersøge Europas prioriteter og udfordringer med henblik på at etablere det europæiske projekts demokratiske legitimitet og fremme borgernes tilslutning til vores fælles værdier og mål. Konferencen var en borgercentreret øvelse baseret på en bottom-up-tilgang, der har til formål at sikre, at europæerne får indflydelse på, hvad de forventer af EU. Det var et fælles initiativ fra Europa-Parlamentet, Rådet og Europa-Kommissionen, der handlede på lige fod med Den Europæiske Unions medlemsstater.</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Fælles erklæring</w:t>
      </w:r>
    </w:p>
    <w:p>
      <w:pPr>
        <w:pStyle w:val="Normal"/>
        <w:rPr/>
      </w:pPr>
      <w:r>
        <w:rPr/>
      </w:r>
    </w:p>
    <w:p>
      <w:pPr>
        <w:pStyle w:val="Normal"/>
        <w:rPr/>
      </w:pPr>
      <w:r>
        <w:rPr/>
        <w:t>Den 10. marts 2021 blev den fælles erklæring om konferencen om Europas fremtid ("den fælles erklæring") undertegnet af den afdøde formand for Europa-Parlamentet, David Sassoli, Portugals premierminister António Costa, på vegne af Rådet for Den Europæiske Union, og formanden for Europa-Kommissionen, Ursula von der Leyen, banede vejen for denne hidtil usete, åbne og inklusive europæiske demokratiske øvelse, som giver borgerne en central plads.</w:t>
      </w:r>
    </w:p>
    <w:p>
      <w:pPr>
        <w:pStyle w:val="Normal"/>
        <w:rPr/>
      </w:pPr>
      <w:r>
        <w:rPr/>
        <w:t>Konferencen blev placeret under ledelse af formændene for de tre institutioner, der fungerer som fælles formandskab. Det fælles formandskab blev bistået af en direktion, der ledes i fællesskab af et medlem fra hver af de tre EU-institutioner.</w:t>
      </w:r>
    </w:p>
    <w:p>
      <w:pPr>
        <w:pStyle w:val="Normal"/>
        <w:rPr/>
      </w:pPr>
      <w:r>
        <w:rPr/>
        <w:t xml:space="preserve">I overensstemmelse med den fælles erklæring er der oprettet følgende strukturer: </w:t>
      </w:r>
    </w:p>
    <w:p>
      <w:pPr>
        <w:pStyle w:val="Alineanegatifpuce"/>
        <w:numPr>
          <w:ilvl w:val="0"/>
          <w:numId w:val="3"/>
        </w:numPr>
        <w:rPr/>
      </w:pPr>
      <w:r>
        <w:rPr/>
        <w:t>en bestyrelse, der stod for afholdelsen af konferencen. Det bestod af repræsentanter for de tre EU-institutioner (henholdsvis tre medlemmer og fire observatører) samt observatører fra formandstrojkaen for konferencen af fællesskabsorganer (COSAC) i de nationale parlamenter i Den Europæiske Union. Regionsudvalget, Det Europæiske Økonomiske og Sociale Udvalg og repræsentanter for arbejdsmarkedets parter blev indbudt som observatører;</w:t>
      </w:r>
    </w:p>
    <w:p>
      <w:pPr>
        <w:pStyle w:val="Alineanegatifpuce"/>
        <w:numPr>
          <w:ilvl w:val="0"/>
          <w:numId w:val="3"/>
        </w:numPr>
        <w:rPr/>
      </w:pPr>
      <w:r>
        <w:rPr/>
        <w:t>et fælles sekretariat, der sikrer lige repræsentation af de tre institutioner, som støttede direktionens arbejde. Gruppen, der ledes af tre medformænd for de tre institutioner, har navnlig overvåget tilrettelæggelsen af og forberedelserne til møderne i bestyrelsen, konferencens plenarforsamlinger og de europæiske borgerpaneler. I samarbejde med tjenesteudbydere var hun ansvarlig for at forvalte den flersprogede digitale platform og rapportere om vigtige milepæle i hele processen.</w:t>
        <w:br/>
        <w:t xml:space="preserve">Den unikke sammensætning af dette team gav mulighed for konstant kollegialitet i arbejdet og sikrede synergier og effektivitetsgevinster på alle områder; </w:t>
      </w:r>
    </w:p>
    <w:p>
      <w:pPr>
        <w:pStyle w:val="Alineanegatifpuce"/>
        <w:numPr>
          <w:ilvl w:val="0"/>
          <w:numId w:val="3"/>
        </w:numPr>
        <w:rPr/>
      </w:pPr>
      <w:r>
        <w:rPr/>
        <w:t>en plenarforsamling under konferencen (se kapitel III for yderligere oplysninger), som gjorde det muligt at drøfte henstillingerne fra de nationale og europæiske borgerpaneler, grupperet efter temaer, under fuld respekt for EU's værdier og konferencechartret,</w:t>
      </w:r>
      <w:r>
        <w:rPr>
          <w:rStyle w:val="Ancredenotedebasdepage"/>
          <w:rStyle w:val="Ancredenotedebasdepage"/>
        </w:rPr>
        <w:footnoteReference w:id="3"/>
      </w:r>
      <w:r>
        <w:rPr/>
        <w:t>og uden at resultatet af drøftelserne blev fastlagt på forhånd, eller deres anvendelsesområde var begrænset til foruddefinerede politikområder. Bidrag, der blev indsamlet på den flersprogede digitale platform, blev også drøftet, hvor det var relevant. Der er nedsat ni tematiske arbejdsgrupper, der skal give input til forberedelsen af plenarforsamlingens debatter og forslag.</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Billed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Forretningsorden</w:t>
      </w:r>
    </w:p>
    <w:p>
      <w:pPr>
        <w:pStyle w:val="Normal"/>
        <w:rPr/>
      </w:pPr>
      <w:r>
        <w:rPr/>
        <w:t>Den 9. maj 2021 godkendte bestyrelsen konferencens forretningsorden, der er fastsat i overensstemmelse med den fælles erklæring om konferencen om Europas fremtid, som fastlægger grundlaget og principperne for konferencen.</w:t>
      </w:r>
    </w:p>
    <w:p>
      <w:pPr>
        <w:pStyle w:val="Normal"/>
        <w:rPr/>
      </w:pPr>
      <w:r>
        <w:rPr/>
        <w:t>Forretningsordenen fastlægger rammerne for arbejdet i de forskellige konferencestrukturer og deres samspil.</w:t>
      </w:r>
    </w:p>
    <w:p>
      <w:pPr>
        <w:pStyle w:val="Titre2"/>
        <w:numPr>
          <w:ilvl w:val="1"/>
          <w:numId w:val="2"/>
        </w:numPr>
        <w:rPr/>
      </w:pPr>
      <w:bookmarkStart w:id="3" w:name="__RefHeading___Toc298052_1346298689"/>
      <w:bookmarkEnd w:id="3"/>
      <w:r>
        <w:rPr/>
        <w:t>3. Begivenheder relateret til konferencen</w:t>
      </w:r>
    </w:p>
    <w:p>
      <w:pPr>
        <w:pStyle w:val="Corpsdetexte"/>
        <w:rPr/>
      </w:pPr>
      <w:r>
        <w:rPr/>
        <w:t>Ifølge den fælles erklæring kan hver enkelt EU-medlemsstat eller -institution tilrettelægge arrangementer i konferencens regi, afhængigt af dens nationale eller institutionelle forhold, og yde yderligere bidrag til konferencen (se kapitel II.C for yderligere oplysninger).</w:t>
      </w:r>
    </w:p>
    <w:p>
      <w:pPr>
        <w:pStyle w:val="Corpsdetexte"/>
        <w:rPr/>
      </w:pPr>
      <w:r>
        <w:rPr/>
        <w:t>EU's institutioner og organer, medlemsstaterne, de regionale og lokale myndigheder, det organiserede civilsamfund, arbejdsmarkedets parter og borgerne blev derfor opfordret til at afholde arrangementer i partnerskab med civilsamfundet og interessenter på europæisk, nationalt, regionalt og lokalt plan i en bred vifte af formater i hele Europa og til at offentliggøre resultaterne af disse arrangementer på den digitale platform. Flere tusinde sådanne begivenheder fandt sted, hvor omkring 650.000 deltagere deltog.</w:t>
      </w:r>
    </w:p>
    <w:p>
      <w:pPr>
        <w:pStyle w:val="Titre2"/>
        <w:numPr>
          <w:ilvl w:val="1"/>
          <w:numId w:val="2"/>
        </w:numPr>
        <w:rPr/>
      </w:pPr>
      <w:bookmarkStart w:id="4" w:name="__RefHeading___Toc298054_1346298689"/>
      <w:bookmarkEnd w:id="4"/>
      <w:r>
        <w:rPr/>
        <w:t>4.</w:t>
        <w:tab/>
        <w:t>Gennemførelse af den flersprogede digitale platform</w:t>
      </w:r>
    </w:p>
    <w:p>
      <w:pPr>
        <w:pStyle w:val="Normal"/>
        <w:rPr/>
      </w:pPr>
      <w:r>
        <w:rPr/>
        <w:t>Den flersprogede digitale platform (se kapitel II.A for flere oplysninger) er blevet oprettet for at give borgerne mulighed for at dele deres idéer og sende bidrag online i overensstemmelse med den fælles erklæring. Det var det vigtigste knudepunkt for bidrag og information til borgerne om de forskellige dele af konferencen og et interaktivt redskab til at dele og drøfte idéer og bidrag fra de mange arrangementer, der blev afholdt i forbindelse med konferencen. Platformen blev officielt lanceret den 19. april 2021. Mere end 17.000 ideer er blevet offentliggjort på platformen.</w:t>
      </w:r>
    </w:p>
    <w:p>
      <w:pPr>
        <w:pStyle w:val="Corpsdetexte"/>
        <w:rPr/>
      </w:pPr>
      <w:r>
        <w:rPr/>
        <w:t>Under hele konferencen blev der udarbejdet rapporter om de bidrag, der blev fremlagt på platformen.</w:t>
      </w:r>
    </w:p>
    <w:p>
      <w:pPr>
        <w:pStyle w:val="Normal"/>
        <w:rPr/>
      </w:pPr>
      <w:r>
        <w:rPr/>
        <w:t>De europæiske borgerpaneler tog hensyn til de bidrag, der blev indsamlet via platformen, og de blev drøftet og drøftet på konferencens plenarforsamling.</w:t>
      </w:r>
    </w:p>
    <w:p>
      <w:pPr>
        <w:pStyle w:val="Titre2"/>
        <w:numPr>
          <w:ilvl w:val="1"/>
          <w:numId w:val="2"/>
        </w:numPr>
        <w:rPr/>
      </w:pPr>
      <w:bookmarkStart w:id="5" w:name="__RefHeading___Toc298056_1346298689"/>
      <w:bookmarkEnd w:id="5"/>
      <w:r>
        <w:rPr/>
        <w:t>5.</w:t>
        <w:tab/>
        <w:t>Europæiske borgerpaneler</w:t>
      </w:r>
    </w:p>
    <w:p>
      <w:pPr>
        <w:pStyle w:val="Normal"/>
        <w:rPr/>
      </w:pPr>
      <w:r>
        <w:rPr/>
        <w:t>I overensstemmelse med den fælles erklæring var de europæiske borgerpaneler, der var organiseret omkring konferencens hovedtemaer, et centralt og særligt innovativt element i konferencen (se kapitel II.B for yderligere oplysninger).</w:t>
      </w:r>
    </w:p>
    <w:p>
      <w:pPr>
        <w:pStyle w:val="Normal"/>
        <w:rPr/>
      </w:pPr>
      <w:r>
        <w:rPr/>
        <w:t>I alt 800 tilfældigt udvalgte borgere, der repræsenterer EU's sociologiske og geografiske mangfoldighed, og som er grupperet i fire paneler på 200 borgere, mødtes til tre debatmøder pr. panel. De europæiske borgerpaneler fremsatte henstillinger, der bidrog til konferencens generelle drøftelser, navnlig på konferencens plenarforsamlinger.</w:t>
      </w:r>
    </w:p>
    <w:p>
      <w:pPr>
        <w:pStyle w:val="Normal"/>
        <w:rPr/>
      </w:pPr>
      <w:r>
        <w:rPr/>
        <w:t>Medformændene for bestyrelsen fastlagde i fællesskab de praktiske ordninger for tilrettelæggelsen af de europæiske borgerpaneler i overensstemmelse med den fælles erklæring og forretningsordenen og underrettede på forhånd bestyrelsen herom.</w:t>
      </w:r>
    </w:p>
    <w:p>
      <w:pPr>
        <w:pStyle w:val="Normal"/>
        <w:rPr/>
      </w:pPr>
      <w:r>
        <w:rPr/>
        <w:t>Bestyrelsen er regelmæssigt blevet underrettet om fremskridtene med at oprette og tilrettelægge europæiske borgerpaneler.</w:t>
      </w:r>
    </w:p>
    <w:p>
      <w:pPr>
        <w:pStyle w:val="Normal"/>
        <w:rPr/>
      </w:pPr>
      <w:r>
        <w:rPr/>
      </w:r>
    </w:p>
    <w:p>
      <w:pPr>
        <w:pStyle w:val="Titre2"/>
        <w:numPr>
          <w:ilvl w:val="1"/>
          <w:numId w:val="2"/>
        </w:numPr>
        <w:rPr/>
      </w:pPr>
      <w:bookmarkStart w:id="6" w:name="__RefHeading___Toc298058_1346298689"/>
      <w:bookmarkEnd w:id="6"/>
      <w:r>
        <w:rPr/>
        <w:t>6.</w:t>
        <w:tab/>
        <w:t>Nationale borgerpaneler</w:t>
      </w:r>
    </w:p>
    <w:p>
      <w:pPr>
        <w:pStyle w:val="Normal"/>
        <w:rPr/>
      </w:pPr>
      <w:r>
        <w:rPr/>
        <w:t>Ifølge den fælles erklæring kan medlemsstaterne oprette nationale paneler. For at bistå medlemsstater, der planlægger at organisere nationale borgerpaneler, godkendte formændene retningslinjerne og videresendte dem til bestyrelsen den 26. maj 2021 for at sikre, at de nationale paneler organiseres efter de samme principper som de europæiske borgerpaneler. Disse retningslinjer omfattede principper for god forhandling baseret på OECD's retningslinjer</w:t>
      </w:r>
      <w:r>
        <w:rPr>
          <w:rStyle w:val="Ancredenotedebasdepage"/>
          <w:rStyle w:val="Ancredenotedebasdepage"/>
        </w:rPr>
        <w:footnoteReference w:id="4"/>
      </w:r>
      <w:r>
        <w:rPr/>
        <w:t>. Hver medlemsstat kan beslutte, om der skal nedsættes et panel af nationale borgere. I alt seks medlemsstater organiseret en (Belgien, Frankrig, Tyskland, Italien, Litauen og Nederlandene).</w:t>
      </w:r>
    </w:p>
    <w:p>
      <w:pPr>
        <w:pStyle w:val="Normal"/>
        <w:rPr/>
      </w:pPr>
      <w:r>
        <w:rPr/>
        <w:t>I overensstemmelse med den fælles erklæring blev henstillingerne fra de nationale borgerpaneler fremlagt og drøftet på konferencens plenarforsamlinger parallelt med henstillingerne fra de europæiske borgerpaneler.</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NEJ, NEJ, NEJ, NEJ. Borgernes bidrag til konferencen</w:t>
      </w:r>
    </w:p>
    <w:p>
      <w:pPr>
        <w:pStyle w:val="Normal"/>
        <w:rPr/>
      </w:pPr>
      <w:r>
        <w:rPr/>
      </w:r>
      <w:r>
        <w:br w:type="page"/>
      </w:r>
    </w:p>
    <w:p>
      <w:pPr>
        <w:pStyle w:val="Titre2"/>
        <w:numPr>
          <w:ilvl w:val="1"/>
          <w:numId w:val="2"/>
        </w:numPr>
        <w:rPr/>
      </w:pPr>
      <w:bookmarkStart w:id="8" w:name="__RefHeading___Toc298190_1346298689"/>
      <w:bookmarkEnd w:id="8"/>
      <w:r>
        <w:rPr/>
        <w:t>A. Flersproget digital platform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Den flersprogede digitale platform blev lanceret den 19. april 2021 og var konferencens centrale kontaktpunkt. Gennem det var alle i stand til at deltage i konferencen: alle borgere i EU og andre steder, civilsamfundet, arbejdsmarkedets parter og forskellige andre interessenter.</w:t>
      </w:r>
    </w:p>
    <w:p>
      <w:pPr>
        <w:pStyle w:val="Normal"/>
        <w:rPr/>
      </w:pPr>
      <w:r>
        <w:rPr/>
        <w:t>Platformen blev udviklet specifikt til konferencen ved hjælp af Decidim, en europæisk fri software dedikeret til borgernes deltagelse. i et sådant omfang og i et sådant omfang af interaktivitet og flersprogethed var denne præstation en første, ikke kun europæisk, men også global. Alle bidrag var tilgængelige på alle 24 officielle EU-sprog via maskinoversættelse. Debatten var struktureret omkring ti temaer: "Klimaændringer og miljø", "sundhed", "En stærkere økonomi, social retfærdighed og beskæftigelse", "EU i verden", "Værdier og rettigheder, retsstatsprincippet, sikkerhed", "digital omstilling", "europæisk demokrati", "Migration", "uddannelse, kultur, ungdom og sport" og "Andre idéer".</w:t>
      </w:r>
    </w:p>
    <w:p>
      <w:pPr>
        <w:pStyle w:val="Normal"/>
        <w:rPr/>
      </w:pPr>
      <w:r>
        <w:rPr/>
        <w:t>Det var muligt at deltage på platformen på flere forskellige måder.</w:t>
      </w:r>
    </w:p>
    <w:p>
      <w:pPr>
        <w:pStyle w:val="Normal"/>
        <w:rPr/>
      </w:pPr>
      <w:r>
        <w:rPr/>
        <w:t>Enhver, der ønskede det, kunne dele sine ideer om et af de ti temaer. Det var også muligt at kommentere andres idéer. Platformen har således muliggjort en reel paneuropæisk debat mellem borgerne.</w:t>
      </w:r>
    </w:p>
    <w:p>
      <w:pPr>
        <w:pStyle w:val="Normal"/>
        <w:rPr/>
      </w:pPr>
      <w:r>
        <w:rPr/>
        <w:t>Deltagerne kunne også tilslutte sig ideer, der angiver, at de støttede input fra en anden bruger.</w:t>
      </w:r>
    </w:p>
    <w:p>
      <w:pPr>
        <w:pStyle w:val="Normal"/>
        <w:rPr/>
      </w:pPr>
      <w:r>
        <w:rPr/>
        <w:t xml:space="preserve">En anden vigtig måde at bidrage til konferencen var at organisere arrangementer (virtuelle, ansigt til ansigt eller hybrid), annoncere dem på platformen, rapportere om deres resultater og knytte dem til ideer. Der </w:t>
      </w:r>
      <w:hyperlink r:id="rId23">
        <w:r>
          <w:rPr>
            <w:rStyle w:val="LienInternet"/>
          </w:rPr>
          <w:t>var blevet stilletvejledninger og informationsmateriale</w:t>
        </w:r>
      </w:hyperlink>
      <w:r>
        <w:rPr/>
        <w:t xml:space="preserve"> til rådighed for initiativtagerne på platformen for at fremme arrangementernes deltagelsesbaserede og inkluderende karakter.</w:t>
      </w:r>
    </w:p>
    <w:p>
      <w:pPr>
        <w:pStyle w:val="Normal"/>
        <w:rPr/>
      </w:pPr>
      <w:r>
        <w:rPr/>
        <w:t xml:space="preserve">Platformen har spillet en afgørende rolle for gennemsigtigheden i hele processen og med hensyn til adgang for alle til oplysninger vedrørende konferencen. Det var her, alle kunne finde oplysninger om selve konferencens arbejdsmetoder og tilrettelæggelse, f.eks. om selve konferenceprocessen (konferencens plenarforsamling og arbejdsgrupperne, de </w:t>
      </w:r>
      <w:hyperlink r:id="rId24">
        <w:r>
          <w:rPr>
            <w:rStyle w:val="LienInternet"/>
          </w:rPr>
          <w:t>europæiske borgerpaneler</w:t>
        </w:r>
      </w:hyperlink>
      <w:r>
        <w:rPr/>
        <w:t xml:space="preserve">, </w:t>
      </w:r>
      <w:hyperlink r:id="rId25">
        <w:r>
          <w:rPr>
            <w:rStyle w:val="LienInternet"/>
          </w:rPr>
          <w:t>nationale paneler og arrangementer og</w:t>
        </w:r>
      </w:hyperlink>
      <w:r>
        <w:rPr/>
        <w:t xml:space="preserve"> </w:t>
      </w:r>
      <w:hyperlink r:id="rId26">
        <w:r>
          <w:rPr>
            <w:rStyle w:val="LienInternet"/>
          </w:rPr>
          <w:t>direktionen</w:t>
        </w:r>
      </w:hyperlink>
      <w:r>
        <w:rPr/>
        <w:t>). Debatterne i plenarforsamlingen og dets arbejdsgrupper blev transmitteret direkte på internettet, ligesom møderne i de europæiske borgerpaneler. Alle disse oplysninger vil fortsat være tilgængelige på platformen.</w:t>
      </w:r>
    </w:p>
    <w:p>
      <w:pPr>
        <w:pStyle w:val="Normal"/>
        <w:rPr/>
      </w:pPr>
      <w:r>
        <w:rPr/>
        <w:t>Gennem hele arbejdet blev platformen så vidt muligt forbedret, f.eks. ved at tilføje funktioner eller visuelle medier. Med tiden er platformen også blevet gjort mere tilgængelig for personer med handicap.</w:t>
      </w:r>
    </w:p>
    <w:p>
      <w:pPr>
        <w:pStyle w:val="Normal"/>
        <w:rPr/>
      </w:pPr>
      <w:r>
        <w:rPr/>
        <w:t>Alle bidrag på platformen var offentlige: alle kunne få adgang til dem samt åbne datafiler, der er knyttet til den digitale platform, hvilket sikrede fuld gennemsigtighed. For at lette indsamlingen og analysen af bidragene havde Kommissionens Fælles Forskningscenter udviklet et automatiseret tekstanalyseværktøj og en analyseplatform, som gjorde det muligt at fortolke platformen på flere sprog og foretage en tilbundsgående analyse af platformens indhold. Analyseplatformen er et værktøj, der har vist sig at være afgørende for at kunne levere regelmæssige rapporter af ensartet kvalitet på alle sprog. Desuden tilskyndede en "datathon", som Europa-Kommissionen afholdt i marts 2022, til nye tilgange i analysen af de åbne dataserier og bidrog til gennemsigtigheden i dataanalyseprocessen.</w:t>
      </w:r>
    </w:p>
    <w:p>
      <w:pPr>
        <w:pStyle w:val="Normal"/>
        <w:rPr/>
      </w:pPr>
      <w:r>
        <w:rPr/>
        <w:t>For at give et overblik over bidragene på platformen har en ekstern tjenesteyder udarbejdet rapporter, som er blevet offentliggjort på selve platformen.</w:t>
      </w:r>
    </w:p>
    <w:p>
      <w:pPr>
        <w:pStyle w:val="Normal"/>
        <w:rPr/>
      </w:pPr>
      <w:r>
        <w:rPr/>
        <w:t xml:space="preserve">En </w:t>
      </w:r>
      <w:hyperlink r:id="rId27">
        <w:r>
          <w:rPr>
            <w:rStyle w:val="LienInternet"/>
          </w:rPr>
          <w:t>første interimsrapport</w:t>
        </w:r>
      </w:hyperlink>
      <w:r>
        <w:rPr/>
        <w:t xml:space="preserve"> blev offentliggjort i september: der fokuseres på bidrag</w:t>
      </w:r>
    </w:p>
    <w:p>
      <w:pPr>
        <w:pStyle w:val="Normal"/>
        <w:rPr/>
      </w:pPr>
      <w:r>
        <w:rPr/>
        <w:t xml:space="preserve">leveret indtil den 2. august 2021. Den </w:t>
      </w:r>
      <w:hyperlink r:id="rId28">
        <w:r>
          <w:rPr>
            <w:rStyle w:val="LienInternet"/>
          </w:rPr>
          <w:t>anden interimsrapport</w:t>
        </w:r>
      </w:hyperlink>
      <w:r>
        <w:rPr/>
        <w:t xml:space="preserve">blev offentliggjort medio oktober 2021 og omfattede bidrag indsendt indtil den 7. september 2021. Den </w:t>
      </w:r>
      <w:hyperlink r:id="rId29">
        <w:r>
          <w:rPr>
            <w:rStyle w:val="LienInternet"/>
          </w:rPr>
          <w:t>tredje interimsrapport</w:t>
        </w:r>
      </w:hyperlink>
      <w:r>
        <w:rPr/>
        <w:t xml:space="preserve"> blev offentliggjort i december 2021 og omfattede bidrag indtil den 3. november 2021. Da arbejdet med konferencen var ved at gå ind i sin afsluttende fase, blev den seneste rapport, der inspirerede til arbejdet i konferencens plenarmøder, offentliggjort i midten af marts 2022 under hensyntagen til de bidrag, der blev fremlagt på den digitale platform indtil den 20. februar 2022. Denne kalender blev klart annonceret på platformen og andre steder, hvilket resulterede i en stigning i bidragene i januar og februar 2022. Bidrag modtaget frem til den 9. maj vil blive behandlet i den supplerende rapport. Der blev også stillet yderligere rapporter om de bidrag, der blev forelagt på platformen pr. medlemsstat, til rådighed samtidig med rapporterne fra september, december 2021 og marts 2022.</w:t>
      </w:r>
    </w:p>
    <w:p>
      <w:pPr>
        <w:pStyle w:val="Normal"/>
        <w:rPr/>
      </w:pPr>
      <w:r>
        <w:rPr/>
        <w:t xml:space="preserve">Hovedfokus for disse rapporter var på en kvalitativ analyse af de bidrag, der blev offentliggjort på platformen, for at give et generelt overblik over omfanget og mangfoldigheden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Billed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a</w:t>
      </w:r>
      <w:r>
        <w:rPr/>
        <w:t>f idéer, der blev foreslået på platformen og drøftet på arrangementerne. Med henblik herpå har et forskerhold foretaget en manuel tekstanalyse og en sammenlægning af bidragene ved hjælp af analytiske værktøjer fra Kommissionens Fælles Forskningscenter. Dette gjorde det muligt at identificere fælles emner og underkategorier af emne, som blev beskrevet i detaljer under hvert tema og syntetiseret i konceptuelle skemaer, der gør det muligt at visualisere dem hurtigt. For at supplere denne kvalitative tilgang med kvantitative elementer, temaer, undertemaer eller idéer, der ofte kom tilbage, eller som blev stærkt kommenteret eller støttet, blev der nævnt i hver af rapporterne. Formålet var at afspejle status for drøftelserne på forskellige stadier af konferencen, herunder den høje grad af interesse eller debat, som visse idéer skaber. Rapporterne gav også et overblik over deltagernes sociodemografiske data. Bidragyderne blev bedt om at give oplysninger om deres bopælsland, uddannelsesniveau, alder, køn og faglige status. den valgfrie karakter af disse oplysninger begrænser imidlertid den klarhed, der kan drages med hensyn til deltagernes profil. 26,9 % af alle bidrag kom f.eks. fra deltagere, der ikke angav deres bopælsland.</w:t>
      </w:r>
    </w:p>
    <w:p>
      <w:pPr>
        <w:pStyle w:val="Normal"/>
        <w:rPr/>
      </w:pPr>
      <w:r>
        <w:rPr/>
      </w:r>
      <w:r>
        <w:br w:type="page"/>
      </w:r>
    </w:p>
    <w:p>
      <w:pPr>
        <w:pStyle w:val="Normal"/>
        <w:rPr/>
      </w:pPr>
      <w:r>
        <w:rPr/>
        <w:t>Siden platformen blev lanceret, har temaet "Europæisk demokrati" været det tema, hvor det største antal bidrag (idéer, kommentarer og begivenheder) er blevet registreret. For det andet kom temaet "Klimaforandring og miljø". Bidragene under "Andre ideer" kom på tredjepladsen forud for "Værdier og rettigheder, retsstatsprincippet, sikkerhed" og "En stærkere økonomi, social retfærdighed og beskæftigelse".</w:t>
      </w:r>
    </w:p>
    <w:p>
      <w:pPr>
        <w:pStyle w:val="Normal"/>
        <w:rPr/>
      </w:pPr>
      <w:r>
        <w:rPr/>
        <w:t>Rapporterne om de bidrag, der er indsamlet på platformen, herunder konceptuelle ordninger, har ydet et værdifuldt bidrag til arbejdet i de europæiske borgerpaneler. I begyndelsen af hvert af de tre panelmøder blev de vigtigste resultater af rapporten og de konceptuelle skemaer fremlagt for panelerne, som modtog links til de fuldstændige rapporter. Dette er, hvor mange idéer, der dukkede op på platformen, afspejles i anbefalingerne fra de europæiske borgerpaneler.</w:t>
      </w:r>
    </w:p>
    <w:p>
      <w:pPr>
        <w:pStyle w:val="Normal"/>
        <w:spacing w:before="2803"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945" cy="1780540"/>
                <wp:effectExtent l="0" t="0" r="0" b="0"/>
                <wp:wrapSquare wrapText="bothSides"/>
                <wp:docPr id="13" name="Framework2"/>
                <a:graphic xmlns:a="http://schemas.openxmlformats.org/drawingml/2006/main">
                  <a:graphicData uri="http://schemas.microsoft.com/office/word/2010/wordprocessingShape">
                    <wps:wsp>
                      <wps:cNvSpPr/>
                      <wps:spPr>
                        <a:xfrm>
                          <a:off x="0" y="0"/>
                          <a:ext cx="6036480" cy="177984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Hvad sker der på konferencen om Europas fremtid?</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konferencedeltagere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deltagere i arrangementet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ideer</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kommentarer</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begivenheder</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godkendelser</w:t>
                                  </w:r>
                                </w:p>
                              </w:tc>
                            </w:tr>
                          </w:tbl>
                          <w:p>
                            <w:pPr>
                              <w:pStyle w:val="Contenudecadre"/>
                              <w:spacing w:before="57" w:after="57"/>
                              <w:rPr/>
                            </w:pPr>
                            <w:r>
                              <w:rPr>
                                <w:color w:val="00000A"/>
                              </w:rPr>
                              <w:t xml:space="preserve">Status over deltagelse pr. 20. april 2022 (kilde: </w:t>
                            </w:r>
                            <w:hyperlink r:id="rId31">
                              <w:r>
                                <w:rPr>
                                  <w:rStyle w:val="LienInternet"/>
                                  <w:color w:val="00000A"/>
                                </w:rPr>
                                <w:t>Konference om Europas fremtid (europa.eu</w:t>
                              </w:r>
                            </w:hyperlink>
                            <w:r>
                              <w:rPr>
                                <w:color w:val="00000A"/>
                              </w:rPr>
                              <w:t>)</w:t>
                            </w:r>
                          </w:p>
                        </w:txbxContent>
                      </wps:txbx>
                      <wps:bodyPr lIns="54000" rIns="54000" tIns="54000" bIns="54000">
                        <a:noAutofit/>
                      </wps:bodyPr>
                    </wps:wsp>
                  </a:graphicData>
                </a:graphic>
              </wp:anchor>
            </w:drawing>
          </mc:Choice>
          <mc:Fallback>
            <w:pict>
              <v:rect id="shape_0" ID="Framework2" fillcolor="white" stroked="t" style="position:absolute;margin-left:1.8pt;margin-top:206.1pt;width:475.25pt;height:140.1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Hvad sker der på konferencen om Europas fremtid?</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konferencedeltagere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deltagere i arrangementet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ideer</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kommentarer</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begivenheder</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godkendelser</w:t>
                            </w:r>
                          </w:p>
                        </w:tc>
                      </w:tr>
                    </w:tbl>
                    <w:p>
                      <w:pPr>
                        <w:pStyle w:val="Contenudecadre"/>
                        <w:spacing w:before="57" w:after="57"/>
                        <w:rPr/>
                      </w:pPr>
                      <w:r>
                        <w:rPr>
                          <w:color w:val="00000A"/>
                        </w:rPr>
                        <w:t xml:space="preserve">Status over deltagelse pr. 20. april 2022 (kilde: </w:t>
                      </w:r>
                      <w:hyperlink r:id="rId32">
                        <w:r>
                          <w:rPr>
                            <w:rStyle w:val="LienInternet"/>
                            <w:color w:val="00000A"/>
                          </w:rPr>
                          <w:t>Konference om Europas fremtid (europa.eu</w:t>
                        </w:r>
                      </w:hyperlink>
                      <w:r>
                        <w:rPr>
                          <w:color w:val="00000A"/>
                        </w:rPr>
                        <w:t>)</w:t>
                      </w:r>
                    </w:p>
                  </w:txbxContent>
                </v:textbox>
              </v:rect>
            </w:pict>
          </mc:Fallback>
        </mc:AlternateContent>
      </w:r>
      <w:r>
        <w:rPr/>
        <w:t>Rapporterne blev også drøftet på konferencens plenarmøder fra plenarforsamlingen den 23. oktober 2021 og på tidligere møder i arbejdsgrupperne. Platformens bidrag fortsatte derfor med at berige de forslag, der blev udarbejdet på konferencens plenarforsamling.</w:t>
      </w:r>
    </w:p>
    <w:p>
      <w:pPr>
        <w:pStyle w:val="Normal"/>
        <w:rPr/>
      </w:pPr>
      <w:r>
        <w:rPr/>
        <w:t>Pr. 20. april 2022 havde næsten fem millioner unikke besøgende besøgt den flersprogede digitale platform, hvor mere end 50.000 deltagere var aktive, 17.000 idéer debatteret og mere end 6.000 registrerede arrangementer. Bag disse tal står tusindvis af engagerede borgere, som deler og debatterer mange idéer og organiserer en lang række originale og innovative arrangementer i de forskellige medlemsstater.</w:t>
      </w:r>
    </w:p>
    <w:p>
      <w:pPr>
        <w:pStyle w:val="Normal"/>
        <w:rPr/>
      </w:pPr>
      <w:r>
        <w:rPr/>
        <w:t xml:space="preserve">For at sikre, at platformen er et sted, hvor borgere fra alle samfundslag og fra alle hjørner af Europa føler sig trygge og tilskyndes til at bidrage til debatten, har alle, der bruger platformen, været nødt til at </w:t>
      </w:r>
      <w:hyperlink r:id="rId33">
        <w:r>
          <w:rPr>
            <w:rStyle w:val="LienInternet"/>
          </w:rPr>
          <w:t>tilslutte sig</w:t>
        </w:r>
      </w:hyperlink>
      <w:r>
        <w:rPr/>
        <w:t xml:space="preserve"> konferencechartret og </w:t>
      </w:r>
      <w:hyperlink r:id="rId34">
        <w:r>
          <w:rPr>
            <w:rStyle w:val="LienInternet"/>
          </w:rPr>
          <w:t>reglerne for deltagelse</w:t>
        </w:r>
      </w:hyperlink>
      <w:r>
        <w:rPr/>
        <w:t>. Der er oprettet et moderationshold, som arbejder under tilsyn af det fælles sekretariat på vegne af direktionen under tilsyn af det fælles sekretariat for at sikre overholdelse af chartret og reglerne for deltagelse. Der er ikke sket nogen forudgående moderering af indholdet. Når et bidrag blev skjult, modtog brugeren en besked fra moderationsteamet, der forklarede årsagen. Nærmere oplysninger om principperne og moderationsprocessen blev gjort tilgængelige i afsnittet</w:t>
      </w:r>
      <w:hyperlink r:id="rId35">
        <w:r>
          <w:rPr>
            <w:rStyle w:val="LienInternet"/>
          </w:rPr>
          <w:t>Ofte stillede spørgsmål</w:t>
        </w:r>
      </w:hyperlink>
      <w:r>
        <w:rPr/>
        <w:t xml:space="preserve"> (FAQ) på platformen.</w:t>
      </w:r>
    </w:p>
    <w:p>
      <w:pPr>
        <w:pStyle w:val="Normal"/>
        <w:rPr/>
      </w:pPr>
      <w:r>
        <w:rPr/>
        <w:t>Mellem 19. april 2021 og 20. april 2022 blev 430 idéer (2,4 %), 312 bemærkninger (1,4 %) og 396 arrangementer (6,0 %) maskeret. Omkring 71 % af ideerne blev maskeret, fordi de ikke indeholdt forslag, uanset om de var spam, brugeranmodninger, eller fordi de indeholdt personlige oplysninger eller et uegnet tilknyttet billede; omkring 17 % af de skjulte ideer var dubletter. Kun 11 % af de skjulte ideer var på grund af deres offensive indhold. Langt de fleste begivenheder, 76 %, blev maskeret, fordi de var duplikater, eller fordi oplysningerne om arrangementet var ufuldstændige, på anmodning af arrangørerne, eller fordi de ikke var relateret til konferencen.</w:t>
      </w:r>
    </w:p>
    <w:p>
      <w:pPr>
        <w:pStyle w:val="Normal"/>
        <w:rPr/>
      </w:pPr>
      <w:r>
        <w:rPr/>
        <w:t>Muligheden for at yde bidrag til platformen forblev åben indtil den 9. maj 2022. Der er planlagt en yderligere rapport efter denne dato for at udfylde oversigten over alle bidrag, der er modtaget under konferencen.</w:t>
      </w:r>
    </w:p>
    <w:p>
      <w:pPr>
        <w:pStyle w:val="Normal"/>
        <w:rPr/>
      </w:pPr>
      <w:r>
        <w:rPr/>
        <w:t>Deltagelsen på platformen fortsatte med at stige under hele konferencen, men var stadig ujævn på tværs af medlemsstaterne og deltagernes sociodemografiske profiler. Generelt har platformen skabt et innovativt forum for drøftelser, som har gjort det muligt for flere tusinde borgere og forskellige interessenter fra hele Europa og uden for Europa at deltage i en flersproget onlinedebat om europæiske spørgsmål i alle medlemsstater. Det viste sig at være et værdifuldt redskab til debatdemokrati på EU-plan.</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Billed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Borgerpaneler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Europæiske borgerpaneler</w:t>
      </w:r>
    </w:p>
    <w:p>
      <w:pPr>
        <w:pStyle w:val="Corpsdetexte"/>
        <w:rPr/>
      </w:pPr>
      <w:r>
        <w:rPr/>
        <w:t>De europæiske borgerpaneler var en af de vigtigste søjler i konferencen med de nationale paneler, den flersprogede digitale platform og konferencens plenarforsamling. De udgør kernen i konferencen om Europas fremtid og samlede omkring 800 borgere fra alle baggrunde og regioner i Den Europæiske Union. Selv om begrebet borgerpaneler eller forsamlinger har været anvendt i årtier på kommunalt plan og er stadig mere synligt på nationalt eller regionalt plan, er den paneuropæiske dimension fortsat stort set uudforsket på dette område. De europæiske borgerpaneler var de første tværnationale og flersprogede erfaringer af denne størrelsesorden og ambitionsniveau. Det bemærkelsesværdige fortolkningssystem, der ledsagede processen, førte til en inklusiv, respektfuld og effektiv dialog mellem interessenterne, der sikrede respekt for flersprogethed.</w:t>
      </w:r>
    </w:p>
    <w:p>
      <w:pPr>
        <w:pStyle w:val="Corpsdetexte"/>
        <w:rPr/>
      </w:pPr>
      <w:r>
        <w:rPr/>
        <w:t>De europæiske borgerpaneler blev organiseret af de tre institutioner på grundlag af den fælles erklæring, forretningsordenen og de ordninger, der blev fastlagt af formændene under ledelse af bestyrelsen. De blev støttet af et konsortium af eksterne tjenesteydere bestående af forskellige eksperter inden for debatdemokrati og et logistikstøtteteam. Bestyrelsen blev holdt underrettet om panelernes arbejde, ajourførte praktiske ordninger blev fremlagt og tilpasset den foreløbige mødekalender for de europæiske borgerpaneler under processen efter behov.</w:t>
      </w:r>
    </w:p>
    <w:p>
      <w:pPr>
        <w:pStyle w:val="Corpsdetexte"/>
        <w:rPr/>
      </w:pPr>
      <w:r>
        <w:rPr/>
        <w:t>Deltagerne i de europæiske borgerpaneler blev udvalgt i sommeren 2021. EU-borgere blev tilfældigt udvalgt (hovedsagelig kontaktet af de 27 nationale undersøgelsesinstitutter, der koordineres af en ekstern tjenesteyder) med det formål at oprette "paneler", der er repræsentative for EU's mangfoldighed, baseret på fem kriterier: køn, alder, geografisk oprindelse (nationalitet samt by/landmiljø), socioøkonomisk baggrund og uddannelsesniveau. Antallet af borgere pr. medlemsstat blev beregnet i overensstemmelse med princippet om degressiv proportionalitet, der finder anvendelse på Europa-Parlamentets sammensætning, idet der tages hensyn til, at hvert panel bør omfatte mindst én borger og en borger pr. medlemsstat. Da konferencen lagde særlig vægt på unge, var en tredjedel af borgerne i hvert panel mellem 16 og 24 år gamle. For hver gruppe på 200 personer blev der udvalgt yderligere 50 borgere til at oprette en reserve.</w:t>
      </w:r>
    </w:p>
    <w:p>
      <w:pPr>
        <w:pStyle w:val="Corpsdetexte"/>
        <w:rPr/>
      </w:pPr>
      <w:r>
        <w:rPr/>
        <w:t>Der blev afholdt fire europæiske borgerpaneler. For hver af dem svarede diskussionsemnerne til de emner, der var identificeret på den flersprogede digitale platform, og blev grupperet som følger:</w:t>
      </w:r>
    </w:p>
    <w:p>
      <w:pPr>
        <w:pStyle w:val="ListBullet4"/>
        <w:rPr/>
      </w:pPr>
      <w:r>
        <w:rPr/>
        <w:t>1. En stærkere økonomi, social retfærdighed og beskæftigelse uddannelse, kultur, ungdom og sport den digitale omstilling;</w:t>
      </w:r>
    </w:p>
    <w:p>
      <w:pPr>
        <w:pStyle w:val="ListBullet4"/>
        <w:rPr/>
      </w:pPr>
      <w:r>
        <w:rPr/>
        <w:t>2. Det europæiske demokrati; værdier og rettigheder, retsstatsprincippet, sikkerhed</w:t>
      </w:r>
    </w:p>
    <w:p>
      <w:pPr>
        <w:pStyle w:val="ListBullet4"/>
        <w:rPr/>
      </w:pPr>
      <w:r>
        <w:rPr/>
        <w:t>3.Klimaændringer og miljø; sundhed;</w:t>
      </w:r>
    </w:p>
    <w:p>
      <w:pPr>
        <w:pStyle w:val="ListBullet4"/>
        <w:tabs>
          <w:tab w:val="clear" w:pos="720"/>
        </w:tabs>
        <w:rPr/>
      </w:pPr>
      <w:r>
        <w:rPr/>
        <w:t>4.EU i verden; migration.</w:t>
      </w:r>
    </w:p>
    <w:p>
      <w:pPr>
        <w:pStyle w:val="Corpsdetexte"/>
        <w:rPr/>
      </w:pPr>
      <w:r>
        <w:rPr/>
        <w:t>Hvert panel mødtes i tre weekender. Den første række af møder fandt sted i Strasbourg, den anden online og den tredje i fire byer (Dublin, Firenze, Warszawa/Natolin og Maastricht), i offentlige videregående uddannelsesinstitutioner og med støtte fra lokale myndigheder.</w:t>
      </w:r>
    </w:p>
    <w:p>
      <w:pPr>
        <w:pStyle w:val="Titre4"/>
        <w:numPr>
          <w:ilvl w:val="3"/>
          <w:numId w:val="2"/>
        </w:numPr>
        <w:rPr/>
      </w:pPr>
      <w:bookmarkStart w:id="11" w:name="__RefHeading___Toc298196_1346298689"/>
      <w:bookmarkEnd w:id="11"/>
      <w:r>
        <w:rPr/>
        <w:t>FØRSTE RUNDE AF PANELSESSIONER</w:t>
      </w:r>
    </w:p>
    <w:p>
      <w:pPr>
        <w:pStyle w:val="Corpsdetexte"/>
        <w:rPr/>
      </w:pPr>
      <w:r>
        <w:rPr/>
        <w:t>Under det første møde i hvert panel mødtes deltagerne fysisk i Strasbourg. Formålet med mødet var at fastlægge dagsordenen for drøftelserne. De borgere, der deltog i panelerne, begyndte med at reflektere og udvikle deres vision for Europa, begyndende med en blank side og identificere de spørgsmål, der skal drøftes, inden for rammerne af panelets hovedtemaer. De prioriterede derefter de emner, som de ønskede at fokusere mere indgående på, med henblik på at fremsætte specifikke henstillinger til EU-institutionerne med henblik på opfølgning. Drøftelserne og det kollektive arbejde fandt sted i følgende to formater:</w:t>
      </w:r>
    </w:p>
    <w:p>
      <w:pPr>
        <w:pStyle w:val="Alineanegatifpuce"/>
        <w:numPr>
          <w:ilvl w:val="0"/>
          <w:numId w:val="3"/>
        </w:numPr>
        <w:rPr/>
      </w:pPr>
      <w:r>
        <w:rPr/>
        <w:t xml:space="preserve"> </w:t>
      </w:r>
      <w:r>
        <w:rPr/>
        <w:t>i undergrupper bestående af 12-14 borgere. Der blev talt fire til fem sprog i hver undergruppe, hvor borgerne kunne udtrykke sig på deres eget sprog. Undergruppernes arbejde blev styret af professionelle facilitatorer udvalgt af konsortiet af eksterne tjenesteydere.</w:t>
      </w:r>
    </w:p>
    <w:p>
      <w:pPr>
        <w:pStyle w:val="Alineanegatifpuce"/>
        <w:numPr>
          <w:ilvl w:val="0"/>
          <w:numId w:val="3"/>
        </w:numPr>
        <w:spacing w:before="3930"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4090" cy="2496185"/>
                <wp:effectExtent l="0" t="0" r="0" b="0"/>
                <wp:wrapSquare wrapText="bothSides"/>
                <wp:docPr id="16" name="Framework3"/>
                <a:graphic xmlns:a="http://schemas.openxmlformats.org/drawingml/2006/main">
                  <a:graphicData uri="http://schemas.microsoft.com/office/word/2010/wordprocessingShape">
                    <wps:wsp>
                      <wps:cNvSpPr/>
                      <wps:spPr>
                        <a:xfrm>
                          <a:off x="0" y="0"/>
                          <a:ext cx="6053400" cy="249552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1"/>
                              <w:gridCol w:w="2718"/>
                              <w:gridCol w:w="401"/>
                            </w:tblGrid>
                            <w:tr>
                              <w:trPr/>
                              <w:tc>
                                <w:tcPr>
                                  <w:tcW w:w="9359" w:type="dxa"/>
                                  <w:gridSpan w:val="7"/>
                                  <w:tcBorders/>
                                  <w:shd w:fill="auto" w:val="clear"/>
                                </w:tcPr>
                                <w:p>
                                  <w:pPr>
                                    <w:pStyle w:val="P68B1DB1Contenudetableau9"/>
                                    <w:spacing w:before="57" w:after="57"/>
                                    <w:jc w:val="center"/>
                                    <w:rPr>
                                      <w:sz w:val="16"/>
                                    </w:rPr>
                                  </w:pPr>
                                  <w:r>
                                    <w:rPr/>
                                    <w:t>MØDE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18" w:type="dxa"/>
                                    <w:bottom w:w="28" w:type="dxa"/>
                                    <w:right w:w="28" w:type="dxa"/>
                                  </w:tcMar>
                                </w:tcPr>
                                <w:p>
                                  <w:pPr>
                                    <w:pStyle w:val="P68B1DB1Contenudetableau9"/>
                                    <w:spacing w:before="57" w:after="57"/>
                                    <w:jc w:val="center"/>
                                    <w:rPr>
                                      <w:sz w:val="16"/>
                                    </w:rPr>
                                  </w:pPr>
                                  <w:r>
                                    <w:rPr/>
                                    <w:t xml:space="preserve">DAG 1 </w:t>
                                  </w:r>
                                </w:p>
                                <w:p>
                                  <w:pPr>
                                    <w:pStyle w:val="P68B1DB1Contenudetableau9"/>
                                    <w:spacing w:before="57" w:after="57"/>
                                    <w:jc w:val="center"/>
                                    <w:rPr>
                                      <w:sz w:val="16"/>
                                    </w:rPr>
                                  </w:pPr>
                                  <w:r>
                                    <w:rPr/>
                                    <w:t>Nyt møde til panelet og forberedelse til weekenden</w:t>
                                  </w:r>
                                </w:p>
                              </w:tc>
                              <w:tc>
                                <w:tcPr>
                                  <w:tcW w:w="3121" w:type="dxa"/>
                                  <w:gridSpan w:val="3"/>
                                  <w:tcBorders>
                                    <w:top w:val="single" w:sz="4" w:space="0" w:color="0000FF"/>
                                    <w:left w:val="single" w:sz="4" w:space="0" w:color="0000FF"/>
                                    <w:bottom w:val="single" w:sz="4" w:space="0" w:color="0000FF"/>
                                    <w:insideH w:val="single" w:sz="4" w:space="0" w:color="0000FF"/>
                                  </w:tcBorders>
                                  <w:shd w:fill="0000FF" w:val="clear"/>
                                  <w:tcMar>
                                    <w:top w:w="28" w:type="dxa"/>
                                    <w:left w:w="18" w:type="dxa"/>
                                    <w:bottom w:w="28" w:type="dxa"/>
                                    <w:right w:w="28" w:type="dxa"/>
                                  </w:tcMar>
                                </w:tcPr>
                                <w:p>
                                  <w:pPr>
                                    <w:pStyle w:val="P68B1DB1Contenudetableau9"/>
                                    <w:spacing w:before="57" w:after="57"/>
                                    <w:jc w:val="center"/>
                                    <w:rPr>
                                      <w:sz w:val="16"/>
                                    </w:rPr>
                                  </w:pPr>
                                  <w:r>
                                    <w:rPr/>
                                    <w:t xml:space="preserve">DAG 2 </w:t>
                                  </w:r>
                                </w:p>
                                <w:p>
                                  <w:pPr>
                                    <w:pStyle w:val="P68B1DB1Contenudetableau9"/>
                                    <w:spacing w:before="57" w:after="57"/>
                                    <w:jc w:val="center"/>
                                    <w:rPr>
                                      <w:sz w:val="16"/>
                                    </w:rPr>
                                  </w:pPr>
                                  <w:r>
                                    <w:rPr/>
                                    <w:t>Ekspertinput, Problemidentifikation, Vejledningsproduktion</w:t>
                                  </w:r>
                                </w:p>
                              </w:tc>
                              <w:tc>
                                <w:tcPr>
                                  <w:tcW w:w="3119"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18" w:type="dxa"/>
                                    <w:bottom w:w="28" w:type="dxa"/>
                                    <w:right w:w="28" w:type="dxa"/>
                                  </w:tcMar>
                                </w:tcPr>
                                <w:p>
                                  <w:pPr>
                                    <w:pStyle w:val="P68B1DB1Contenudetableau9"/>
                                    <w:spacing w:before="57" w:after="57"/>
                                    <w:jc w:val="center"/>
                                    <w:rPr>
                                      <w:sz w:val="16"/>
                                    </w:rPr>
                                  </w:pPr>
                                  <w:r>
                                    <w:rPr/>
                                    <w:t xml:space="preserve">DAG 3 </w:t>
                                  </w:r>
                                </w:p>
                                <w:p>
                                  <w:pPr>
                                    <w:pStyle w:val="P68B1DB1Contenudetableau9"/>
                                    <w:spacing w:before="57" w:after="57"/>
                                    <w:jc w:val="center"/>
                                    <w:rPr>
                                      <w:sz w:val="16"/>
                                    </w:rPr>
                                  </w:pPr>
                                  <w:r>
                                    <w:rPr/>
                                    <w:t>Afslutning af retningslinjerne, afsluttende bemærkninger</w:t>
                                  </w:r>
                                </w:p>
                              </w:tc>
                            </w:tr>
                            <w:tr>
                              <w:trPr/>
                              <w:tc>
                                <w:tcPr>
                                  <w:tcW w:w="3119" w:type="dxa"/>
                                  <w:gridSpan w:val="2"/>
                                  <w:tcBorders/>
                                  <w:shd w:fill="auto" w:val="clear"/>
                                </w:tcPr>
                                <w:p>
                                  <w:pPr>
                                    <w:pStyle w:val="Contenudetableau"/>
                                    <w:spacing w:before="57" w:after="57"/>
                                    <w:jc w:val="center"/>
                                    <w:rPr>
                                      <w:sz w:val="16"/>
                                    </w:rPr>
                                  </w:pPr>
                                  <w:r>
                                    <w:rPr>
                                      <w:sz w:val="16"/>
                                    </w:rPr>
                                  </w:r>
                                </w:p>
                              </w:tc>
                              <w:tc>
                                <w:tcPr>
                                  <w:tcW w:w="3121" w:type="dxa"/>
                                  <w:gridSpan w:val="3"/>
                                  <w:tcBorders/>
                                  <w:shd w:fill="0000FF" w:val="clear"/>
                                </w:tcPr>
                                <w:p>
                                  <w:pPr>
                                    <w:pStyle w:val="P68B1DB1Contenudetableau9"/>
                                    <w:spacing w:before="57" w:after="57"/>
                                    <w:jc w:val="center"/>
                                    <w:rPr>
                                      <w:sz w:val="16"/>
                                    </w:rPr>
                                  </w:pPr>
                                  <w:r>
                                    <w:rPr/>
                                    <w:t>Input fra eksperter om undertemaer</w:t>
                                  </w:r>
                                </w:p>
                              </w:tc>
                              <w:tc>
                                <w:tcPr>
                                  <w:tcW w:w="3119" w:type="dxa"/>
                                  <w:gridSpan w:val="2"/>
                                  <w:tcBorders/>
                                  <w:shd w:fill="0000FF" w:val="clear"/>
                                </w:tcPr>
                                <w:p>
                                  <w:pPr>
                                    <w:pStyle w:val="P68B1DB1Contenudetableau9"/>
                                    <w:spacing w:before="57" w:after="57"/>
                                    <w:jc w:val="center"/>
                                    <w:rPr>
                                      <w:sz w:val="16"/>
                                    </w:rPr>
                                  </w:pPr>
                                  <w:r>
                                    <w:rPr/>
                                    <w:t>Yderligere input fra eksperter</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Velkommen, </w:t>
                                  </w:r>
                                </w:p>
                                <w:p>
                                  <w:pPr>
                                    <w:pStyle w:val="P68B1DB1Contenudetableau9"/>
                                    <w:spacing w:before="57" w:after="57"/>
                                    <w:jc w:val="center"/>
                                    <w:rPr>
                                      <w:sz w:val="16"/>
                                    </w:rPr>
                                  </w:pPr>
                                  <w:r>
                                    <w:rPr/>
                                    <w:t xml:space="preserve">Ord til borgerambassadørerne for deres feedback, </w:t>
                                    <w:br/>
                                    <w:t>Opdatering af platform, dagsorden</w:t>
                                  </w:r>
                                </w:p>
                              </w:tc>
                              <w:tc>
                                <w:tcPr>
                                  <w:tcW w:w="3121" w:type="dxa"/>
                                  <w:gridSpan w:val="3"/>
                                  <w:tcBorders/>
                                  <w:shd w:fill="00FF00" w:val="clear"/>
                                </w:tcPr>
                                <w:p>
                                  <w:pPr>
                                    <w:pStyle w:val="P68B1DB1Contenudetableau9"/>
                                    <w:spacing w:before="57" w:after="57"/>
                                    <w:jc w:val="center"/>
                                    <w:rPr>
                                      <w:sz w:val="16"/>
                                    </w:rPr>
                                  </w:pPr>
                                  <w:r>
                                    <w:rPr/>
                                    <w:t>Udarbejdelse af retningslinjer</w:t>
                                  </w:r>
                                </w:p>
                              </w:tc>
                              <w:tc>
                                <w:tcPr>
                                  <w:tcW w:w="3119" w:type="dxa"/>
                                  <w:gridSpan w:val="2"/>
                                  <w:tcBorders/>
                                  <w:shd w:fill="00FF00" w:val="clear"/>
                                </w:tcPr>
                                <w:p>
                                  <w:pPr>
                                    <w:pStyle w:val="P68B1DB1Contenudetableau9"/>
                                    <w:spacing w:before="57" w:after="57"/>
                                    <w:jc w:val="center"/>
                                    <w:rPr>
                                      <w:sz w:val="16"/>
                                    </w:rPr>
                                  </w:pPr>
                                  <w:r>
                                    <w:rPr/>
                                    <w:t xml:space="preserve"> </w:t>
                                  </w:r>
                                  <w:r>
                                    <w:rPr/>
                                    <w:t>Færdiggørelse af retningslinjerne</w:t>
                                  </w:r>
                                </w:p>
                              </w:tc>
                            </w:tr>
                            <w:tr>
                              <w:trPr/>
                              <w:tc>
                                <w:tcPr>
                                  <w:tcW w:w="3119" w:type="dxa"/>
                                  <w:gridSpan w:val="2"/>
                                  <w:vMerge w:val="continue"/>
                                  <w:tcBorders/>
                                  <w:shd w:fill="800000" w:val="clear"/>
                                </w:tcPr>
                                <w:p>
                                  <w:pPr>
                                    <w:pStyle w:val="Normal"/>
                                    <w:spacing w:before="57" w:after="57"/>
                                    <w:ind w:left="0" w:right="0" w:hanging="0"/>
                                    <w:rPr/>
                                  </w:pPr>
                                  <w:r>
                                    <w:rPr/>
                                  </w:r>
                                </w:p>
                              </w:tc>
                              <w:tc>
                                <w:tcPr>
                                  <w:tcW w:w="3121" w:type="dxa"/>
                                  <w:gridSpan w:val="3"/>
                                  <w:tcBorders/>
                                  <w:shd w:fill="auto" w:val="clear"/>
                                </w:tcPr>
                                <w:p>
                                  <w:pPr>
                                    <w:pStyle w:val="Contenudetableau"/>
                                    <w:spacing w:before="57" w:after="57"/>
                                    <w:jc w:val="center"/>
                                    <w:rPr>
                                      <w:sz w:val="16"/>
                                    </w:rPr>
                                  </w:pPr>
                                  <w:r>
                                    <w:rPr>
                                      <w:sz w:val="16"/>
                                    </w:rPr>
                                  </w:r>
                                </w:p>
                              </w:tc>
                              <w:tc>
                                <w:tcPr>
                                  <w:tcW w:w="3119" w:type="dxa"/>
                                  <w:gridSpan w:val="2"/>
                                  <w:tcBorders/>
                                  <w:shd w:fill="800000" w:val="clear"/>
                                </w:tcPr>
                                <w:p>
                                  <w:pPr>
                                    <w:pStyle w:val="P68B1DB1Contenudetableau9"/>
                                    <w:spacing w:before="57" w:after="57"/>
                                    <w:jc w:val="center"/>
                                    <w:rPr>
                                      <w:sz w:val="16"/>
                                    </w:rPr>
                                  </w:pPr>
                                  <w:r>
                                    <w:rPr/>
                                    <w:t xml:space="preserve">Deling af visse retninger, </w:t>
                                    <w:br/>
                                    <w:t>Afsluttende bemærkninger</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gridSpan w:val="2"/>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Plenarforsamling</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Plenum om emnet</w:t>
                                  </w:r>
                                </w:p>
                              </w:tc>
                              <w:tc>
                                <w:tcPr>
                                  <w:tcW w:w="342" w:type="dxa"/>
                                  <w:tcBorders/>
                                  <w:shd w:fill="0000FF" w:val="clear"/>
                                </w:tcPr>
                                <w:p>
                                  <w:pPr>
                                    <w:pStyle w:val="Contenudetableau"/>
                                    <w:spacing w:before="57" w:after="57"/>
                                    <w:jc w:val="right"/>
                                    <w:rPr>
                                      <w:sz w:val="16"/>
                                    </w:rPr>
                                  </w:pPr>
                                  <w:r>
                                    <w:rPr>
                                      <w:sz w:val="16"/>
                                    </w:rPr>
                                  </w:r>
                                </w:p>
                              </w:tc>
                              <w:tc>
                                <w:tcPr>
                                  <w:tcW w:w="2719" w:type="dxa"/>
                                  <w:gridSpan w:val="2"/>
                                  <w:tcBorders/>
                                  <w:shd w:fill="auto" w:val="clear"/>
                                </w:tcPr>
                                <w:p>
                                  <w:pPr>
                                    <w:pStyle w:val="P68B1DB1Contenudetableau9"/>
                                    <w:spacing w:before="57" w:after="57"/>
                                    <w:jc w:val="right"/>
                                    <w:rPr>
                                      <w:sz w:val="16"/>
                                    </w:rPr>
                                  </w:pPr>
                                  <w:r>
                                    <w:rPr/>
                                    <w:t>Møde i undergruppen</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000000"/>
                              </w:rPr>
                            </w:pPr>
                            <w:r>
                              <w:rPr>
                                <w:color w:val="000000"/>
                              </w:rPr>
                            </w:r>
                          </w:p>
                        </w:txbxContent>
                      </wps:txbx>
                      <wps:bodyPr lIns="54000" rIns="54000" tIns="54000" bIns="54000">
                        <a:noAutofit/>
                      </wps:bodyPr>
                    </wps:wsp>
                  </a:graphicData>
                </a:graphic>
              </wp:anchor>
            </w:drawing>
          </mc:Choice>
          <mc:Fallback>
            <w:pict>
              <v:rect id="shape_0" ID="Framework3" fillcolor="white" stroked="t" style="position:absolute;margin-left:8.3pt;margin-top:201.25pt;width:476.6pt;height:196.45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1"/>
                        <w:gridCol w:w="2718"/>
                        <w:gridCol w:w="401"/>
                      </w:tblGrid>
                      <w:tr>
                        <w:trPr/>
                        <w:tc>
                          <w:tcPr>
                            <w:tcW w:w="9359" w:type="dxa"/>
                            <w:gridSpan w:val="7"/>
                            <w:tcBorders/>
                            <w:shd w:fill="auto" w:val="clear"/>
                          </w:tcPr>
                          <w:p>
                            <w:pPr>
                              <w:pStyle w:val="P68B1DB1Contenudetableau9"/>
                              <w:spacing w:before="57" w:after="57"/>
                              <w:jc w:val="center"/>
                              <w:rPr>
                                <w:sz w:val="16"/>
                              </w:rPr>
                            </w:pPr>
                            <w:r>
                              <w:rPr/>
                              <w:t>MØDE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18" w:type="dxa"/>
                              <w:bottom w:w="28" w:type="dxa"/>
                              <w:right w:w="28" w:type="dxa"/>
                            </w:tcMar>
                          </w:tcPr>
                          <w:p>
                            <w:pPr>
                              <w:pStyle w:val="P68B1DB1Contenudetableau9"/>
                              <w:spacing w:before="57" w:after="57"/>
                              <w:jc w:val="center"/>
                              <w:rPr>
                                <w:sz w:val="16"/>
                              </w:rPr>
                            </w:pPr>
                            <w:r>
                              <w:rPr/>
                              <w:t xml:space="preserve">DAG 1 </w:t>
                            </w:r>
                          </w:p>
                          <w:p>
                            <w:pPr>
                              <w:pStyle w:val="P68B1DB1Contenudetableau9"/>
                              <w:spacing w:before="57" w:after="57"/>
                              <w:jc w:val="center"/>
                              <w:rPr>
                                <w:sz w:val="16"/>
                              </w:rPr>
                            </w:pPr>
                            <w:r>
                              <w:rPr/>
                              <w:t>Nyt møde til panelet og forberedelse til weekenden</w:t>
                            </w:r>
                          </w:p>
                        </w:tc>
                        <w:tc>
                          <w:tcPr>
                            <w:tcW w:w="3121" w:type="dxa"/>
                            <w:gridSpan w:val="3"/>
                            <w:tcBorders>
                              <w:top w:val="single" w:sz="4" w:space="0" w:color="0000FF"/>
                              <w:left w:val="single" w:sz="4" w:space="0" w:color="0000FF"/>
                              <w:bottom w:val="single" w:sz="4" w:space="0" w:color="0000FF"/>
                              <w:insideH w:val="single" w:sz="4" w:space="0" w:color="0000FF"/>
                            </w:tcBorders>
                            <w:shd w:fill="0000FF" w:val="clear"/>
                            <w:tcMar>
                              <w:top w:w="28" w:type="dxa"/>
                              <w:left w:w="18" w:type="dxa"/>
                              <w:bottom w:w="28" w:type="dxa"/>
                              <w:right w:w="28" w:type="dxa"/>
                            </w:tcMar>
                          </w:tcPr>
                          <w:p>
                            <w:pPr>
                              <w:pStyle w:val="P68B1DB1Contenudetableau9"/>
                              <w:spacing w:before="57" w:after="57"/>
                              <w:jc w:val="center"/>
                              <w:rPr>
                                <w:sz w:val="16"/>
                              </w:rPr>
                            </w:pPr>
                            <w:r>
                              <w:rPr/>
                              <w:t xml:space="preserve">DAG 2 </w:t>
                            </w:r>
                          </w:p>
                          <w:p>
                            <w:pPr>
                              <w:pStyle w:val="P68B1DB1Contenudetableau9"/>
                              <w:spacing w:before="57" w:after="57"/>
                              <w:jc w:val="center"/>
                              <w:rPr>
                                <w:sz w:val="16"/>
                              </w:rPr>
                            </w:pPr>
                            <w:r>
                              <w:rPr/>
                              <w:t>Ekspertinput, Problemidentifikation, Vejledningsproduktion</w:t>
                            </w:r>
                          </w:p>
                        </w:tc>
                        <w:tc>
                          <w:tcPr>
                            <w:tcW w:w="3119"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18" w:type="dxa"/>
                              <w:bottom w:w="28" w:type="dxa"/>
                              <w:right w:w="28" w:type="dxa"/>
                            </w:tcMar>
                          </w:tcPr>
                          <w:p>
                            <w:pPr>
                              <w:pStyle w:val="P68B1DB1Contenudetableau9"/>
                              <w:spacing w:before="57" w:after="57"/>
                              <w:jc w:val="center"/>
                              <w:rPr>
                                <w:sz w:val="16"/>
                              </w:rPr>
                            </w:pPr>
                            <w:r>
                              <w:rPr/>
                              <w:t xml:space="preserve">DAG 3 </w:t>
                            </w:r>
                          </w:p>
                          <w:p>
                            <w:pPr>
                              <w:pStyle w:val="P68B1DB1Contenudetableau9"/>
                              <w:spacing w:before="57" w:after="57"/>
                              <w:jc w:val="center"/>
                              <w:rPr>
                                <w:sz w:val="16"/>
                              </w:rPr>
                            </w:pPr>
                            <w:r>
                              <w:rPr/>
                              <w:t>Afslutning af retningslinjerne, afsluttende bemærkninger</w:t>
                            </w:r>
                          </w:p>
                        </w:tc>
                      </w:tr>
                      <w:tr>
                        <w:trPr/>
                        <w:tc>
                          <w:tcPr>
                            <w:tcW w:w="3119" w:type="dxa"/>
                            <w:gridSpan w:val="2"/>
                            <w:tcBorders/>
                            <w:shd w:fill="auto" w:val="clear"/>
                          </w:tcPr>
                          <w:p>
                            <w:pPr>
                              <w:pStyle w:val="Contenudetableau"/>
                              <w:spacing w:before="57" w:after="57"/>
                              <w:jc w:val="center"/>
                              <w:rPr>
                                <w:sz w:val="16"/>
                              </w:rPr>
                            </w:pPr>
                            <w:r>
                              <w:rPr>
                                <w:sz w:val="16"/>
                              </w:rPr>
                            </w:r>
                          </w:p>
                        </w:tc>
                        <w:tc>
                          <w:tcPr>
                            <w:tcW w:w="3121" w:type="dxa"/>
                            <w:gridSpan w:val="3"/>
                            <w:tcBorders/>
                            <w:shd w:fill="0000FF" w:val="clear"/>
                          </w:tcPr>
                          <w:p>
                            <w:pPr>
                              <w:pStyle w:val="P68B1DB1Contenudetableau9"/>
                              <w:spacing w:before="57" w:after="57"/>
                              <w:jc w:val="center"/>
                              <w:rPr>
                                <w:sz w:val="16"/>
                              </w:rPr>
                            </w:pPr>
                            <w:r>
                              <w:rPr/>
                              <w:t>Input fra eksperter om undertemaer</w:t>
                            </w:r>
                          </w:p>
                        </w:tc>
                        <w:tc>
                          <w:tcPr>
                            <w:tcW w:w="3119" w:type="dxa"/>
                            <w:gridSpan w:val="2"/>
                            <w:tcBorders/>
                            <w:shd w:fill="0000FF" w:val="clear"/>
                          </w:tcPr>
                          <w:p>
                            <w:pPr>
                              <w:pStyle w:val="P68B1DB1Contenudetableau9"/>
                              <w:spacing w:before="57" w:after="57"/>
                              <w:jc w:val="center"/>
                              <w:rPr>
                                <w:sz w:val="16"/>
                              </w:rPr>
                            </w:pPr>
                            <w:r>
                              <w:rPr/>
                              <w:t>Yderligere input fra eksperter</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Velkommen, </w:t>
                            </w:r>
                          </w:p>
                          <w:p>
                            <w:pPr>
                              <w:pStyle w:val="P68B1DB1Contenudetableau9"/>
                              <w:spacing w:before="57" w:after="57"/>
                              <w:jc w:val="center"/>
                              <w:rPr>
                                <w:sz w:val="16"/>
                              </w:rPr>
                            </w:pPr>
                            <w:r>
                              <w:rPr/>
                              <w:t xml:space="preserve">Ord til borgerambassadørerne for deres feedback, </w:t>
                              <w:br/>
                              <w:t>Opdatering af platform, dagsorden</w:t>
                            </w:r>
                          </w:p>
                        </w:tc>
                        <w:tc>
                          <w:tcPr>
                            <w:tcW w:w="3121" w:type="dxa"/>
                            <w:gridSpan w:val="3"/>
                            <w:tcBorders/>
                            <w:shd w:fill="00FF00" w:val="clear"/>
                          </w:tcPr>
                          <w:p>
                            <w:pPr>
                              <w:pStyle w:val="P68B1DB1Contenudetableau9"/>
                              <w:spacing w:before="57" w:after="57"/>
                              <w:jc w:val="center"/>
                              <w:rPr>
                                <w:sz w:val="16"/>
                              </w:rPr>
                            </w:pPr>
                            <w:r>
                              <w:rPr/>
                              <w:t>Udarbejdelse af retningslinjer</w:t>
                            </w:r>
                          </w:p>
                        </w:tc>
                        <w:tc>
                          <w:tcPr>
                            <w:tcW w:w="3119" w:type="dxa"/>
                            <w:gridSpan w:val="2"/>
                            <w:tcBorders/>
                            <w:shd w:fill="00FF00" w:val="clear"/>
                          </w:tcPr>
                          <w:p>
                            <w:pPr>
                              <w:pStyle w:val="P68B1DB1Contenudetableau9"/>
                              <w:spacing w:before="57" w:after="57"/>
                              <w:jc w:val="center"/>
                              <w:rPr>
                                <w:sz w:val="16"/>
                              </w:rPr>
                            </w:pPr>
                            <w:r>
                              <w:rPr/>
                              <w:t xml:space="preserve"> </w:t>
                            </w:r>
                            <w:r>
                              <w:rPr/>
                              <w:t>Færdiggørelse af retningslinjerne</w:t>
                            </w:r>
                          </w:p>
                        </w:tc>
                      </w:tr>
                      <w:tr>
                        <w:trPr/>
                        <w:tc>
                          <w:tcPr>
                            <w:tcW w:w="3119" w:type="dxa"/>
                            <w:gridSpan w:val="2"/>
                            <w:vMerge w:val="continue"/>
                            <w:tcBorders/>
                            <w:shd w:fill="800000" w:val="clear"/>
                          </w:tcPr>
                          <w:p>
                            <w:pPr>
                              <w:pStyle w:val="Normal"/>
                              <w:spacing w:before="57" w:after="57"/>
                              <w:ind w:left="0" w:right="0" w:hanging="0"/>
                              <w:rPr/>
                            </w:pPr>
                            <w:r>
                              <w:rPr/>
                            </w:r>
                          </w:p>
                        </w:tc>
                        <w:tc>
                          <w:tcPr>
                            <w:tcW w:w="3121" w:type="dxa"/>
                            <w:gridSpan w:val="3"/>
                            <w:tcBorders/>
                            <w:shd w:fill="auto" w:val="clear"/>
                          </w:tcPr>
                          <w:p>
                            <w:pPr>
                              <w:pStyle w:val="Contenudetableau"/>
                              <w:spacing w:before="57" w:after="57"/>
                              <w:jc w:val="center"/>
                              <w:rPr>
                                <w:sz w:val="16"/>
                              </w:rPr>
                            </w:pPr>
                            <w:r>
                              <w:rPr>
                                <w:sz w:val="16"/>
                              </w:rPr>
                            </w:r>
                          </w:p>
                        </w:tc>
                        <w:tc>
                          <w:tcPr>
                            <w:tcW w:w="3119" w:type="dxa"/>
                            <w:gridSpan w:val="2"/>
                            <w:tcBorders/>
                            <w:shd w:fill="800000" w:val="clear"/>
                          </w:tcPr>
                          <w:p>
                            <w:pPr>
                              <w:pStyle w:val="P68B1DB1Contenudetableau9"/>
                              <w:spacing w:before="57" w:after="57"/>
                              <w:jc w:val="center"/>
                              <w:rPr>
                                <w:sz w:val="16"/>
                              </w:rPr>
                            </w:pPr>
                            <w:r>
                              <w:rPr/>
                              <w:t xml:space="preserve">Deling af visse retninger, </w:t>
                              <w:br/>
                              <w:t>Afsluttende bemærkninger</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gridSpan w:val="2"/>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Plenarforsamling</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Plenum om emnet</w:t>
                            </w:r>
                          </w:p>
                        </w:tc>
                        <w:tc>
                          <w:tcPr>
                            <w:tcW w:w="342" w:type="dxa"/>
                            <w:tcBorders/>
                            <w:shd w:fill="0000FF" w:val="clear"/>
                          </w:tcPr>
                          <w:p>
                            <w:pPr>
                              <w:pStyle w:val="Contenudetableau"/>
                              <w:spacing w:before="57" w:after="57"/>
                              <w:jc w:val="right"/>
                              <w:rPr>
                                <w:sz w:val="16"/>
                              </w:rPr>
                            </w:pPr>
                            <w:r>
                              <w:rPr>
                                <w:sz w:val="16"/>
                              </w:rPr>
                            </w:r>
                          </w:p>
                        </w:tc>
                        <w:tc>
                          <w:tcPr>
                            <w:tcW w:w="2719" w:type="dxa"/>
                            <w:gridSpan w:val="2"/>
                            <w:tcBorders/>
                            <w:shd w:fill="auto" w:val="clear"/>
                          </w:tcPr>
                          <w:p>
                            <w:pPr>
                              <w:pStyle w:val="P68B1DB1Contenudetableau9"/>
                              <w:spacing w:before="57" w:after="57"/>
                              <w:jc w:val="right"/>
                              <w:rPr>
                                <w:sz w:val="16"/>
                              </w:rPr>
                            </w:pPr>
                            <w:r>
                              <w:rPr/>
                              <w:t>Møde i undergruppen</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000000"/>
                        </w:rPr>
                      </w:pPr>
                      <w:r>
                        <w:rPr>
                          <w:color w:val="000000"/>
                        </w:rPr>
                      </w:r>
                    </w:p>
                  </w:txbxContent>
                </v:textbox>
              </v:rect>
            </w:pict>
          </mc:Fallback>
        </mc:AlternateContent>
      </w:r>
      <w:r>
        <w:rPr/>
        <w:t xml:space="preserve"> </w:t>
      </w:r>
      <w:r>
        <w:rPr/>
        <w:t>i plenum med alle deltagerne. Plenarforsamlingerne blev ledet af to hovedmoderatorer. De prioriterede emner, der blev resultatet af drøftelserne, blev opdelt i "akse" (svarende til de tematiske klynger) og "sub-akse" og dannede grundlag for den anden række af møder. Med henblik herpå modtog deltagerne baggrundsoplysninger om temaerne samt relevante input, herunder analyser og konceptuelle skemaer, fra den første interimsrapport om den flersprogede digitale platform og præsentationer af eksterne eksperter på højt plan.</w:t>
      </w:r>
    </w:p>
    <w:p>
      <w:pPr>
        <w:pStyle w:val="Corpsdetexte"/>
        <w:rPr/>
      </w:pPr>
      <w:r>
        <w:rPr/>
        <w:t>På de første møder blev de 20 personer, der blev anmodet om at repræsentere hver af panelerne på plenarforsamlingen, udvalgt blandt de frivillige borgere; i den forbindelse blev han overvåget for mangfoldigheden af ​​alder og køn.</w:t>
      </w:r>
    </w:p>
    <w:p>
      <w:pPr>
        <w:pStyle w:val="Titre4"/>
        <w:numPr>
          <w:ilvl w:val="3"/>
          <w:numId w:val="2"/>
        </w:numPr>
        <w:rPr/>
      </w:pPr>
      <w:bookmarkStart w:id="12" w:name="__RefHeading___Toc298198_1346298689"/>
      <w:bookmarkEnd w:id="12"/>
      <w:r>
        <w:rPr/>
        <w:t>ANDEN RUNDE AF PANELSESSIONER</w:t>
      </w:r>
    </w:p>
    <w:p>
      <w:pPr>
        <w:pStyle w:val="Corpsdetexte"/>
        <w:rPr/>
      </w:pPr>
      <w:r>
        <w:rPr/>
        <w:t>De europæiske borgerpaneler fortsatte deres arbejde ved at mødes online i hele november. Der er indført en særlig ordning til dette formål: et studie i Bruxelles var vært for de vigtigste moderations- og plenarmøder, mens deltagende borgere fra hele EU kunne gribe ind gennem et system med forbindelse og tolkning.</w:t>
      </w:r>
    </w:p>
    <w:p>
      <w:pPr>
        <w:pStyle w:val="Corpsdetexte"/>
        <w:rPr/>
      </w:pPr>
      <w:r>
        <w:rPr/>
        <w:t>I anden runde af møderne identificerede og drøftede borgerne med støtte fra eksperter og faktatjekkere en række specifikke spørgsmål og udarbejdede retningslinjer for hver af de tematiske akser, de havde identificeret under den første session. Der er lagt særlig vægt på kønsfordeling og geografisk balance i ekspertgruppen, og at hver af disse eksperter gennem deres bidrag informerer borgerne indgående ved at formidle fakta og/eller fremskridt i debatten og undlade at afgive personlige udtalelser. Borgerne fik også de foreløbige rapporter fra den flersprogede digitale platform.</w:t>
      </w:r>
    </w:p>
    <w:p>
      <w:pPr>
        <w:pStyle w:val="Corpsdetexte"/>
        <w:rPr/>
      </w:pPr>
      <w:r>
        <w:rPr/>
        <w:t>De var således i stand til at identificere og drøfte spørgsmål vedrørende de temaer, de fik tildelt, på grundlag af input fra eksperterne om de emner, der var omfattet, og deres egen viden og erfaringer under drøftelserne under anden runde af møderne. Problemer er defineret som problemer, der kræver løsninger eller situationer, der kræver forandring.</w:t>
      </w:r>
    </w:p>
    <w:p>
      <w:pPr>
        <w:pStyle w:val="Corpsdetexte"/>
        <w:rPr/>
      </w:pPr>
      <w:r>
        <w:rPr/>
        <w:t>Borgerne behandlede derefter disse spørgsmål ved at udarbejde retningslinjer, det første skridt hen imod formuleringen af anbefalinger, som var formålet med den tredje række af møder. Borgerne blev også bedt om at begrunde disse retningslinjer.</w:t>
      </w:r>
    </w:p>
    <w:p>
      <w:pPr>
        <w:pStyle w:val="Corpsdetexte"/>
        <w:rPr/>
      </w:pPr>
      <w:r>
        <w:rPr/>
        <w:t>Drøftelserne og det kollektive arbejde fandt sted i tre formater:</w:t>
      </w:r>
    </w:p>
    <w:p>
      <w:pPr>
        <w:pStyle w:val="Alineanegatifpuce"/>
        <w:numPr>
          <w:ilvl w:val="0"/>
          <w:numId w:val="3"/>
        </w:numPr>
        <w:spacing w:before="4843"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8380" cy="3075940"/>
                <wp:effectExtent l="0" t="0" r="0" b="0"/>
                <wp:wrapSquare wrapText="bothSides"/>
                <wp:docPr id="18" name="Framework4"/>
                <a:graphic xmlns:a="http://schemas.openxmlformats.org/drawingml/2006/main">
                  <a:graphicData uri="http://schemas.microsoft.com/office/word/2010/wordprocessingShape">
                    <wps:wsp>
                      <wps:cNvSpPr/>
                      <wps:spPr>
                        <a:xfrm>
                          <a:off x="0" y="0"/>
                          <a:ext cx="6087600" cy="307548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MØDE 3</w:t>
                                  </w:r>
                                </w:p>
                              </w:tc>
                            </w:tr>
                            <w:tr>
                              <w:trPr/>
                              <w:tc>
                                <w:tcPr>
                                  <w:tcW w:w="3138" w:type="dxa"/>
                                  <w:tcBorders/>
                                  <w:shd w:fill="0000FF" w:val="clear"/>
                                </w:tcPr>
                                <w:p>
                                  <w:pPr>
                                    <w:pStyle w:val="P68B1DB1Contenudetableau10"/>
                                    <w:spacing w:before="57" w:after="57"/>
                                    <w:jc w:val="center"/>
                                    <w:rPr>
                                      <w:b/>
                                      <w:b/>
                                    </w:rPr>
                                  </w:pPr>
                                  <w:r>
                                    <w:rPr/>
                                    <w:t xml:space="preserve">DAG 1 </w:t>
                                  </w:r>
                                </w:p>
                                <w:p>
                                  <w:pPr>
                                    <w:pStyle w:val="Contenudetableau"/>
                                    <w:spacing w:before="57" w:after="57"/>
                                    <w:jc w:val="center"/>
                                    <w:rPr/>
                                  </w:pPr>
                                  <w:r>
                                    <w:rPr/>
                                    <w:t>Gentilslutning, prioritering og påbegyndelse af arbejdet</w:t>
                                  </w:r>
                                </w:p>
                              </w:tc>
                              <w:tc>
                                <w:tcPr>
                                  <w:tcW w:w="3138" w:type="dxa"/>
                                  <w:tcBorders/>
                                  <w:shd w:fill="0000FF" w:val="clear"/>
                                </w:tcPr>
                                <w:p>
                                  <w:pPr>
                                    <w:pStyle w:val="P68B1DB1Contenudetableau10"/>
                                    <w:spacing w:before="57" w:after="57"/>
                                    <w:jc w:val="center"/>
                                    <w:rPr>
                                      <w:b/>
                                      <w:b/>
                                    </w:rPr>
                                  </w:pPr>
                                  <w:r>
                                    <w:rPr/>
                                    <w:t xml:space="preserve">DAG 2 </w:t>
                                  </w:r>
                                </w:p>
                                <w:p>
                                  <w:pPr>
                                    <w:pStyle w:val="Contenudetableau"/>
                                    <w:jc w:val="center"/>
                                    <w:rPr/>
                                  </w:pPr>
                                  <w:r>
                                    <w:rPr/>
                                    <w:t xml:space="preserve">Ændring af retningslinjer </w:t>
                                  </w:r>
                                </w:p>
                                <w:p>
                                  <w:pPr>
                                    <w:pStyle w:val="Contenudetableau"/>
                                    <w:spacing w:before="57" w:after="57"/>
                                    <w:jc w:val="center"/>
                                    <w:rPr/>
                                  </w:pPr>
                                  <w:r>
                                    <w:rPr/>
                                    <w:t>endelige anbefalinger</w:t>
                                  </w:r>
                                </w:p>
                              </w:tc>
                              <w:tc>
                                <w:tcPr>
                                  <w:tcW w:w="3138" w:type="dxa"/>
                                  <w:tcBorders/>
                                  <w:shd w:fill="0000FF" w:val="clear"/>
                                </w:tcPr>
                                <w:p>
                                  <w:pPr>
                                    <w:pStyle w:val="P68B1DB1Contenudetableau10"/>
                                    <w:spacing w:before="57" w:after="57"/>
                                    <w:jc w:val="center"/>
                                    <w:rPr>
                                      <w:b/>
                                      <w:b/>
                                    </w:rPr>
                                  </w:pPr>
                                  <w:r>
                                    <w:rPr/>
                                    <w:t xml:space="preserve">DAG 3 </w:t>
                                  </w:r>
                                </w:p>
                                <w:p>
                                  <w:pPr>
                                    <w:pStyle w:val="Contenudetableau"/>
                                    <w:spacing w:before="57" w:after="57"/>
                                    <w:jc w:val="center"/>
                                    <w:rPr/>
                                  </w:pPr>
                                  <w:r>
                                    <w:rPr/>
                                    <w:t>Afstemning om endelige henstillinger</w:t>
                                  </w:r>
                                </w:p>
                              </w:tc>
                            </w:tr>
                            <w:tr>
                              <w:trPr/>
                              <w:tc>
                                <w:tcPr>
                                  <w:tcW w:w="3138" w:type="dxa"/>
                                  <w:tcBorders/>
                                  <w:shd w:fill="800000" w:val="clear"/>
                                </w:tcPr>
                                <w:p>
                                  <w:pPr>
                                    <w:pStyle w:val="Contenudetableau"/>
                                    <w:spacing w:before="57" w:after="57"/>
                                    <w:jc w:val="center"/>
                                    <w:rPr/>
                                  </w:pPr>
                                  <w:r>
                                    <w:rPr/>
                                    <w:t>Velkommen og mål for weekenden</w:t>
                                  </w:r>
                                </w:p>
                              </w:tc>
                              <w:tc>
                                <w:tcPr>
                                  <w:tcW w:w="3138" w:type="dxa"/>
                                  <w:tcBorders/>
                                  <w:shd w:fill="00FF00" w:val="clear"/>
                                </w:tcPr>
                                <w:p>
                                  <w:pPr>
                                    <w:pStyle w:val="Contenudetableau"/>
                                    <w:spacing w:before="57" w:after="57"/>
                                    <w:jc w:val="center"/>
                                    <w:rPr/>
                                  </w:pPr>
                                  <w:r>
                                    <w:rPr/>
                                    <w:t>Omdannelse af vejledning til anbefalinger</w:t>
                                  </w:r>
                                </w:p>
                              </w:tc>
                              <w:tc>
                                <w:tcPr>
                                  <w:tcW w:w="3138" w:type="dxa"/>
                                  <w:tcBorders/>
                                  <w:shd w:fill="800000" w:val="clear"/>
                                </w:tcPr>
                                <w:p>
                                  <w:pPr>
                                    <w:pStyle w:val="Contenudetableau"/>
                                    <w:spacing w:before="57" w:after="57"/>
                                    <w:jc w:val="center"/>
                                    <w:rPr/>
                                  </w:pPr>
                                  <w:r>
                                    <w:rPr/>
                                    <w:t>Afstemning om endelige henstillinger</w:t>
                                  </w:r>
                                </w:p>
                              </w:tc>
                            </w:tr>
                            <w:tr>
                              <w:trPr/>
                              <w:tc>
                                <w:tcPr>
                                  <w:tcW w:w="3138" w:type="dxa"/>
                                  <w:tcBorders/>
                                  <w:shd w:fill="0000FF" w:val="clear"/>
                                </w:tcPr>
                                <w:p>
                                  <w:pPr>
                                    <w:pStyle w:val="Contenudetableau"/>
                                    <w:spacing w:before="57" w:after="57"/>
                                    <w:jc w:val="center"/>
                                    <w:rPr/>
                                  </w:pPr>
                                  <w:r>
                                    <w:rPr/>
                                    <w:t xml:space="preserve">Åbent forum, </w:t>
                                  </w:r>
                                </w:p>
                                <w:p>
                                  <w:pPr>
                                    <w:pStyle w:val="Contenudetableau"/>
                                    <w:spacing w:before="57" w:after="57"/>
                                    <w:jc w:val="center"/>
                                    <w:rPr/>
                                  </w:pPr>
                                  <w:r>
                                    <w:rPr/>
                                    <w:t>Læsning og prioritering af retningslinjer</w:t>
                                  </w:r>
                                </w:p>
                              </w:tc>
                              <w:tc>
                                <w:tcPr>
                                  <w:tcW w:w="3138" w:type="dxa"/>
                                  <w:tcBorders/>
                                  <w:shd w:fill="00FF00" w:val="clear"/>
                                </w:tcPr>
                                <w:p>
                                  <w:pPr>
                                    <w:pStyle w:val="Contenudetableau"/>
                                    <w:spacing w:before="57" w:after="57"/>
                                    <w:jc w:val="center"/>
                                    <w:rPr/>
                                  </w:pPr>
                                  <w:r>
                                    <w:rPr/>
                                    <w:t>Feedback til andre grupper, afslutning af anbefalinger</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Omdannelse af vejledning til anbefalinger</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00000A"/>
                              </w:rPr>
                            </w:pPr>
                            <w:r>
                              <w:rPr>
                                <w:color w:val="00000A"/>
                              </w:rPr>
                            </w:r>
                          </w:p>
                          <w:tbl>
                            <w:tblPr>
                              <w:tblW w:w="9414" w:type="dxa"/>
                              <w:jc w:val="left"/>
                              <w:tblInd w:w="0" w:type="dxa"/>
                              <w:tblBorders/>
                              <w:tblCellMar>
                                <w:top w:w="0" w:type="dxa"/>
                                <w:left w:w="0" w:type="dxa"/>
                                <w:bottom w:w="0" w:type="dxa"/>
                                <w:right w:w="0" w:type="dxa"/>
                              </w:tblCellMar>
                            </w:tblPr>
                            <w:tblGrid>
                              <w:gridCol w:w="2790"/>
                              <w:gridCol w:w="347"/>
                              <w:gridCol w:w="2794"/>
                              <w:gridCol w:w="346"/>
                              <w:gridCol w:w="2735"/>
                              <w:gridCol w:w="401"/>
                            </w:tblGrid>
                            <w:tr>
                              <w:trPr/>
                              <w:tc>
                                <w:tcPr>
                                  <w:tcW w:w="2790" w:type="dxa"/>
                                  <w:tcBorders/>
                                  <w:shd w:fill="auto" w:val="clear"/>
                                </w:tcPr>
                                <w:p>
                                  <w:pPr>
                                    <w:pStyle w:val="P68B1DB1Contenudetableau9"/>
                                    <w:spacing w:before="57" w:after="57"/>
                                    <w:jc w:val="right"/>
                                    <w:rPr>
                                      <w:sz w:val="16"/>
                                    </w:rPr>
                                  </w:pPr>
                                  <w:r>
                                    <w:rPr>
                                      <w:color w:val="00000A"/>
                                    </w:rPr>
                                    <w:t>Plenarforsamling</w:t>
                                  </w:r>
                                </w:p>
                              </w:tc>
                              <w:tc>
                                <w:tcPr>
                                  <w:tcW w:w="347" w:type="dxa"/>
                                  <w:tcBorders/>
                                  <w:shd w:fill="800000" w:val="clear"/>
                                </w:tcPr>
                                <w:p>
                                  <w:pPr>
                                    <w:pStyle w:val="Contenudetableau"/>
                                    <w:spacing w:before="57" w:after="57"/>
                                    <w:jc w:val="right"/>
                                    <w:rPr>
                                      <w:color w:val="00000A"/>
                                      <w:sz w:val="16"/>
                                    </w:rPr>
                                  </w:pPr>
                                  <w:r>
                                    <w:rPr>
                                      <w:color w:val="00000A"/>
                                      <w:sz w:val="16"/>
                                    </w:rPr>
                                  </w:r>
                                </w:p>
                              </w:tc>
                              <w:tc>
                                <w:tcPr>
                                  <w:tcW w:w="2794" w:type="dxa"/>
                                  <w:tcBorders/>
                                  <w:shd w:fill="auto" w:val="clear"/>
                                </w:tcPr>
                                <w:p>
                                  <w:pPr>
                                    <w:pStyle w:val="P68B1DB1Contenudetableau9"/>
                                    <w:spacing w:before="57" w:after="57"/>
                                    <w:jc w:val="right"/>
                                    <w:rPr>
                                      <w:sz w:val="16"/>
                                    </w:rPr>
                                  </w:pPr>
                                  <w:r>
                                    <w:rPr>
                                      <w:color w:val="00000A"/>
                                    </w:rPr>
                                    <w:t>Åbent forum</w:t>
                                  </w:r>
                                </w:p>
                              </w:tc>
                              <w:tc>
                                <w:tcPr>
                                  <w:tcW w:w="346" w:type="dxa"/>
                                  <w:tcBorders/>
                                  <w:shd w:fill="0000FF" w:val="clear"/>
                                </w:tcPr>
                                <w:p>
                                  <w:pPr>
                                    <w:pStyle w:val="Contenudetableau"/>
                                    <w:spacing w:before="57" w:after="57"/>
                                    <w:jc w:val="right"/>
                                    <w:rPr>
                                      <w:color w:val="00000A"/>
                                      <w:sz w:val="16"/>
                                    </w:rPr>
                                  </w:pPr>
                                  <w:r>
                                    <w:rPr>
                                      <w:color w:val="00000A"/>
                                      <w:sz w:val="16"/>
                                    </w:rPr>
                                  </w:r>
                                </w:p>
                              </w:tc>
                              <w:tc>
                                <w:tcPr>
                                  <w:tcW w:w="2735" w:type="dxa"/>
                                  <w:tcBorders/>
                                  <w:shd w:fill="auto" w:val="clear"/>
                                </w:tcPr>
                                <w:p>
                                  <w:pPr>
                                    <w:pStyle w:val="P68B1DB1Contenudetableau9"/>
                                    <w:spacing w:before="57" w:after="57"/>
                                    <w:jc w:val="right"/>
                                    <w:rPr>
                                      <w:sz w:val="16"/>
                                    </w:rPr>
                                  </w:pPr>
                                  <w:r>
                                    <w:rPr>
                                      <w:color w:val="00000A"/>
                                    </w:rPr>
                                    <w:t>Undergruppens arbejde</w:t>
                                  </w:r>
                                </w:p>
                              </w:tc>
                              <w:tc>
                                <w:tcPr>
                                  <w:tcW w:w="401" w:type="dxa"/>
                                  <w:tcBorders/>
                                  <w:shd w:fill="00FF00" w:val="clear"/>
                                </w:tcPr>
                                <w:p>
                                  <w:pPr>
                                    <w:pStyle w:val="Contenudetableau"/>
                                    <w:spacing w:before="57" w:after="57"/>
                                    <w:rPr>
                                      <w:color w:val="00000A"/>
                                      <w:sz w:val="16"/>
                                    </w:rPr>
                                  </w:pPr>
                                  <w:r>
                                    <w:rPr>
                                      <w:color w:val="00000A"/>
                                      <w:sz w:val="16"/>
                                    </w:rPr>
                                  </w:r>
                                </w:p>
                              </w:tc>
                            </w:tr>
                          </w:tbl>
                          <w:p>
                            <w:pPr>
                              <w:pStyle w:val="Normal"/>
                              <w:spacing w:before="57" w:after="57"/>
                              <w:rPr/>
                            </w:pPr>
                            <w:r>
                              <w:rPr/>
                            </w:r>
                          </w:p>
                        </w:txbxContent>
                      </wps:txbx>
                      <wps:bodyPr lIns="54000" rIns="54000" tIns="54000" bIns="54000">
                        <a:noAutofit/>
                      </wps:bodyPr>
                    </wps:wsp>
                  </a:graphicData>
                </a:graphic>
              </wp:anchor>
            </w:drawing>
          </mc:Choice>
          <mc:Fallback>
            <w:pict>
              <v:rect id="shape_0" ID="Framework4" fillcolor="white" stroked="t" style="position:absolute;margin-left:3.7pt;margin-top:123.8pt;width:479.3pt;height:242.1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MØDE 3</w:t>
                            </w:r>
                          </w:p>
                        </w:tc>
                      </w:tr>
                      <w:tr>
                        <w:trPr/>
                        <w:tc>
                          <w:tcPr>
                            <w:tcW w:w="3138" w:type="dxa"/>
                            <w:tcBorders/>
                            <w:shd w:fill="0000FF" w:val="clear"/>
                          </w:tcPr>
                          <w:p>
                            <w:pPr>
                              <w:pStyle w:val="P68B1DB1Contenudetableau10"/>
                              <w:spacing w:before="57" w:after="57"/>
                              <w:jc w:val="center"/>
                              <w:rPr>
                                <w:b/>
                                <w:b/>
                              </w:rPr>
                            </w:pPr>
                            <w:r>
                              <w:rPr/>
                              <w:t xml:space="preserve">DAG 1 </w:t>
                            </w:r>
                          </w:p>
                          <w:p>
                            <w:pPr>
                              <w:pStyle w:val="Contenudetableau"/>
                              <w:spacing w:before="57" w:after="57"/>
                              <w:jc w:val="center"/>
                              <w:rPr/>
                            </w:pPr>
                            <w:r>
                              <w:rPr/>
                              <w:t>Gentilslutning, prioritering og påbegyndelse af arbejdet</w:t>
                            </w:r>
                          </w:p>
                        </w:tc>
                        <w:tc>
                          <w:tcPr>
                            <w:tcW w:w="3138" w:type="dxa"/>
                            <w:tcBorders/>
                            <w:shd w:fill="0000FF" w:val="clear"/>
                          </w:tcPr>
                          <w:p>
                            <w:pPr>
                              <w:pStyle w:val="P68B1DB1Contenudetableau10"/>
                              <w:spacing w:before="57" w:after="57"/>
                              <w:jc w:val="center"/>
                              <w:rPr>
                                <w:b/>
                                <w:b/>
                              </w:rPr>
                            </w:pPr>
                            <w:r>
                              <w:rPr/>
                              <w:t xml:space="preserve">DAG 2 </w:t>
                            </w:r>
                          </w:p>
                          <w:p>
                            <w:pPr>
                              <w:pStyle w:val="Contenudetableau"/>
                              <w:jc w:val="center"/>
                              <w:rPr/>
                            </w:pPr>
                            <w:r>
                              <w:rPr/>
                              <w:t xml:space="preserve">Ændring af retningslinjer </w:t>
                            </w:r>
                          </w:p>
                          <w:p>
                            <w:pPr>
                              <w:pStyle w:val="Contenudetableau"/>
                              <w:spacing w:before="57" w:after="57"/>
                              <w:jc w:val="center"/>
                              <w:rPr/>
                            </w:pPr>
                            <w:r>
                              <w:rPr/>
                              <w:t>endelige anbefalinger</w:t>
                            </w:r>
                          </w:p>
                        </w:tc>
                        <w:tc>
                          <w:tcPr>
                            <w:tcW w:w="3138" w:type="dxa"/>
                            <w:tcBorders/>
                            <w:shd w:fill="0000FF" w:val="clear"/>
                          </w:tcPr>
                          <w:p>
                            <w:pPr>
                              <w:pStyle w:val="P68B1DB1Contenudetableau10"/>
                              <w:spacing w:before="57" w:after="57"/>
                              <w:jc w:val="center"/>
                              <w:rPr>
                                <w:b/>
                                <w:b/>
                              </w:rPr>
                            </w:pPr>
                            <w:r>
                              <w:rPr/>
                              <w:t xml:space="preserve">DAG 3 </w:t>
                            </w:r>
                          </w:p>
                          <w:p>
                            <w:pPr>
                              <w:pStyle w:val="Contenudetableau"/>
                              <w:spacing w:before="57" w:after="57"/>
                              <w:jc w:val="center"/>
                              <w:rPr/>
                            </w:pPr>
                            <w:r>
                              <w:rPr/>
                              <w:t>Afstemning om endelige henstillinger</w:t>
                            </w:r>
                          </w:p>
                        </w:tc>
                      </w:tr>
                      <w:tr>
                        <w:trPr/>
                        <w:tc>
                          <w:tcPr>
                            <w:tcW w:w="3138" w:type="dxa"/>
                            <w:tcBorders/>
                            <w:shd w:fill="800000" w:val="clear"/>
                          </w:tcPr>
                          <w:p>
                            <w:pPr>
                              <w:pStyle w:val="Contenudetableau"/>
                              <w:spacing w:before="57" w:after="57"/>
                              <w:jc w:val="center"/>
                              <w:rPr/>
                            </w:pPr>
                            <w:r>
                              <w:rPr/>
                              <w:t>Velkommen og mål for weekenden</w:t>
                            </w:r>
                          </w:p>
                        </w:tc>
                        <w:tc>
                          <w:tcPr>
                            <w:tcW w:w="3138" w:type="dxa"/>
                            <w:tcBorders/>
                            <w:shd w:fill="00FF00" w:val="clear"/>
                          </w:tcPr>
                          <w:p>
                            <w:pPr>
                              <w:pStyle w:val="Contenudetableau"/>
                              <w:spacing w:before="57" w:after="57"/>
                              <w:jc w:val="center"/>
                              <w:rPr/>
                            </w:pPr>
                            <w:r>
                              <w:rPr/>
                              <w:t>Omdannelse af vejledning til anbefalinger</w:t>
                            </w:r>
                          </w:p>
                        </w:tc>
                        <w:tc>
                          <w:tcPr>
                            <w:tcW w:w="3138" w:type="dxa"/>
                            <w:tcBorders/>
                            <w:shd w:fill="800000" w:val="clear"/>
                          </w:tcPr>
                          <w:p>
                            <w:pPr>
                              <w:pStyle w:val="Contenudetableau"/>
                              <w:spacing w:before="57" w:after="57"/>
                              <w:jc w:val="center"/>
                              <w:rPr/>
                            </w:pPr>
                            <w:r>
                              <w:rPr/>
                              <w:t>Afstemning om endelige henstillinger</w:t>
                            </w:r>
                          </w:p>
                        </w:tc>
                      </w:tr>
                      <w:tr>
                        <w:trPr/>
                        <w:tc>
                          <w:tcPr>
                            <w:tcW w:w="3138" w:type="dxa"/>
                            <w:tcBorders/>
                            <w:shd w:fill="0000FF" w:val="clear"/>
                          </w:tcPr>
                          <w:p>
                            <w:pPr>
                              <w:pStyle w:val="Contenudetableau"/>
                              <w:spacing w:before="57" w:after="57"/>
                              <w:jc w:val="center"/>
                              <w:rPr/>
                            </w:pPr>
                            <w:r>
                              <w:rPr/>
                              <w:t xml:space="preserve">Åbent forum, </w:t>
                            </w:r>
                          </w:p>
                          <w:p>
                            <w:pPr>
                              <w:pStyle w:val="Contenudetableau"/>
                              <w:spacing w:before="57" w:after="57"/>
                              <w:jc w:val="center"/>
                              <w:rPr/>
                            </w:pPr>
                            <w:r>
                              <w:rPr/>
                              <w:t>Læsning og prioritering af retningslinjer</w:t>
                            </w:r>
                          </w:p>
                        </w:tc>
                        <w:tc>
                          <w:tcPr>
                            <w:tcW w:w="3138" w:type="dxa"/>
                            <w:tcBorders/>
                            <w:shd w:fill="00FF00" w:val="clear"/>
                          </w:tcPr>
                          <w:p>
                            <w:pPr>
                              <w:pStyle w:val="Contenudetableau"/>
                              <w:spacing w:before="57" w:after="57"/>
                              <w:jc w:val="center"/>
                              <w:rPr/>
                            </w:pPr>
                            <w:r>
                              <w:rPr/>
                              <w:t>Feedback til andre grupper, afslutning af anbefalinger</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Omdannelse af vejledning til anbefalinger</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00000A"/>
                        </w:rPr>
                      </w:pPr>
                      <w:r>
                        <w:rPr>
                          <w:color w:val="00000A"/>
                        </w:rPr>
                      </w:r>
                    </w:p>
                    <w:tbl>
                      <w:tblPr>
                        <w:tblW w:w="9414" w:type="dxa"/>
                        <w:jc w:val="left"/>
                        <w:tblInd w:w="0" w:type="dxa"/>
                        <w:tblBorders/>
                        <w:tblCellMar>
                          <w:top w:w="0" w:type="dxa"/>
                          <w:left w:w="0" w:type="dxa"/>
                          <w:bottom w:w="0" w:type="dxa"/>
                          <w:right w:w="0" w:type="dxa"/>
                        </w:tblCellMar>
                      </w:tblPr>
                      <w:tblGrid>
                        <w:gridCol w:w="2790"/>
                        <w:gridCol w:w="347"/>
                        <w:gridCol w:w="2794"/>
                        <w:gridCol w:w="346"/>
                        <w:gridCol w:w="2735"/>
                        <w:gridCol w:w="401"/>
                      </w:tblGrid>
                      <w:tr>
                        <w:trPr/>
                        <w:tc>
                          <w:tcPr>
                            <w:tcW w:w="2790" w:type="dxa"/>
                            <w:tcBorders/>
                            <w:shd w:fill="auto" w:val="clear"/>
                          </w:tcPr>
                          <w:p>
                            <w:pPr>
                              <w:pStyle w:val="P68B1DB1Contenudetableau9"/>
                              <w:spacing w:before="57" w:after="57"/>
                              <w:jc w:val="right"/>
                              <w:rPr>
                                <w:sz w:val="16"/>
                              </w:rPr>
                            </w:pPr>
                            <w:r>
                              <w:rPr>
                                <w:color w:val="00000A"/>
                              </w:rPr>
                              <w:t>Plenarforsamling</w:t>
                            </w:r>
                          </w:p>
                        </w:tc>
                        <w:tc>
                          <w:tcPr>
                            <w:tcW w:w="347" w:type="dxa"/>
                            <w:tcBorders/>
                            <w:shd w:fill="800000" w:val="clear"/>
                          </w:tcPr>
                          <w:p>
                            <w:pPr>
                              <w:pStyle w:val="Contenudetableau"/>
                              <w:spacing w:before="57" w:after="57"/>
                              <w:jc w:val="right"/>
                              <w:rPr>
                                <w:color w:val="00000A"/>
                                <w:sz w:val="16"/>
                              </w:rPr>
                            </w:pPr>
                            <w:r>
                              <w:rPr>
                                <w:color w:val="00000A"/>
                                <w:sz w:val="16"/>
                              </w:rPr>
                            </w:r>
                          </w:p>
                        </w:tc>
                        <w:tc>
                          <w:tcPr>
                            <w:tcW w:w="2794" w:type="dxa"/>
                            <w:tcBorders/>
                            <w:shd w:fill="auto" w:val="clear"/>
                          </w:tcPr>
                          <w:p>
                            <w:pPr>
                              <w:pStyle w:val="P68B1DB1Contenudetableau9"/>
                              <w:spacing w:before="57" w:after="57"/>
                              <w:jc w:val="right"/>
                              <w:rPr>
                                <w:sz w:val="16"/>
                              </w:rPr>
                            </w:pPr>
                            <w:r>
                              <w:rPr>
                                <w:color w:val="00000A"/>
                              </w:rPr>
                              <w:t>Åbent forum</w:t>
                            </w:r>
                          </w:p>
                        </w:tc>
                        <w:tc>
                          <w:tcPr>
                            <w:tcW w:w="346" w:type="dxa"/>
                            <w:tcBorders/>
                            <w:shd w:fill="0000FF" w:val="clear"/>
                          </w:tcPr>
                          <w:p>
                            <w:pPr>
                              <w:pStyle w:val="Contenudetableau"/>
                              <w:spacing w:before="57" w:after="57"/>
                              <w:jc w:val="right"/>
                              <w:rPr>
                                <w:color w:val="00000A"/>
                                <w:sz w:val="16"/>
                              </w:rPr>
                            </w:pPr>
                            <w:r>
                              <w:rPr>
                                <w:color w:val="00000A"/>
                                <w:sz w:val="16"/>
                              </w:rPr>
                            </w:r>
                          </w:p>
                        </w:tc>
                        <w:tc>
                          <w:tcPr>
                            <w:tcW w:w="2735" w:type="dxa"/>
                            <w:tcBorders/>
                            <w:shd w:fill="auto" w:val="clear"/>
                          </w:tcPr>
                          <w:p>
                            <w:pPr>
                              <w:pStyle w:val="P68B1DB1Contenudetableau9"/>
                              <w:spacing w:before="57" w:after="57"/>
                              <w:jc w:val="right"/>
                              <w:rPr>
                                <w:sz w:val="16"/>
                              </w:rPr>
                            </w:pPr>
                            <w:r>
                              <w:rPr>
                                <w:color w:val="00000A"/>
                              </w:rPr>
                              <w:t>Undergruppens arbejde</w:t>
                            </w:r>
                          </w:p>
                        </w:tc>
                        <w:tc>
                          <w:tcPr>
                            <w:tcW w:w="401" w:type="dxa"/>
                            <w:tcBorders/>
                            <w:shd w:fill="00FF00" w:val="clear"/>
                          </w:tcPr>
                          <w:p>
                            <w:pPr>
                              <w:pStyle w:val="Contenudetableau"/>
                              <w:spacing w:before="57" w:after="57"/>
                              <w:rPr>
                                <w:color w:val="00000A"/>
                                <w:sz w:val="16"/>
                              </w:rPr>
                            </w:pPr>
                            <w:r>
                              <w:rPr>
                                <w:color w:val="00000A"/>
                                <w:sz w:val="16"/>
                              </w:rPr>
                            </w:r>
                          </w:p>
                        </w:tc>
                      </w:tr>
                    </w:tbl>
                    <w:p>
                      <w:pPr>
                        <w:pStyle w:val="Normal"/>
                        <w:spacing w:before="57" w:after="57"/>
                        <w:rPr/>
                      </w:pPr>
                      <w:r>
                        <w:rPr/>
                      </w:r>
                    </w:p>
                  </w:txbxContent>
                </v:textbox>
              </v:rect>
            </w:pict>
          </mc:Fallback>
        </mc:AlternateContent>
      </w:r>
      <w:r>
        <w:rPr/>
        <w:t xml:space="preserve"> </w:t>
      </w:r>
      <w:r>
        <w:rPr/>
        <w:t>i undergrupper. Hver af de femten undergrupper bestod af tolv til fjorten borgere. Der blev anvendt fire til fem sprog i hver undergruppe for at give borgerne mulighed for at udtrykke sig på deres eget sprog eller på et sprog, som de følte sig trygge ved. Hver undergruppe havde en professionel facilitator fra konsortiet af eksterne tjenesteydere.</w:t>
      </w:r>
    </w:p>
    <w:p>
      <w:pPr>
        <w:pStyle w:val="Alineanegatifpuce"/>
        <w:numPr>
          <w:ilvl w:val="0"/>
          <w:numId w:val="3"/>
        </w:numPr>
        <w:rPr/>
      </w:pPr>
      <w:r>
        <w:rPr/>
        <w:t xml:space="preserve"> </w:t>
      </w:r>
      <w:r>
        <w:rPr/>
        <w:t>på plenarforsamlingen afsat til en arbejdsstrøm. Hver plenarforsamling, der var afsat til en arbejdsakse, samlede de undergrupper, der arbejdede med den samme tematiske akse. De plenarforsamlinger, der var afsat til en arbejdsstrøm, blev lettet af professionelle formidlere med tolkning, der dækker alle de sprog, som deltagerne har brug for.</w:t>
      </w:r>
    </w:p>
    <w:p>
      <w:pPr>
        <w:pStyle w:val="Alineanegatifpuce"/>
        <w:numPr>
          <w:ilvl w:val="0"/>
          <w:numId w:val="3"/>
        </w:numPr>
        <w:rPr/>
      </w:pPr>
      <w:r>
        <w:rPr/>
        <w:t xml:space="preserve"> </w:t>
      </w:r>
      <w:r>
        <w:rPr/>
        <w:t>i plenum med alle de deltagende borgere for at præsentere og afslutte plenarforsamlingen. Plenarforsamlingerne blev ledet af to hovedmoderatorer i konsortiet med tolkning på de 24 officielle EU-sprog.</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TREDJE RUNDE AF PANELSESSIONER</w:t>
      </w:r>
    </w:p>
    <w:p>
      <w:pPr>
        <w:pStyle w:val="Corpsdetexte"/>
        <w:rPr/>
      </w:pPr>
      <w:r>
        <w:rPr/>
        <w:t>Den tredje og sidste runde af panelmøder fandt sted personligt på uddannelsesinstitutioner i fire medlemsstater. På grund af covid-19-pandemien og dertil knyttede foranstaltninger i Irland og Nederlandene, tredje møde i panel 1 (En stærkere økonomi, social retfærdighed og beskæftigelse) uddannelse, kultur, ungdom og sport digital omstilling) og 4 (EU i verden, migration) måtte udsættes til februar 2022 i samråd med de nationale myndigheder og associerede partnere.</w:t>
      </w:r>
    </w:p>
    <w:p>
      <w:pPr>
        <w:pStyle w:val="Corpsdetexte"/>
        <w:rPr/>
      </w:pPr>
      <w:r>
        <w:rPr/>
        <w:t xml:space="preserve">Drøftelserne og det kollektive arbejde fandt sted i følgende formater: </w:t>
      </w:r>
    </w:p>
    <w:p>
      <w:pPr>
        <w:pStyle w:val="Alineanegatifpuce"/>
        <w:numPr>
          <w:ilvl w:val="0"/>
          <w:numId w:val="3"/>
        </w:numPr>
        <w:rPr/>
      </w:pPr>
      <w:r>
        <w:rPr/>
        <w:t xml:space="preserve"> </w:t>
      </w:r>
      <w:r>
        <w:rPr/>
        <w:t>i plenum med alle deltagere, i begyndelsen af plenarforsamlingen for at præsentere programmet og ved plenarforsamlingens afslutning, som forklaret nedenfor. Plenarforsamlingerne blev ledet af to vigtigste ordstyrere i diskussionsgruppen med tolkning til de 24 officielle EU-sprog.</w:t>
      </w:r>
    </w:p>
    <w:p>
      <w:pPr>
        <w:pStyle w:val="Alineanegatifpuce"/>
        <w:numPr>
          <w:ilvl w:val="0"/>
          <w:numId w:val="3"/>
        </w:numPr>
        <w:rPr/>
      </w:pPr>
      <w:r>
        <w:rPr/>
        <w:t xml:space="preserve"> </w:t>
      </w:r>
      <w:r>
        <w:rPr/>
        <w:t>Borgerne begyndte med at gennemgå alle de retningslinjer, som panelet udarbejdede under session 2 som en del af et "åbent forum". Hver borger gav derefter fortrinsret til højst ti orienteringer pr. arbejdsakse. Når denne prioriteringsproces var afsluttet på panelniveau, sluttede borgerne sig til den undergruppe, som de allerede havde arbejdet i undermøde 2, og noterede sig samlet gruppens vejledning, der var blevet prioriteret af resten af panelet — en mulighed for at sammenligne dette valg med deres egen vurdering. Med henblik på udarbejdelsen af henstillingerne fik hver undergruppe en vejledende række af de henstillinger, der skulle udarbejdes: fra en til tre, med højst fem.</w:t>
      </w:r>
    </w:p>
    <w:p>
      <w:pPr>
        <w:pStyle w:val="Alineanegatifpuce"/>
        <w:numPr>
          <w:ilvl w:val="0"/>
          <w:numId w:val="3"/>
        </w:numPr>
        <w:rPr/>
      </w:pPr>
      <w:r>
        <w:rPr/>
        <w:t xml:space="preserve"> </w:t>
      </w:r>
      <w:r>
        <w:rPr/>
        <w:t xml:space="preserve">Hver af de 15 undergrupper arbejdede på at udarbejde retningslinjer for anbefalinger. Borgerne drøftede de retningslinjer, der havde fået størst støtte (i prioriteret rækkefølge) og påbegyndte udarbejdelsen af henstillingerne. </w:t>
      </w:r>
    </w:p>
    <w:p>
      <w:pPr>
        <w:pStyle w:val="Normal"/>
        <w:rPr/>
      </w:pPr>
      <w:r>
        <w:rPr/>
        <w:t>Under den tredje række af møder blev ekspertise og information ikke bragt i direkte samspil med borgerne, men gennem et specielt designet system, et "ressourcer og informationspunkt". Dette system er blevet anvendt til at centralisere alle anmodninger om oplysninger og faktakontrol på stedet og til at give undergrupperne korte og faktuelle svar fra eksperter og faktatjekkere. Dette system er udformet med henblik på at sikre, at input fra eksperter og faktatjekkere udarbejdes i overensstemmelse med de højeste kvalitetsstandarder og for at undgå utilbørlig indflydelse på dette trin i processen. Borgerne fik også de foreløbige rapporter fra den flersprogede digitale platform.</w:t>
      </w:r>
    </w:p>
    <w:p>
      <w:pPr>
        <w:pStyle w:val="Corpsdetexte"/>
        <w:rPr/>
      </w:pPr>
      <w:r>
        <w:rPr/>
        <w:t>Under undergruppens arbejde blev der afholdt feedbackmøder for at hjælpe deltagerne med at forstå arbejdet i de andre undergrupper og styrke deres anbefalinger.</w:t>
      </w:r>
    </w:p>
    <w:p>
      <w:pPr>
        <w:pStyle w:val="Corpsdetexte"/>
        <w:rPr/>
      </w:pPr>
      <w:r>
        <w:rPr/>
        <w:t>Henstillingerne fra hver undergruppe blev derefter vedtaget af panelet på plenarforsamlingens sidste dag. Forud for afstemningen modtog alle deltagere et dokument med alle de udkast til anbefalinger, der blev udarbejdet dagen før, så de kunne læse dem på deres eget sprog (automatisk oversættelse fra engelsk). Hver anbefaling blev læst på engelsk på plenarmødet for at give borgerne mulighed for at høre tolkningen samtidigt. Den ene efter den anden blev anbefalingerne sat til afstemning af deltagerne ved hjælp af en online formular.</w:t>
      </w:r>
    </w:p>
    <w:p>
      <w:pPr>
        <w:pStyle w:val="Corpsdetexte"/>
        <w:rPr/>
      </w:pPr>
      <w:r>
        <w:rPr/>
        <w:t>På grundlag af resultaterne af de endelige afstemninger blev anbefalingerne klassificeret som følger:</w:t>
      </w:r>
    </w:p>
    <w:p>
      <w:pPr>
        <w:pStyle w:val="Corpsdetexte"/>
        <w:rPr/>
      </w:pPr>
      <w:r>
        <w:rPr/>
        <w:t>De henstillinger, der fik mindst 70 % af de afgivne stemmer, blev vedtaget af panelet anbefalinger, der ikke opfyldte denne tærskel, blev anset for ikke at være valideret af panelet. I alt vedtog de europæiske borgerpaneler 178 henstillinger.</w:t>
      </w:r>
    </w:p>
    <w:p>
      <w:pPr>
        <w:pStyle w:val="Corpsdetexte"/>
        <w:rPr/>
      </w:pPr>
      <w:r>
        <w:rPr/>
        <w:t>Afstemningsproceduren blev overvåget af et afstemningsudvalg bestående af to borgere, der havde foreslået at udfylde denne rolle.</w:t>
      </w:r>
    </w:p>
    <w:p>
      <w:pPr>
        <w:pStyle w:val="Titre4"/>
        <w:numPr>
          <w:ilvl w:val="3"/>
          <w:numId w:val="2"/>
        </w:numPr>
        <w:rPr/>
      </w:pPr>
      <w:bookmarkStart w:id="14" w:name="__RefHeading___Toc298202_1346298689"/>
      <w:bookmarkEnd w:id="14"/>
      <w:r>
        <w:rPr/>
        <w:t>REPRÆSENTANTER FOR DE EUROPÆISKE BORGERPANELER PÅ PLENARMØDET</w:t>
      </w:r>
    </w:p>
    <w:p>
      <w:pPr>
        <w:pStyle w:val="Corpsdetexte"/>
        <w:rPr/>
      </w:pPr>
      <w:r>
        <w:rPr/>
        <w:t>De henstillinger, der blev vedtaget af de fire europæiske borgerpaneler, blev derefter fremlagt og drøftet af de 80 repræsentanter for de europæiske borgerpaneler på konferencens plenarforsamling og i arbejdsgrupperne den 21.-22. januar 2022 (post 2 og 3) og den 11.-12. marts 2022 (post 1 og 4). De 80 repræsentanter for de europæiske borgerpaneler (i gennemsnit 70 på stedet og 10 online) fortsatte derefter med at fremme og forklare henstillingerne fra de europæiske borgerpaneler på tre på hinanden følgende møder i plenarforsamlingen og arbejdsgrupperne (den 25.-26. marts, den 8.-9. april og den 29.-30. april).</w:t>
      </w:r>
    </w:p>
    <w:p>
      <w:pPr>
        <w:pStyle w:val="Corpsdetexte"/>
        <w:rPr/>
      </w:pPr>
      <w:r>
        <w:rPr/>
        <w:t>De havde også regelmæssige udvekslinger af synspunkter på møder under "borgernes komponent" (på forberedende onlinemøder og plenarmøder på stedet), med hinanden og med 27 repræsentanter for nationale arrangementer og/eller nationale paneler. Den 23. april mødtes repræsentanter for de europæiske borgerpaneler online med alle deres modparter for at forklare, hvordan anbefalingerne var blevet drøftet og indarbejdet i forslagene på plenarmødet, og for at modtage feedback fra andre paneldeltagere. En gruppe medlemmer af det fælles sekretariat og konsortiet støttede borgerkomponenten under plenarforsamlingen.</w:t>
      </w:r>
    </w:p>
    <w:p>
      <w:pPr>
        <w:pStyle w:val="Titre4"/>
        <w:numPr>
          <w:ilvl w:val="3"/>
          <w:numId w:val="2"/>
        </w:numPr>
        <w:rPr/>
      </w:pPr>
      <w:bookmarkStart w:id="15" w:name="__RefHeading___Toc298204_1346298689"/>
      <w:bookmarkEnd w:id="15"/>
      <w:r>
        <w:rPr/>
        <w:t>GENNEMSIGTIGHED I PROCESSEN</w:t>
      </w:r>
    </w:p>
    <w:p>
      <w:pPr>
        <w:pStyle w:val="Corpsdetexte"/>
        <w:rPr/>
      </w:pPr>
      <w:r>
        <w:rPr/>
        <w:t xml:space="preserve"> </w:t>
      </w:r>
      <w:r>
        <w:rPr/>
        <w:t>Hele processen blev gennemført på en gennemsigtig måde. Plenarmøderne i de europæiske borgerpaneler blev streamet direkte, mens de dokumenter, der var resultatet af deres drøftelser og drøftelser, blev gjort tilgængelige for offentligheden på den flersprogede digitale platform. Den endelige rapport for hver af panelsessionerne er tilgængelig på platformen sammen med anbefalingerne. Rapporterne indeholder også oplysninger om alle eksperter, der støttede panelernes arbejde.</w:t>
      </w:r>
    </w:p>
    <w:p>
      <w:pPr>
        <w:pStyle w:val="Corpsdetexte"/>
        <w:rPr/>
      </w:pPr>
      <w:r>
        <w:rPr/>
        <w:t>Som en ægte demokratisk innovation har de europæiske borgerpaneler fået stor opmærksomhed fra det videnskabelige samfund. Forskerne kunne deltage i møderne i de europæiske borgerpaneler og observere adfærden i overensstemmelse med visse regler af det udførte arbejde og deltagernes privatliv.</w:t>
      </w:r>
    </w:p>
    <w:p>
      <w:pPr>
        <w:pStyle w:val="Corpsdetexte"/>
        <w:rPr/>
      </w:pPr>
      <w:r>
        <w:rPr/>
      </w:r>
      <w:r>
        <w:br w:type="page"/>
      </w:r>
    </w:p>
    <w:p>
      <w:pPr>
        <w:pStyle w:val="Titre4"/>
        <w:numPr>
          <w:ilvl w:val="3"/>
          <w:numId w:val="2"/>
        </w:numPr>
        <w:rPr/>
      </w:pPr>
      <w:bookmarkStart w:id="16" w:name="__RefHeading___Toc298206_1346298689"/>
      <w:bookmarkEnd w:id="16"/>
      <w:r>
        <w:rPr/>
        <w:t xml:space="preserve">Panel 1 </w:t>
        <w:br/>
        <w:t>En stærkere økonomi, social retfærdighed og beskæftigelse uddannelse, kultur, ungdom og sport digital transformation</w:t>
      </w:r>
    </w:p>
    <w:p>
      <w:pPr>
        <w:pStyle w:val="Corpsdetexte"/>
        <w:rPr/>
      </w:pPr>
      <w:r>
        <w:rPr/>
        <w:t>Det første møde i panelet om "En stærkere økonomi, social retfærdighed og beskæftigelse; uddannelse, kultur, ungdom og sport digital omstilling" fandt sted fra den 17. til den 19. september 2021 i Strasbourg. Dette panel behandlede fremtiden for vores økonomier og job, navnlig efter pandemien, idet der blev taget behørigt hensyn til relaterede spørgsmål om social retfærdighed. Han behandlede også de muligheder og udfordringer, der ligger i den digitale omstilling, som er et af de vigtigste emner, der skal drøftes blandt dem, der vedrører fremtiden.</w:t>
      </w:r>
    </w:p>
    <w:p>
      <w:pPr>
        <w:pStyle w:val="Corpsdetexte"/>
        <w:spacing w:before="3317"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1400" cy="2106930"/>
                <wp:effectExtent l="0" t="0" r="0" b="0"/>
                <wp:wrapSquare wrapText="largest"/>
                <wp:docPr id="20" name="Framework5"/>
                <a:graphic xmlns:a="http://schemas.openxmlformats.org/drawingml/2006/main">
                  <a:graphicData uri="http://schemas.microsoft.com/office/word/2010/wordprocessingShape">
                    <wps:wsp>
                      <wps:cNvSpPr/>
                      <wps:spPr>
                        <a:xfrm>
                          <a:off x="0" y="0"/>
                          <a:ext cx="6120720" cy="210636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pPr>
                            <w:r>
                              <w:rPr/>
                              <w:drawing>
                                <wp:inline distT="0" distB="0" distL="0" distR="0">
                                  <wp:extent cx="6120130" cy="2105660"/>
                                  <wp:effectExtent l="0" t="0" r="0" b="0"/>
                                  <wp:docPr id="22" name="Billed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00000A"/>
                              </w:rPr>
                              <w:t xml:space="preserve">Fotografering: panel 1 af europæiske borgere </w:t>
                              <w:tab/>
                              <w:t>Fotografering: panel 2 af europæiske borgere</w:t>
                            </w:r>
                          </w:p>
                        </w:txbxContent>
                      </wps:txbx>
                      <wps:bodyPr lIns="0" rIns="0" tIns="0" bIns="0">
                        <a:noAutofit/>
                      </wps:bodyPr>
                    </wps:wsp>
                  </a:graphicData>
                </a:graphic>
              </wp:anchor>
            </w:drawing>
          </mc:Choice>
          <mc:Fallback>
            <w:pict>
              <v:rect id="shape_0" ID="Framework5" fillcolor="white" stroked="f" style="position:absolute;margin-left:37.55pt;margin-top:1871.55pt;width:481.9pt;height:165.8pt">
                <w10:wrap type="square"/>
                <v:fill o:detectmouseclick="t" type="solid" color2="black"/>
                <v:stroke color="#3465a4" joinstyle="round" endcap="flat"/>
                <v:textbox>
                  <w:txbxContent>
                    <w:p>
                      <w:pPr>
                        <w:pStyle w:val="P68B1DB1Lgende11"/>
                        <w:spacing w:before="120" w:after="120"/>
                        <w:jc w:val="left"/>
                        <w:rPr/>
                      </w:pPr>
                      <w:r>
                        <w:rPr/>
                        <w:drawing>
                          <wp:inline distT="0" distB="0" distL="0" distR="0">
                            <wp:extent cx="6120130" cy="2105660"/>
                            <wp:effectExtent l="0" t="0" r="0" b="0"/>
                            <wp:docPr id="23" name="Billed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lede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00000A"/>
                        </w:rPr>
                        <w:t xml:space="preserve">Fotografering: panel 1 af europæiske borgere </w:t>
                        <w:tab/>
                        <w:t>Fotografering: panel 2 af europæiske borgere</w:t>
                      </w:r>
                    </w:p>
                  </w:txbxContent>
                </v:textbox>
              </v:rect>
            </w:pict>
          </mc:Fallback>
        </mc:AlternateContent>
      </w:r>
      <w:r>
        <w:rPr/>
        <w:t>Panelet drøftede også Europas fremtid inden for ungdom, sport, kultur og uddannelse. De borgere, der deltog i panelet, blev hilst velkommen af medformand Guy Verhofstadt. Arbejdet på det første møde afsluttedes med godkendelsen af de fem arbejdsområder: "Arbejde i Europa", "En økonomi for fremtiden", "Et retfærdigt samfund", "Læring i Europa" og "En etisk og sikker digital omstilling".</w:t>
      </w:r>
    </w:p>
    <w:p>
      <w:pPr>
        <w:pStyle w:val="Corpsdetexte"/>
        <w:rPr/>
      </w:pPr>
      <w:r>
        <w:rPr/>
        <w:t>Fra den 5. til den 7. november 2021 mødtes panel 1 for anden gang, denne gang i virtuelt format, og fortsatte drøftelserne på den første samling. På det andet møde opstillede paneldeltagerne "retningslinjer" for at udarbejde konkrete anbefalinger (på deres tredje møde) for hver af de fem akser, der blev identificeret på den første session. I alt udarbejdede de borgere, der deltog i panel 1, 142 vejledningsgrupper.</w:t>
      </w:r>
    </w:p>
    <w:p>
      <w:pPr>
        <w:pStyle w:val="Corpsdetexte"/>
        <w:rPr/>
      </w:pPr>
      <w:r>
        <w:rPr/>
        <w:t>Fra den 25. til den 27. februar 2022 mødtes de borgere, der deltog i panel 1, for tredje gang og fortsatte drøftelserne under mødeperiode 1 og 2. Til dette afsluttende møde blev der afholdt panel 1 deltagere på Dublin Castle af Institute of International and European Affairs (IIEA) med mulighed for at deltage online.</w:t>
      </w:r>
    </w:p>
    <w:p>
      <w:pPr>
        <w:pStyle w:val="Corpsdetexte"/>
        <w:rPr/>
      </w:pPr>
      <w:r>
        <w:rPr/>
        <w:t>på grundlag af den vejledning, de havde udarbejdet på møde 2 som grundlag for deres arbejde, udarbejdede og godkendte borgerne 48 endelige anbefalinger.</w:t>
      </w:r>
    </w:p>
    <w:p>
      <w:pPr>
        <w:pStyle w:val="Titre4"/>
        <w:numPr>
          <w:ilvl w:val="3"/>
          <w:numId w:val="2"/>
        </w:numPr>
        <w:rPr/>
      </w:pPr>
      <w:bookmarkStart w:id="17" w:name="__RefHeading___Toc298208_1346298689"/>
      <w:bookmarkEnd w:id="17"/>
      <w:r>
        <w:rPr/>
        <w:t xml:space="preserve">Panel 2 </w:t>
        <w:br/>
        <w:t>Det europæiske demokrati; værdier og rettigheder, retsstatsprincippet, sikkerhed</w:t>
      </w:r>
    </w:p>
    <w:p>
      <w:pPr>
        <w:pStyle w:val="Corpsdetexte"/>
        <w:rPr/>
      </w:pPr>
      <w:r>
        <w:rPr/>
        <w:t>Møde 1 i panelet om "Europæisk demokrati; værdier og rettigheder, retsstatsprincippet, sikkerhed" fandt sted den 24.-26. september i Strasbourg. Panelet fokuserede på spørgsmål vedrørende demokrati, såsom valg, deltagelse uden for valgperioder, opfattet afstand mellem borgerne og deres valgte repræsentanter, mediefrihed og desinformation. Den behandlede også spørgsmål vedrørende grundlæggende rettigheder og værdier, retsstatsprincippet og bekæmpelse af alle former for forskelsbehandling. Samtidig fokuserede han på EU's indre sikkerhed, såsom beskyttelse af europæerne mod terrorhandlinger og andre forbrydelser. Talerne blev hilst velkommen af medformand Gašper Dovžan.</w:t>
      </w:r>
    </w:p>
    <w:p>
      <w:pPr>
        <w:pStyle w:val="Corpsdetexte"/>
        <w:rPr/>
      </w:pPr>
      <w:r>
        <w:rPr/>
        <w:t>Arbejdet på dette første møde afsluttedes med godkendelsen af de fem arbejdsområder: "Sikre respekt for rettigheder og ikkeforskelsbehandling", "Beskyttelse af demokrati og retsstatsprincippet", "Reforming af EU", "Opbygning af europæisk identitet" og "Styrkelse af borgernes deltagelse".</w:t>
      </w:r>
    </w:p>
    <w:p>
      <w:pPr>
        <w:pStyle w:val="Corpsdetexte"/>
        <w:rPr/>
      </w:pPr>
      <w:r>
        <w:rPr/>
        <w:t>Fra den 12. til den 14. november 2021 mødtes panel 2 for anden gang i virtuelt format og fortsatte drøftelserne på den første samling. På det andet møde opstillede paneldeltagerne "retningslinjer" for at udarbejde konkrete anbefalinger (på deres tredje møde) for hver af de fem akser, der blev identificeret på den første session. I alt udarbejdede de borgere, der deltog i panel 2, 124 vejledningsgrupper.</w:t>
      </w:r>
    </w:p>
    <w:p>
      <w:pPr>
        <w:pStyle w:val="Corpsdetexte"/>
        <w:rPr/>
      </w:pPr>
      <w:r>
        <w:rPr/>
        <w:t>Fra den 10. til den 12. december 2021 mødtes de borgere, der deltog i panel 2, til deres afsluttende møde på Det Europæiske Universitetsinstitut i Firenze med mulighed for at deltage online. På grundlag af den vejledning, de havde udarbejdet på møde 2 som grundlag for deres arbejde, udarbejdede og godkendte borgerne 39 endelige anbefalinger.</w:t>
      </w:r>
    </w:p>
    <w:p>
      <w:pPr>
        <w:pStyle w:val="Titre4"/>
        <w:numPr>
          <w:ilvl w:val="3"/>
          <w:numId w:val="2"/>
        </w:numPr>
        <w:rPr/>
      </w:pPr>
      <w:bookmarkStart w:id="18" w:name="__RefHeading___Toc298210_1346298689"/>
      <w:bookmarkEnd w:id="18"/>
      <w:r>
        <w:rPr/>
        <w:t>Panel 3 Klimaændringer og miljø sundhed</w:t>
      </w:r>
    </w:p>
    <w:p>
      <w:pPr>
        <w:pStyle w:val="Corpsdetexte"/>
        <w:rPr/>
      </w:pPr>
      <w:r>
        <w:rPr/>
        <w:t>Panelet om "Klimaændringer og miljø" sundhed" afholdt sit første møde den</w:t>
      </w:r>
      <w:r>
        <w:rPr>
          <w:vertAlign w:val="superscript"/>
        </w:rPr>
        <w:t>1.-3.</w:t>
      </w:r>
      <w:r>
        <w:rPr/>
        <w:t xml:space="preserve"> oktober i Strasbourg. Panelet fokuserede på virkningerne af klimaændringer, miljøspørgsmål og nye sundhedsudfordringer for Den Europæiske Union. Den omfattede også EU's mål og strategier, såsom landbrug, transport og mobilitet, energi og overgangen til post-CO2-samfund, forskning, sundhedssystemer, reaktion på sundhedskriser, forebyggelse og sund livsstil. Arbejdet med dette første møde sluttede med godkendelsen af de fem arbejdsområder: "Bedre livsstil", "Beskyttelse af vores miljø og sundhed", "Reorientering af vores økonomi og forbrug", "Mod et bæredygtigt samfund" og "pleje for alle". Den endelige rapport fra mødet er tilgængelig på den flersprogede digitale platform.</w:t>
      </w:r>
    </w:p>
    <w:p>
      <w:pPr>
        <w:pStyle w:val="Corpsdetexte"/>
        <w:rPr/>
      </w:pPr>
      <w:r>
        <w:rPr/>
        <w:t>Fra den 19. til den 21. november 2021 mødtes panel 3 for anden gang, denne gang i virtuelt format, for at fortsætte drøftelserne på den første samling. På det andet møde opstillede paneldeltagerne "retningslinjer" for at udarbejde konkrete anbefalinger (på deres tredje møde) for hver af de fem akser, der blev identificeret på den første session. I alt udarbejdede de borgere, der deltog i panel 3, 130 vejledningsgrupper.</w:t>
      </w:r>
    </w:p>
    <w:p>
      <w:pPr>
        <w:pStyle w:val="Corpsdetexte"/>
        <w:rPr/>
      </w:pPr>
      <w:r>
        <w:rPr/>
        <w:t>Fra den 7. til den 9. januar 2022 samledes borgerne i panel 3 til det afsluttende møde, de organiserede på Europakollegiet i Natolin og Palace of Culture and Science, med støtte fra byen Warszawa. Det var muligt at deltage online. På grundlag af den vejledning, de havde udarbejdet på møde 2 som grundlag for deres arbejde, udarbejdede og godkendte borgerne 51 endelige anbefalinger.</w:t>
      </w:r>
    </w:p>
    <w:p>
      <w:pPr>
        <w:pStyle w:val="Titre4"/>
        <w:numPr>
          <w:ilvl w:val="3"/>
          <w:numId w:val="2"/>
        </w:numPr>
        <w:rPr/>
      </w:pPr>
      <w:bookmarkStart w:id="19" w:name="__RefHeading___Toc298212_1346298689"/>
      <w:bookmarkEnd w:id="19"/>
      <w:r>
        <w:rPr/>
        <w:t>Panel 4 EU i verden, migration</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800" cy="2242820"/>
                <wp:effectExtent l="0" t="0" r="0" b="0"/>
                <wp:wrapSquare wrapText="largest"/>
                <wp:docPr id="24" name="Rammen6"/>
                <a:graphic xmlns:a="http://schemas.openxmlformats.org/drawingml/2006/main">
                  <a:graphicData uri="http://schemas.microsoft.com/office/word/2010/wordprocessingShape">
                    <wps:wsp>
                      <wps:cNvSpPr/>
                      <wps:spPr>
                        <a:xfrm>
                          <a:off x="0" y="0"/>
                          <a:ext cx="2971080" cy="22420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3905"/>
                                  <wp:effectExtent l="0" t="0" r="0" b="0"/>
                                  <wp:docPr id="26" name="Billed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00000A"/>
                              </w:rPr>
                              <w:t>Fotografering: panel 3 af europæiske borgere</w:t>
                            </w:r>
                          </w:p>
                        </w:txbxContent>
                      </wps:txbx>
                      <wps:bodyPr lIns="0" rIns="0" tIns="0" bIns="0">
                        <a:noAutofit/>
                      </wps:bodyPr>
                    </wps:wsp>
                  </a:graphicData>
                </a:graphic>
              </wp:anchor>
            </w:drawing>
          </mc:Choice>
          <mc:Fallback>
            <w:pict>
              <v:rect id="shape_0" ID="Rammen6" fillcolor="white" stroked="f" style="position:absolute;margin-left:-0.05pt;margin-top:0.05pt;width:233.9pt;height:176.5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3905"/>
                            <wp:effectExtent l="0" t="0" r="0" b="0"/>
                            <wp:docPr id="27" name="Billed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lede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00000A"/>
                        </w:rPr>
                        <w:t>Fotografering: panel 3 af europæiske borgere</w:t>
                      </w:r>
                    </w:p>
                  </w:txbxContent>
                </v:textbox>
              </v:rect>
            </w:pict>
          </mc:Fallback>
        </mc:AlternateContent>
      </w:r>
    </w:p>
    <w:p>
      <w:pPr>
        <w:pStyle w:val="Corpsdetexte"/>
        <w:rPr/>
      </w:pPr>
      <w:r>
        <w:rPr/>
        <w:t>Det fjerde panel med titlen "EU i verden" migration" mødtes for første gang fra den 15. til den 17. oktober i Strasbourg, hvor deltagerne navnlig drøftede EU's rolle på den internationale scene.</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1115" cy="2101850"/>
                <wp:effectExtent l="0" t="0" r="0" b="0"/>
                <wp:wrapTopAndBottom/>
                <wp:docPr id="28" name="Ramme 7"/>
                <a:graphic xmlns:a="http://schemas.openxmlformats.org/drawingml/2006/main">
                  <a:graphicData uri="http://schemas.microsoft.com/office/word/2010/wordprocessingShape">
                    <wps:wsp>
                      <wps:cNvSpPr/>
                      <wps:spPr>
                        <a:xfrm>
                          <a:off x="0" y="0"/>
                          <a:ext cx="2570400" cy="21013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6445"/>
                                  <wp:effectExtent l="0" t="0" r="0" b="0"/>
                                  <wp:docPr id="30" name="Billed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lede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00000A"/>
                              </w:rPr>
                              <w:t>Fotografering: panel 4 af europæiske borgere</w:t>
                              <w:br/>
                            </w:r>
                          </w:p>
                        </w:txbxContent>
                      </wps:txbx>
                      <wps:bodyPr lIns="0" rIns="0" tIns="0" bIns="0">
                        <a:noAutofit/>
                      </wps:bodyPr>
                    </wps:wsp>
                  </a:graphicData>
                </a:graphic>
              </wp:anchor>
            </w:drawing>
          </mc:Choice>
          <mc:Fallback>
            <w:pict>
              <v:rect id="shape_0" ID="Ramme 7" fillcolor="white" stroked="f" style="position:absolute;margin-left:15.75pt;margin-top:0.05pt;width:202.35pt;height:165.4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6445"/>
                            <wp:effectExtent l="0" t="0" r="0" b="0"/>
                            <wp:docPr id="31" name="Billed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lede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00000A"/>
                        </w:rPr>
                        <w:t>Fotografering: panel 4 af europæiske borgere</w:t>
                        <w:br/>
                      </w:r>
                    </w:p>
                  </w:txbxContent>
                </v:textbox>
              </v:rect>
            </w:pict>
          </mc:Fallback>
        </mc:AlternateContent>
      </w:r>
      <w:r>
        <w:rPr/>
        <w:t>Navnlig blev EU's mål og strategier for sikkerhed, forsvar, handelspolitik, humanitær bistand og udviklingssamarbejde, udenrigspolitik, EU's naboskabspolitik og udvidelse, og hvordan EU bør håndtere migration, drøftet. Borgerne blev hilst velkommen af medformand Dubravka Šuica. Arbejdet på dette første møde afsluttedes med godkendelsen af de fem arbejdsområder: "Selvforsyning og stabilitet", "EU som international partner", "Et stærkt EU i en verden i fred", "Migration fra et menneskeligt synspunkt" og "ansvar og solidaritet i hele EU". Den endelige rapport fra mødet er tilgængelig på den flersprogede digitale platform.</w:t>
      </w:r>
    </w:p>
    <w:p>
      <w:pPr>
        <w:pStyle w:val="Corpsdetexte"/>
        <w:rPr/>
      </w:pPr>
      <w:r>
        <w:rPr/>
        <w:t>Fra den 16. til den 28. november 2021 afholdt panel 4 sit andet onlinemøde på grundlag af det arbejde, der blev udført på den første samling. På det andet møde opstillede paneldeltagerne "retningslinjer" for at udarbejde konkrete anbefalinger (på deres tredje møde) for hver af de fem akser, der blev identificeret på den første session. I alt udarbejdede de borgere, der deltog i panel 4, 95 vejledningsgrupper.</w:t>
      </w:r>
    </w:p>
    <w:p>
      <w:pPr>
        <w:pStyle w:val="Corpsdetexte"/>
        <w:rPr/>
      </w:pPr>
      <w:r>
        <w:rPr/>
        <w:t>Fra den 11. til den 13. februar 2022 samledes 4 borgere til deres afsluttende møde på messe- og konferencecentret i Maastricht (MECC) af Studio Europa Maastricht i samarbejde med universitetet i Maastricht og Det Europæiske Institut for Offentlig Administration (IEAP). Det var muligt at deltage online.</w:t>
      </w:r>
    </w:p>
    <w:p>
      <w:pPr>
        <w:pStyle w:val="Corpsdetexte"/>
        <w:rPr/>
      </w:pPr>
      <w:r>
        <w:rPr/>
        <w:t>på grundlag af den vejledning, de havde udarbejdet på møde 2 som grundlag for deres arbejde, udarbejdede og godkendte borgerne 40 endelige anbefalinger.</w:t>
      </w:r>
    </w:p>
    <w:p>
      <w:pPr>
        <w:pStyle w:val="Normal"/>
        <w:rPr/>
      </w:pPr>
      <w:r>
        <w:rPr/>
      </w:r>
    </w:p>
    <w:p>
      <w:pPr>
        <w:pStyle w:val="Titre3"/>
        <w:numPr>
          <w:ilvl w:val="2"/>
          <w:numId w:val="2"/>
        </w:numPr>
        <w:rPr/>
      </w:pPr>
      <w:bookmarkStart w:id="20" w:name="__RefHeading___Toc298214_1346298689"/>
      <w:bookmarkEnd w:id="20"/>
      <w:r>
        <w:rPr/>
        <w:t>2.</w:t>
        <w:tab/>
        <w:t>Nationale borgerpaneler</w:t>
      </w:r>
    </w:p>
    <w:p>
      <w:pPr>
        <w:pStyle w:val="Corpsdetexte"/>
        <w:rPr/>
      </w:pPr>
      <w:r>
        <w:rPr/>
        <w:t>I overensstemmelse med den fælles erklæring drøftede konferencens plenarforsamling henstillinger fra nationale og europæiske borgerpaneler, opdelt efter tema. For at bistå medlemsstater, der planlægger at organisere nationale borgerpaneler, godkendte formændene retningslinjerne og videresendte dem til bestyrelsen den 26. maj 2021. De fulgte de samme principper som de europæiske borgerpaneler og indeholdt principper for gode drøftelser på grundlag af en OECD-rapport</w:t>
      </w:r>
      <w:r>
        <w:rPr>
          <w:rStyle w:val="Ancredenotedebasdepage"/>
          <w:rStyle w:val="Ancredenotedebasdepage"/>
        </w:rPr>
        <w:footnoteReference w:id="5"/>
      </w:r>
      <w:r>
        <w:rPr/>
        <w:t>.</w:t>
      </w:r>
    </w:p>
    <w:p>
      <w:pPr>
        <w:pStyle w:val="Corpsdetexte"/>
        <w:rPr/>
      </w:pPr>
      <w:r>
        <w:rPr/>
        <w:t>Seks medlemsstater — Belgien, Frankrig, Tyskland, Italien, Litauen og Nederlandene — organiserede paneler af nationale borgere, der overholder principperne i disse retningslinjer. Henstillingerne fra disse nationale borgerpaneler blev fremlagt og drøftet på plenarmøderne i januar og marts samt i arbejdsgrupperne på plenarmøderne parallelt med anbefalingerne fra de europæiske borgerpaneler om de samme emner.</w:t>
      </w:r>
    </w:p>
    <w:p>
      <w:pPr>
        <w:pStyle w:val="Titre4"/>
        <w:numPr>
          <w:ilvl w:val="3"/>
          <w:numId w:val="2"/>
        </w:numPr>
        <w:rPr/>
      </w:pPr>
      <w:bookmarkStart w:id="21" w:name="__RefHeading___Toc298216_1346298689"/>
      <w:bookmarkEnd w:id="21"/>
      <w:r>
        <w:rPr/>
        <w:t>1)</w:t>
        <w:tab/>
        <w:t>BELGIEN</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840" cy="2115820"/>
                <wp:effectExtent l="0" t="0" r="0" b="0"/>
                <wp:wrapSquare wrapText="largest"/>
                <wp:docPr id="32" name="Framework8"/>
                <a:graphic xmlns:a="http://schemas.openxmlformats.org/drawingml/2006/main">
                  <a:graphicData uri="http://schemas.microsoft.com/office/word/2010/wordprocessingShape">
                    <wps:wsp>
                      <wps:cNvSpPr/>
                      <wps:spPr>
                        <a:xfrm>
                          <a:off x="0" y="0"/>
                          <a:ext cx="2783160" cy="21153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5810"/>
                                  <wp:effectExtent l="0" t="0" r="0" b="0"/>
                                  <wp:docPr id="34" name="Billed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lede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00000A"/>
                              </w:rPr>
                              <w:t>Billede: Belgisk borgerpanel</w:t>
                            </w:r>
                          </w:p>
                        </w:txbxContent>
                      </wps:txbx>
                      <wps:bodyPr lIns="0" rIns="0" tIns="0" bIns="0">
                        <a:noAutofit/>
                      </wps:bodyPr>
                    </wps:wsp>
                  </a:graphicData>
                </a:graphic>
              </wp:anchor>
            </w:drawing>
          </mc:Choice>
          <mc:Fallback>
            <w:pict>
              <v:rect id="shape_0" ID="Framework8" fillcolor="white" stroked="f" style="position:absolute;margin-left:7.35pt;margin-top:0.05pt;width:219.1pt;height:166.5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5810"/>
                            <wp:effectExtent l="0" t="0" r="0" b="0"/>
                            <wp:docPr id="35" name="Billed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lede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00000A"/>
                        </w:rPr>
                        <w:t>Billede: Belgisk borgerpanel</w:t>
                      </w:r>
                    </w:p>
                  </w:txbxContent>
                </v:textbox>
              </v:rect>
            </w:pict>
          </mc:Fallback>
        </mc:AlternateContent>
      </w:r>
    </w:p>
    <w:p>
      <w:pPr>
        <w:pStyle w:val="Corpsdetexte"/>
        <w:rPr/>
      </w:pPr>
      <w:r>
        <w:rPr/>
        <w:t>I oktober 2021 samlede et borgerpanel over tre weekender 50 tilfældigt udvalgte borgere, der repræsenterede den almindelige befolkning, for at drøfte emnet europæisk demokrati, og hvordan borgerne kunne blive mere involveret i europæiske anliggender.</w:t>
      </w:r>
    </w:p>
    <w:p>
      <w:pPr>
        <w:pStyle w:val="Corpsdetexte"/>
        <w:rPr/>
      </w:pPr>
      <w:r>
        <w:rPr/>
        <w:t>Dette panel blev organiseret i regi af Sophie Wilmès, Belgiens vicepremierminister og udenrigsminister og europaminister.</w:t>
      </w:r>
    </w:p>
    <w:p>
      <w:pPr>
        <w:pStyle w:val="Corpsdetexte"/>
        <w:rPr/>
      </w:pPr>
      <w:r>
        <w:rPr/>
        <w:t>Borgerne fremsatte anbefalinger om fem temaer, som de havde valgt, nemlig:</w:t>
      </w:r>
    </w:p>
    <w:p>
      <w:pPr>
        <w:pStyle w:val="Alineanegatifpuce"/>
        <w:numPr>
          <w:ilvl w:val="0"/>
          <w:numId w:val="3"/>
        </w:numPr>
        <w:rPr/>
      </w:pPr>
      <w:r>
        <w:rPr/>
        <w:t xml:space="preserve"> </w:t>
      </w:r>
      <w:r>
        <w:rPr/>
        <w:t>forbedring af kommunikationen om Den Europæiske Union</w:t>
      </w:r>
    </w:p>
    <w:p>
      <w:pPr>
        <w:pStyle w:val="Alineanegatifpuce"/>
        <w:numPr>
          <w:ilvl w:val="0"/>
          <w:numId w:val="3"/>
        </w:numPr>
        <w:rPr/>
      </w:pPr>
      <w:r>
        <w:rPr/>
        <w:t xml:space="preserve"> </w:t>
      </w:r>
      <w:r>
        <w:rPr/>
        <w:t>identificere og bekæmpe desinformation om EU</w:t>
      </w:r>
    </w:p>
    <w:p>
      <w:pPr>
        <w:pStyle w:val="Alineanegatifpuce"/>
        <w:numPr>
          <w:ilvl w:val="0"/>
          <w:numId w:val="3"/>
        </w:numPr>
        <w:rPr/>
      </w:pPr>
      <w:r>
        <w:rPr/>
        <w:t xml:space="preserve"> </w:t>
      </w:r>
      <w:r>
        <w:rPr/>
        <w:t>borgerpaneler som et redskab til deltagelse</w:t>
      </w:r>
    </w:p>
    <w:p>
      <w:pPr>
        <w:pStyle w:val="Alineanegatifpuce"/>
        <w:numPr>
          <w:ilvl w:val="0"/>
          <w:numId w:val="3"/>
        </w:numPr>
        <w:rPr/>
      </w:pPr>
      <w:r>
        <w:rPr/>
        <w:t xml:space="preserve"> </w:t>
      </w:r>
      <w:r>
        <w:rPr/>
        <w:t>folkeafstemningen om europæiske anliggender,</w:t>
      </w:r>
    </w:p>
    <w:p>
      <w:pPr>
        <w:pStyle w:val="Alineanegatifpuce"/>
        <w:numPr>
          <w:ilvl w:val="0"/>
          <w:numId w:val="3"/>
        </w:numPr>
        <w:rPr/>
      </w:pPr>
      <w:r>
        <w:rPr/>
        <w:t xml:space="preserve"> </w:t>
      </w:r>
      <w:r>
        <w:rPr/>
        <w:t>forbedre de eksisterende deltagelsesinstrumenter i Den Europæiske Union.</w:t>
      </w:r>
    </w:p>
    <w:p>
      <w:pPr>
        <w:pStyle w:val="Corpsdetexte"/>
        <w:rPr/>
      </w:pPr>
      <w:r>
        <w:rPr/>
        <w:t>Arbejdet i det belgiske borgerpanel resulterede i 115 anbefalinger, som blev udarbejdet, drøftet og stemt om af de 50 tilfældigt udvalgte belgiske borgere.</w:t>
      </w:r>
    </w:p>
    <w:p>
      <w:pPr>
        <w:pStyle w:val="Corpsdetexte"/>
        <w:rPr/>
      </w:pPr>
      <w:r>
        <w:rPr/>
      </w:r>
    </w:p>
    <w:p>
      <w:pPr>
        <w:pStyle w:val="Titre4"/>
        <w:numPr>
          <w:ilvl w:val="3"/>
          <w:numId w:val="2"/>
        </w:numPr>
        <w:rPr/>
      </w:pPr>
      <w:bookmarkStart w:id="22" w:name="__RefHeading___Toc298218_1346298689"/>
      <w:bookmarkEnd w:id="22"/>
      <w:r>
        <w:rPr/>
        <w:t>2)</w:t>
        <w:tab/>
        <w:t>TYSKLAND</w:t>
      </w:r>
    </w:p>
    <w:p>
      <w:pPr>
        <w:pStyle w:val="Corpsdetexte"/>
        <w:rPr/>
      </w:pPr>
      <w:r>
        <w:rPr/>
        <w:t>I januar 2022 organiserede det tyske udenrigsministerium et panel af nationale borgere. 100 tilfældigt udvalgte borgere, der repræsenterer befolkningen, deltog i dette onlinepanel.</w:t>
      </w:r>
    </w:p>
    <w:p>
      <w:pPr>
        <w:pStyle w:val="Corpsdetexte"/>
        <w:rPr/>
      </w:pPr>
      <w:r>
        <w:rPr/>
        <w:t>Den 5. og 8. januar 2022 blev der afholdt fem lanceringsworkshops online med deltagelse af 20 deltagere om følgende temaer:</w:t>
      </w:r>
    </w:p>
    <w:p>
      <w:pPr>
        <w:pStyle w:val="Corpsdetexte"/>
        <w:rPr/>
      </w:pPr>
      <w:r>
        <w:rPr/>
        <w:t xml:space="preserve">— </w:t>
      </w:r>
      <w:r>
        <w:rPr/>
        <w:t>Europas rolle i verden, klimaet og miljøet</w:t>
      </w:r>
    </w:p>
    <w:p>
      <w:pPr>
        <w:pStyle w:val="Corpsdetexte"/>
        <w:rPr/>
      </w:pPr>
      <w:r>
        <w:rPr/>
        <w:t xml:space="preserve">— </w:t>
      </w:r>
      <w:r>
        <w:rPr/>
        <w:t>retsstatsprincippet og værdier,</w:t>
      </w:r>
    </w:p>
    <w:p>
      <w:pPr>
        <w:pStyle w:val="Corpsdetexte"/>
        <w:rPr/>
      </w:pPr>
      <w:r>
        <w:rPr/>
        <w:t>en stærkere økonomi og social retfærdighed.</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800" cy="2133600"/>
                <wp:effectExtent l="0" t="0" r="0" b="0"/>
                <wp:wrapSquare wrapText="largest"/>
                <wp:docPr id="36" name="Ramme15"/>
                <a:graphic xmlns:a="http://schemas.openxmlformats.org/drawingml/2006/main">
                  <a:graphicData uri="http://schemas.microsoft.com/office/word/2010/wordprocessingShape">
                    <wps:wsp>
                      <wps:cNvSpPr/>
                      <wps:spPr>
                        <a:xfrm>
                          <a:off x="0" y="0"/>
                          <a:ext cx="2971080" cy="21330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1900555"/>
                                  <wp:effectExtent l="0" t="0" r="0" b="0"/>
                                  <wp:docPr id="38" name="Billed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lede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00000A"/>
                              </w:rPr>
                              <w:br/>
                            </w:r>
                            <w:r>
                              <w:rPr>
                                <w:color w:val="00000A"/>
                              </w:rPr>
                              <w:t>Fotografering: Det tyske borgerpanel</w:t>
                            </w:r>
                          </w:p>
                        </w:txbxContent>
                      </wps:txbx>
                      <wps:bodyPr lIns="0" rIns="0" tIns="0" bIns="0">
                        <a:noAutofit/>
                      </wps:bodyPr>
                    </wps:wsp>
                  </a:graphicData>
                </a:graphic>
              </wp:anchor>
            </w:drawing>
          </mc:Choice>
          <mc:Fallback>
            <w:pict>
              <v:rect id="shape_0" ID="Ramme15" fillcolor="white" stroked="f" style="position:absolute;margin-left:-0.05pt;margin-top:0.05pt;width:233.9pt;height:167.9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1900555"/>
                            <wp:effectExtent l="0" t="0" r="0" b="0"/>
                            <wp:docPr id="39" name="Billed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lede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00000A"/>
                        </w:rPr>
                        <w:br/>
                      </w:r>
                      <w:r>
                        <w:rPr>
                          <w:color w:val="00000A"/>
                        </w:rPr>
                        <w:t>Fotografering: Det tyske borgerpanel</w:t>
                      </w:r>
                    </w:p>
                  </w:txbxContent>
                </v:textbox>
              </v:rect>
            </w:pict>
          </mc:Fallback>
        </mc:AlternateContent>
      </w:r>
    </w:p>
    <w:p>
      <w:pPr>
        <w:pStyle w:val="Corpsdetexte"/>
        <w:rPr/>
      </w:pPr>
      <w:r>
        <w:rPr/>
        <w:t>De 100 tilfældigt udvalgte borgere mødtes den 15. og 16. januar 2022 for at drøfte udfordringerne i forbindelse med disse spørgsmål og mulige løsninger og vedtog deres anbefalinger. Deltagerne udarbejdede to specifikke forslag til hvert af ovennævnte temaer.</w:t>
      </w:r>
    </w:p>
    <w:p>
      <w:pPr>
        <w:pStyle w:val="Corpsdetexte"/>
        <w:rPr/>
      </w:pPr>
      <w:r>
        <w:rPr/>
        <w:t>Resultaterne blev fremlagt den 16. januar på en afsluttende onlinekonference med deltagelse af den tyske udenrigsminister Annalena Baerbock og Anna Lührmann, viceminister for Europa og klima.</w:t>
      </w:r>
    </w:p>
    <w:p>
      <w:pPr>
        <w:pStyle w:val="Corpsdetexte"/>
        <w:rPr/>
      </w:pPr>
      <w:r>
        <w:rPr/>
      </w:r>
    </w:p>
    <w:p>
      <w:pPr>
        <w:pStyle w:val="Titre4"/>
        <w:numPr>
          <w:ilvl w:val="3"/>
          <w:numId w:val="2"/>
        </w:numPr>
        <w:rPr/>
      </w:pPr>
      <w:bookmarkStart w:id="23" w:name="__RefHeading___Toc298220_1346298689"/>
      <w:bookmarkEnd w:id="23"/>
      <w:r>
        <w:rPr/>
        <w:t>3)</w:t>
        <w:tab/>
        <w:t>FRANKRIG</w:t>
      </w:r>
    </w:p>
    <w:p>
      <w:pPr>
        <w:pStyle w:val="Corpsdetexte"/>
        <w:rPr/>
      </w:pPr>
      <w:r>
        <w:rPr/>
        <w:t>Borgerpanelerne blev organiseret i Frankrig af det franske ministerium for Europa og udenrigsanliggender med støtte fra Ministeriet for Forbindelser med Folketinget og Borgernes Deltagelse.</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800" cy="2244725"/>
                <wp:effectExtent l="0" t="0" r="0" b="0"/>
                <wp:wrapSquare wrapText="largest"/>
                <wp:docPr id="40" name="Framework9"/>
                <a:graphic xmlns:a="http://schemas.openxmlformats.org/drawingml/2006/main">
                  <a:graphicData uri="http://schemas.microsoft.com/office/word/2010/wordprocessingShape">
                    <wps:wsp>
                      <wps:cNvSpPr/>
                      <wps:spPr>
                        <a:xfrm>
                          <a:off x="0" y="0"/>
                          <a:ext cx="2971080" cy="22442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5810"/>
                                  <wp:effectExtent l="0" t="0" r="0" b="0"/>
                                  <wp:docPr id="42" name="Billed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lede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00000A"/>
                              </w:rPr>
                              <w:t>Fotografering: panel af franske borgere</w:t>
                            </w:r>
                          </w:p>
                        </w:txbxContent>
                      </wps:txbx>
                      <wps:bodyPr lIns="0" rIns="0" tIns="0" bIns="0">
                        <a:noAutofit/>
                      </wps:bodyPr>
                    </wps:wsp>
                  </a:graphicData>
                </a:graphic>
              </wp:anchor>
            </w:drawing>
          </mc:Choice>
          <mc:Fallback>
            <w:pict>
              <v:rect id="shape_0" ID="Framework9" fillcolor="white" stroked="f" style="position:absolute;margin-left:-0.05pt;margin-top:0.05pt;width:233.9pt;height:176.65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5810"/>
                            <wp:effectExtent l="0" t="0" r="0" b="0"/>
                            <wp:docPr id="43" name="Billed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lede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00000A"/>
                        </w:rPr>
                        <w:t>Fotografering: panel af franske borgere</w:t>
                      </w:r>
                    </w:p>
                  </w:txbxContent>
                </v:textbox>
              </v:rect>
            </w:pict>
          </mc:Fallback>
        </mc:AlternateContent>
      </w:r>
    </w:p>
    <w:p>
      <w:pPr>
        <w:pStyle w:val="Corpsdetexte"/>
        <w:rPr/>
      </w:pPr>
      <w:r>
        <w:rPr/>
        <w:t>Der blev afholdt 18 borgerpaneler i september og begyndelsen af oktober 2021 i alle regioner i Frankrig, hovedstadsområdet og i udlandet. Hvert panel samlede mellem 30 og 50 tilfældigt udvalgte borgere, der repræsenterer mangfoldigheden i befolkningen i regionerne. I alt deltog mere end 700 borgere i panelerne. Arbejdet i de regionale paneler gav anledning til en liste over 101 forhåbninger med 515 ændringsforslag og 1 301 specifikke forslag.</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7335" cy="2136775"/>
                <wp:effectExtent l="0" t="0" r="0" b="0"/>
                <wp:wrapSquare wrapText="largest"/>
                <wp:docPr id="44" name="Framework10"/>
                <a:graphic xmlns:a="http://schemas.openxmlformats.org/drawingml/2006/main">
                  <a:graphicData uri="http://schemas.microsoft.com/office/word/2010/wordprocessingShape">
                    <wps:wsp>
                      <wps:cNvSpPr/>
                      <wps:spPr>
                        <a:xfrm>
                          <a:off x="0" y="0"/>
                          <a:ext cx="2806560" cy="21362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40890"/>
                                  <wp:effectExtent l="0" t="0" r="0" b="0"/>
                                  <wp:docPr id="46" name="Billed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lede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00000A"/>
                              </w:rPr>
                              <w:t>Fotografering: Italiensk borgerpanel</w:t>
                            </w:r>
                          </w:p>
                        </w:txbxContent>
                      </wps:txbx>
                      <wps:bodyPr lIns="0" rIns="0" tIns="0" bIns="0">
                        <a:noAutofit/>
                      </wps:bodyPr>
                    </wps:wsp>
                  </a:graphicData>
                </a:graphic>
              </wp:anchor>
            </w:drawing>
          </mc:Choice>
          <mc:Fallback>
            <w:pict>
              <v:rect id="shape_0" ID="Framework10" fillcolor="white" stroked="f" style="position:absolute;margin-left:6.5pt;margin-top:183.1pt;width:220.95pt;height:168.15pt">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40890"/>
                            <wp:effectExtent l="0" t="0" r="0" b="0"/>
                            <wp:docPr id="47" name="Billed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lede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00000A"/>
                        </w:rPr>
                        <w:t>Fotografering: Italiensk borgerpanel</w:t>
                      </w:r>
                    </w:p>
                  </w:txbxContent>
                </v:textbox>
              </v:rect>
            </w:pict>
          </mc:Fallback>
        </mc:AlternateContent>
      </w:r>
      <w:r>
        <w:rPr/>
        <w:t>I alt 100 borgere, der repræsenterer panelerne, mødtes i Paris den 16.-17. oktober 2021 til den nationale sammenfattende konference for at udarbejde og vedtage henstillingerne. Der blev identificeret i alt 14 prioriterede anbefalinger som led i denne proces. For konferencens ni temaer blev henstillingerne forelagt den franske regering, herunder udenrigsminister Clément Beaune, og udgjorde den franske regerings bidrag til konferencen.</w:t>
      </w:r>
    </w:p>
    <w:p>
      <w:pPr>
        <w:pStyle w:val="Titre4"/>
        <w:numPr>
          <w:ilvl w:val="3"/>
          <w:numId w:val="2"/>
        </w:numPr>
        <w:rPr/>
      </w:pPr>
      <w:bookmarkStart w:id="24" w:name="__RefHeading___Toc298222_1346298689"/>
      <w:bookmarkEnd w:id="24"/>
      <w:r>
        <w:rPr/>
        <w:t>4)</w:t>
        <w:tab/>
        <w:t>ITALIEN</w:t>
      </w:r>
    </w:p>
    <w:p>
      <w:pPr>
        <w:pStyle w:val="Corpsdetexte"/>
        <w:rPr/>
      </w:pPr>
      <w:r>
        <w:rPr/>
        <w:t>Et borgerpanel blev organiseret i marts 2022 af en uafhængig tredjepart under tilsyn af det italienske ministerium for europæiske politikker under formandskabet for Ministerrådet.</w:t>
      </w:r>
    </w:p>
    <w:p>
      <w:pPr>
        <w:pStyle w:val="Corpsdetexte"/>
        <w:rPr/>
      </w:pPr>
      <w:r>
        <w:rPr/>
      </w:r>
    </w:p>
    <w:p>
      <w:pPr>
        <w:pStyle w:val="Corpsdetexte"/>
        <w:rPr/>
      </w:pPr>
      <w:r>
        <w:rPr/>
        <w:t>I alt 55 tilfældigt udvalgte borgere, repræsentanter for det italienske samfund og dets regioner, deltog. Deltagerne blev tilfældigt udvalgt for at sikre, at der var forskellige køn, alder, social oprindelse, bopæl og erhvervsmæssig status.</w:t>
      </w:r>
    </w:p>
    <w:p>
      <w:pPr>
        <w:pStyle w:val="Corpsdetexte"/>
        <w:rPr/>
      </w:pPr>
      <w:r>
        <w:rPr/>
        <w:t>Borgerne mødtes online den 11. og 12. marts 2022 for at drøfte konferencens to temaer:</w:t>
      </w:r>
    </w:p>
    <w:p>
      <w:pPr>
        <w:pStyle w:val="Alineanegatifpuce"/>
        <w:numPr>
          <w:ilvl w:val="0"/>
          <w:numId w:val="3"/>
        </w:numPr>
        <w:rPr/>
      </w:pPr>
      <w:r>
        <w:rPr/>
        <w:t xml:space="preserve"> </w:t>
      </w:r>
      <w:r>
        <w:rPr/>
        <w:t>"En stærkere økonomi, social retfærdighed og beskæftigelse", og</w:t>
      </w:r>
    </w:p>
    <w:p>
      <w:pPr>
        <w:pStyle w:val="Alineanegatifpuce"/>
        <w:numPr>
          <w:ilvl w:val="0"/>
          <w:numId w:val="3"/>
        </w:numPr>
        <w:rPr/>
      </w:pPr>
      <w:r>
        <w:rPr/>
        <w:t xml:space="preserve"> </w:t>
      </w:r>
      <w:r>
        <w:rPr/>
        <w:t>"Europa i verden".</w:t>
      </w:r>
    </w:p>
    <w:p>
      <w:pPr>
        <w:pStyle w:val="Corpsdetexte"/>
        <w:rPr/>
      </w:pPr>
      <w:r>
        <w:rPr/>
        <w:t>Den 12. marts 2022 vedtog panelet i alt 58 henstillinger, herunder 33 om "En stærkere økonomi, social retfærdighed og beskæftigelse" og 25 om "Et globalt Europa". På den sidste dag gennemførte deltagerne kontrol og validering af det første udkast til de anbefalinger, der blev fremsat i første fase af arbejdet.</w:t>
      </w:r>
    </w:p>
    <w:p>
      <w:pPr>
        <w:pStyle w:val="Corpsdetexte"/>
        <w:rPr/>
      </w:pPr>
      <w:r>
        <w:rPr/>
      </w:r>
    </w:p>
    <w:p>
      <w:pPr>
        <w:pStyle w:val="Titre4"/>
        <w:numPr>
          <w:ilvl w:val="3"/>
          <w:numId w:val="2"/>
        </w:numPr>
        <w:rPr/>
      </w:pPr>
      <w:bookmarkStart w:id="25" w:name="__RefHeading___Toc298224_1346298689"/>
      <w:bookmarkEnd w:id="25"/>
      <w:r>
        <w:rPr/>
        <w:t>5)</w:t>
        <w:tab/>
        <w:t>LITAUEN</w:t>
      </w:r>
    </w:p>
    <w:p>
      <w:pPr>
        <w:pStyle w:val="Corpsdetexte"/>
        <w:rPr/>
      </w:pPr>
      <w:r>
        <w:rPr/>
        <w:t>På vegne af Udenrigsministeriet blev der i januar 2022 organiseret et nationalt borgerpanel af en uafhængig tredjepart.</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800" cy="2247900"/>
                <wp:effectExtent l="0" t="0" r="0" b="0"/>
                <wp:wrapSquare wrapText="largest"/>
                <wp:docPr id="48" name="Framework11"/>
                <a:graphic xmlns:a="http://schemas.openxmlformats.org/drawingml/2006/main">
                  <a:graphicData uri="http://schemas.microsoft.com/office/word/2010/wordprocessingShape">
                    <wps:wsp>
                      <wps:cNvSpPr/>
                      <wps:spPr>
                        <a:xfrm>
                          <a:off x="0" y="0"/>
                          <a:ext cx="2971080" cy="22471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drawing>
                                <wp:inline distT="0" distB="0" distL="0" distR="0">
                                  <wp:extent cx="2970530" cy="2038985"/>
                                  <wp:effectExtent l="0" t="0" r="0" b="0"/>
                                  <wp:docPr id="50" name="Billeder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leder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00000A"/>
                              </w:rPr>
                              <w:t>Fotografering: Litauisk borgerpanel</w:t>
                            </w:r>
                          </w:p>
                        </w:txbxContent>
                      </wps:txbx>
                      <wps:bodyPr lIns="0" rIns="0" tIns="0" bIns="0">
                        <a:noAutofit/>
                      </wps:bodyPr>
                    </wps:wsp>
                  </a:graphicData>
                </a:graphic>
              </wp:anchor>
            </w:drawing>
          </mc:Choice>
          <mc:Fallback>
            <w:pict>
              <v:rect id="shape_0" ID="Framework11" fillcolor="white" stroked="f" style="position:absolute;margin-left:-0.05pt;margin-top:0.05pt;width:233.9pt;height:176.9pt;mso-position-horizontal:center">
                <w10:wrap type="square"/>
                <v:fill o:detectmouseclick="t" type="solid" color2="black"/>
                <v:stroke color="#3465a4" joinstyle="round" endcap="flat"/>
                <v:textbox>
                  <w:txbxContent>
                    <w:p>
                      <w:pPr>
                        <w:pStyle w:val="P68B1DB1Lgende11"/>
                        <w:spacing w:before="120" w:after="120"/>
                        <w:rPr/>
                      </w:pPr>
                      <w:r>
                        <w:rPr/>
                        <w:drawing>
                          <wp:inline distT="0" distB="0" distL="0" distR="0">
                            <wp:extent cx="2970530" cy="2038985"/>
                            <wp:effectExtent l="0" t="0" r="0" b="0"/>
                            <wp:docPr id="51" name="Billeder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leder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00000A"/>
                        </w:rPr>
                        <w:t>Fotografering: Litauisk borgerpanel</w:t>
                      </w:r>
                    </w:p>
                  </w:txbxContent>
                </v:textbox>
              </v:rect>
            </w:pict>
          </mc:Fallback>
        </mc:AlternateContent>
      </w:r>
    </w:p>
    <w:p>
      <w:pPr>
        <w:pStyle w:val="Corpsdetexte"/>
        <w:rPr/>
      </w:pPr>
      <w:r>
        <w:rPr/>
        <w:t>Det samlede i alt 25 tilfældigt udvalgte borgere i alderen 18-65 år, der repræsenterer de forskellige socioøkonomiske grupper og regioner i Litauen.</w:t>
      </w:r>
    </w:p>
    <w:p>
      <w:pPr>
        <w:pStyle w:val="Corpsdetexte"/>
        <w:rPr/>
      </w:pPr>
      <w:r>
        <w:rPr/>
        <w:t>Den 4. januar 2022 blev der afholdt et åbningsmøde online, og borgerne drøftede to emner:</w:t>
      </w:r>
    </w:p>
    <w:p>
      <w:pPr>
        <w:pStyle w:val="Alineanegatifpuce"/>
        <w:numPr>
          <w:ilvl w:val="0"/>
          <w:numId w:val="3"/>
        </w:numPr>
        <w:rPr/>
      </w:pPr>
      <w:r>
        <w:rPr/>
        <w:t xml:space="preserve"> </w:t>
      </w:r>
      <w:r>
        <w:rPr/>
        <w:t>EU's rolle og kompetencer i udenrigspolitikken</w:t>
      </w:r>
    </w:p>
    <w:p>
      <w:pPr>
        <w:pStyle w:val="Alineanegatifpuce"/>
        <w:numPr>
          <w:ilvl w:val="0"/>
          <w:numId w:val="3"/>
        </w:numPr>
        <w:rPr/>
      </w:pPr>
      <w:r>
        <w:rPr/>
        <w:t xml:space="preserve"> </w:t>
      </w:r>
      <w:r>
        <w:rPr/>
        <w:t>EU's økonomiske rolle.</w:t>
      </w:r>
    </w:p>
    <w:p>
      <w:pPr>
        <w:pStyle w:val="Normal"/>
        <w:rPr/>
      </w:pPr>
      <w:r>
        <w:rPr/>
      </w:r>
    </w:p>
    <w:p>
      <w:pPr>
        <w:pStyle w:val="Corpsdetexte"/>
        <w:rPr/>
      </w:pPr>
      <w:r>
        <w:rPr/>
        <w:t>Den 15. januar 2022 mødtes deltagerne personligt for at formulere de vigtigste konklusioner af deres drøftelser. Den 25. januar 2022 vedtog de 21 henstillinger på en virtuel samling, hvoraf 10 fokuserede på EU's rolle og kompetencer i udenrigspolitikken og 11 om EU's økonomiske rolle.</w:t>
      </w:r>
    </w:p>
    <w:p>
      <w:pPr>
        <w:pStyle w:val="Corpsdetexte"/>
        <w:rPr/>
      </w:pPr>
      <w:r>
        <w:rPr/>
      </w:r>
    </w:p>
    <w:p>
      <w:pPr>
        <w:pStyle w:val="Titre4"/>
        <w:numPr>
          <w:ilvl w:val="3"/>
          <w:numId w:val="2"/>
        </w:numPr>
        <w:rPr/>
      </w:pPr>
      <w:bookmarkStart w:id="26" w:name="__RefHeading___Toc298226_1346298689"/>
      <w:bookmarkEnd w:id="26"/>
      <w:r>
        <w:rPr/>
        <w:t>6)</w:t>
        <w:tab/>
        <w:t>NEDERLANDENE</w:t>
      </w:r>
    </w:p>
    <w:p>
      <w:pPr>
        <w:pStyle w:val="Corpsdetexte"/>
        <w:rPr/>
      </w:pPr>
      <w:r>
        <w:rPr/>
        <w:t>Borgerpanelet blev organiseret af en uafhængig tredjepart, hvor dialogerne med titlen "Visioner of Europe" begyndte den</w:t>
      </w:r>
      <w:r>
        <w:rPr>
          <w:vertAlign w:val="superscript"/>
        </w:rPr>
        <w:t>1.</w:t>
      </w:r>
      <w:r>
        <w:rPr/>
        <w:t xml:space="preserve"> september. De blev opdelt i flere dele.</w:t>
      </w:r>
    </w:p>
    <w:p>
      <w:pPr>
        <w:pStyle w:val="Corpsdetexte"/>
        <w:rPr/>
      </w:pPr>
      <w:r>
        <w:rPr/>
        <w:t>Onlinesektionen, der blev lanceret den 1.</w:t>
      </w:r>
      <w:r>
        <w:rPr>
          <w:vertAlign w:val="superscript"/>
        </w:rPr>
        <w:t>september</w:t>
      </w:r>
      <w:r>
        <w:rPr/>
        <w:t xml:space="preserve"> 2021, omfattede en questio</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Billed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lede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n</w:t>
      </w:r>
      <w:r>
        <w:rPr/>
        <w:t>ary og et forenklet udvælgelsesværktøj, der gjorde det muligt for borgerne at udtrykke deres præferencer, ønsker og anbefalinger vedrørende konferencens ni temaer. Spørgeskemaet blev udsendt til en udvalgt repræsentativ og inkluderende gruppe på 4.000 borgere.</w:t>
      </w:r>
    </w:p>
    <w:p>
      <w:pPr>
        <w:pStyle w:val="Corpsdetexte"/>
        <w:rPr/>
      </w:pPr>
      <w:r>
        <w:rPr/>
      </w:r>
    </w:p>
    <w:p>
      <w:pPr>
        <w:pStyle w:val="Corpsdetexte"/>
        <w:rPr/>
      </w:pPr>
      <w:r>
        <w:rPr/>
        <w:t>I oktober og november 2021 blev der afholdt indgående debatter online og offline med borgerne, navnlig for at nå ud til unge og svært tilgængelige målgrupper.</w:t>
      </w:r>
    </w:p>
    <w:p>
      <w:pPr>
        <w:pStyle w:val="Corpsdetexte"/>
        <w:rPr/>
      </w:pPr>
      <w:r>
        <w:rPr/>
        <w:t>Der er offentliggjort to rapporter med titlen "Vores vision for Europa". udtalelser, idéer og anbefalinger (Elze kijk op Europa; Ideeën en Aanbevelingen) og samler de 30 anbefalinger fra borgerne om konferencens ni temaer.</w:t>
      </w:r>
    </w:p>
    <w:p>
      <w:pPr>
        <w:pStyle w:val="Corpsdetexte"/>
        <w:rPr/>
      </w:pPr>
      <w:r>
        <w:rPr/>
        <mc:AlternateContent>
          <mc:Choice Requires="wps">
            <w:drawing>
              <wp:anchor behindDoc="0" distT="0" distB="0" distL="0" distR="0" simplePos="0" locked="0" layoutInCell="1" allowOverlap="1" relativeHeight="66">
                <wp:simplePos x="0" y="0"/>
                <wp:positionH relativeFrom="column">
                  <wp:posOffset>25400</wp:posOffset>
                </wp:positionH>
                <wp:positionV relativeFrom="paragraph">
                  <wp:posOffset>591820</wp:posOffset>
                </wp:positionV>
                <wp:extent cx="2971800" cy="2226310"/>
                <wp:effectExtent l="0" t="0" r="0" b="0"/>
                <wp:wrapSquare wrapText="largest"/>
                <wp:docPr id="53" name="Ramme12"/>
                <a:graphic xmlns:a="http://schemas.openxmlformats.org/drawingml/2006/main">
                  <a:graphicData uri="http://schemas.microsoft.com/office/word/2010/wordprocessingShape">
                    <wps:wsp>
                      <wps:cNvSpPr/>
                      <wps:spPr>
                        <a:xfrm>
                          <a:off x="0" y="0"/>
                          <a:ext cx="2971080" cy="222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pPr>
                            <w:r>
                              <w:rPr>
                                <w:color w:val="00000A"/>
                              </w:rPr>
                              <w:t>Det hollandske</w:t>
                            </w:r>
                            <w:r>
                              <w:rPr>
                                <w:color w:val="00000A"/>
                              </w:rPr>
                              <w:drawing>
                                <wp:inline distT="0" distB="0" distL="0" distR="0">
                                  <wp:extent cx="2970530" cy="2017395"/>
                                  <wp:effectExtent l="0" t="0" r="0" b="0"/>
                                  <wp:docPr id="55" name="Billed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lede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00000A"/>
                              </w:rPr>
                              <w:t>borgerpanel</w:t>
                            </w:r>
                          </w:p>
                        </w:txbxContent>
                      </wps:txbx>
                      <wps:bodyPr lIns="0" rIns="0" tIns="0" bIns="0">
                        <a:noAutofit/>
                      </wps:bodyPr>
                    </wps:wsp>
                  </a:graphicData>
                </a:graphic>
              </wp:anchor>
            </w:drawing>
          </mc:Choice>
          <mc:Fallback>
            <w:pict>
              <v:rect id="shape_0" ID="Ramme12" fillcolor="white" stroked="f" style="position:absolute;margin-left:2pt;margin-top:46.6pt;width:233.9pt;height:175.2pt">
                <w10:wrap type="square"/>
                <v:fill o:detectmouseclick="t" type="solid" color2="black"/>
                <v:stroke color="#3465a4" joinstyle="round" endcap="flat"/>
                <v:textbox>
                  <w:txbxContent>
                    <w:p>
                      <w:pPr>
                        <w:pStyle w:val="P68B1DB1Lgende11"/>
                        <w:spacing w:before="120" w:after="120"/>
                        <w:rPr/>
                      </w:pPr>
                      <w:r>
                        <w:rPr>
                          <w:color w:val="00000A"/>
                        </w:rPr>
                        <w:t>Det hollandske</w:t>
                      </w:r>
                      <w:r>
                        <w:rPr>
                          <w:color w:val="00000A"/>
                        </w:rPr>
                        <w:drawing>
                          <wp:inline distT="0" distB="0" distL="0" distR="0">
                            <wp:extent cx="2970530" cy="2017395"/>
                            <wp:effectExtent l="0" t="0" r="0" b="0"/>
                            <wp:docPr id="56" name="Billed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lede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00000A"/>
                        </w:rPr>
                        <w:t>borgerpanel</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Arrangementer, der afholdes inden for rammerne af konferencen</w:t>
      </w:r>
    </w:p>
    <w:p>
      <w:pPr>
        <w:pStyle w:val="Titre3"/>
        <w:numPr>
          <w:ilvl w:val="2"/>
          <w:numId w:val="2"/>
        </w:numPr>
        <w:rPr/>
      </w:pPr>
      <w:bookmarkStart w:id="28" w:name="__RefHeading___Toc298230_1346298689"/>
      <w:bookmarkEnd w:id="28"/>
      <w:r>
        <w:rPr/>
        <w:t>1.</w:t>
        <w:tab/>
        <w:t>Nationale begivenheder</w:t>
      </w:r>
    </w:p>
    <w:p>
      <w:pPr>
        <w:pStyle w:val="Corpsdetexte"/>
        <w:rPr/>
      </w:pPr>
      <w:r>
        <w:rPr/>
        <w:t xml:space="preserve">Medlemsstaterne bidrog til konferencen gennem en lang række arrangementer og initiativer. Flere tusinde borgere fra hele EU deltog i disse arrangementer. En </w:t>
      </w:r>
      <w:hyperlink r:id="rId47">
        <w:r>
          <w:rPr>
            <w:rStyle w:val="LienInternet"/>
          </w:rPr>
          <w:t>specifik overskrift</w:t>
        </w:r>
      </w:hyperlink>
      <w:r>
        <w:rPr/>
        <w:t xml:space="preserve"> på den flersprogede digitale platform giver et overblik over de vigtigste aktiviteter, som medlemsstaternes myndigheder har organiseret eller støttet. Arrangementerne blev præsenteret på konferencens plenarmøder den 23. oktober 2021 og den 25. marts 2022 af repræsentanter for nationale arrangementer og/eller nationale borgerpaneler, men de bidrog også til konferencen gennem </w:t>
      </w:r>
      <w:hyperlink r:id="rId48">
        <w:r>
          <w:rPr>
            <w:rStyle w:val="LienInternet"/>
          </w:rPr>
          <w:t>rapporter fra platformen</w:t>
        </w:r>
      </w:hyperlink>
      <w:r>
        <w:rPr/>
        <w:t xml:space="preserve"> og dermed berige debatten på europæisk plan.</w:t>
      </w:r>
    </w:p>
    <w:p>
      <w:pPr>
        <w:pStyle w:val="Corpsdetexte"/>
        <w:rPr/>
      </w:pPr>
      <w:r>
        <w:rPr/>
        <w:t xml:space="preserve"> </w:t>
      </w:r>
      <w:r>
        <w:rPr/>
        <w:t>Hovedformålet med disse arrangementer og initiativer var at lytte til borgerne og inddrage dem i debatterne om Den Europæiske Union. Inklusion og dialog med borgerne var også en prioritet med bestræbelser på at inddrage personer, der normalt ikke er involveret i EU-relaterede debatter.</w:t>
      </w:r>
    </w:p>
    <w:p>
      <w:pPr>
        <w:pStyle w:val="Corpsdetexte"/>
        <w:rPr/>
      </w:pPr>
      <w:r>
        <w:rPr/>
        <w:t>Der fandt forskellige typer arrangementer sted, der kombinerer centraliserede og decentraliserede tilgange, herunder med forskellige former for støtte til bottom-up-initiativer. Aktiviteter og arrangementer i medlemsstaterne blev organiseret af forskellige institutioner og aktører, herunder nationale, regionale og lokale myndigheder, civilsamfundsorganisationer, arbejdsmarkedets parter, foreninger og borgere. I nogle tilfælde deltog ikke-statslige organisationer, kulturinstitutioner, tænketanke, universiteter og forskningsinstitutter også aktivt i tilrettelæggelsen af arrangementer på konferencen. I mange af disse aktiviteter og arrangementer er der lagt særlig vægt på den yngre generations deltagelse.</w:t>
      </w:r>
    </w:p>
    <w:p>
      <w:pPr>
        <w:pStyle w:val="Corpsdetexte"/>
        <w:rPr/>
      </w:pPr>
      <w:r>
        <w:rPr/>
        <w:drawing>
          <wp:anchor behindDoc="0" distT="0" distB="0" distL="0" distR="0" simplePos="0" locked="0" layoutInCell="1" allowOverlap="1" relativeHeight="67">
            <wp:simplePos x="0" y="0"/>
            <wp:positionH relativeFrom="column">
              <wp:posOffset>31750</wp:posOffset>
            </wp:positionH>
            <wp:positionV relativeFrom="paragraph">
              <wp:posOffset>123190</wp:posOffset>
            </wp:positionV>
            <wp:extent cx="2518410" cy="7244080"/>
            <wp:effectExtent l="0" t="0" r="0" b="0"/>
            <wp:wrapTopAndBottom/>
            <wp:docPr id="57" name="Billed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lede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Oversigt over de vigtigste begivenheder og initiativer i medlemsstaterne:</w:t>
      </w:r>
    </w:p>
    <w:p>
      <w:pPr>
        <w:pStyle w:val="P68B1DB1Corpsdetexte12"/>
        <w:rPr>
          <w:b/>
          <w:b/>
          <w:i/>
          <w:i/>
          <w:u w:val="single"/>
        </w:rPr>
      </w:pPr>
      <w:r>
        <w:rPr/>
        <w:t>1 Belgien</w:t>
      </w:r>
    </w:p>
    <w:p>
      <w:pPr>
        <w:pStyle w:val="Corpsdetexte"/>
        <w:rPr/>
      </w:pPr>
      <w:r>
        <w:rPr/>
        <w:t>Flere arrangementer er blevet organiseret af de føderale og regionale myndigheder. Flere debatter med borgerne fandt sted, f.eks. om EU i verden og om klimaændringer og miljø. Der blev også gennemført en struktureret dialog med borgerne om "Living in a border region" og et hackathon om "En sund livsstils og klimaændringers indvirkning på livskvaliteten" og "barrierer for ungdomsbeskæftigelse".</w:t>
      </w:r>
    </w:p>
    <w:p>
      <w:pPr>
        <w:pStyle w:val="Corpsdetexte"/>
        <w:rPr/>
      </w:pPr>
      <w:r>
        <w:rPr/>
        <w:t>Derudover blev der afholdt et arrangement om digitalisering og bæredygtig økonomi, og der blev afholdt en række debatter mellem unge og politikere om temaet "Europa lytter til jer".</w:t>
      </w:r>
    </w:p>
    <w:p>
      <w:pPr>
        <w:pStyle w:val="P68B1DB1Corpsdetexte12"/>
        <w:rPr>
          <w:b/>
          <w:b/>
          <w:i/>
          <w:i/>
          <w:u w:val="single"/>
        </w:rPr>
      </w:pPr>
      <w:r>
        <w:rPr/>
        <w:t>2 Bulgarien</w:t>
      </w:r>
    </w:p>
    <w:p>
      <w:pPr>
        <w:pStyle w:val="Corpsdetexte"/>
        <w:rPr/>
      </w:pPr>
      <w:r>
        <w:rPr/>
        <w:t>Den bulgarske øvelse blev iværksat ved en ceremoni med titlen "Hvordan hører man borgernes stemme gennem konferencen om Europas fremtid?" med deltagelse af offentlige myndigheder og repræsentanter for borgerne. Som en del af de arrangementer, der blev afholdt, blev der etableret en dialog om demografi og demokrati.</w:t>
      </w:r>
    </w:p>
    <w:p>
      <w:pPr>
        <w:pStyle w:val="Corpsdetexte"/>
        <w:rPr/>
      </w:pPr>
      <w:r>
        <w:rPr/>
        <w:t>Flere lokale arrangementer fandt sted i større universitetsbyer med hjælp fra Europe Direct-centre.</w:t>
      </w:r>
    </w:p>
    <w:p>
      <w:pPr>
        <w:pStyle w:val="P68B1DB1Corpsdetexte12"/>
        <w:rPr>
          <w:b/>
          <w:b/>
          <w:i/>
          <w:i/>
          <w:u w:val="single"/>
        </w:rPr>
      </w:pPr>
      <w:r>
        <w:rPr/>
        <w:t>3 Den Tjekkiske Republik</w:t>
      </w:r>
    </w:p>
    <w:p>
      <w:pPr>
        <w:pStyle w:val="Corpsdetexte"/>
        <w:rPr/>
      </w:pPr>
      <w:r>
        <w:rPr/>
        <w:t>Den Tjekkiske Republik afholdt centrale drøftelser med offentligheden og informationsarrangementer for relevante interessenter. Disse arrangementer blev suppleret med ungdomsarrangementer og arrangementer med international deltagelse. Der blev navnlig afholdt et tværnationalt arrangement med tyske og tjekkiske statsborgere. Flere regionale debatter fandt sted i hele landet, samt regionale seminarer for gymnasieelever om temaet "Beslut om Europa".</w:t>
      </w:r>
    </w:p>
    <w:p>
      <w:pPr>
        <w:pStyle w:val="Normal"/>
        <w:rPr/>
      </w:pPr>
      <w:r>
        <w:rPr/>
      </w:r>
    </w:p>
    <w:p>
      <w:pPr>
        <w:pStyle w:val="P68B1DB1Corpsdetexte12"/>
        <w:tabs>
          <w:tab w:val="left" w:pos="1391" w:leader="none"/>
        </w:tabs>
        <w:rPr>
          <w:b/>
          <w:b/>
          <w:i/>
          <w:i/>
          <w:u w:val="single"/>
        </w:rPr>
      </w:pPr>
      <w:r>
        <w:rPr/>
        <w:t>4 Danmark</w:t>
      </w:r>
    </w:p>
    <w:p>
      <w:pPr>
        <w:pStyle w:val="Corpsdetexte"/>
        <w:rPr/>
      </w:pPr>
      <w:r>
        <w:rPr/>
        <w:t>Der blev afholdt en bred og inklusiv national debat, hvor civilsamfundet og andre ikke-statslige aktører spillede en central rolle. Der er ydet en særlig pulje af offentlige midler til en gruppe af forskellige organisationer, herunder ngo'er, medier, ungdomsorganisationer, kulturinstitutioner, tænketanke og forskningsinstitutter til støtte for debatter og initiativer, der er iværksat af ikke-statslige organisationer. Mere end 180 debatter fandt sted, hvoraf ca. halvdelen var specifikt rettet mod unge. Desuden afholdt regeringen og parlamentet en række officielle arrangementer, såsom borgerkonsultationer og debatter.</w:t>
      </w:r>
    </w:p>
    <w:p>
      <w:pPr>
        <w:pStyle w:val="P68B1DB1Corpsdetexte12"/>
        <w:rPr>
          <w:b/>
          <w:b/>
          <w:i/>
          <w:i/>
          <w:u w:val="single"/>
        </w:rPr>
      </w:pPr>
      <w:r>
        <w:rPr/>
        <w:t>5 Tyskland</w:t>
      </w:r>
    </w:p>
    <w:p>
      <w:pPr>
        <w:pStyle w:val="Corpsdetexte"/>
        <w:rPr/>
      </w:pPr>
      <w:r>
        <w:rPr/>
        <w:t>Begivenhederne i Tyskland involverede forbundsregeringen, Forbundsdagen, forbundsstaterne og civilsamfundet. Ud over de arrangementer, som forbundsregeringen har oprettet, blev mere end 50 regionale arrangementer organiseret af Tysklands seksten delstater og omkring 300 af civilsamfundet.</w:t>
      </w:r>
    </w:p>
    <w:p>
      <w:pPr>
        <w:pStyle w:val="Corpsdetexte"/>
        <w:rPr/>
      </w:pPr>
      <w:r>
        <w:rPr/>
        <w:t>Grænseoverskridende arrangementer og dialoger med studerende og unge har været et centralt element i mange initiativer, der sætter unge i spidsen for diskussioner, der har til formål at forme Europas fremtid.</w:t>
      </w:r>
    </w:p>
    <w:p>
      <w:pPr>
        <w:pStyle w:val="P68B1DB1Corpsdetexte12"/>
        <w:rPr>
          <w:b/>
          <w:b/>
          <w:i/>
          <w:i/>
          <w:u w:val="single"/>
        </w:rPr>
      </w:pPr>
      <w:r>
        <w:rPr/>
        <w:t>6 Estland</w:t>
      </w:r>
    </w:p>
    <w:p>
      <w:pPr>
        <w:pStyle w:val="Corpsdetexte"/>
        <w:rPr/>
      </w:pPr>
      <w:r>
        <w:rPr/>
        <w:t>Statskansleren arrangerede forskellige arrangementer, seminarer og debatter i samarbejde med bl.a. Europa-Kommissionens repræsentation i Estland, Udenrigsministeriet og andre ministerier samt civilsamfundet og ungdomsorganisationer. Der blev navnlig afholdt en diskussion for gymnasieelever om centrale spørgsmål vedrørende klimaændringer, energipolitik og konferencen generelt. Der blev også indledt en debat om "Estisk diplomati for at nå klimamålene".</w:t>
      </w:r>
    </w:p>
    <w:p>
      <w:pPr>
        <w:pStyle w:val="P68B1DB1Corpsdetexte12"/>
        <w:rPr>
          <w:b/>
          <w:b/>
          <w:i/>
          <w:i/>
          <w:u w:val="single"/>
        </w:rPr>
      </w:pPr>
      <w:r>
        <w:rPr/>
        <w:t>7 Irland</w:t>
      </w:r>
    </w:p>
    <w:p>
      <w:pPr>
        <w:pStyle w:val="Corpsdetexte"/>
        <w:rPr/>
      </w:pPr>
      <w:r>
        <w:rPr/>
        <w:t>Inklusion og dialog med hele befolkningen, især de unge, var det centrale tema i de aktiviteter, der blev organiseret i Irland.</w:t>
      </w:r>
    </w:p>
    <w:p>
      <w:pPr>
        <w:pStyle w:val="Corpsdetexte"/>
        <w:rPr/>
      </w:pPr>
      <w:r>
        <w:rPr/>
        <w:t>I samarbejde med European Movement Ireland (EMI) blev der iværksat et program med regionale og sektorspecifikke forpligtelser i 2021 og 2022. Første fase af de regionale møder fandt sted i juni og juli i form af virtuelle høringer. Anden fase af regionale arrangementer tog form af personlige offentlige møder i begyndelsen af 2022. Siden juli har et program med regeringsledede begivenheder været i gang.</w:t>
      </w:r>
    </w:p>
    <w:p>
      <w:pPr>
        <w:pStyle w:val="P68B1DB1Corpsdetexte12"/>
        <w:rPr>
          <w:b/>
          <w:b/>
          <w:i/>
          <w:i/>
          <w:u w:val="single"/>
        </w:rPr>
      </w:pPr>
      <w:r>
        <w:rPr/>
        <w:t>8 Grækenland</w:t>
      </w:r>
    </w:p>
    <w:p>
      <w:pPr>
        <w:pStyle w:val="Corpsdetexte"/>
        <w:rPr/>
      </w:pPr>
      <w:r>
        <w:rPr/>
        <w:t>Udenrigsministeriet havde ansvaret for at koordinere den nationale dialog. Centrale og lokale myndigheder og civilsamfundet blev kraftigt opfordret til at organisere drøftelser og andre arrangementer. F.eks. fandt der arrangementer sted om Euro-Middelhavssamarbejdet, Vestbalkan, den demografiske udfordring, migration og demokrati med inddragelse af borgere og forskellige interessenter.</w:t>
      </w:r>
    </w:p>
    <w:p>
      <w:pPr>
        <w:pStyle w:val="P68B1DB1Corpsdetexte12"/>
        <w:rPr>
          <w:b/>
          <w:b/>
          <w:i/>
          <w:i/>
          <w:u w:val="single"/>
        </w:rPr>
      </w:pPr>
      <w:r>
        <w:rPr/>
        <w:t>9 Spanien</w:t>
      </w:r>
    </w:p>
    <w:p>
      <w:pPr>
        <w:pStyle w:val="Corpsdetexte"/>
        <w:rPr/>
      </w:pPr>
      <w:r>
        <w:rPr/>
        <w:t>Den spanske ramme omfattede seks arrangementer på nationalt plan (f.eks. en høring af spanske borgere om Europas fremtid) og omkring 20 på regionalt plan. Der blev også afholdt et arrangement med portugisiske og spanske borgere for at drøfte centrale emner af interesse for deres regioners og EU's fremtid. På regionalt og lokalt plan arrangerede myndighederne arrangementer om flere emner såsom grænseoverskridende samarbejde, konsekvenserne af demografiske ændringer, bæredygtig transport og mobilitet, klimaændringer, migration og fremtiden for regionerne i den yderste periferi.</w:t>
      </w:r>
    </w:p>
    <w:p>
      <w:pPr>
        <w:pStyle w:val="Normal"/>
        <w:rPr/>
      </w:pPr>
      <w:r>
        <w:rPr/>
      </w:r>
    </w:p>
    <w:p>
      <w:pPr>
        <w:pStyle w:val="P68B1DB1Corpsdetexte12"/>
        <w:rPr>
          <w:b/>
          <w:b/>
          <w:i/>
          <w:i/>
          <w:u w:val="single"/>
        </w:rPr>
      </w:pPr>
      <w:r>
        <w:rPr/>
        <w:t>10 Frankrig</w:t>
      </w:r>
    </w:p>
    <w:p>
      <w:pPr>
        <w:pStyle w:val="Corpsdetexte"/>
        <w:rPr/>
      </w:pPr>
      <w:r>
        <w:rPr/>
        <w:t>Den franske regering gennemførte en omfattende onlinehøring for unge fra maj til juli 2021. 50 000 unge franskmænd gav udtryk for deres synspunkter og støttede 16 hovedidéer for Europas fremtid. Resultaterne af denne undersøgelse blev sammen med resultaterne fra det franske borgerpanel samlet i en endelig rapport, som udgør Frankrigs bidrag til konferencen. Den franske regering opfordrede også alle franske aktører, der ønskede at gøre det (sammenslutninger, lokale myndigheder, folkevalgte embedsmænd, repræsentanter for civilsamfundet), til at afholde arrangementer.</w:t>
      </w:r>
    </w:p>
    <w:p>
      <w:pPr>
        <w:pStyle w:val="P68B1DB1Corpsdetexte12"/>
        <w:rPr>
          <w:b/>
          <w:b/>
          <w:i/>
          <w:i/>
          <w:u w:val="single"/>
        </w:rPr>
      </w:pPr>
      <w:r>
        <w:rPr/>
        <w:t>11 Kroatien</w:t>
      </w:r>
    </w:p>
    <w:p>
      <w:pPr>
        <w:pStyle w:val="Corpsdetexte"/>
        <w:rPr/>
      </w:pPr>
      <w:r>
        <w:rPr/>
        <w:t>Der er nedsat en arbejdsgruppe for koordinering af aktiviteter, som har samlet idéer og planer om at gennemføre aktiviteter på nationalt plan. Ministerier, centrale statslige kontorer, regionale udviklingsorganer, universiteter, ngo'er og institutter afholdt arrangementer i form af konferencer, borgerdialoger og debatter med borgerne, offentlige diskussioner og uddannelsesworkshops med særligt fokus på unge.</w:t>
      </w:r>
    </w:p>
    <w:p>
      <w:pPr>
        <w:pStyle w:val="Corpsdetexte"/>
        <w:rPr/>
      </w:pPr>
      <w:r>
        <w:rPr/>
        <w:t>Emnerne omfatter migration, demografi, klimaneutralitet og den cirkulære økonomi. Nogle arrangementer blev afholdt sammen med andre medlemsstater og nabolande uden for EU.</w:t>
      </w:r>
    </w:p>
    <w:p>
      <w:pPr>
        <w:pStyle w:val="P68B1DB1Corpsdetexte12"/>
        <w:rPr>
          <w:b/>
          <w:b/>
          <w:i/>
          <w:i/>
          <w:u w:val="single"/>
        </w:rPr>
      </w:pPr>
      <w:r>
        <w:rPr/>
        <w:t>12 Italien</w:t>
      </w:r>
    </w:p>
    <w:p>
      <w:pPr>
        <w:pStyle w:val="Corpsdetexte"/>
        <w:rPr/>
      </w:pPr>
      <w:r>
        <w:rPr/>
        <w:t>Der er oprettet en række arrangementer, der især fokuserer på unge, for at nå ud til så mange borgere som muligt, herunder med aktiv støtte fra de lokale myndigheder. Der blev iværksat en mediekampagne for at øge kendskabet til disse begivenheder så meget som muligt. Disse aktiviteter omfatter ungdomsforummet mellem EU og Balkan, der er organiseret med unge fra det vestlige Balkan, ungdomsforummet "Meddialoger", der involverer unge fra de sydlige nabolande, samt konkurrencer for gymnasieelever og universitetsstuderende med titlen "Europa er i dine hænder".</w:t>
      </w:r>
    </w:p>
    <w:p>
      <w:pPr>
        <w:pStyle w:val="P68B1DB1Corpsdetexte12"/>
        <w:rPr>
          <w:b/>
          <w:b/>
          <w:i/>
          <w:i/>
          <w:u w:val="single"/>
        </w:rPr>
      </w:pPr>
      <w:r>
        <w:rPr/>
        <w:t>13 Cypern</w:t>
      </w:r>
    </w:p>
    <w:p>
      <w:pPr>
        <w:pStyle w:val="Corpsdetexte"/>
        <w:rPr/>
      </w:pPr>
      <w:r>
        <w:rPr/>
        <w:t>Der er blevet organiseret en række ungdomsfokuserede aktiviteter med deltagelse af mange aktører. Der blev afholdt et kickoff-arrangement, herunder en drøftelse med den yngre generation om deres forventninger, bekymringer og visioner for Europa og Cypern i EU. Der blev også ført en åben dialog om de unges rolle i debatten om Europa og de problemer, de står over for på nationalt og europæisk plan. Der blev også afholdt et arrangement for at drøfte fremtiden for europæisk sikkerhed og forsvar.</w:t>
      </w:r>
    </w:p>
    <w:p>
      <w:pPr>
        <w:pStyle w:val="P68B1DB1Corpsdetexte12"/>
        <w:rPr>
          <w:b/>
          <w:b/>
          <w:i/>
          <w:i/>
          <w:u w:val="single"/>
        </w:rPr>
      </w:pPr>
      <w:r>
        <w:rPr/>
        <w:t>14 Letland</w:t>
      </w:r>
    </w:p>
    <w:p>
      <w:pPr>
        <w:pStyle w:val="Corpsdetexte"/>
        <w:rPr/>
      </w:pPr>
      <w:r>
        <w:rPr/>
        <w:t>Flere arrangementer er blevet organiseret, herunder en landsdækkende online diskussion med studerende med titlen "The Future Is in Your Hands" om økonomiske, sociale og sikkerhedsmæssige spørgsmål. Der blev oprettet en national undersøgelse og drøftelser i tænketanke for at samle den offentlige mening om borgernes syn på EU's fremtidige prioriteter for alle konferencens temaer. Der blev afholdt regionale face-to-face-drøftelser for at øge bevidstheden om konferencen blandt personer på 55 år og derover, og der blev afholdt direkte drøftelser med gymnasieelever.</w:t>
      </w:r>
    </w:p>
    <w:p>
      <w:pPr>
        <w:pStyle w:val="P68B1DB1Corpsdetexte12"/>
        <w:rPr>
          <w:b/>
          <w:b/>
          <w:i/>
          <w:i/>
          <w:u w:val="single"/>
        </w:rPr>
      </w:pPr>
      <w:r>
        <w:rPr/>
        <w:t>15 Litauen</w:t>
      </w:r>
    </w:p>
    <w:p>
      <w:pPr>
        <w:pStyle w:val="Corpsdetexte"/>
        <w:rPr/>
      </w:pPr>
      <w:r>
        <w:rPr/>
        <w:t>Arrangementerne blev hovedsagelig organiseret på et decentralt grundlag, og der blev lagt vægt på de forskellige regioner i Litauen og unge (f.eks. inden for rammerne af ungdomsdebatten i de baltiske lande). Der blev afholdt en række borgerdialoger (om demokrati, digitalisering, klimaændringer osv.), tværnationale dialoger (f.eks. med Frankrig, Irland og Italien) og civilsamfundsarrangementer. Desuden blev skolerne opfordret til at tage fat på spørgsmålet om Europas fremtid.</w:t>
      </w:r>
    </w:p>
    <w:p>
      <w:pPr>
        <w:pStyle w:val="Normal"/>
        <w:rPr/>
      </w:pPr>
      <w:r>
        <w:rPr/>
      </w:r>
    </w:p>
    <w:p>
      <w:pPr>
        <w:pStyle w:val="P68B1DB1Corpsdetexte12"/>
        <w:rPr>
          <w:b/>
          <w:b/>
          <w:i/>
          <w:i/>
          <w:u w:val="single"/>
        </w:rPr>
      </w:pPr>
      <w:r>
        <w:rPr/>
        <w:t>16 Luxembourg</w:t>
      </w:r>
    </w:p>
    <w:p>
      <w:pPr>
        <w:pStyle w:val="Corpsdetexte"/>
        <w:rPr/>
      </w:pPr>
      <w:r>
        <w:rPr/>
        <w:t>Der blev afholdt en række arrangementer på nationalt plan med en åben, inklusiv og gennemsigtig tilgang. F.eks. arrangerede parlamentet en række arrangementer i nye formater, f.eks. "bistrot talks". Der blev også organiseret et hackathon for studerende og unge iværksættere for at drøfte det digitale kompas og EU's industristrategi.</w:t>
      </w:r>
    </w:p>
    <w:p>
      <w:pPr>
        <w:pStyle w:val="Corpsdetexte"/>
        <w:rPr/>
      </w:pPr>
      <w:r>
        <w:rPr/>
        <w:t>Desuden fandt der en trinational udveksling sted mellem tyske, franske og luxembourgske gymnasieelever.</w:t>
      </w:r>
    </w:p>
    <w:p>
      <w:pPr>
        <w:pStyle w:val="P68B1DB1Corpsdetexte12"/>
        <w:rPr>
          <w:b/>
          <w:b/>
          <w:i/>
          <w:i/>
          <w:u w:val="single"/>
        </w:rPr>
      </w:pPr>
      <w:r>
        <w:rPr/>
        <w:t>17 Ungarn</w:t>
      </w:r>
    </w:p>
    <w:p>
      <w:pPr>
        <w:pStyle w:val="Corpsdetexte"/>
        <w:rPr/>
      </w:pPr>
      <w:r>
        <w:rPr/>
        <w:t>En bred vifte af arrangementer på tværs af samfundet (mere end 800) blev afholdt. Institutionelle arrangementer omfatter internationale konferencer på højt plan arrangeret af flere ministerier (f.eks. om EU's udvidelse og den digitale dagsorden) og rundbordsdiskussioner med studerende og ungdomsorganisationer (f.eks. om europæisk integration). Flere organisationer afholdt paneler for at diskutere følgende emner: EU-institutionerne en stærkere økonomi, social retfærdighed og beskæftigelse, digital omstilling, uddannelse, kultur, ungdom og sport værdier og rettigheder, retsstatsprincippet og sikkerhed Ngo'er; migration; samt demografi, familie, sundhed, klimaændringer og miljø.</w:t>
      </w:r>
    </w:p>
    <w:p>
      <w:pPr>
        <w:pStyle w:val="P68B1DB1Corpsdetexte12"/>
        <w:rPr>
          <w:b/>
          <w:b/>
          <w:i/>
          <w:i/>
          <w:u w:val="single"/>
        </w:rPr>
      </w:pPr>
      <w:r>
        <w:rPr/>
        <w:t>18 Malta</w:t>
      </w:r>
    </w:p>
    <w:p>
      <w:pPr>
        <w:pStyle w:val="Corpsdetexte"/>
        <w:rPr/>
      </w:pPr>
      <w:r>
        <w:rPr/>
        <w:t>Efter et kick-off-arrangement blev der nedsat et nationalt koordineringsudvalg, der skulle fremme initiativet gennem forskellige kommunikationskanaler og hjalp med at lede debatten gennem nationale og lokale arrangementer.</w:t>
      </w:r>
    </w:p>
    <w:p>
      <w:pPr>
        <w:pStyle w:val="Corpsdetexte"/>
        <w:rPr/>
      </w:pPr>
      <w:r>
        <w:rPr/>
        <w:t>Tematiske offentlige dialoger (f.eks. om sundhed, europæiske værdier og fremtidens arbejde for et retfærdigt samfund), pressekonferencer, høringer af interessenter fra de relevante sektorer og interaktive møder med børn og studerende blev afholdt i fysisk eller hybrid form.</w:t>
      </w:r>
    </w:p>
    <w:p>
      <w:pPr>
        <w:pStyle w:val="Corpsdetexte"/>
        <w:rPr/>
      </w:pPr>
      <w:r>
        <w:rPr/>
      </w:r>
    </w:p>
    <w:p>
      <w:pPr>
        <w:pStyle w:val="P68B1DB1Corpsdetexte12"/>
        <w:rPr>
          <w:b/>
          <w:b/>
          <w:i/>
          <w:i/>
          <w:u w:val="single"/>
        </w:rPr>
      </w:pPr>
      <w:r>
        <w:rPr/>
        <w:t>19 Holland</w:t>
      </w:r>
    </w:p>
    <w:p>
      <w:pPr>
        <w:pStyle w:val="Corpsdetexte"/>
        <w:rPr/>
      </w:pPr>
      <w:r>
        <w:rPr/>
        <w:t>I Nederlandene blev der lagt vægt på organiseringen af det nationale borgerpanel "Visions of Europe — Kijk op Europa", som fandt sted både online og ansigt til ansigt. Den var baseret på en tofaset tilgang: det første var at samle borgernes refleksioner og meninger om "hvad", dvs. hvad de forventede og ønskede; den anden fase forsøgte derefter at forstå deres underliggende synspunkter ("hvorfor" og "hvordan") gennem gruppedialoger.</w:t>
      </w:r>
    </w:p>
    <w:p>
      <w:pPr>
        <w:pStyle w:val="Corpsdetexte"/>
        <w:rPr/>
      </w:pPr>
      <w:r>
        <w:rPr/>
      </w:r>
    </w:p>
    <w:p>
      <w:pPr>
        <w:pStyle w:val="P68B1DB1Corpsdetexte12"/>
        <w:rPr>
          <w:b/>
          <w:b/>
          <w:i/>
          <w:i/>
          <w:u w:val="single"/>
        </w:rPr>
      </w:pPr>
      <w:r>
        <w:rPr/>
        <w:t>20 Østrig</w:t>
      </w:r>
    </w:p>
    <w:p>
      <w:pPr>
        <w:pStyle w:val="Corpsdetexte"/>
        <w:rPr/>
      </w:pPr>
      <w:r>
        <w:rPr/>
        <w:t>Drøftelserne fandt sted i forskellige formater på føderalt, regionalt og lokalt plan. "Fremtidige laboratorier" og "fremtidige dialoger" gav mulighed for indgående udvekslinger med eksperter på højt plan om forskellige emner og til at søge mere omfattende løsninger for fremtiden. Desuden blev der arrangeret en række arrangementer af og for østrigske kommunalbestyrelsesmedlemmer med ansvar for europæiske anliggender. Flere arrangementer henvender sig direkte til unge og studerende.</w:t>
      </w:r>
    </w:p>
    <w:p>
      <w:pPr>
        <w:pStyle w:val="P68B1DB1Corpsdetexte12"/>
        <w:rPr>
          <w:b/>
          <w:b/>
          <w:i/>
          <w:i/>
          <w:u w:val="single"/>
        </w:rPr>
      </w:pPr>
      <w:r>
        <w:rPr/>
        <w:t>21 Polen</w:t>
      </w:r>
    </w:p>
    <w:p>
      <w:pPr>
        <w:pStyle w:val="Corpsdetexte"/>
        <w:rPr/>
      </w:pPr>
      <w:r>
        <w:rPr/>
        <w:t>Arrangementerne blev hovedsagelig organiseret som led i en decentraliseret tilgang. På regionalt plan afholdt de regionale centre for international debat offentlige arrangementer i de 16 polske regioner i fysisk og virtuelt format. De emner, der skulle drøftes, omfattede konferencens tematiske områder, f.eks. solidaritet i krisetider, landbrug og nye teknologier.</w:t>
      </w:r>
    </w:p>
    <w:p>
      <w:pPr>
        <w:pStyle w:val="Corpsdetexte"/>
        <w:rPr/>
      </w:pPr>
      <w:r>
        <w:rPr/>
        <w:t>Der blev også afholdt en national debat om klima, digitalisering, det indre marked, sundhed, EU i verden og migration.</w:t>
      </w:r>
    </w:p>
    <w:p>
      <w:pPr>
        <w:pStyle w:val="P68B1DB1Corpsdetexte12"/>
        <w:rPr>
          <w:b/>
          <w:b/>
          <w:i/>
          <w:i/>
          <w:u w:val="single"/>
        </w:rPr>
      </w:pPr>
      <w:r>
        <w:rPr/>
        <w:t>22 Portugal</w:t>
      </w:r>
    </w:p>
    <w:p>
      <w:pPr>
        <w:pStyle w:val="Corpsdetexte"/>
        <w:rPr/>
      </w:pPr>
      <w:r>
        <w:rPr/>
        <w:t>Efter det første borgerarrangement i Lissabon, som startede borgernes deltagelse i konferencen, blev der afholdt mange arrangementer i partnerskab med bl.a. lokale myndigheder, universiteter, skoler, arbejdsmarkedets parter, ungdomsorganisationer og lokale civilsamfundsorganisationer. F.eks. blev der afholdt et tværnationalt arrangement med Spanien for at drøfte centrale emner af interesse for fremtiden for regionerne i begge lande og EU. Derudover fandt decentrale nationale arrangementer sted om forskellige emner såsom migration og internationale partnerskaber, fremtiden for europæisk demokrati og digital omstilling.</w:t>
      </w:r>
    </w:p>
    <w:p>
      <w:pPr>
        <w:pStyle w:val="P68B1DB1Corpsdetexte12"/>
        <w:rPr>
          <w:b/>
          <w:b/>
          <w:i/>
          <w:i/>
          <w:u w:val="single"/>
        </w:rPr>
      </w:pPr>
      <w:r>
        <w:rPr/>
        <w:t>23 Rumænien</w:t>
      </w:r>
    </w:p>
    <w:p>
      <w:pPr>
        <w:pStyle w:val="Corpsdetexte"/>
        <w:rPr/>
      </w:pPr>
      <w:r>
        <w:rPr/>
        <w:t>Arrangementerne blev hovedsagelig organiseret eller medorganiseret af administrationen og institutterne med aktiv deltagelse af civilsamfundet og ungdomsorganisationerne.</w:t>
      </w:r>
    </w:p>
    <w:p>
      <w:pPr>
        <w:pStyle w:val="Corpsdetexte"/>
        <w:rPr/>
      </w:pPr>
      <w:r>
        <w:rPr/>
        <w:t>Drøftelserne fokuserede på en lang række emner såsom digital omstilling, uddannelse, sundhed, miljø, bæredygtig udvikling, økonomi, landbrug og EU's strategiske partnerskaber. Begivenhederne fandt sted i hovedstaden og på lokalt plan, og alle aldersgrupper deltog.</w:t>
      </w:r>
    </w:p>
    <w:p>
      <w:pPr>
        <w:pStyle w:val="P68B1DB1Corpsdetexte12"/>
        <w:rPr>
          <w:b/>
          <w:b/>
          <w:i/>
          <w:i/>
          <w:u w:val="single"/>
        </w:rPr>
      </w:pPr>
      <w:r>
        <w:rPr/>
        <w:t>24 Slovenien</w:t>
      </w:r>
    </w:p>
    <w:p>
      <w:pPr>
        <w:pStyle w:val="Corpsdetexte"/>
        <w:rPr/>
      </w:pPr>
      <w:r>
        <w:rPr/>
        <w:t>Idéen var at tilskynde til en bred debat, hvor civilsamfundet spillede en central rolle, og navnlig de unges deltagelse.</w:t>
      </w:r>
    </w:p>
    <w:p>
      <w:pPr>
        <w:pStyle w:val="Corpsdetexte"/>
        <w:rPr/>
      </w:pPr>
      <w:r>
        <w:rPr/>
        <w:t>Regeringen tilrettelagde et kick-off-arrangement, som blev efterfulgt af flere initiativer, såsom det strategiske Bled-forum, hvis hovedtema var Europas fremtid, med særligt fokus på EU's udvidelse og Vestbalkan. Andre arrangementer fokuserede på emner som pengepolitik, klimaneutralitet, unge og EU's rolle i et multipolært internationalt miljø.</w:t>
      </w:r>
    </w:p>
    <w:p>
      <w:pPr>
        <w:pStyle w:val="P68B1DB1Corpsdetexte12"/>
        <w:rPr>
          <w:b/>
          <w:b/>
          <w:i/>
          <w:i/>
          <w:u w:val="single"/>
        </w:rPr>
      </w:pPr>
      <w:r>
        <w:rPr/>
        <w:t>25 Slovakiet</w:t>
      </w:r>
    </w:p>
    <w:p>
      <w:pPr>
        <w:pStyle w:val="Corpsdetexte"/>
        <w:rPr/>
      </w:pPr>
      <w:r>
        <w:rPr/>
        <w:t>De afholdte arrangementer var organiseret omkring to hovedsøjler. Den første søjle var "WeAreEU"-projektet, der fokuserede på den brede offentlighed, herunder drøftelser med studerende og offentlige høringer, og herunder en række regionale arrangementer, der blev afholdt som en del af WeAreEU Road Show. Den anden søjle var den nationale konvention om EU med fokus på ekspertinput og analyser af emner som det indre marked, desinformation og populisme samt den digitale og økologiske omstilling.</w:t>
      </w:r>
    </w:p>
    <w:p>
      <w:pPr>
        <w:pStyle w:val="P68B1DB1Corpsdetexte12"/>
        <w:rPr>
          <w:b/>
          <w:b/>
          <w:i/>
          <w:i/>
          <w:u w:val="single"/>
        </w:rPr>
      </w:pPr>
      <w:r>
        <w:rPr/>
        <w:t>26 Finland</w:t>
      </w:r>
    </w:p>
    <w:p>
      <w:pPr>
        <w:pStyle w:val="Corpsdetexte"/>
        <w:rPr/>
      </w:pPr>
      <w:r>
        <w:rPr/>
        <w:t>Regeringen arrangerede en række regionale høringer, herunder "arrangementet for den nordligste konference i EU", om forskellige emner såsom bæredygtig vækst, uddannelse og retsstatsprincippet. Der blev også indført en undersøgelse for at informere diskussionen.</w:t>
      </w:r>
    </w:p>
    <w:p>
      <w:pPr>
        <w:pStyle w:val="Corpsdetexte"/>
        <w:spacing w:before="6264" w:after="57"/>
        <w:rPr/>
      </w:pPr>
      <w:r>
        <w:rPr/>
        <w:t xml:space="preserve">Regeringen arrangerede arrangementer i samarbejde med byer, lokale myndigheder, universiteter, ngo'er og ungdomsorganisationer samt med det finske parlament, Europa-Parlamentet og Europa-Kommissionens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Billeder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leder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i</w:t>
      </w:r>
      <w:r>
        <w:rPr/>
        <w:t>nformationskontorer i Finland.</w:t>
      </w:r>
    </w:p>
    <w:p>
      <w:pPr>
        <w:pStyle w:val="Normal"/>
        <w:rPr/>
      </w:pPr>
      <w:r>
        <w:rPr/>
      </w:r>
    </w:p>
    <w:p>
      <w:pPr>
        <w:pStyle w:val="P68B1DB1Corpsdetexte12"/>
        <w:rPr>
          <w:b/>
          <w:b/>
          <w:i/>
          <w:i/>
          <w:u w:val="single"/>
        </w:rPr>
      </w:pPr>
      <w:r>
        <w:rPr/>
        <w:t>27 Sverige</w:t>
      </w:r>
    </w:p>
    <w:p>
      <w:pPr>
        <w:pStyle w:val="Corpsdetexte"/>
        <w:rPr/>
      </w:pPr>
      <w:r>
        <w:rPr/>
        <w:t>Arrangementerne blev hovedsagelig organiseret decentralt som en fælles øvelse mellem regeringen, det nationale parlament, politiske partier, arbejdsmarkedets parter, lokale og regionale repræsentanter, civilsamfundsorganisationer og andre relevante aktører i samfundet.</w:t>
      </w:r>
    </w:p>
    <w:p>
      <w:pPr>
        <w:pStyle w:val="Corpsdetexte"/>
        <w:rPr/>
      </w:pPr>
      <w:r>
        <w:rPr/>
        <w:t>F.eks. drøftede den svenske europaminister Europas fremtid med studerende fra forskellige skoler og deltog i møder på kommunalt plan for at drøfte Europas fremtid og demokratiet med borgerne. Digitale medier er også blevet brugt til at deltage i dialoger med borgerne gennem f.eks. Q &amp; A-sessioner.</w:t>
      </w:r>
    </w:p>
    <w:p>
      <w:pPr>
        <w:pStyle w:val="Corpsdetexte"/>
        <w:rPr/>
      </w:pPr>
      <w:r>
        <w:rPr/>
        <w:t>Ovenstående beskrivelser er ikke udtømmende. Yderligere oplysninger om nationale arrangementer kan findes i et specifikt afsnit af den flersprogede digitale platform.</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Møde mellem unge europæere </w:t>
      </w:r>
    </w:p>
    <w:p>
      <w:pPr>
        <w:pStyle w:val="Normal"/>
        <w:rPr/>
      </w:pPr>
      <w:r>
        <w:rPr/>
        <w:t xml:space="preserve">Det </w:t>
      </w:r>
      <w:hyperlink r:id="rId51">
        <w:r>
          <w:rPr>
            <w:rStyle w:val="LienInternet"/>
          </w:rPr>
          <w:t>europæiske ungdomsarrangement (EYE 2021)</w:t>
        </w:r>
      </w:hyperlink>
      <w:r>
        <w:rPr/>
        <w:t xml:space="preserve"> fandt sted den 8.-9. oktober 2021 og samlede 10.000 unge online og Europa-Parlamentet i Strasbourg for at udforme og udveksle idéer om Europas fremtid. EYE </w:t>
      </w:r>
      <w:r>
        <w:rPr>
          <w:i/>
        </w:rPr>
        <w:t>var en enestående mulighed for unge i alderen 16-30 år for at interagere personligt og online, inspirere hinanden og udveksle synspunkter med eksperter, aktivister, indflydelsesrige og beslutningstagere, der står i centrum for det europæiske demokrati</w:t>
      </w:r>
      <w:r>
        <w:rPr/>
        <w:t>.</w:t>
      </w:r>
    </w:p>
    <w:p>
      <w:pPr>
        <w:pStyle w:val="Normal"/>
        <w:spacing w:before="6132" w:after="57"/>
        <w:rPr/>
      </w:pPr>
      <w:r>
        <w:rPr/>
        <w:t xml:space="preserve">Siden maj 2021 er der i samarbejde med tværeuropæiske ungdomsorganisationer blevet indsamlet over 2.000 forslag fra unge borgere fra hele Den Europæiske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Billed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lede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U</w:t>
      </w:r>
      <w:r>
        <w:rPr/>
        <w:t xml:space="preserve">nion. Desuden fokuserede flere møder, både online før arrangementet og under EYE i Strasbourg, på konferencen om Europas fremtid. Efter arrangementet blev de 20 vigtigste idéer fra deltagerne, to idéer pr. tema på konferencen, samlet i </w:t>
      </w:r>
      <w:hyperlink r:id="rId53">
        <w:r>
          <w:rPr>
            <w:rStyle w:val="LienInternet"/>
          </w:rPr>
          <w:t>rapporten om ungdomsidéer til</w:t>
        </w:r>
      </w:hyperlink>
      <w:r>
        <w:rPr/>
        <w:t xml:space="preserve"> konferencen om Europas fremtid, der blev offentliggjort på 23 sprog.</w:t>
      </w:r>
    </w:p>
    <w:p>
      <w:pPr>
        <w:pStyle w:val="Normal"/>
        <w:rPr/>
      </w:pPr>
      <w:r>
        <w:rPr/>
        <w:t xml:space="preserve">Rapporten om ungdomsidéer blev forelagt konferencens plenarforsamling den 23. oktober af unge deltagere fra de europæiske borgerpaneler, som også deltog i EYE 2021. Alle indsamlede idéer er tilgængelige på: </w:t>
      </w:r>
      <w:hyperlink r:id="rId54">
        <w:r>
          <w:rPr>
            <w:rStyle w:val="LienInternet"/>
          </w:rPr>
          <w:t>Søg.youthideas.eu.</w:t>
        </w:r>
      </w:hyperlink>
    </w:p>
    <w:p>
      <w:pPr>
        <w:pStyle w:val="Titre3"/>
        <w:numPr>
          <w:ilvl w:val="2"/>
          <w:numId w:val="2"/>
        </w:numPr>
        <w:rPr/>
      </w:pPr>
      <w:bookmarkStart w:id="31" w:name="__RefHeading___Toc298236_1346298689"/>
      <w:bookmarkEnd w:id="31"/>
      <w:r>
        <w:rPr/>
        <w:t>3.</w:t>
        <w:tab/>
        <w:t>Andre begivenheder</w:t>
      </w:r>
    </w:p>
    <w:p>
      <w:pPr>
        <w:pStyle w:val="Normal"/>
        <w:rPr/>
      </w:pPr>
      <w:r>
        <w:rPr/>
        <w:t>Ud over ovennævnte begivenheder samlede mange andre institutioner og interessenter borgerne for at drøfte Europas fremtid</w:t>
      </w:r>
      <w:r>
        <w:rPr>
          <w:rStyle w:val="Ancredenotedebasdepage"/>
          <w:rStyle w:val="Ancredenotedebasdepage"/>
        </w:rPr>
        <w:footnoteReference w:id="6"/>
      </w:r>
      <w:r>
        <w:rPr/>
        <w:t>.</w:t>
      </w:r>
    </w:p>
    <w:p>
      <w:pPr>
        <w:pStyle w:val="Normal"/>
        <w:rPr/>
      </w:pPr>
      <w:r>
        <w:rPr/>
        <w:t>Under hele konferencen om Europas fremtid har Det Europæiske Økonomiske og Sociale Udvalg (EØSU) arbejdet for at gøre det kendt og bistå dets omfattende netværk af civilsamfundsorganisationer i medlemsstaterne med at tilrettelægge nationale høringer. I alt støttede det udbredelsen af 75 arrangementer, herunder 33 på nationalt plan og 42 på centralt plan. Af disse begivenheder offentliggjorde 60 % rapporter på konferenceplatformen, og disse 45 arrangementer samlede mere end 7.300 deltagere. Navnlig lancerede EØSU sine aktiviteter i juni 2021 med en større konference —</w:t>
      </w:r>
      <w:hyperlink r:id="rId55">
        <w:r>
          <w:rPr>
            <w:rStyle w:val="LienInternet"/>
          </w:rPr>
          <w:t>bringe det europæiske projekt tilbage til borgerne</w:t>
        </w:r>
      </w:hyperlink>
      <w:r>
        <w:rPr/>
        <w:t>— og afholdt seminaret "</w:t>
      </w:r>
      <w:hyperlink r:id="rId56">
        <w:r>
          <w:rPr>
            <w:rStyle w:val="LienInternet"/>
          </w:rPr>
          <w:t>Connecting EU</w:t>
        </w:r>
      </w:hyperlink>
      <w:r>
        <w:rPr/>
        <w:t>" i Lissabon i november 2021 og et arrangement på højt plan i Bruxelles i februar 2022 "Formidling</w:t>
      </w:r>
      <w:hyperlink r:id="rId57">
        <w:r>
          <w:rPr>
            <w:rStyle w:val="LienInternet"/>
          </w:rPr>
          <w:t>af Europa sammen</w:t>
        </w:r>
      </w:hyperlink>
      <w:r>
        <w:rPr/>
        <w:t>". Udvalget opfordrede også til at anvende onlineplatformen, hvor den uploadede 60 nye idéer, og lancerede en omfattende kommunikationskampagne på de sociale medier med et potentielt publikum på 32 mio. mennesker alene på Twitter for at fremme nationale arrangementer på engelsk og på det lokale sprog og give oplysninger før og efter hver plenarforsamling og konferencerelaterede møder.</w:t>
      </w:r>
    </w:p>
    <w:p>
      <w:pPr>
        <w:pStyle w:val="Normal"/>
        <w:rPr/>
      </w:pPr>
      <w:r>
        <w:rPr/>
        <w:t xml:space="preserve">Det Europæiske Regionsudvalg (RU) afholdt tematiske debatter i sine underudvalg og plenarforsamlinger samt 140 arrangementer på lokalt, grænseoverskridende og interregionalt plan med deltagelse af 10 000 borgere og 200 lokale politikere. Desuden blev den første </w:t>
      </w:r>
      <w:hyperlink r:id="rId58">
        <w:r>
          <w:rPr>
            <w:rStyle w:val="LienInternet"/>
          </w:rPr>
          <w:t>undersøgelse nogensinde af 1,2 millioner lokale politikere</w:t>
        </w:r>
      </w:hyperlink>
      <w:r>
        <w:rPr/>
        <w:t xml:space="preserve"> i EU-27 om deres syn på Europas fremtid offentliggjort i oktober 2021. Desuden foreslog Cdr </w:t>
      </w:r>
      <w:hyperlink r:id="rId59">
        <w:r>
          <w:rPr>
            <w:rStyle w:val="LienInternet"/>
          </w:rPr>
          <w:t>44 idéer</w:t>
        </w:r>
      </w:hyperlink>
      <w:r>
        <w:rPr/>
        <w:t xml:space="preserve"> om den flersprogede digitale platform. I begyndelsen af 2022 fremlagde</w:t>
      </w:r>
      <w:hyperlink r:id="rId60">
        <w:r>
          <w:rPr>
            <w:rStyle w:val="LienInternet"/>
          </w:rPr>
          <w:t xml:space="preserve"> en uafhængig gruppe på højt plan om europæisk demokrati</w:t>
        </w:r>
      </w:hyperlink>
      <w:r>
        <w:rPr/>
        <w:t xml:space="preserve"> idéer til, hvordan demokratiet kan forbedres i EU. RU vedtog en resolution med forslag til konferencens endelige rapport, og et </w:t>
      </w:r>
      <w:hyperlink r:id="rId61">
        <w:r>
          <w:rPr>
            <w:rStyle w:val="LienInternet"/>
          </w:rPr>
          <w:t>12-punkts</w:t>
        </w:r>
      </w:hyperlink>
      <w:r>
        <w:rPr/>
        <w:t xml:space="preserve"> manifest udarbejdet på vegne af de millioner lokale og regionale politikere i EU blev godkendt på det </w:t>
      </w:r>
      <w:hyperlink r:id="rId62">
        <w:r>
          <w:rPr>
            <w:rStyle w:val="LienInternet"/>
          </w:rPr>
          <w:t>europæiske topmøde for regioner og byer</w:t>
        </w:r>
      </w:hyperlink>
      <w:r>
        <w:rPr/>
        <w:t xml:space="preserve"> i marts 2022. En rapport</w:t>
      </w:r>
      <w:hyperlink r:id="rId63">
        <w:r>
          <w:rPr>
            <w:rStyle w:val="LienInternet"/>
          </w:rPr>
          <w:t>med titlen Borgere, lokale politikere og Europas fremtid</w:t>
        </w:r>
      </w:hyperlink>
      <w:r>
        <w:rPr/>
        <w:t>(marts 2022) opsummerer alle RU's aktiviteter i forbindelse med konferencen.</w:t>
      </w:r>
    </w:p>
    <w:p>
      <w:pPr>
        <w:pStyle w:val="Normal"/>
        <w:rPr/>
      </w:pPr>
      <w:r>
        <w:rPr/>
      </w:r>
    </w:p>
    <w:p>
      <w:pPr>
        <w:pStyle w:val="Normal"/>
        <w:rPr/>
      </w:pPr>
      <w:r>
        <w:rPr/>
        <w:t xml:space="preserve">De tre arbejdsgiverorganisationer, der er tilknyttet EU's sociale partnerskab, </w:t>
      </w:r>
      <w:hyperlink r:id="rId64">
        <w:r>
          <w:rPr>
            <w:rStyle w:val="LienInternet"/>
          </w:rPr>
          <w:t>BusinessEurope</w:t>
        </w:r>
      </w:hyperlink>
      <w:r>
        <w:rPr/>
        <w:t xml:space="preserve">, </w:t>
      </w:r>
      <w:hyperlink r:id="rId65">
        <w:r>
          <w:rPr>
            <w:rStyle w:val="LienInternet"/>
          </w:rPr>
          <w:t>SGI Europe</w:t>
        </w:r>
      </w:hyperlink>
      <w:r>
        <w:rPr/>
        <w:t xml:space="preserve"> og </w:t>
      </w:r>
      <w:hyperlink r:id="rId66">
        <w:r>
          <w:rPr>
            <w:rStyle w:val="LienInternet"/>
          </w:rPr>
          <w:t>UEAPME</w:t>
        </w:r>
      </w:hyperlink>
      <w:r>
        <w:rPr/>
        <w:t>, offentliggjorde alle deres prioriteter og bidrag på den digitale platform og præsenterede dem for de relevante arbejdsgrupper og plenarmøder. Desuden har alle fremmet konferencen, både internt og eksternt, og organiserede arrangementer og engageret i dialog med interessenter i forskellige fora. Den Europæiske Faglige Samarbejdsorganisation (EFS) mobiliserede for at bidrage til konferencen og deltog i møder i plenarforsamlingen og arbejdsgrupperne. EFS identificerede fagforeningsforslag om en mere retfærdig fremtid for Europa og offentliggjorde dem på onlineplatformen (disse var blandt de mest støttede forslag). EFS og dets associerede selskaber organiserede arrangementer og kommunikationsaktiviteter for at fremlægge og drøfte fagforeningsforslag.</w:t>
      </w:r>
    </w:p>
    <w:p>
      <w:pPr>
        <w:pStyle w:val="Normal"/>
        <w:rPr/>
      </w:pPr>
      <w:r>
        <w:rPr/>
        <w:t xml:space="preserve">Repræsentanter for civilsamfundet — </w:t>
      </w:r>
      <w:hyperlink r:id="rId67">
        <w:r>
          <w:rPr>
            <w:rStyle w:val="LienInternet"/>
          </w:rPr>
          <w:t>civilsamfundskonventionen til konferencen om Europas fremtid og den</w:t>
        </w:r>
      </w:hyperlink>
      <w:r>
        <w:rPr/>
        <w:t xml:space="preserve"> </w:t>
      </w:r>
      <w:hyperlink r:id="rId68">
        <w:r>
          <w:rPr>
            <w:rStyle w:val="LienInternet"/>
          </w:rPr>
          <w:t>europæiske internationale bevægelse</w:t>
        </w:r>
      </w:hyperlink>
      <w:r>
        <w:rPr/>
        <w:t xml:space="preserve"> — afholdt </w:t>
      </w:r>
      <w:hyperlink r:id="rId69">
        <w:r>
          <w:rPr>
            <w:rStyle w:val="LienInternet"/>
          </w:rPr>
          <w:t>adskillige arrangementer i</w:t>
        </w:r>
      </w:hyperlink>
      <w:r>
        <w:rPr/>
        <w:t xml:space="preserve"> hele Europa og var </w:t>
      </w:r>
      <w:hyperlink r:id="rId70">
        <w:r>
          <w:rPr>
            <w:rStyle w:val="LienInternet"/>
          </w:rPr>
          <w:t>aktive på plenarmødet</w:t>
        </w:r>
      </w:hyperlink>
      <w:r>
        <w:rPr/>
        <w:t xml:space="preserve">. Civilsamfundet har inddraget hundredvis af civilsamfundsorganisationer i en bottom-up-tilgang gennem </w:t>
      </w:r>
      <w:hyperlink r:id="rId71">
        <w:r>
          <w:rPr>
            <w:rStyle w:val="LienInternet"/>
          </w:rPr>
          <w:t>tematiske grupper</w:t>
        </w:r>
      </w:hyperlink>
      <w:r>
        <w:rPr/>
        <w:t xml:space="preserve"> for at udarbejde fælles og omfattende forslag inden for </w:t>
      </w:r>
      <w:hyperlink r:id="rId72">
        <w:r>
          <w:rPr>
            <w:rStyle w:val="LienInternet"/>
          </w:rPr>
          <w:t>forskellige politikområder, der er omfattet af konferencen</w:t>
        </w:r>
      </w:hyperlink>
      <w:r>
        <w:rPr/>
        <w:t>. Idéerne bidrog til konferencen gennem platformen, arbejdsgrupperne, plenarmøderne og i direkte kontakt med bestyrelsen, medformændene og det fælles sekretariat.</w:t>
      </w:r>
    </w:p>
    <w:p>
      <w:pPr>
        <w:pStyle w:val="Normal"/>
        <w:rPr/>
      </w:pPr>
      <w:r>
        <w:rPr/>
        <w:t>Europa-Kommissionens repræsentationer i medlemsstaterne, Europe Direct-centrene, de europæiske dokumentationscentre og Europa-Parlamentets forbindelseskontorer informerede aktivt borgerne om konferencen om Europas fremtid. Europa-Kommissionens repræsentationer rapporterede 1400 aktiviteter, der hjalp med at kommunikere og gennemføre konferencen i hele Europa. De organiserede eller deltog aktivt i mere end 850 arrangementer, hvoraf ca. 65 % var rettet mod unge og kvinder for at tilskynde dem til at deltage i konferencen generelt. Europa-Parlamentets forbindelseskontorer har organiseret mere end 1300 salgsfremmende aktiviteter på tværs af medlemsstaterne.</w:t>
      </w:r>
    </w:p>
    <w:p>
      <w:pPr>
        <w:pStyle w:val="Normal"/>
        <w:rPr/>
      </w:pPr>
      <w:r>
        <w:rPr/>
        <w:t>Der blev også afholdt tematiske workshopper om konferencens vigtigste emner med deltagelse af MEP'er, borgere, interessenter, nationale og regionale myndigheder og lokale medier for at øge konferencens synlighed. De europæiske dokumentationscentre rapporterede om mere end 120 aktioner i forbindelse med konferencens kommunikation.</w:t>
      </w:r>
    </w:p>
    <w:p>
      <w:pPr>
        <w:pStyle w:val="Normal"/>
        <w:rPr/>
      </w:pPr>
      <w:r>
        <w:rPr/>
        <w:t>Europe Direct-centrene rapporterede om mere end 1000 tematiske arrangementer om konferencen og mere end 600 salgsfremmende aktiviteter, herunder en bred vifte af ungdomsgrupper og -organisationer. De europæiske dokumentationscentre rapporterede om mere end 120 aktioner i forbindelse med konferencens kommunikation.</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Konferencens plenarforsamling</w:t>
      </w:r>
    </w:p>
    <w:p>
      <w:pPr>
        <w:pStyle w:val="Normal"/>
        <w:rPr/>
      </w:pPr>
      <w:r>
        <w:rPr/>
      </w:r>
      <w:r>
        <w:br w:type="page"/>
      </w:r>
    </w:p>
    <w:p>
      <w:pPr>
        <w:pStyle w:val="Titre2"/>
        <w:numPr>
          <w:ilvl w:val="1"/>
          <w:numId w:val="2"/>
        </w:numPr>
        <w:rPr/>
      </w:pPr>
      <w:bookmarkStart w:id="33" w:name="__RefHeading___Toc298240_1346298689"/>
      <w:bookmarkEnd w:id="33"/>
      <w:r>
        <w:rPr/>
        <w:t>A. plenarforsamlingens rolle og funktion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Konferencens plenarforsamling blev oprettet for at drøfte henstillingerne fra de nationale og europæiske borgerpaneler, grupperet efter tema, og uden at resultatet af drøftelserne blev fastlagt på forhånd, eller uden at deres anvendelsesområde var begrænset til foruddefinerede politikområder.</w:t>
      </w:r>
    </w:p>
    <w:p>
      <w:pPr>
        <w:pStyle w:val="Corpsdetexte"/>
        <w:rPr/>
      </w:pPr>
      <w:r>
        <w:rPr/>
        <w:t>Bidrag, der blev indsamlet på den flersprogede platform, blev også drøftet, hvis det var relevant. Plenarforsamlingen havde en unik sammensætning: den omfattede for første gang borgere, der repræsenterer europæiske og nationale borgerarrangementer og -paneler, repræsentanter for EU-institutionerne og dets rådgivende organer, folkevalgte repræsentanter på nationalt, regionalt og lokalt plan samt repræsentanter for civilsamfundet og arbejdsmarkedets parter.</w:t>
      </w:r>
    </w:p>
    <w:p>
      <w:pPr>
        <w:pStyle w:val="Corpsdetexte"/>
        <w:rPr/>
      </w:pPr>
      <w:r>
        <w:rPr/>
        <w:t>Henstillingerne blev fremlagt af borgerne og drøftet med dem; plenarforsamlingen skulle derefter forelægge sine forslag på grundlag af konsensus</w:t>
      </w:r>
      <w:r>
        <w:rPr>
          <w:rStyle w:val="Ancredenotedebasdepage"/>
          <w:rStyle w:val="Ancredenotedebasdepage"/>
        </w:rPr>
        <w:footnoteReference w:id="7"/>
      </w:r>
      <w:r>
        <w:rPr/>
        <w:t xml:space="preserve"> for direktionen. Konferencens plenarforsamling mødtes syv gange mellem juni 2021 og april 2022.</w:t>
      </w:r>
    </w:p>
    <w:p>
      <w:pPr>
        <w:pStyle w:val="Corpsdetexte"/>
        <w:rPr/>
      </w:pPr>
      <w:r>
        <w:rPr/>
        <w:t>Konferencens plenarforsamling bestod af 108 repræsentanter for Europa-Parlamentet, 54 repræsentanter for Rådet og tre repræsentanter</w:t>
      </w:r>
      <w:r>
        <w:rPr>
          <w:rStyle w:val="Ancredenotedebasdepage"/>
          <w:rStyle w:val="Ancredenotedebasdepage"/>
        </w:rPr>
        <w:footnoteReference w:id="8"/>
      </w:r>
      <w:r>
        <w:rPr/>
        <w:t>for Europa-Kommissionen samt 108 repræsentanter for alle nationale parlamenter på lige fod og borgere.</w:t>
      </w:r>
    </w:p>
    <w:p>
      <w:pPr>
        <w:pStyle w:val="Corpsdetexte"/>
        <w:rPr/>
      </w:pPr>
      <w:r>
        <w:rPr/>
        <w:t>80 repræsentanter for de europæiske borgerpaneler, hvoraf mindst en tredjedel var under 25 år, formanden for Det Europæiske Ungdomsforum og 27</w:t>
      </w:r>
      <w:r>
        <w:rPr>
          <w:rStyle w:val="Ancredenotedebasdepage"/>
          <w:rStyle w:val="Ancredenotedebasdepage"/>
        </w:rPr>
        <w:footnoteReference w:id="9"/>
      </w:r>
      <w:r>
        <w:rPr/>
        <w:t xml:space="preserve"> repræsentanter for nationale arrangementer og/eller nationale borgerpaneler deltog også.</w:t>
      </w:r>
    </w:p>
    <w:p>
      <w:pPr>
        <w:pStyle w:val="Corpsdetexte"/>
        <w:rPr/>
      </w:pPr>
      <w:r>
        <w:rPr/>
        <w:t>18 repræsentanter for Regionsudvalget og 18 repræsentanter for Det Økonomiske og Sociale Udvalg, seks folkevalgte repræsentanter for regionale myndigheder og seks folkevalgte repræsentanter for lokale myndigheder, 12 repræsentanter for arbejdsmarkedets parter og otte repræsentanter for civilsamfundet deltog også. Unionens højtstående repræsentant for udenrigsanliggender og sikkerhedspolitik blev opfordret til at drøfte EU's internationale rolle.</w:t>
      </w:r>
    </w:p>
    <w:p>
      <w:pPr>
        <w:pStyle w:val="Corpsdetexte"/>
        <w:rPr/>
      </w:pPr>
      <w:r>
        <w:rPr/>
        <w:t>Repræsentanter for centrale interessenter såsom repræsentanter for partnere fra Vestbalkan, Ukraine, religiøse, filosofiske og konfessionsløse grupper blev også indbudt.</w:t>
      </w:r>
    </w:p>
    <w:p>
      <w:pPr>
        <w:pStyle w:val="Corpsdetexte"/>
        <w:rPr/>
      </w:pPr>
      <w:r>
        <w:rPr/>
        <w:t>Møderne i plenarforsamlingen blev ledet i fællesskab af medformændene for konferencen. Konferencens plenarmøder fandt sted i Europa-Parlamentets bygninger i Strasbourg. På grund af de gældende sundheds- og sikkerhedsbestemmelser blev de første fem møder i konferencens plenarforsamling afholdt i et hybridt format, mens de to sidste blev afholdt personligt. Konferencens plenarmøder blev streamet direkte, og alle mødedokumenter blev gjort tilgængelige for offentligheden på den flersprogede digitale platform.</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Arbejdsgrupper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 overensstemmelse med konferencens forretningsorden foreslog formændene konferencens plenarforsamling at nedsætte ni tematiske arbejdsgrupper på grundlag af temaerne i den flersprogede digitale platform med henblik på at give input til forberedelsen af konferencens plenarforsamlings debatter og forslag i overensstemmelse med parametrene i den fælles erklæring. I oktober 2021 nåede formændene til enighed om mandatet for arbejdsgrupperne. De forskellige arbejdsgrupper omfattede følgende emner: Klimaændringer og miljø, Sundhed; En stærkere økonomi, social retfærdighed og beskæftigelse EU i verden, Værdier og rettigheder, retsstatsprincippet, sikkerhed Den digitale omstilling; Det europæiske demokrati; Migration; og uddannelse, kultur, ungdom og sport.</w:t>
      </w:r>
    </w:p>
    <w:p>
      <w:pPr>
        <w:pStyle w:val="Normal"/>
        <w:rPr/>
      </w:pPr>
      <w:r>
        <w:rPr/>
        <w:t>Arbejdsgrupperne fremlagde deres bidrag til konferencens plenarforsamling ved at gennemgå henstillingerne fra de respektive nationale og europæiske borgerpaneler samt de bidrag, der blev offentliggjort på den flersprogede digitale platform om de ni temaer, der blev indsamlet inden for rammerne af konferencen. Medlemmerne af konferencens plenarforsamling blev fordelt mellem de ni arbejdsgrupper som følger: 12 medlemmer pr. arbejdsgruppe for Europa-Parlamentet og de nationale parlamenter, seks for Rådet, tre for repræsentanter for nationale borgerpaneler eller nationale arrangementer, to for Regionsudvalget og to for Det Økonomiske og Sociale Udvalg, en eller to for arbejdsmarkedets parter, et for civilsamfundet og et for valgte medlemmer af lokale og regionale myndigheder samt repræsentanter for de europæiske borgerpaneler. Repræsentanter for de europæiske borgerpaneler deltog i arbejdet i den arbejdsgruppe, der var ansvarlig for deres panel. Der er desuden truffet særlige foranstaltninger for at give medlemmer af kommissærkollegiet mulighed for at deltage i arbejdsgrupper i henhold til deres porteføljer.</w:t>
      </w:r>
    </w:p>
    <w:p>
      <w:pPr>
        <w:pStyle w:val="Normal"/>
        <w:rPr/>
      </w:pPr>
      <w:r>
        <w:rPr/>
        <w:t>Arbejdsgrupperne havde livlige debatter og arbejdede på udkast til forslag, der var udarbejdet under vejledning af formanden og talsmanden, udvalgt blandt repræsentanterne for de europæiske borgerpaneler i arbejdsgruppen med bistand fra det fælles sekretariat. Arbejdsgrupperne skulle arbejde på grundlag af den konsensus, der er fastsat i artikel 17 i konferencens forretningsorden. Formanden og talsmanden forelagde derefter arbejdsgruppens resultater for plenarforsamlingen. Formanden for arbejdsgruppen blev bistået af det fælles sekretariat. Det fælles konferencesekretariat udarbejdede de sammenfattende rapporter fra hvert møde i arbejdsgruppen under ledelse af formanden og i samråd med arbejdsgruppens medlemmer.</w:t>
      </w:r>
    </w:p>
    <w:p>
      <w:pPr>
        <w:pStyle w:val="Normal"/>
        <w:rPr/>
      </w:pPr>
      <w:r>
        <w:rPr/>
        <w:t>Arbejdsgrupperne mødtes i tilknytning til konferencens plenarmøder mellem oktober 2021 og 8. april 2022 samt online i december 2021. Nogle arbejdsgrupper afholdt yderligere møder. Arbejdsgruppens møder blev sendt direkte fra den 20. januar 2022. Deres sammenfattende rapporter er blevet behørigt offentliggjort i sektionen "Konferenceplenarforsamlingen" om den flersprogede digitale platform.</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Kronologisk oversigt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KONFERENCENS KONSTITUERENDE PLENARFORSAMLING, 19. JUNI 2021</w:t>
      </w:r>
    </w:p>
    <w:p>
      <w:pPr>
        <w:pStyle w:val="Normal"/>
        <w:rPr/>
      </w:pPr>
      <w:r>
        <w:rPr/>
        <w:t>Konferencens konstituerende plenarforsamling blev afholdt den 19. juni 2021 i et hybridt format</w:t>
      </w:r>
      <w:r>
        <w:rPr>
          <w:rStyle w:val="Ancredenotedebasdepage"/>
          <w:rStyle w:val="Ancredenotedebasdepage"/>
        </w:rPr>
        <w:footnoteReference w:id="10"/>
      </w:r>
      <w:r>
        <w:rPr/>
        <w:t>. Det gav plenarforsamlingens medlemmer mulighed for at lytte til en præsentation og afholde en generel debat om formålet med og forventningerne til konferencen. Formændene understregede den hidtil usete karakter af denne udøvelse af debatdemokrati på EU-plan, som styrkede det repræsentative demokrati og satte borgerne i centrum for den politiske beslutningsproces i Den Europæiske Union. Formændene redegjorde også for, hvordan konferencens tre søjler fungerer: den flersprogede digitale platform, de europæiske og nationale borgerpaneler og plenarforsamlingen.</w:t>
      </w:r>
    </w:p>
    <w:p>
      <w:pPr>
        <w:pStyle w:val="Normal"/>
        <w:rPr/>
      </w:pPr>
      <w:r>
        <w:rPr/>
        <w:t>Desuden blev plenarforsamlingens medlemmer orienteret om, at de havde til hensigt at nedsætte ni tematiske arbejdsgrupper samt mødekalenderen for konferencen. I den efterfølgende debat, hvor mere end 150 deltagere tog ordet, blev der drøftet en lang række emner. Da udvælgelsen af deltagere i de europæiske borgerpaneler endnu ikke er afsluttet, deltog formanden for Det Europæiske Ungdomsforum og 27 repræsentanter for nationale arrangementer og/eller nationale borgerpaneler for at repræsentere borgerkomponenten.</w:t>
      </w:r>
    </w:p>
    <w:p>
      <w:pPr>
        <w:pStyle w:val="Normal"/>
        <w:rPr/>
      </w:pPr>
      <w:r>
        <w:rPr>
          <w:b/>
          <w:i/>
          <w:u w:val="single"/>
        </w:rPr>
        <w:t>KONFERENCENS ANDEN PLENARFORSAMLING, 22.-23. OKTOBER 2021</w:t>
      </w:r>
      <w:r>
        <w:rPr/>
        <w:t xml:space="preserve"> </w:t>
      </w:r>
    </w:p>
    <w:p>
      <w:pPr>
        <w:pStyle w:val="Normal"/>
        <w:rPr/>
      </w:pPr>
      <w:r>
        <w:rPr/>
        <w:t>Konferencens anden plenarforsamling blev afholdt den 22.-23. oktober 2021 i et hybridt format med deltagelse for første gang af repræsentanter for de europæiske borgerpaneler. Plenarforsamlingens medlemmer fik lejlighed til at høre en redegørelse for status for de fire europæiske borgerpaneler og afholde en debat. Desuden var repræsentanter for nationale arrangementer og paneler i stand til at præsentere de arrangementer, der blev afholdt på nationalt plan. Der blev forelagt en rapport om Det Europæiske Ungdomsarrangement (EYE) på konferencens plenarforsamling. den gav et overblik over de 20 konkrete idéer, som de unge borgere, der deltog i mødet, havde udvalgt.</w:t>
      </w:r>
    </w:p>
    <w:p>
      <w:pPr>
        <w:pStyle w:val="Normal"/>
        <w:rPr/>
      </w:pPr>
      <w:r>
        <w:rPr/>
        <w:t>I den efterfølgende debat blev der lagt vægt på den innovative karakter af den flersprogede digitale platform, som gav borgerne en stemme i kapitlet og et sted at debattere på alle EU's officielle sprog. Denne debat var baseret på den anden interimsrapport om platformen. Partnerne på Vestbalkan blev opfordret til at deltage i dette plenarmøde som centrale interessenter.</w:t>
      </w:r>
    </w:p>
    <w:p>
      <w:pPr>
        <w:pStyle w:val="Normal"/>
        <w:rPr/>
      </w:pPr>
      <w:r>
        <w:rPr>
          <w:b/>
          <w:i/>
          <w:u w:val="single"/>
        </w:rPr>
        <w:t>KONFERENCENS TREDJE PLENARMØDE, 21.-22. JANUAR 2022</w:t>
      </w:r>
      <w:r>
        <w:rPr/>
        <w:t xml:space="preserve"> </w:t>
      </w:r>
    </w:p>
    <w:p>
      <w:pPr>
        <w:pStyle w:val="Normal"/>
        <w:rPr/>
      </w:pPr>
      <w:r>
        <w:rPr/>
        <w:t>Konferencens tredje plenarforsamling, der fandt sted den 21.-22. januar 2022, var den første, der var dedikeret til den officielle fremlæggelse af anbefalinger fra de europæiske borgerpaneler og de relaterede nationale borgerpaneler. Denne plenarforsamling var den første, der fandt sted efter den endelige færdiggørelse af anbefalingerne fra visse europæiske borgerpaneler, nemlig: panel 2 (Europæisk demokrati, værdier og rettigheder, retsstatsprincippet, sikkerhed) og 3 (klimaændringer og miljø; sundhed). Plenarforsamlingen blev afholdt i et hybridt format med deltagelse af mere end 400 medlemmer af konferencens plenarforsamling enten på stedet eller på afstand.</w:t>
      </w:r>
    </w:p>
    <w:p>
      <w:pPr>
        <w:pStyle w:val="Normal"/>
        <w:rPr/>
      </w:pPr>
      <w:r>
        <w:rPr/>
        <w:t>Dette plenarmøde var også præget af, at formanden for Europa-Parlamentet, David Maria Sassoli, kort før døde. Formændene hyldede hans minde ved åbningen af mødet. Plenarforsamlingens debatter blev tilrettelagt efter tema om emnerne i de europæiske borgerpaneler 2 og 3.</w:t>
      </w:r>
    </w:p>
    <w:p>
      <w:pPr>
        <w:pStyle w:val="Normal"/>
        <w:rPr/>
      </w:pPr>
      <w:r>
        <w:rPr/>
        <w:t>Drøftelserne fandt sted i et innovativt interaktivt format, herunder øjeblikke, der var afsat til borgernes feedback, samt et særligt system med "blå kort"-spørgsmål, der gav mulighed for spontan og livlig udveksling af anbefalinger fra borgerne.</w:t>
      </w:r>
    </w:p>
    <w:p>
      <w:pPr>
        <w:pStyle w:val="Normal"/>
        <w:rPr/>
      </w:pPr>
      <w:r>
        <w:rPr>
          <w:b/>
          <w:i/>
          <w:u w:val="single"/>
        </w:rPr>
        <w:t>KONFERENCENS FJERDE PLENARMØDE, 11.-12. MARTS 2022</w:t>
      </w:r>
      <w:r>
        <w:rPr/>
        <w:t xml:space="preserve"> </w:t>
      </w:r>
    </w:p>
    <w:p>
      <w:pPr>
        <w:pStyle w:val="Normal"/>
        <w:rPr/>
      </w:pPr>
      <w:r>
        <w:rPr/>
        <w:t>Konferencens fjerde plenarforsamling var også afsat til fremlæggelse af anbefalinger fra de europæiske borgerpaneler og relaterede nationale borgerpaneler. Plenarforsamlingen fandt sted efter den endelige færdiggørelse af henstillingerne fra de to resterende europæiske borgerpaneler, nemlig: panel 1 (En stærkere økonomi, social retfærdighed og beskæftigelse, uddannelse, kultur, ungdom og sport digital omstilling) og 4 (EU i verden, migration).</w:t>
      </w:r>
    </w:p>
    <w:p>
      <w:pPr>
        <w:pStyle w:val="Normal"/>
        <w:rPr/>
      </w:pPr>
      <w:r>
        <w:rPr/>
        <w:t>Som på plenarforsamlingen i januar blev plenarforsamlingens debatter organiseret efter tema. De emner, der blev drøftet denne gang, var emnerne i de europæiske borgerpaneler 1 og 4. Drøftelserne om henstillingerne fra borgerne gav igen anledning til livlige og dybtgående udvekslinger støttet af et innovativt interaktivt format.</w:t>
      </w:r>
    </w:p>
    <w:p>
      <w:pPr>
        <w:pStyle w:val="Normal"/>
        <w:rPr/>
      </w:pPr>
      <w:r>
        <w:rPr>
          <w:b/>
          <w:i/>
          <w:u w:val="single"/>
        </w:rPr>
        <w:t>KONFERENCENS FEMTE PLENARMØDE DEN 25.-26. MARTS 2022</w:t>
      </w:r>
      <w:r>
        <w:rPr/>
        <w:t xml:space="preserve"> </w:t>
      </w:r>
    </w:p>
    <w:p>
      <w:pPr>
        <w:pStyle w:val="Normal"/>
        <w:rPr/>
      </w:pPr>
      <w:r>
        <w:rPr/>
        <w:t>Den femte plenarforsamling markerede konferencens indtræden i næste fase med iværksættelsen af processen med at definere plenarforsamlingens forslag på grundlag af henstillinger fra borgerne. Derfor har medlemmerne af plenarforsamlingen efter at have forberedt sig inden for de mindre tematiske rammer for arbejdsgrupperne for første gang afholdt debatter om konferencens ni temaer: en stærkere økonomi, social retfærdighed og beskæftigelse uddannelse, kultur, ungdom og sport den digitale omstilling; Det europæiske demokrati; værdier og rettigheder, retsstatsprincippet, sikkerhed klimaændringer og miljø, sundhed; EU i verden, migration. Dette plenarmøde var også en lejlighed for repræsentanter for nationale arrangementer, der blev afholdt i de 27 EU-medlemsstater, til at fremlægge resultaterne af deres initiativer.</w:t>
      </w:r>
    </w:p>
    <w:p>
      <w:pPr>
        <w:pStyle w:val="Normal"/>
        <w:rPr/>
      </w:pPr>
      <w:r>
        <w:rPr>
          <w:b/>
          <w:i/>
          <w:u w:val="single"/>
        </w:rPr>
        <w:t>KONFERENCENS SJETTE PLENARMØDE, 8.-9. APRIL 2022</w:t>
      </w:r>
      <w:r>
        <w:rPr/>
        <w:t xml:space="preserve"> </w:t>
      </w:r>
    </w:p>
    <w:p>
      <w:pPr>
        <w:pStyle w:val="Normal"/>
        <w:rPr/>
      </w:pPr>
      <w:r>
        <w:rPr/>
        <w:t>På konferencens sjette plenarmøde blev færdiggørelsen af udkastene til forslag fra plenarforsamlingen afsluttet.</w:t>
      </w:r>
    </w:p>
    <w:p>
      <w:pPr>
        <w:pStyle w:val="Normal"/>
        <w:rPr/>
      </w:pPr>
      <w:r>
        <w:rPr/>
        <w:t>Da de sidste møder i de tematiske arbejdsgrupper var afsluttet, gav alle plenarforsamlingens medlemmer gennem ni substansdebatter udtryk for deres synspunkter og bemærkninger til de udkast til forslag, de havde udarbejdet i de seneste måneder. Denne udveksling var også en lejlighed for dem til at reflektere over den enestående proces med at udarbejde plenarforsamlingens forslag på grundlag af borgernes anbefalinger og på det arbejde, der er udført siden udarbejdelsen. Borgerne understregede navnlig den enestående menneskelige erfaring og merværdien af denne forhandlingsproces, som forenede dem omkring dette fælles projekt. Denne debat indgik i det endelige udkast til forslag, der skulle forelægges for konferencens seneste plenarforsamling.</w:t>
      </w:r>
    </w:p>
    <w:p>
      <w:pPr>
        <w:pStyle w:val="Normal"/>
        <w:rPr/>
      </w:pPr>
      <w:r>
        <w:rPr>
          <w:b/>
          <w:i/>
          <w:u w:val="single"/>
        </w:rPr>
        <w:t>KONFERENCENS SYVENDE PLENARMØDE, 29.-30. APRIL 2022</w:t>
      </w:r>
      <w:r>
        <w:rPr/>
        <w:t xml:space="preserve"> </w:t>
      </w:r>
    </w:p>
    <w:p>
      <w:pPr>
        <w:pStyle w:val="Normal"/>
        <w:rPr/>
      </w:pPr>
      <w:r>
        <w:rPr/>
        <w:t>Den syvende og sidste plenarforsamling i konferencen om Europas fremtid var en vigtig milepæl og afsluttede en proces med intense drøftelser, der varede flere måneder med formuleringen af 49 forslag. De 49 forslag blev forelagt og formuleret af plenarforsamlingen for direktionen på grundlag af konsensus. Denne konsensus blev opnået mellem repræsentanterne for Europa-Parlamentet, Rådet, Europa-Kommissionen og de nationale parlamenter.</w:t>
      </w:r>
    </w:p>
    <w:p>
      <w:pPr>
        <w:pStyle w:val="Normal"/>
        <w:rPr/>
      </w:pPr>
      <w:r>
        <w:rPr/>
        <w:t xml:space="preserve">Repræsentanter for Regionsudvalget og Det Europæiske Økonomiske og Sociale Udvalg, regionale og lokale folkevalgte repræsentanter samt repræsentanter for arbejdsmarkedets parter og civilsamfundet gav også udtryk for deres støtte til processen og støttede forslagene. </w:t>
      </w:r>
    </w:p>
    <w:p>
      <w:pPr>
        <w:pStyle w:val="Normal"/>
        <w:rPr/>
      </w:pPr>
      <w:r>
        <w:rPr/>
        <w:t>Borgerkomponenten fremlagde sin endelige holdning til forslagene (se nøglebudskaberne nedenfor).</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På den afsluttende plenarforsamling (29.-30. april 2022) fremlagde de 108 borgere i borgerkomponenten deres endelige holdning til plenarforsamlingens forslag. Deres præsentation blev udtænkt kollektivt og præsenteret af 17 af dem i form af en fortællende tale under den endelige debat. Teksten nedenfor er et sammendrag af hovedbudskaberne i deres interventioner.</w:t>
      </w:r>
    </w:p>
    <w:p>
      <w:pPr>
        <w:pStyle w:val="P68B1DB1Normal14"/>
        <w:shd w:val="clear" w:fill="EEEEEE"/>
        <w:jc w:val="center"/>
        <w:rPr>
          <w:sz w:val="20"/>
        </w:rPr>
      </w:pPr>
      <w:r>
        <w:rPr/>
        <w:t>**</w:t>
      </w:r>
    </w:p>
    <w:p>
      <w:pPr>
        <w:pStyle w:val="P68B1DB1Normal14"/>
        <w:shd w:val="clear" w:fill="EEEEEE"/>
        <w:rPr>
          <w:sz w:val="20"/>
        </w:rPr>
      </w:pPr>
      <w:r>
        <w:rPr/>
        <w:t>Vi vil begynde med at takke Europa-Parlamentet, Rådet og Kommissionen for at give os mulighed for at være med til at forme Europas fremtid. Vi har mødtes med europæiske kolleger fra hele Unionen, fra forskellige paneler og arrangementer, med politiske repræsentanter og sociale aktører og har udvidet vores horisont. Vi voksede op som europæere. Derfor har vi alle ofret: vi blev taget ud af vores daglige liv, taget fri og brugt, for medlemmerne af de europæiske borgerpaneler, ni weekender væk fra vores familier. Men vi havde en utrolig og unik oplevelse. For os var det ikke spild af tid.</w:t>
      </w:r>
    </w:p>
    <w:p>
      <w:pPr>
        <w:pStyle w:val="P68B1DB1Normal14"/>
        <w:shd w:val="clear" w:fill="EEEEEE"/>
        <w:rPr>
          <w:sz w:val="20"/>
        </w:rPr>
      </w:pPr>
      <w:r>
        <w:rPr/>
        <w:t>Der var op- og nedture undervejs. Vi har ikke altid fået svar på vores spørgsmål. Vi ved, at det vil tage tid, før forslagene gennemføres. Men vi er overbeviste om, at De vil gøre, hvad der kræves for at opnå dette, af respekt for vores fælles arbejde. Hvis vi, borgerne, har været i stand til at overvinde vores forskelle, sprogbarrierer, at arbejde sammen og hæve os til dit niveau, kan du også.</w:t>
      </w:r>
    </w:p>
    <w:p>
      <w:pPr>
        <w:pStyle w:val="P68B1DB1Normal14"/>
        <w:shd w:val="clear" w:fill="EEEEEE"/>
        <w:jc w:val="center"/>
        <w:rPr>
          <w:sz w:val="20"/>
        </w:rPr>
      </w:pPr>
      <w:r>
        <w:rPr/>
        <w:t>**</w:t>
      </w:r>
    </w:p>
    <w:p>
      <w:pPr>
        <w:pStyle w:val="P68B1DB1Normal14"/>
        <w:shd w:val="clear" w:fill="EEEEEE"/>
        <w:rPr>
          <w:sz w:val="20"/>
        </w:rPr>
      </w:pPr>
      <w:r>
        <w:rPr/>
        <w:t>Vi er alle kommet langt, og nu hvor vores arbejde i plenum er overstået, kan vi være stolte af det. Vi ser otte tværgående temaer, der giver et klart og stærkt mandat til Europas fremtid.</w:t>
      </w:r>
    </w:p>
    <w:p>
      <w:pPr>
        <w:pStyle w:val="P68B1DB1Normal14"/>
        <w:shd w:val="clear" w:fill="EEEEEE"/>
        <w:rPr>
          <w:sz w:val="20"/>
        </w:rPr>
      </w:pPr>
      <w:r>
        <w:rPr>
          <w:b/>
        </w:rPr>
        <w:t>For det første</w:t>
      </w:r>
      <w:r>
        <w:rPr/>
        <w:t xml:space="preserve"> et EU baseret på solidaritet, social retfærdighed og lighed. Det er faktisk en stor bekymring for borgerne at finde lige vilkår og rettigheder på forskellige områder: sundhedspleje, sociale tjenester, livslang læring, lige muligheder for mennesker, der bor i landdistrikter og byområder, under hensyntagen til demografiske overvejelser. I fremtiden bør europæerne i alle medlemsstater og regioner ikke længere diskrimineres på grund af deres alder, bopæl, nationalitet, køn, religion eller politiske præferencer. De bør tilbydes anstændige levestandarder, lønninger og arbejdsvilkår. EU skal være mere end en økonomisk union. Medlemsstaterne skal udvise større solidaritet med hinanden. Vi er en familie, og vi skal opføre os som sådan i krisesituationer.</w:t>
      </w:r>
    </w:p>
    <w:p>
      <w:pPr>
        <w:pStyle w:val="P68B1DB1Normal14"/>
        <w:shd w:val="clear" w:fill="EEEEEE"/>
        <w:rPr>
          <w:sz w:val="20"/>
        </w:rPr>
      </w:pPr>
      <w:r>
        <w:rPr>
          <w:b/>
        </w:rPr>
        <w:t>For det andet</w:t>
      </w:r>
      <w:r>
        <w:rPr/>
        <w:t xml:space="preserve"> skal EU turde og handle hurtigt for at blive førende inden for miljø og klima, fremskynde omstillingen til grøn energi, forbedre sit jernbanenet, fremme bæredygtig transport og en virkelig cirkulær økonomi. Der er ingen tid at spilde. EU er nødt til at skabe forandringer på mange politikområder: landbrug, biodiversitet, økonomi, energi, transport, uddannelse, sundhed, digital omstilling og klimadiplomati. Vi har forskningskapacitet, økonomisk styrke og geopolitisk løftestang til at gøre det. Hvis vi gør klimaet til en prioritet, kan vi håbe på en fremgangsrig fremtid.</w:t>
      </w:r>
    </w:p>
    <w:p>
      <w:pPr>
        <w:pStyle w:val="P68B1DB1Normal14"/>
        <w:shd w:val="clear" w:fill="EEEEEE"/>
        <w:rPr>
          <w:sz w:val="20"/>
        </w:rPr>
      </w:pPr>
      <w:r>
        <w:rPr>
          <w:b/>
        </w:rPr>
        <w:t>For det tredje</w:t>
      </w:r>
      <w:r>
        <w:rPr/>
        <w:t xml:space="preserve"> har Europa brug for en mere demokratisk Union. De europæiske borgere elsker EU, men lad os være ærlige: det er ikke altid nemt. Du ringede til os for at hjælpe dig, og du spurgte os: hvordan skal det europæiske demokrati se ud i fremtiden? Og vi svarede dig: Vi, borgerne, ønsker et Europa, hvor beslutningerne træffes på en gennemsigtig og hurtig måde, hvor princippet om enstemmighed tages op til fornyet overvejelse, og hvor vi, borgerne, regelmæssigt og seriøst inddrages.</w:t>
      </w:r>
    </w:p>
    <w:p>
      <w:pPr>
        <w:pStyle w:val="P68B1DB1Normal14"/>
        <w:shd w:val="clear" w:fill="EEEEEE"/>
        <w:rPr>
          <w:sz w:val="20"/>
        </w:rPr>
      </w:pPr>
      <w:r>
        <w:rPr>
          <w:b/>
        </w:rPr>
        <w:t>For det fjerde</w:t>
      </w:r>
      <w:r>
        <w:rPr/>
        <w:t xml:space="preserve"> har EU brug for mere harmonisering på nogle områder og for at komme tættere på Unionen. Krigen rammer ved vores porte i øst, som opfordrer til, at vi er mere forenede end nogensinde og giver EU flere udenrigspolitiske færdigheder. Denne konference kan danne grundlag for skabelsen af et mere forenet og politisk sammenhængende Europa. Det hele kommer ned til dette ord: Det er Union. Vi kan ikke beskrive os selv som sådan, hvis vi ikke opnår det samarbejde, som konferencen har illustreret.</w:t>
      </w:r>
    </w:p>
    <w:p>
      <w:pPr>
        <w:pStyle w:val="P68B1DB1Normal14"/>
        <w:shd w:val="clear" w:fill="EEEEEE"/>
        <w:rPr>
          <w:sz w:val="20"/>
        </w:rPr>
      </w:pPr>
      <w:r>
        <w:rPr>
          <w:b/>
        </w:rPr>
        <w:t>For det femte</w:t>
      </w:r>
      <w:r>
        <w:rPr/>
        <w:t xml:space="preserve"> skal EU opnå selvstændighed og sikre sin globale konkurrenceevne. I løbet af denne proces talte vi om at nå dette mål på centrale strategiske områder: landbrug, energi, industri, sundhed. Vi skal undgå at være afhængige af tredjelande for mange følsomme produkter. Vi er nødt til at bygge videre på vores arbejdsstyrkes talent, forebygge hjerneflugt og sørge for tilstrækkelig uddannelse i færdigheder til borgerne i alle faser af deres liv, uanset hvor de bor i EU. Vi kan ikke have store forskelle inden for EU og unge uden perspektiv i ét land, tvunget til at gå til et andet.</w:t>
      </w:r>
    </w:p>
    <w:p>
      <w:pPr>
        <w:pStyle w:val="P68B1DB1Normal14"/>
        <w:shd w:val="clear" w:fill="EEEEEE"/>
        <w:rPr>
          <w:sz w:val="20"/>
        </w:rPr>
      </w:pPr>
      <w:r>
        <w:rPr>
          <w:b/>
        </w:rPr>
        <w:t>For det sjette</w:t>
      </w:r>
      <w:r>
        <w:rPr/>
        <w:t xml:space="preserve"> er EU's fremtid baseret på dets værdier. Disse har været retningsgivende for vores arbejde. Da vi startede, kunne ingen have forestillet sig, at en krig ville bryde ud på vores kontinent. Denne kamp for frihed gør os bevidste om den chance, vi har for at leve i en fredelig union. Bag alle vores forslag kommer disse værdier til udtryk: en human og værdig modtagelse af migranter, lige adgang til sundhed, bekæmpelse af korruption, opfordring til beskyttelse af naturen og biodiversiteten og en mere demokratisk Union.</w:t>
      </w:r>
    </w:p>
    <w:p>
      <w:pPr>
        <w:pStyle w:val="P68B1DB1Normal14"/>
        <w:shd w:val="clear" w:fill="EEEEEE"/>
        <w:rPr>
          <w:sz w:val="20"/>
        </w:rPr>
      </w:pPr>
      <w:r>
        <w:rPr>
          <w:b/>
        </w:rPr>
        <w:t>For det syvende</w:t>
      </w:r>
      <w:r>
        <w:rPr/>
        <w:t xml:space="preserve"> bør borgerne i fremtiden føle sig mere europæiske og lære EU bedre at kende. Dette er et tværgående spørgsmål, der har understøttet arbejdet i alle paneler. Digital omstilling, uddannelse, mobilitet og udveksling kan give substans til denne europæiske identitet, som supplerer vores nationale identitet uden at sætte spørgsmålstegn ved dem. Mange af os følte os ikke europæiske før denne konference: det opstod her langsomt ved at udveksle med hinanden. Vi var heldige nok til at få denne mulighed, men mange har ikke. Derfor er information, kommunikation og bevidsthed så vigtig.</w:t>
      </w:r>
    </w:p>
    <w:p>
      <w:pPr>
        <w:pStyle w:val="P68B1DB1Normal14"/>
        <w:shd w:val="clear" w:fill="EEEEEE"/>
        <w:rPr>
          <w:sz w:val="20"/>
        </w:rPr>
      </w:pPr>
      <w:r>
        <w:rPr/>
        <w:t xml:space="preserve">Endelig er et </w:t>
      </w:r>
      <w:r>
        <w:rPr>
          <w:b/>
        </w:rPr>
        <w:t>ottende</w:t>
      </w:r>
      <w:r>
        <w:rPr/>
        <w:t xml:space="preserve"> tværgående tema, der er yderst vigtigt for os, uddannelse og styrkelse af borgerne generelt. Til denne konference besluttede du at invitere borgere fra 16 år. Det er vi taknemmelige for, for det er mere end nogensinde nødvendigt at styrke de unge. Den høje andel af unge, der undlader at stemme, viser os, at forbindelsen mellem ungdom og politik skal genoprettes. De skal også være økonomisk og socialt ansvarlige: det er stadig for vanskeligt at komme ind på arbejdsmarkedet og gøre sine sociale rettigheder gældende. Under covid-19-pandemien følte de sig forladt, og mange lider stadig under konsekvenserne for deres mentale sundhed. Men alle europæere skal styrkes, ikke kun de unge: gennem mobilitetsprogrammer og livslang læring er vi nødt til at udvide alle europæeres horisont. Vi skal også uddanne borgerne i demokrati, aktivt medborgerskab og mediekendskab. Vi har brug for en virkelig holistisk tilgang.</w:t>
      </w:r>
    </w:p>
    <w:p>
      <w:pPr>
        <w:pStyle w:val="P68B1DB1Normal14"/>
        <w:shd w:val="clear" w:fill="EEEEEE"/>
        <w:jc w:val="center"/>
        <w:rPr>
          <w:sz w:val="20"/>
        </w:rPr>
      </w:pPr>
      <w:r>
        <w:rPr/>
        <w:t>**</w:t>
      </w:r>
    </w:p>
    <w:p>
      <w:pPr>
        <w:pStyle w:val="P68B1DB1Normal14"/>
        <w:shd w:val="clear" w:fill="EEEEEE"/>
        <w:rPr>
          <w:sz w:val="20"/>
        </w:rPr>
      </w:pPr>
      <w:r>
        <w:rPr/>
        <w:t>Ingen vidste, hvad resultatet ville blive. 27 lande, 24 sprog, forskellige aldre. Og alligevel, da vi arbejdede sammen, følte vi os forbundet: vores hjerner, vores tanker, vores oplevelser. Vi er ikke eksperter fra EU eller et af temaerne for konferencen, men vi er eksperter i det virkelige liv, og vi har vores historier. Vi går på arbejde, vi bor på landet og i forstæderne, vi arbejder om natten, vi studerer, vi har børn, vi tager offentlig transport. Vi kan stole på vores mangfoldighed. Der blev opnået enighed om forslagene mellem de fire forskellige komponenter og inden for borgerkomponenten. Vi er enige og støtter alle de forslag, der nu er i Deres hænder. Vi giver udtryk for en divergerende holdning til foranstaltning 38,4, tredje punkt, fordi den ikke stammer fra europæiske paneler eller nationale paneler og ikke er blevet drøftet tilstrækkeligt i hele arbejdsgruppen. Derfor kommenterer vi ikke indholdet eller relevansen af denne foranstaltning. Med dette in mente opfordrer vi Dem til at overveje disse forslag som helhed, gennemføre dem og ikke kun dem, der passer Dem mest, og som let kan anvendes. Gør det gennemsigtigt. Vi har arbejdet på disse forslag med engagement og passion, vi er stolte af vores arbejde: respekter ham.</w:t>
      </w:r>
    </w:p>
    <w:p>
      <w:pPr>
        <w:pStyle w:val="P68B1DB1Normal14"/>
        <w:shd w:val="clear" w:fill="EEEEEE"/>
        <w:rPr>
          <w:sz w:val="20"/>
        </w:rPr>
      </w:pPr>
      <w:r>
        <w:rPr/>
        <w:t>Konferencen om Europas fremtid gennemgik en pandemi og var vidne til en krig i Europa, der viste sin fulde solidaritet med det ukrainske folk. Året var hektisk for deltagerne og for alle europæere. Men konferencen fortsatte sit arbejde mod vind og tidevand. Lad os på vegne af konferencens borgere slutte af med at sende dig et enkelt budskab: vi føler os europæiske, vi føler os engagerede og lyttet til i demokratiseringsprocessen, vi tror på EU, og vi ønsker fortsat at tro på det. Så fra bunden af ​​vores hjerter læse forslagene godt og gennemføre dem, af hensyn til Europas fremtid.</w:t>
      </w:r>
    </w:p>
    <w:p>
      <w:pPr>
        <w:pStyle w:val="Normal"/>
        <w:shd w:val="clear" w:fill="EEEEEE"/>
        <w:rPr/>
      </w:pPr>
      <w:r>
        <w:rPr/>
      </w:r>
      <w:r>
        <w:br w:type="page"/>
      </w:r>
    </w:p>
    <w:p>
      <w:pPr>
        <w:pStyle w:val="Corpsdetexte"/>
        <w:rPr/>
      </w:pPr>
      <w:r>
        <w:rPr/>
        <w:t>Repræsentanter for Rådets del af plenarforsamlingen undlod at kommentere forslagenes indhold, men støttede og tilskyndede i stedet borgernes aktiviteter og noterede sig deres henstillinger. Efter den 9. maj 2022 afgør Rådet, hvordan der skal følges op på resultatet af konferencen inden for sit eget kompetenceområde og i overensstemmelse med traktaterne.</w:t>
      </w:r>
    </w:p>
    <w:p>
      <w:pPr>
        <w:pStyle w:val="Normal"/>
        <w:rPr/>
      </w:pPr>
      <w:r>
        <w:rPr/>
      </w:r>
    </w:p>
    <w:p>
      <w:pPr>
        <w:pStyle w:val="Corpsdetexte"/>
        <w:rPr/>
      </w:pPr>
      <w:r>
        <w:rPr/>
        <w:t>Bestyrelsen for konferencen om Europas fremtid noterer sig plenarforsamlingens forslag og præsenterer dem som det endelige resultat af konferencen. Med vejledning om Europas fremtid blev disse forslag indhentet efter næsten et års drøftelser inden for rammerne af den fælles erklæring og konferencens forretningsorden.</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Billed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lede20" descr=""/>
                    <pic:cNvPicPr>
                      <a:picLocks noChangeAspect="1" noChangeArrowheads="1"/>
                    </pic:cNvPicPr>
                  </pic:nvPicPr>
                  <pic:blipFill>
                    <a:blip r:embed="rId73"/>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Forslag fra plenarforsamlingen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Billeder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leder21"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Klimaændringer og miljø</w:t>
      </w:r>
    </w:p>
    <w:p>
      <w:pPr>
        <w:pStyle w:val="Titre3"/>
        <w:numPr>
          <w:ilvl w:val="2"/>
          <w:numId w:val="2"/>
        </w:numPr>
        <w:rPr/>
      </w:pPr>
      <w:bookmarkStart w:id="38" w:name="__RefHeading___Toc298250_1346298689"/>
      <w:bookmarkEnd w:id="38"/>
      <w:r>
        <w:rPr/>
        <w:t>1. Forslag: Landbrug, fødevareproduktion, biodiversitet og økosystemer, forurening</w:t>
      </w:r>
    </w:p>
    <w:p>
      <w:pPr>
        <w:pStyle w:val="P68B1DB1Normal15"/>
        <w:rPr>
          <w:b/>
          <w:b/>
        </w:rPr>
      </w:pPr>
      <w:r>
        <w:rPr/>
        <w:t>Formål: Sikker, bæredygtig, retfærdig, klimaorienteret og prismæssigt overkommelig fødevareproduktion, der respekterer principperne om bæredygtighed og miljøet og beskytter biodiversiteten og økosystemerne og samtidig sikrer fødevaresikkerheden.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rPr/>
      </w:pPr>
      <w:r>
        <w:rPr/>
        <w:t>1.</w:t>
        <w:tab/>
        <w:t>At bringe begreberne grønne og blå økonomier i front ved at fremme effektivt og miljøvenligt landbrug og fiskeri i EU og resten af verden, herunder økologisk landbrug og andre innovative og bæredygtige former for landbrug, såsom vertikalt landbrug, som giver mulighed for mere produktion med færre input, samtidig med at emissionerne og miljøvirkningerne reduceres, men ved fortsat at sikre produktivitet og fødevaresikkerhed (Panel 3 — Anbefaling 1, 2 og 10; panel 2 — Anbefaling 4).</w:t>
      </w:r>
    </w:p>
    <w:p>
      <w:pPr>
        <w:pStyle w:val="ListBullet4"/>
        <w:rPr/>
      </w:pPr>
      <w:r>
        <w:rPr/>
        <w:t>2.</w:t>
        <w:tab/>
        <w:t>Omdirigering af subsidier og styrkelse af incitamenterne til økologisk og bæredygtigt landbrug, der opfylder specifikke miljøstandarder og bidrager til at nå de globale klimamål (Panel 3 — Anbefaling 1 og 12).</w:t>
      </w:r>
    </w:p>
    <w:p>
      <w:pPr>
        <w:pStyle w:val="ListBullet4"/>
        <w:rPr/>
      </w:pPr>
      <w:r>
        <w:rPr/>
        <w:t>3.</w:t>
        <w:tab/>
        <w:t>Anvende principperne for den cirkulære økonomi på landbruget og tilskynde til foranstaltninger til bekæmpelse af madspild (forhandling i arbejdsgruppen, flersproget digital platform — NPC).</w:t>
      </w:r>
    </w:p>
    <w:p>
      <w:pPr>
        <w:pStyle w:val="ListBullet4"/>
        <w:rPr/>
      </w:pPr>
      <w:r>
        <w:rPr/>
        <w:t>4.</w:t>
        <w:tab/>
        <w:t>Reducere brugen af pesticider og kunstgødning betydeligt i overensstemmelse med de eksisterende mål, samtidig med at fødevaresikkerheden fortsat sikres, og støtte forskning med henblik på at udvikle mere bæredygtige og naturbaserede alternativer (panel 3 — Anbefaling 10, debat i arbejdsgruppen).</w:t>
      </w:r>
    </w:p>
    <w:p>
      <w:pPr>
        <w:pStyle w:val="ListBullet4"/>
        <w:rPr/>
      </w:pPr>
      <w:r>
        <w:rPr/>
        <w:t>5.</w:t>
        <w:tab/>
        <w:t>Indføre certificering af kulstoffjernelse baseret på robust, robust og gennemsigtig CO2-regnskab (plenardebat).</w:t>
      </w:r>
    </w:p>
    <w:p>
      <w:pPr>
        <w:pStyle w:val="ListBullet4"/>
        <w:rPr/>
      </w:pPr>
      <w:r>
        <w:rPr/>
        <w:t>6.</w:t>
        <w:tab/>
        <w:t>Øge forskning og innovation, navnlig inden for teknologiske løsninger i forbindelse med bæredygtig produktion, resistens over for skadedyr og præcisionslandbrug samt kommunikation, rådgivningssystemer og uddannelse for landbrugere og landbrugere (panel 3 — anbefaling 10, debat i arbejdsgruppen, debat i plenum).</w:t>
      </w:r>
    </w:p>
    <w:p>
      <w:pPr>
        <w:pStyle w:val="ListBullet4"/>
        <w:rPr/>
      </w:pPr>
      <w:r>
        <w:rPr/>
        <w:t>7.</w:t>
        <w:tab/>
        <w:t>Fjerne social dumping og fremme en retfærdig grøn omstilling til bedre job i landbrugssektoren med sikkerhed, sundhed og arbejdsvilkår af høj kvalitet (forhandling i arbejdsgruppen).</w:t>
      </w:r>
    </w:p>
    <w:p>
      <w:pPr>
        <w:pStyle w:val="ListBullet4"/>
        <w:rPr/>
      </w:pPr>
      <w:r>
        <w:rPr/>
        <w:t>8.</w:t>
        <w:tab/>
        <w:t>Drøfte aspekter såsom brugen af plast i landbrugsfilm og metoder til at reducere vandforbruget i landbruget (PNM).</w:t>
      </w:r>
    </w:p>
    <w:p>
      <w:pPr>
        <w:pStyle w:val="ListBullet4"/>
        <w:rPr/>
      </w:pPr>
      <w:r>
        <w:rPr/>
        <w:t>9.</w:t>
        <w:tab/>
        <w:t>Begrundet kødopdræt og -produktion fokuserede på dyrevelfærd og bæredygtighed gennem foranstaltninger såsom klar mærkning, fælles standarder for husdyrhold og transport af høj kvalitet, styrkelse af forbindelsen mellem husdyr og foder (panel 3 — henstilling 16 og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Forslag: Landbrug, fødevareproduktion, biodiversitet og økosystemer, forurening</w:t>
      </w:r>
    </w:p>
    <w:p>
      <w:pPr>
        <w:pStyle w:val="P68B1DB1Normal15"/>
        <w:rPr>
          <w:b/>
          <w:b/>
        </w:rPr>
      </w:pPr>
      <w:r>
        <w:rPr/>
        <w:t>Formål: Beskytte og genoprette biodiversiteten, landskabet og havene og eliminere forurening.</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Foranstaltninger:</w:t>
      </w:r>
    </w:p>
    <w:p>
      <w:pPr>
        <w:pStyle w:val="ListBullet4"/>
        <w:tabs>
          <w:tab w:val="clear" w:pos="720"/>
        </w:tabs>
        <w:rPr/>
      </w:pPr>
      <w:r>
        <w:rPr/>
        <w:t>1.</w:t>
        <w:tab/>
        <w:t>Oprettelse, genopretning, forvaltning og udvidelse af beskyttede områder med henblik på bevarelse af biodiversiteten (henstilling FR, panel 3 — henstilling 11).</w:t>
      </w:r>
    </w:p>
    <w:p>
      <w:pPr>
        <w:pStyle w:val="ListBullet4"/>
        <w:tabs>
          <w:tab w:val="clear" w:pos="720"/>
        </w:tabs>
        <w:rPr/>
      </w:pPr>
      <w:r>
        <w:rPr/>
        <w:t>2.</w:t>
        <w:tab/>
        <w:t>Etablering af et tvangs- og belønningssystem til bekæmpelse af forurening under anvendelse af princippet om, at forureneren betaler, som også bør integreres i skatteforanstaltninger og med større bevidsthed og incitamenter (panel 3 — anbefaling 32, FR-henstilling, plenarforhandling).</w:t>
      </w:r>
    </w:p>
    <w:p>
      <w:pPr>
        <w:pStyle w:val="ListBullet4"/>
        <w:tabs>
          <w:tab w:val="clear" w:pos="720"/>
        </w:tabs>
        <w:rPr/>
      </w:pPr>
      <w:r>
        <w:rPr/>
        <w:t>3.</w:t>
        <w:tab/>
        <w:t>Udvide kommunernes rolle i byplanlægningen og opførelsen af nye bygninger, der understøtter blå og grøn infrastruktur, undgå yderligere befæstelse af jord og sætte en stopper for den, obligatoriske grønne områder for nybyggeri med henblik på at fremme biodiversitet og byskove (panel 3 — anbefaling 5, panel 1 — anbefaling 18, anbefaling FR).</w:t>
      </w:r>
    </w:p>
    <w:p>
      <w:pPr>
        <w:pStyle w:val="ListBullet4"/>
        <w:tabs>
          <w:tab w:val="clear" w:pos="720"/>
        </w:tabs>
        <w:rPr/>
      </w:pPr>
      <w:r>
        <w:rPr/>
        <w:t>4.</w:t>
        <w:tab/>
        <w:t>Beskytte insekter, navnlig hjemmehørende arter og bestøvende arter, herunder gennem beskyttelse mod invasive arter og bedre håndhævelse af eksisterende regler (panel 1 — henstilling 18).</w:t>
      </w:r>
    </w:p>
    <w:p>
      <w:pPr>
        <w:pStyle w:val="ListBullet4"/>
        <w:tabs>
          <w:tab w:val="clear" w:pos="720"/>
        </w:tabs>
        <w:rPr/>
      </w:pPr>
      <w:r>
        <w:rPr/>
        <w:t>5.</w:t>
        <w:tab/>
        <w:t>Støtte skovrejsning og genplantning af skov, herunder skove, der er ødelagt ved brand, anvende ansvarlig skovforvaltning og tilskynde til bedre anvendelse af træ til erstatning af andre materialer. Fastsætte bindende nationale mål i alle EU's medlemsstater for genplantning af naturligt forekommende træer og lokale planter under hensyntagen til forskellige nationale forhold og særlige forhold (panel 3 — anbefaling 14, panel 1 — anbefaling 18).</w:t>
      </w:r>
    </w:p>
    <w:p>
      <w:pPr>
        <w:pStyle w:val="ListBullet4"/>
        <w:tabs>
          <w:tab w:val="clear" w:pos="720"/>
        </w:tabs>
        <w:rPr/>
      </w:pPr>
      <w:r>
        <w:rPr/>
        <w:t>6.</w:t>
        <w:tab/>
        <w:t>Håndhæve og udvide forbuddet mod engangsplast (SMP).</w:t>
      </w:r>
    </w:p>
    <w:p>
      <w:pPr>
        <w:pStyle w:val="ListBullet4"/>
        <w:tabs>
          <w:tab w:val="clear" w:pos="720"/>
        </w:tabs>
        <w:rPr/>
      </w:pPr>
      <w:r>
        <w:rPr/>
        <w:t>7.</w:t>
        <w:tab/>
        <w:t>Beskyttelse af vandkilder og bekæmpelse af flod- og havforurening, bl.a. gennem forskning og bekæmpelse af mikroplastforurening, fremme af miljøvenlig transport ved hjælp af de bedste tilgængelige teknologier og etablering af EU-forskning og finansiering af alternative maritime brændstoffer og teknologier (NMP, debat i arbejdsgruppen).</w:t>
      </w:r>
    </w:p>
    <w:p>
      <w:pPr>
        <w:pStyle w:val="ListBullet4"/>
        <w:tabs>
          <w:tab w:val="clear" w:pos="720"/>
        </w:tabs>
        <w:rPr/>
      </w:pPr>
      <w:r>
        <w:rPr/>
        <w:t>8.</w:t>
        <w:tab/>
        <w:t>Begrænsning af lysforurening (forhandling i WG).</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Forslag: Klimaændringer, energi, transport</w:t>
      </w:r>
    </w:p>
    <w:p>
      <w:pPr>
        <w:pStyle w:val="P68B1DB1Normal15"/>
        <w:rPr>
          <w:b/>
          <w:b/>
        </w:rPr>
      </w:pPr>
      <w:r>
        <w:rPr/>
        <w:t>Formål: Øge den europæiske energisikkerhed og opnå EU's energiuafhængighed, samtidig med at der sikres en retfærdig omstilling og tilvejebringer tilstrækkelig bæredygtig og økonomisk overkommelig energi til europæerne. Bekæmpelse af klimaændringer ved at give EU en global førerrolle inden for bæredygtig energipolitik og overholdelse af de globale klimabeskyttelsesmål.</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Foranstaltninger:</w:t>
      </w:r>
    </w:p>
    <w:p>
      <w:pPr>
        <w:pStyle w:val="ListBullet4"/>
        <w:tabs>
          <w:tab w:val="clear" w:pos="720"/>
        </w:tabs>
        <w:rPr/>
      </w:pPr>
      <w:r>
        <w:rPr/>
        <w:t>1.</w:t>
        <w:tab/>
        <w:t>Opnå og, hvor det er muligt, fremskynde den grønne omstilling, bl.a. ved at investere mere i vedvarende energi, for at mindske den eksterne energiafhængighed, også i erkendelse af de lokale og regionale myndigheders rolle i den grønne omstilling (forhandling i arbejdsgruppen).</w:t>
      </w:r>
    </w:p>
    <w:p>
      <w:pPr>
        <w:pStyle w:val="ListBullet4"/>
        <w:tabs>
          <w:tab w:val="clear" w:pos="720"/>
        </w:tabs>
        <w:rPr/>
      </w:pPr>
      <w:r>
        <w:rPr/>
        <w:t>2.</w:t>
        <w:tab/>
        <w:t>Inden for energipolitikkerne undersøge de geopolitiske og sikkerhedsmæssige konsekvenser af alle energileverandører fra tredjelande, navnlig med hensyn til menneskerettigheder, økologi, god regeringsførelse og retsstatsprincippet (forhandling i arbejdsgruppen).</w:t>
      </w:r>
    </w:p>
    <w:p>
      <w:pPr>
        <w:pStyle w:val="ListBullet4"/>
        <w:tabs>
          <w:tab w:val="clear" w:pos="720"/>
        </w:tabs>
        <w:rPr/>
      </w:pPr>
      <w:r>
        <w:rPr/>
        <w:t>3.</w:t>
        <w:tab/>
        <w:t>Mindske afhængigheden af olie- og gasimport gennem energieffektivitetsprojekter, støtte til økonomisk overkommelig offentlig transport, et højhastighedsjernbanenet og udvidelse af forsyningen af ren og vedvarende energi (panel 4 — anbefaling 2, panel 1 — anbefaling 10, FR og DE's anbefalinger).</w:t>
      </w:r>
    </w:p>
    <w:p>
      <w:pPr>
        <w:pStyle w:val="ListBullet4"/>
        <w:tabs>
          <w:tab w:val="clear" w:pos="720"/>
        </w:tabs>
        <w:rPr/>
      </w:pPr>
      <w:r>
        <w:rPr/>
        <w:t>4.</w:t>
        <w:tab/>
        <w:t>Forbedre kvaliteten og sammenkoblingen, sikre vedligeholdelse og omdanne elinfrastruktur og -net for at øge sikkerheden og muliggøre overgangen til vedvarende energikilder (panel 1 — anbefaling 10, debat i arbejdsgruppen).</w:t>
      </w:r>
    </w:p>
    <w:p>
      <w:pPr>
        <w:pStyle w:val="ListBullet4"/>
        <w:tabs>
          <w:tab w:val="clear" w:pos="720"/>
        </w:tabs>
        <w:rPr/>
      </w:pPr>
      <w:r>
        <w:rPr/>
        <w:t>5.</w:t>
        <w:tab/>
        <w:t>Investere i teknologier, der kan producere vedvarende energi, såsom effektiv produktion af grøn brint, især i sektorer, der er vanskelige at elektrificere (panel 3 — anbefaling 31, debat i arbejdsgruppen).</w:t>
      </w:r>
    </w:p>
    <w:p>
      <w:pPr>
        <w:pStyle w:val="ListBullet4"/>
        <w:tabs>
          <w:tab w:val="clear" w:pos="720"/>
        </w:tabs>
        <w:rPr/>
      </w:pPr>
      <w:r>
        <w:rPr/>
        <w:t>6.</w:t>
        <w:tab/>
        <w:t>Investere i udforskning af nye energikilder og miljøvenlige lagringsmetoder og, indtil der foreligger en konkret løsning, foretage yderligere investeringer i eksisterende optimale energiproduktions- og lagringsløsninger (Panel 3 — Anbefaling 9 og 31).</w:t>
      </w:r>
    </w:p>
    <w:p>
      <w:pPr>
        <w:pStyle w:val="ListBullet4"/>
        <w:tabs>
          <w:tab w:val="clear" w:pos="720"/>
        </w:tabs>
        <w:rPr/>
      </w:pPr>
      <w:r>
        <w:rPr/>
        <w:t>7.</w:t>
        <w:tab/>
        <w:t>Gøre CO2-filtre</w:t>
      </w:r>
      <w:r>
        <w:rPr>
          <w:vertAlign w:val="subscript"/>
        </w:rPr>
        <w:t>obligatoriske</w:t>
      </w:r>
      <w:r>
        <w:rPr/>
        <w:t xml:space="preserve"> i kraftværker for fossile brændstoffer og yde økonomisk støtte til medlemsstater, der ikke har økonomiske ressourcer til at gennemføre CO2-filtre (</w:t>
      </w:r>
      <w:r>
        <w:rPr>
          <w:vertAlign w:val="subscript"/>
        </w:rPr>
        <w:t>panel</w:t>
      </w:r>
      <w:r>
        <w:rPr/>
        <w:t xml:space="preserve"> 3 — Anbefaling 29).</w:t>
      </w:r>
    </w:p>
    <w:p>
      <w:pPr>
        <w:pStyle w:val="ListBullet4"/>
        <w:tabs>
          <w:tab w:val="clear" w:pos="720"/>
        </w:tabs>
        <w:rPr/>
      </w:pPr>
      <w:r>
        <w:rPr/>
        <w:t>8.</w:t>
        <w:tab/>
        <w:t>Sikring af en retfærdig omstilling, beskyttelse af arbejdstagere og job gennem tilstrækkelig finansiering til omstilling og yderligere forskning, reform af skattesystemet gennem mere retfærdige skatte- og skattesvigforanstaltninger og sikring af en inklusiv tilgang til styring i politikudformningen på alle niveauer (f.eks. ambitiøse foranstaltninger til omskoling og opkvalificering, stærk social beskyttelse, opretholdelse af offentlige tjenester i hænderne på staten, opretholdelse af sundheds- og sikkerhedsreglerne på arbejdspladsen) (plenardebat, debat i arbejdsgruppen, NPC).</w:t>
      </w:r>
    </w:p>
    <w:p>
      <w:pPr>
        <w:pStyle w:val="ListBullet4"/>
        <w:tabs>
          <w:tab w:val="clear" w:pos="720"/>
        </w:tabs>
        <w:rPr/>
      </w:pPr>
      <w:r>
        <w:rPr/>
        <w:t>9.</w:t>
        <w:tab/>
        <w:t>Indføre en investeringspakke for klimavenlige teknologier og innovationer, som bør finansieres gennem klimarelaterede importafgifter og klimarelaterede CO2-tilpasningsafgifter (DE-henstilling).</w:t>
      </w:r>
    </w:p>
    <w:p>
      <w:pPr>
        <w:pStyle w:val="ListBullet4"/>
        <w:tabs>
          <w:tab w:val="clear" w:pos="720"/>
        </w:tabs>
        <w:rPr/>
      </w:pPr>
      <w:r>
        <w:rPr/>
        <w:t>10.</w:t>
        <w:tab/>
        <w:t>Ved udløbet af en overgangsperiode bør fossile brændstoffer ikke længere modtage støtte, og der bør ikke ydes finansiering til traditionel gasinfrastruktur (forhandling i arbejdsgruppen).</w:t>
      </w:r>
    </w:p>
    <w:p>
      <w:pPr>
        <w:pStyle w:val="ListBullet4"/>
        <w:tabs>
          <w:tab w:val="clear" w:pos="720"/>
        </w:tabs>
        <w:rPr/>
      </w:pPr>
      <w:r>
        <w:rPr/>
        <w:t>11.</w:t>
        <w:tab/>
        <w:t>At øge EU's lederskab og rolle og ansvar for at fremme en ambitiøs klimaindsats og en retfærdig omstilling og bidrage til at reagere på tab og skader på den internationale scene, hvor FN skal være i centrum for indsatsen (NL-anbefaling, WG-debat).</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Forslag: Klimaændringer, energi, transport</w:t>
      </w:r>
    </w:p>
    <w:p>
      <w:pPr>
        <w:pStyle w:val="P68B1DB1Normal15"/>
        <w:rPr>
          <w:b/>
          <w:b/>
        </w:rPr>
      </w:pPr>
      <w:r>
        <w:rPr/>
        <w:t>Formål: Tilvejebringe moderne, sikker og økologisk infrastruktur af høj kvalitet, der sikrer konnektivitet, herunder i landdistrikter og øområder, herunder gennem offentlig transport til en overkommelig pris.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Foranstaltninger:</w:t>
      </w:r>
    </w:p>
    <w:p>
      <w:pPr>
        <w:pStyle w:val="ListBullet4"/>
        <w:tabs>
          <w:tab w:val="clear" w:pos="720"/>
        </w:tabs>
        <w:rPr/>
      </w:pPr>
      <w:r>
        <w:rPr/>
        <w:t>1.</w:t>
        <w:tab/>
        <w:t>Støtte offentlig transport og udvikle et effektivt, pålideligt og prismæssigt overkommeligt europæisk offentligt transportnet, navnlig i landdistrikter og øområder, gennem yderligere incitamenter til brug af offentlig transport (panel 3 — henstilling 36, panel 4 — anbefaling 2).</w:t>
      </w:r>
    </w:p>
    <w:p>
      <w:pPr>
        <w:pStyle w:val="ListBullet4"/>
        <w:tabs>
          <w:tab w:val="clear" w:pos="720"/>
        </w:tabs>
        <w:rPr/>
      </w:pPr>
      <w:r>
        <w:rPr/>
        <w:t>2.</w:t>
        <w:tab/>
        <w:t>Investere i højhastigheds-nattog og sætte en fælles standard for miljøvenlig jernbaneteknologi i Europa for at tilbyde et troværdigt alternativ og lette muligheden for at erstatte og afskrække kortdistanceflyvninger (forhandling i WG, NPM).</w:t>
      </w:r>
    </w:p>
    <w:p>
      <w:pPr>
        <w:pStyle w:val="ListBullet4"/>
        <w:tabs>
          <w:tab w:val="clear" w:pos="720"/>
        </w:tabs>
        <w:rPr/>
      </w:pPr>
      <w:r>
        <w:rPr/>
        <w:t>3.</w:t>
        <w:tab/>
        <w:t>Tilskynde til køb under hensyntagen til deres prisoverkommelighed for husholdningerne og (delt) anvendelse af elektriske køretøjer, der opfylder en god batterilevetid, samt investeringer i den nødvendige opladningsinfrastruktur og investeringer i udvikling af andre rene teknologier til køretøjer, hvis elektrificering er vanskelig at opnå (panel 3 — anbefaling 38).</w:t>
      </w:r>
    </w:p>
    <w:p>
      <w:pPr>
        <w:pStyle w:val="ListBullet4"/>
        <w:tabs>
          <w:tab w:val="clear" w:pos="720"/>
        </w:tabs>
        <w:rPr/>
      </w:pPr>
      <w:r>
        <w:rPr/>
        <w:t>4.</w:t>
        <w:tab/>
        <w:t>Etablering af bredbåndsforbindelser til internettet og mobilnettet i landdistrikter og øområder (panel 3 — henstilling 36).</w:t>
      </w:r>
    </w:p>
    <w:p>
      <w:pPr>
        <w:pStyle w:val="ListBullet4"/>
        <w:tabs>
          <w:tab w:val="clear" w:pos="720"/>
        </w:tabs>
        <w:rPr/>
      </w:pPr>
      <w:r>
        <w:rPr/>
        <w:t>5.</w:t>
        <w:tab/>
        <w:t>Forbedre den eksisterende transportinfrastruktur ud fra et økologisk synspunkt (panel 3 — henstilling 37).</w:t>
      </w:r>
    </w:p>
    <w:p>
      <w:pPr>
        <w:pStyle w:val="ListBullet4"/>
        <w:tabs>
          <w:tab w:val="clear" w:pos="720"/>
        </w:tabs>
        <w:rPr/>
      </w:pPr>
      <w:r>
        <w:rPr/>
        <w:t>6.</w:t>
        <w:tab/>
        <w:t>Kræver byudviklingsprogrammer for "grønnere" byer med færre emissioner, med specifikke områder uden biler i byerne, uden at skade erhvervsområderne (panel 3 — anbefaling 6).</w:t>
      </w:r>
    </w:p>
    <w:p>
      <w:pPr>
        <w:pStyle w:val="ListBullet4"/>
        <w:tabs>
          <w:tab w:val="clear" w:pos="720"/>
        </w:tabs>
        <w:rPr/>
      </w:pPr>
      <w:r>
        <w:rPr/>
        <w:t>7.</w:t>
        <w:tab/>
        <w:t>Forbedre infrastrukturen for cykler og give flere rettigheder og retlig beskyttelse til cyklister og fodgængere, navnlig i tilfælde af ulykker med et motorkøretøj, sikring af trafiksikkerheden og uddannelse i færdselsloven (Panel 3 — Anbefaling 4).</w:t>
      </w:r>
    </w:p>
    <w:p>
      <w:pPr>
        <w:pStyle w:val="ListBullet4"/>
        <w:tabs>
          <w:tab w:val="clear" w:pos="720"/>
        </w:tabs>
        <w:rPr/>
      </w:pPr>
      <w:r>
        <w:rPr/>
        <w:t>8.</w:t>
        <w:tab/>
        <w:t>Regulere minedrift af cryptocurrencies, som bruger en betydelig mængde energi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Forslag: Bæredygtigt forbrug, emballering og produktion</w:t>
      </w:r>
    </w:p>
    <w:p>
      <w:pPr>
        <w:pStyle w:val="P68B1DB1Normal15"/>
        <w:rPr>
          <w:b/>
          <w:b/>
        </w:rPr>
      </w:pPr>
      <w:r>
        <w:rPr/>
        <w:t>Formål: Forbedre brugen og forvaltningen af materialer i Unionen for at fremme den cirkulære økonomi, blive mere autonom og være mindre afhængig. Udvikle en cirkulær økonomi ved at tilskynde til bæredygtig produktion og bæredygtige produkter i Unionen. Sikre, at alle produkter, der bringes i omsætning på EU-markedet, overholder fælles EU-miljøstandarder.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Foranstaltninger:</w:t>
      </w:r>
    </w:p>
    <w:p>
      <w:pPr>
        <w:pStyle w:val="ListBullet4"/>
        <w:tabs>
          <w:tab w:val="clear" w:pos="720"/>
        </w:tabs>
        <w:rPr/>
      </w:pPr>
      <w:r>
        <w:rPr/>
        <w:t>1.</w:t>
        <w:tab/>
        <w:t>Strengere og harmoniserede EU-produktionsstandarder og gennemsigtige mærkningsordninger for alle produkter, der sælges på EU-markedet, for så vidt angår deres bæredygtighed/miljøaftryk og levetid gennem en QR-kode og et økoscore- eller digitalt produktpas (panel 3 — anbefaling 8, 13, 20 og 21, panel 1 — anbefaling 16, panel 4 — anbefaling 13).</w:t>
      </w:r>
    </w:p>
    <w:p>
      <w:pPr>
        <w:pStyle w:val="ListBullet4"/>
        <w:tabs>
          <w:tab w:val="clear" w:pos="720"/>
        </w:tabs>
        <w:rPr/>
      </w:pPr>
      <w:r>
        <w:rPr/>
        <w:t>2.</w:t>
        <w:tab/>
        <w:t>Gennemgang af de globale forsyningskæder, herunder inden for landbrugsproduktion, for at mindske EU's afhængighed og kortslutninger (PNM).</w:t>
      </w:r>
    </w:p>
    <w:p>
      <w:pPr>
        <w:pStyle w:val="ListBullet4"/>
        <w:tabs>
          <w:tab w:val="clear" w:pos="720"/>
        </w:tabs>
        <w:rPr/>
      </w:pPr>
      <w:r>
        <w:rPr/>
        <w:t>3.</w:t>
        <w:tab/>
        <w:t>Yderligere forebygge affaldsproduktion ved at fastsætte mål for forebyggelse og genbrug og fastsætte kvalitetsstandarder for affaldssorteringssystemer (forhandling i arbejdsgruppen, FR-henstillingen).</w:t>
      </w:r>
    </w:p>
    <w:p>
      <w:pPr>
        <w:pStyle w:val="ListBullet4"/>
        <w:tabs>
          <w:tab w:val="clear" w:pos="720"/>
        </w:tabs>
        <w:rPr/>
      </w:pPr>
      <w:r>
        <w:rPr/>
        <w:t>4.</w:t>
        <w:tab/>
        <w:t>Udfasning af ikkebæredygtige emballageformer, regulering af miljøvenlig emballage og undgå affald af materialer i emballage gennem finansielle incitamenter og sanktioner samt investeringer i alternativ forskning (panel 3 — anbefaling 15 og 25, panel 1 — anbefaling 12, panel 4 — anbefaling 16).</w:t>
      </w:r>
    </w:p>
    <w:p>
      <w:pPr>
        <w:pStyle w:val="ListBullet4"/>
        <w:tabs>
          <w:tab w:val="clear" w:pos="720"/>
        </w:tabs>
        <w:rPr/>
      </w:pPr>
      <w:r>
        <w:rPr/>
        <w:t>5.</w:t>
        <w:tab/>
        <w:t>Indføre et europæisk emballagedepotsystem og avancerede standarder for containere (panel 3 — anbefaling 22 og 23, NPC).</w:t>
      </w:r>
    </w:p>
    <w:p>
      <w:pPr>
        <w:pStyle w:val="ListBullet4"/>
        <w:tabs>
          <w:tab w:val="clear" w:pos="720"/>
        </w:tabs>
        <w:rPr/>
      </w:pPr>
      <w:r>
        <w:rPr/>
        <w:t>6.</w:t>
        <w:tab/>
        <w:t>Lancere en EU-videnplatform om, hvordan man kan sikre en bæredygtig og langsigtet anvendelse af produkter, og hvordan de kan "repareres", herunder oplysninger fra forbrugerorganisationer (panel 3 — henstilling 20).</w:t>
      </w:r>
    </w:p>
    <w:p>
      <w:pPr>
        <w:pStyle w:val="ListBullet4"/>
        <w:tabs>
          <w:tab w:val="clear" w:pos="720"/>
        </w:tabs>
        <w:rPr/>
      </w:pPr>
      <w:r>
        <w:rPr/>
        <w:t>7.</w:t>
        <w:tab/>
        <w:t>Indføre foranstaltninger til bekæmpelse af tidlig eller for tidlig forældelse, herunder planlagt forældelse, sikre længere sikkerhedsforanstaltninger, fremme retten til reparation og sikre tilgængeligheden af kompatible reservedele (panel 3 — anbefaling 20, FR-henstilling, henstilling DE, panel 1 — anbefaling 14).</w:t>
      </w:r>
    </w:p>
    <w:p>
      <w:pPr>
        <w:pStyle w:val="ListBullet4"/>
        <w:tabs>
          <w:tab w:val="clear" w:pos="720"/>
        </w:tabs>
        <w:rPr/>
      </w:pPr>
      <w:r>
        <w:rPr/>
        <w:t>8.</w:t>
        <w:tab/>
        <w:t>Skabe et marked for sekundære råstoffer under hensyntagen til obligatoriske niveauer for genanvendt indhold ved at tilskynde til reduceret anvendelse af råstoffer (forhandling i arbejdsgruppen).</w:t>
      </w:r>
    </w:p>
    <w:p>
      <w:pPr>
        <w:pStyle w:val="ListBullet4"/>
        <w:tabs>
          <w:tab w:val="clear" w:pos="720"/>
        </w:tabs>
        <w:rPr/>
      </w:pPr>
      <w:r>
        <w:rPr/>
        <w:t>9.</w:t>
        <w:tab/>
        <w:t>Hurtig gennemførelse af en ambitiøs tekstilstrategi og fastlæggelse af en mekanisme, der gør det muligt for forbrugerne at vide, at produktet opfylder bæredygtighedskriterierne (panel 3 — anbefaling 28, debat i arbejdsgruppen).</w:t>
      </w:r>
    </w:p>
    <w:p>
      <w:pPr>
        <w:pStyle w:val="ListBullet4"/>
        <w:tabs>
          <w:tab w:val="clear" w:pos="720"/>
        </w:tabs>
        <w:rPr/>
      </w:pPr>
      <w:r>
        <w:rPr/>
        <w:t>10.</w:t>
        <w:tab/>
        <w:t>EU-foranstaltninger, der skal give forbrugerne mulighed for at bruge produkter længere og tilskynde dem til at gøre det (panel 3 — henstilling 20).</w:t>
      </w:r>
    </w:p>
    <w:p>
      <w:pPr>
        <w:pStyle w:val="ListBullet4"/>
        <w:tabs>
          <w:tab w:val="clear" w:pos="720"/>
        </w:tabs>
        <w:rPr/>
      </w:pPr>
      <w:r>
        <w:rPr/>
        <w:t>11.</w:t>
        <w:tab/>
        <w:t>Styrke miljøstandarderne og håndhæve bestemmelserne om eksport af affald i EU og til tredjelande (panel 4 — Anbefaling 15, NPC).</w:t>
      </w:r>
    </w:p>
    <w:p>
      <w:pPr>
        <w:pStyle w:val="ListBullet4"/>
        <w:tabs>
          <w:tab w:val="clear" w:pos="720"/>
        </w:tabs>
        <w:rPr/>
      </w:pPr>
      <w:r>
        <w:rPr/>
        <w:t>12.</w:t>
        <w:tab/>
        <w:t>Indføre foranstaltninger til begrænsning af reklamer for miljøskadelige produkter ved at indføre en obligatorisk ansvarsfraskrivelse for produkter, der er særligt skadelige for miljøet (panel 3 — Anbefaling 22).</w:t>
      </w:r>
    </w:p>
    <w:p>
      <w:pPr>
        <w:pStyle w:val="ListBullet4"/>
        <w:tabs>
          <w:tab w:val="clear" w:pos="720"/>
        </w:tabs>
        <w:rPr/>
      </w:pPr>
      <w:r>
        <w:rPr/>
        <w:t>13.</w:t>
        <w:tab/>
        <w:t>Anvende strengere produktionsstandarder og rimelige arbejdsvilkår i hele produktions- og værdikæden (panel 3 — Anbefaling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Forslag: Information, bevidsthed, dialog og livsstil</w:t>
      </w:r>
    </w:p>
    <w:p>
      <w:pPr>
        <w:pStyle w:val="P68B1DB1Normal15"/>
        <w:rPr>
          <w:b/>
          <w:b/>
        </w:rPr>
      </w:pPr>
      <w:r>
        <w:rPr/>
        <w:t>Formål: Fremme viden, bevidsthed, uddannelse og dialog om miljø, klimaændringer, energiforbrug og bæredygtighed.</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Foranstaltninger:</w:t>
      </w:r>
    </w:p>
    <w:p>
      <w:pPr>
        <w:pStyle w:val="ListBullet4"/>
        <w:tabs>
          <w:tab w:val="clear" w:pos="720"/>
        </w:tabs>
        <w:rPr/>
      </w:pPr>
      <w:r>
        <w:rPr/>
        <w:t>1.</w:t>
        <w:tab/>
        <w:t>Oprette en interaktiv platform, hvis fakta er blevet verificeret med henblik på at tilvejebringe forskellige og regelmæssigt ajourførte videnskabelige oplysninger på miljøområdet (panel 3 — anbefaling 33).</w:t>
      </w:r>
    </w:p>
    <w:p>
      <w:pPr>
        <w:pStyle w:val="ListBullet4"/>
        <w:tabs>
          <w:tab w:val="clear" w:pos="720"/>
        </w:tabs>
        <w:rPr/>
      </w:pPr>
      <w:r>
        <w:rPr/>
        <w:t>2.</w:t>
        <w:tab/>
        <w:t>Støtte miljøbevidsthedskampagner, herunder en langsigtet europæisk kampagne for bæredygtigt forbrug og bæredygtig livsstil (henstilling DE, NL og FR, panel 3 — henstilling 7).</w:t>
      </w:r>
    </w:p>
    <w:p>
      <w:pPr>
        <w:pStyle w:val="ListBullet4"/>
        <w:tabs>
          <w:tab w:val="clear" w:pos="720"/>
        </w:tabs>
        <w:rPr/>
      </w:pPr>
      <w:r>
        <w:rPr/>
        <w:t>3.</w:t>
        <w:tab/>
        <w:t>Fremme og lette dialog og høringer mellem alle beslutningsniveauer, navnlig med unge og på lokalt plan (DE, NL og FR-henstillingerne, panel 3 — Anbefalinger 27 og 35, plenardebat).</w:t>
      </w:r>
    </w:p>
    <w:p>
      <w:pPr>
        <w:pStyle w:val="ListBullet4"/>
        <w:tabs>
          <w:tab w:val="clear" w:pos="720"/>
        </w:tabs>
        <w:rPr/>
      </w:pPr>
      <w:r>
        <w:rPr/>
        <w:t>4.</w:t>
        <w:tab/>
        <w:t>Unionens definition med bistand fra medlemsstaterne af et fælles europæisk charter om miljøspørgsmål og fremme af miljøbevidsthed blandt alle borgere (panel 3 — henstilling 7).</w:t>
      </w:r>
    </w:p>
    <w:p>
      <w:pPr>
        <w:pStyle w:val="ListBullet4"/>
        <w:tabs>
          <w:tab w:val="clear" w:pos="720"/>
        </w:tabs>
        <w:rPr/>
      </w:pPr>
      <w:r>
        <w:rPr/>
        <w:t>5.</w:t>
        <w:tab/>
        <w:t>Tilbyde kurser og undervisningsmateriale til alle med henblik på at forbedre viden om klima og bæredygtighed og muliggøre livslang læring om miljøspørgsmål (panel 1 — anbefaling 15 og 35, panel 3 — anbefaling 24, debat i arbejdsgruppen).</w:t>
      </w:r>
    </w:p>
    <w:p>
      <w:pPr>
        <w:pStyle w:val="ListBullet4"/>
        <w:tabs>
          <w:tab w:val="clear" w:pos="720"/>
        </w:tabs>
        <w:rPr/>
      </w:pPr>
      <w:r>
        <w:rPr/>
        <w:t>6.</w:t>
        <w:tab/>
        <w:t>Integrere fødevareproduktion og beskyttelse af biodiversiteten i uddannelsessystemet, herunder fordelene ved uforarbejdede fødevarer i forhold til forarbejdede fødevarer, og tilskynde til oprettelse af skolehaver og tilskud til bygartnerprojekter og vertikalt landbrug (panel 3 — anbefaling 5, panel 1 — anbefaling 18). Overveje at gøre biodiversitet til et obligatorisk emne i skolerne og øge offentlighedens bevidsthed om biodiversitet gennem mediekampagner og "konkurrencer", der fremmes i hele EU (lokale regeringskonkurrencer) (panel 3 — anbefaling 5, panel 1 — anbefaling 18).</w:t>
      </w:r>
    </w:p>
    <w:p>
      <w:pPr>
        <w:pStyle w:val="ListBullet4"/>
        <w:tabs>
          <w:tab w:val="clear" w:pos="720"/>
        </w:tabs>
        <w:rPr/>
      </w:pPr>
      <w:r>
        <w:rPr/>
        <w:t>7.</w:t>
        <w:tab/>
        <w:t>Styrke Unionens rolle og indsats på miljø- og uddannelsesområdet ved at udvide Unionens kompetencer inden for uddannelse med henblik på klimaændringer og miljø og ved at udvide beslutningstagningen med kvalificeret flertal til at omfatte emner, der defineres som "europæisk interesse", såsom miljøet (NL og FR-henstillinger).</w:t>
      </w:r>
    </w:p>
    <w:p>
      <w:pPr>
        <w:pStyle w:val="ListBullet4"/>
        <w:tabs>
          <w:tab w:val="clear" w:pos="720"/>
        </w:tabs>
        <w:rPr/>
      </w:pPr>
      <w:r>
        <w:rPr/>
        <w:t>8.</w:t>
        <w:tab/>
        <w:t>Fremme en plante kost af hensyn til klimabeskyttelse og miljøbeskyttelse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Billeder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leder22"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"Sundhed"</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 Forslag: En sund kost og en sund livsstil </w:t>
      </w:r>
    </w:p>
    <w:p>
      <w:pPr>
        <w:pStyle w:val="P68B1DB1Normal15"/>
        <w:rPr>
          <w:b/>
          <w:b/>
        </w:rPr>
      </w:pPr>
      <w:r>
        <w:rPr/>
        <w:t>Formål: Sikre, at alle europæere har adgang til sund kostuddannelse og adgang til sunde og økonomisk overkommelige fødevarer som grundlag for en sund livsstil, navnlig gennem følgende foranstaltninger: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Foranstaltninger</w:t>
      </w:r>
      <w:r>
        <w:rPr>
          <w:rStyle w:val="Ancredenotedefin"/>
          <w:rStyle w:val="Ancredenotedefin"/>
        </w:rPr>
        <w:endnoteReference w:id="2"/>
      </w:r>
      <w:r>
        <w:rPr/>
        <w:t>:</w:t>
      </w:r>
    </w:p>
    <w:p>
      <w:pPr>
        <w:pStyle w:val="ListBullet4"/>
        <w:tabs>
          <w:tab w:val="clear" w:pos="720"/>
        </w:tabs>
        <w:rPr/>
      </w:pPr>
      <w:r>
        <w:rPr/>
        <w:t>1.</w:t>
        <w:tab/>
        <w:t>Fastsætte minimumsstandarder for fødevarekvalitet og sporbarhed, navnlig ved at begrænse brugen af antibiotika og andre veterinærlægemidler til det, der er strengt nødvendigt for at beskytte dyrs sundhed og velfærd, i stedet for at anvende dem på en forebyggende måde, og for at sikre en styrkelse af kontrollen i denne henseende. [#23, #17]</w:t>
      </w:r>
    </w:p>
    <w:p>
      <w:pPr>
        <w:pStyle w:val="ListBullet4"/>
        <w:tabs>
          <w:tab w:val="clear" w:pos="720"/>
        </w:tabs>
        <w:rPr/>
      </w:pPr>
      <w:r>
        <w:rPr/>
        <w:t>2.</w:t>
        <w:tab/>
        <w:t>Oplyse borgerne om sunde vaner, så de kan adoptere fra en tidlig alder, og tilskynde dem til at træffe sikre og sunde valg ved at beskatte forarbejdede fødevarer, der ikke er, og gøre sundhedsoplysninger om fødevarer let tilgængelige med henblik herpå etablere et europæisk vurderingssystem for forarbejdede fødevarer baseret på videnskabelig og uafhængig ekspertise samt en mærkning af anvendelsen af hormonelle stoffer og hormonforstyrrende stoffer i fødevareproduktionen og i den forbindelse styrke overvågningen og håndhævelsen af de eksisterende regler og overveje at styrke dem. [#18, #19, GT]</w:t>
      </w:r>
    </w:p>
    <w:p>
      <w:pPr>
        <w:pStyle w:val="ListBullet4"/>
        <w:tabs>
          <w:tab w:val="clear" w:pos="720"/>
        </w:tabs>
        <w:rPr/>
      </w:pPr>
      <w:r>
        <w:rPr/>
        <w:t>3.</w:t>
        <w:tab/>
        <w:t>Tilskynde til dialog med aktører i fødevarekæden, fra produktion til salg, som en del af virksomhedernes sociale ansvar for sunde fødevarer. [#19, GT]</w:t>
      </w:r>
    </w:p>
    <w:p>
      <w:pPr>
        <w:pStyle w:val="ListBullet4"/>
        <w:tabs>
          <w:tab w:val="clear" w:pos="720"/>
        </w:tabs>
        <w:rPr/>
      </w:pPr>
      <w:r>
        <w:rPr/>
        <w:t>4.</w:t>
        <w:tab/>
        <w:t>På EU-plan støtte tilvejebringelse af sunde, varierede og prismæssigt overkommelige fødevarer i offentlige servicevirksomheder såsom skolekantiner, hospitaler eller sundhedsfaciliteter, herunder gennem særlig finansiering. [#3, plenarforsamling, WG]</w:t>
      </w:r>
    </w:p>
    <w:p>
      <w:pPr>
        <w:pStyle w:val="ListBullet4"/>
        <w:tabs>
          <w:tab w:val="clear" w:pos="720"/>
        </w:tabs>
        <w:rPr/>
      </w:pPr>
      <w:r>
        <w:rPr/>
        <w:t>5.</w:t>
        <w:tab/>
        <w:t>Investere i forskning i konsekvenserne af brugen af antibiotika og hormonforstyrrende stoffers og hormonforstyrrende stoffers indvirkning på menneskers sundhed.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Forslag: Styrkelse af sundhedssystemet</w:t>
      </w:r>
    </w:p>
    <w:p>
      <w:pPr>
        <w:pStyle w:val="P68B1DB1Normal15"/>
        <w:rPr>
          <w:b/>
          <w:b/>
        </w:rPr>
      </w:pPr>
      <w:r>
        <w:rPr/>
        <w:t>Formål: Styrkelse af vores sundhedssystemers modstandsdygtighed og kvalitet, bl.a. gennem: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Foranstaltninger</w:t>
      </w:r>
      <w:r>
        <w:rPr>
          <w:rStyle w:val="Ancredenotedefin"/>
          <w:rStyle w:val="Ancredenotedefin"/>
        </w:rPr>
        <w:endnoteReference w:id="4"/>
      </w:r>
      <w:r>
        <w:rPr/>
        <w:t>:</w:t>
      </w:r>
    </w:p>
    <w:p>
      <w:pPr>
        <w:pStyle w:val="ListBullet4"/>
        <w:tabs>
          <w:tab w:val="clear" w:pos="720"/>
        </w:tabs>
        <w:rPr/>
      </w:pPr>
      <w:r>
        <w:rPr/>
        <w:t>1.</w:t>
        <w:tab/>
        <w:t>Oprettelse af et europæisk sundhedsdataområde, som vil lette udvekslingen af sundhedsdata individuelle patientjournaler kan stilles til rådighed — på frivillig basis — ved hjælp af et individuelt elektronisk EU-sundhedspas i overensstemmelse med databeskyttelsesreglerne. [#41, GT]</w:t>
      </w:r>
    </w:p>
    <w:p>
      <w:pPr>
        <w:pStyle w:val="ListBullet4"/>
        <w:tabs>
          <w:tab w:val="clear" w:pos="720"/>
        </w:tabs>
        <w:rPr/>
      </w:pPr>
      <w:r>
        <w:rPr/>
        <w:t>2.</w:t>
        <w:tab/>
        <w:t>Passende arbejdsvilkår, navnlig gennem en stærk social dialog, herunder lønninger og arbejdsordninger, og harmonisering af uddannelses- og certificeringsstandarder for sundhedspersonale der bør udvikles netværks- og udvekslingsprogrammer, f.eks. et Erasmus for medicinske skoler, som vil bidrage væsentligt til udvikling af færdigheder. For at bevare talentet i Europa og sætte unge fagfolk i stand til at udvide deres viden og opnå erhvervserfaring bør der indføres EU-udvekslingsprogrammer for at sikre, at vores bedste biovidenskabelige hjerner ikke tiltrækkes af tredjelande. [#39, GT]</w:t>
      </w:r>
    </w:p>
    <w:p>
      <w:pPr>
        <w:pStyle w:val="ListBullet4"/>
        <w:tabs>
          <w:tab w:val="clear" w:pos="720"/>
        </w:tabs>
        <w:rPr/>
      </w:pPr>
      <w:r>
        <w:rPr/>
        <w:t>3.</w:t>
        <w:tab/>
        <w:t>Sikre strategisk autonomi på EU-plan for at undgå afhængighed af tredjelande [</w:t>
      </w:r>
      <w:r>
        <w:rPr>
          <w:rStyle w:val="Ancredenotedefin"/>
          <w:rStyle w:val="Ancredenotedefin"/>
        </w:rPr>
        <w:endnoteReference w:id="5"/>
      </w:r>
      <w:r>
        <w:rPr/>
        <w:t>NL2] for lægemidler (navnlig aktive ingredienser) og medicinsk udstyr (herunder råvarer) navnlig bør der på EU-plan opstilles en liste over vigtige og prioriterede lægemidler og behandlinger, men også over innovative lægemidler og behandlinger (såsom bioteknologiske løsninger), der bygger på eksisterende europæiske agenturer og HERA, for at sikre, at de er tilgængelige for borgerne. Overveje at tilrettelægge en koordineret strategisk oplagring i hele Unionen. For at opnå den nødvendige koordinerede og langsigtede indsats på EU-plan bør sundhed og sundhedspleje indgå blandt de kompetencer, der deles mellem Unionen og dens medlemsstater, ved at ændre artikel 4 i TEUF. [#40, #49, plenum, WG]</w:t>
      </w:r>
    </w:p>
    <w:p>
      <w:pPr>
        <w:pStyle w:val="ListBullet4"/>
        <w:tabs>
          <w:tab w:val="clear" w:pos="720"/>
        </w:tabs>
        <w:rPr/>
      </w:pPr>
      <w:r>
        <w:rPr/>
        <w:t>4.</w:t>
        <w:tab/>
        <w:t>Fortsætte udviklingen, koordineringen og finansieringen af eksisterende sundhedsforsknings- og innovationsprogrammer uden at gå på kompromis med andre sundhedsrelaterede programmer, navnlig for de europæiske netværk af referencecentre, da de danner grundlag for udviklingen af sundhedsnetværk for højt specialiserede og komplekse behandlinger. [#42, #43, GT]</w:t>
      </w:r>
    </w:p>
    <w:p>
      <w:pPr>
        <w:pStyle w:val="ListBullet4"/>
        <w:tabs>
          <w:tab w:val="clear" w:pos="720"/>
        </w:tabs>
        <w:rPr/>
      </w:pPr>
      <w:r>
        <w:rPr/>
        <w:t>5.</w:t>
        <w:tab/>
        <w:t>Investere i sundhedssystemer, navnlig på det offentlige område og det almennyttige område, infrastruktur og digital sundhed, og sikre, at sundhedstjenesteyderne overholder principperne om fuld tilgængelighed, prisoverkommelighed og kvalitet af tjenesterne, således at det sikres, at ressourcerne ikke drænes af sundhedspersonale med ringe eller ingen bekymring for offentlighedens interesse. [#51, GT]</w:t>
      </w:r>
    </w:p>
    <w:p>
      <w:pPr>
        <w:pStyle w:val="ListBullet4"/>
        <w:tabs>
          <w:tab w:val="clear" w:pos="720"/>
        </w:tabs>
        <w:rPr/>
      </w:pPr>
      <w:r>
        <w:rPr/>
        <w:t>6.</w:t>
        <w:tab/>
        <w:t>Fremsætte faste henstillinger til medlemsstaterne om at investere i effektive, tilgængelige, økonomisk overkommelige og modstandsdygtige sundhedssystemer af høj kvalitet, herunder inden for rammerne af det europæiske semester. Krigens indvirkning på folkesundheden i Ukraine viser, at der er behov for yderligere udvikling af modstandsdygtige sundhedssystemer og solidaritetsmekanismer.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Forslag: Et bredere syn på sundhed</w:t>
      </w:r>
    </w:p>
    <w:p>
      <w:pPr>
        <w:pStyle w:val="P68B1DB1Normal15"/>
        <w:rPr>
          <w:b/>
          <w:b/>
        </w:rPr>
      </w:pPr>
      <w:r>
        <w:rPr/>
        <w:t>Formål: Vedtage en holistisk tilgang til sundhed ved ud over sygdomme og behandlinger at tage fat på sundhedskultur og forebyggelse og ved at fremme en fælles forståelse af de problemer, som syge eller handicappede står over for, i overensstemmelse med One Health-tilgangen, som bør understreges som et tværgående og grundlæggende princip, der omfatter alle Unionens politikker.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Foranstaltninger</w:t>
      </w:r>
      <w:r>
        <w:rPr>
          <w:rStyle w:val="Ancredenotedefin"/>
          <w:rStyle w:val="Ancredenotedefin"/>
        </w:rPr>
        <w:endnoteReference w:id="6"/>
      </w:r>
      <w:r>
        <w:rPr/>
        <w:t>:</w:t>
      </w:r>
    </w:p>
    <w:p>
      <w:pPr>
        <w:pStyle w:val="ListBullet4"/>
        <w:tabs>
          <w:tab w:val="clear" w:pos="720"/>
        </w:tabs>
        <w:rPr/>
      </w:pPr>
      <w:r>
        <w:rPr/>
        <w:t>1.</w:t>
        <w:tab/>
        <w:t>Forbedre forståelsen af mentale sundhedsproblemer, og hvordan de kan håndteres, herunder tidlig barndom og tidlig diagnose, på grundlag af god praksis, der er etableret i hele Unionen, og som bør være let tilgængelige via portalen for god praksis på folkesundhedsområdet. For at øge bevidstheden bør EU-institutionerne og relevante interessenter tilrettelægge arrangementer med henblik på udveksling af bedste praksis og hjælpe deres medlemmer med at formidle dem i deres egen valgkreds. Der bør udarbejdes en EU-handlingsplan for mental sundhed, som skal indeholde en langsigtet strategi for mental sundhed, herunder forskning, og som også omhandler tilgængeligheden af fagfolk, herunder for mindreårige, og etableringen af et europæisk år for mental sundhed i den nærmeste fremtid.</w:t>
      </w:r>
    </w:p>
    <w:p>
      <w:pPr>
        <w:pStyle w:val="ListBullet4"/>
        <w:tabs>
          <w:tab w:val="clear" w:pos="720"/>
        </w:tabs>
        <w:rPr/>
      </w:pPr>
      <w:r>
        <w:rPr/>
        <w:t>2.</w:t>
        <w:tab/>
        <w:t>På EU-plan udvikle et standarduddannelsesprogram om sund livsstil, som også omfatter seksualundervisning. Programmet bør også omfatte foranstaltninger, der tager sigte på både en sund livsstil og beskyttelse af miljøet, og hvordan de kan bidrage til at forebygge mange sygdomme, såsom cykling som et sundt middel til daglig rejse. Det vil være gratis til rådighed for medlemsstater og skoler, der, hvor det er relevant, kan bruge det i deres programmer. Et sådant program vil behandle stereotyper om mennesker, der er syge eller handicappede. [#46, GT]</w:t>
      </w:r>
    </w:p>
    <w:p>
      <w:pPr>
        <w:pStyle w:val="ListBullet4"/>
        <w:tabs>
          <w:tab w:val="clear" w:pos="720"/>
        </w:tabs>
        <w:rPr/>
      </w:pPr>
      <w:r>
        <w:rPr/>
        <w:t>3.</w:t>
        <w:tab/>
        <w:t>Udvikle praktisk førstehjælpsuddannelse, som vil blive tilbudt gratis til alle borgere, og overveje muligheden for regelmæssige kurser som en almindelig praksis for studerende såvel som på arbejdspladsen. Der bør også være et minimum af defibrillatorer til rådighed på offentlige steder i alle medlemsstater. [#50]</w:t>
      </w:r>
    </w:p>
    <w:p>
      <w:pPr>
        <w:pStyle w:val="ListBullet4"/>
        <w:tabs>
          <w:tab w:val="clear" w:pos="720"/>
        </w:tabs>
        <w:rPr/>
      </w:pPr>
      <w:r>
        <w:rPr/>
        <w:t>4.</w:t>
        <w:tab/>
        <w:t>Udvide initiativet under sundhedsugen, som vil finde sted i hele Unionen i samme uge, og hvor alle sundhedsspørgsmål bør behandles og drøftes. Overvej også initiativer fra sundhedsåret, begyndende med året for mental sundhed. [#44, GT]</w:t>
      </w:r>
    </w:p>
    <w:p>
      <w:pPr>
        <w:pStyle w:val="ListBullet4"/>
        <w:tabs>
          <w:tab w:val="clear" w:pos="720"/>
        </w:tabs>
        <w:rPr/>
      </w:pPr>
      <w:r>
        <w:rPr/>
        <w:t>5.</w:t>
        <w:tab/>
        <w:t>Anerkende som en regelmæssig medicinsk behandling for beskatning hormonelle præventionsmidler, der anvendes af medicinske årsager, for eksempel i tilfælde af fibromyalgi og endometriose, samt feminine hygiejniske produkter. Sikre adgang til reproduktive behandlinger for alle mennesker med fertilitetsproblemer.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Forslag: Lige adgang til sundhed for alle</w:t>
      </w:r>
    </w:p>
    <w:p>
      <w:pPr>
        <w:pStyle w:val="Normal"/>
        <w:rPr/>
      </w:pPr>
      <w:r>
        <w:rPr/>
        <w:t>Formål: Indføre en "ret til sundhed" ved at sikre alle europæere lige og universel adgang til økonomisk overkommelige, forebyggende og helbredende sundhedsydelser af høj kvalitet.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7"/>
      </w:r>
      <w:r>
        <w:rPr/>
        <w:t>:</w:t>
      </w:r>
    </w:p>
    <w:p>
      <w:pPr>
        <w:pStyle w:val="ListBullet4"/>
        <w:tabs>
          <w:tab w:val="clear" w:pos="720"/>
        </w:tabs>
        <w:rPr/>
      </w:pPr>
      <w:r>
        <w:rPr/>
        <w:t>1.</w:t>
        <w:tab/>
        <w:t>Fastsætte fælles minimumsstandarder for sundhed på EU-plan, som også omfatter forebyggelse af og adgang til pleje samt nærhed til pleje, og yde støtte til fastsættelsen af sådanne standarder. [#39, GT]</w:t>
      </w:r>
    </w:p>
    <w:p>
      <w:pPr>
        <w:pStyle w:val="ListBullet4"/>
        <w:tabs>
          <w:tab w:val="clear" w:pos="720"/>
        </w:tabs>
        <w:rPr/>
      </w:pPr>
      <w:r>
        <w:rPr/>
        <w:t>2.</w:t>
        <w:tab/>
        <w:t>Anerkender behovet for at tage fuldt hensyn til nærhedsprincippet og de lokale, regionale og nationale sundhedsaktørers centrale rolle for at sikre, at der kan træffes foranstaltninger på EU-plan, når retten til sundhed håndteres bedre. Muliggøre hurtigere og fastere beslutningstagning om centrale spørgsmål og forbedre effektiviteten af EU's forvaltning i forbindelse med udviklingen af den europæiske sundhedsunion (f.eks. pandemier eller sjældne sygdomme). [#49, FRsouhait11, digital platform]</w:t>
      </w:r>
    </w:p>
    <w:p>
      <w:pPr>
        <w:pStyle w:val="ListBullet4"/>
        <w:tabs>
          <w:tab w:val="clear" w:pos="720"/>
        </w:tabs>
        <w:rPr/>
      </w:pPr>
      <w:r>
        <w:rPr/>
        <w:t>3.</w:t>
        <w:tab/>
        <w:t>Styrke den europæiske sundhedsunion ved at udnytte den nuværende rammes fulde potentiale og medtage sundhed og sundhedspleje blandt de kompetencer, der deles mellem Unionen og dens medlemsstater, ved at ændre artikel 4 i TEUF. [#49, FRsouhait11, digital platform, GT]</w:t>
      </w:r>
      <w:r>
        <w:rPr>
          <w:rStyle w:val="Ancredenotedefin"/>
          <w:rStyle w:val="Ancredenotedefin"/>
        </w:rPr>
        <w:endnoteReference w:id="8"/>
      </w:r>
      <w:r>
        <w:rPr/>
        <w:t>.</w:t>
      </w:r>
    </w:p>
    <w:p>
      <w:pPr>
        <w:pStyle w:val="ListBullet4"/>
        <w:tabs>
          <w:tab w:val="clear" w:pos="720"/>
        </w:tabs>
        <w:rPr/>
      </w:pPr>
      <w:r>
        <w:rPr/>
        <w:t>4.</w:t>
        <w:tab/>
        <w:t>Sikre, at alle har adgang til eksisterende behandlinger i det første EU-land, hvor de er tilgængelige med henblik herpå forbedre det grænseoverskridende samarbejde, navnlig om sjældne sygdomme, kræft, hjerte-kar-sygdomme og højt specialiserede behandlinger såsom organtransplantationer og behandling af alvorlige forbrændinger. Der bør oprettes et europæisk netværk for organtransplantation og donation for alle europæiske patienter med behov for transplantation. [plenar og GT]</w:t>
      </w:r>
    </w:p>
    <w:p>
      <w:pPr>
        <w:pStyle w:val="ListBullet4"/>
        <w:tabs>
          <w:tab w:val="clear" w:pos="720"/>
        </w:tabs>
        <w:rPr/>
      </w:pPr>
      <w:r>
        <w:rPr/>
        <w:t>5.</w:t>
        <w:tab/>
        <w:t>Sikre økonomisk overkommelig pleje gennem større investeringer i sundhedspleje, navnlig tandpleje, herunder profylakse, og sikre, at alle har adgang til økonomisk overkommelig tandpleje inden for 15-20 år. [#48, GT]</w:t>
      </w:r>
    </w:p>
    <w:p>
      <w:pPr>
        <w:pStyle w:val="ListBullet4"/>
        <w:tabs>
          <w:tab w:val="clear" w:pos="720"/>
        </w:tabs>
        <w:rPr/>
      </w:pPr>
      <w:r>
        <w:rPr/>
        <w:t>6.</w:t>
        <w:tab/>
        <w:t>Sikre, at behandlinger og lægemidler i hele Unionen er af samme kvalitet og har rimelige lokale omkostninger, bl.a. ved at tackle den nuværende fragmentering af det indre marked. [#40, NL3, arbejdsgruppe, plenum]</w:t>
      </w:r>
    </w:p>
    <w:p>
      <w:pPr>
        <w:pStyle w:val="ListBullet4"/>
        <w:tabs>
          <w:tab w:val="clear" w:pos="720"/>
        </w:tabs>
        <w:rPr/>
      </w:pPr>
      <w:r>
        <w:rPr/>
        <w:t>7.</w:t>
        <w:tab/>
        <w:t>Bekæmpe sundhedsusikkerhed ved at tilskynde til gratis tandpleje til børn, lavindkomstgrupper og andre sårbare grupper såsom personer med handicap. Undersøg også de sundhedsmæssige konsekvenser af dårlige boliger. [#48, GT]</w:t>
      </w:r>
    </w:p>
    <w:p>
      <w:pPr>
        <w:pStyle w:val="ListBullet4"/>
        <w:tabs>
          <w:tab w:val="clear" w:pos="720"/>
        </w:tabs>
        <w:rPr/>
      </w:pPr>
      <w:r>
        <w:rPr/>
        <w:t>8.</w:t>
        <w:tab/>
        <w:t>Tage hensyn til den internationale dimension af sundhed og erkende, at lægemidler bør være alment tilgængelige, herunder i de fattigste lande.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Billed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lede23"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En stærkere økonomi, social retfærdighed og beskæftigelse</w:t>
      </w:r>
    </w:p>
    <w:p>
      <w:pPr>
        <w:pStyle w:val="P68B1DB1Normal15"/>
        <w:rPr>
          <w:b/>
          <w:b/>
        </w:rPr>
      </w:pPr>
      <w:r>
        <w:rPr/>
        <w:t>Introduktion</w:t>
      </w:r>
    </w:p>
    <w:p>
      <w:pPr>
        <w:pStyle w:val="Normal"/>
        <w:rPr/>
      </w:pPr>
      <w:r>
        <w:rPr/>
        <w:t>Vi lever under ekstraordinære omstændigheder, og EU vil blive bedømt på sine bestræbelser på at komme stærkere ud af de nuværende kriser med en mere bæredygtig, inklusiv, konkurrencedygtig og modstandsdygtig vækstmodel. Ruslands invasion af Ukraine og covid-19-pandemien har ændret EU's ansigt. Konferencen vil også skulle beskæftige sig med de sociale og økonomiske konsekvenser af denne krig i en allerede meget vanskelig post-pandemisk kontekst. Samtidig udgør klimaændringerne stadig en trussel mod menneskeheden og vil have en dramatisk indvirkning på økonomien og vores samfund. Det fremgår klart af de modtagne henstillinger, at borgerne kræver en stærkere EU-indsats. Uløste tværnationale udfordringer såsom ulighed, konkurrenceevne, sundhed, klimaændringer, migration, digitalisering eller fair beskatning kræver passende europæiske løsninger. Det fremgår også klart af anbefalingerne og drøftelserne, at vi har brug for en omfattende strategi for at sikre større velfærd for de europæiske borgere i forskellige aspekter af deres liv. Visse elementer i denne strategi indgår i de eksisterende politikker og kan opnås ved at gøre fuld brug af de eksisterende institutionelle rammer på europæisk og nationalt plan; andre vil kræve nye politikker og i nogle tilfælde traktatændringer. Nye politikker og traktatændringer bør imidlertid ses som et middel til at forbedre velfærden og ikke som mål i sig selv. Det er både muligt og nødvendigt at omdefinere Unionen for at sikre dens strategiske autonomi, bæredygtig vækst, forbedring af leve- og arbejdsvilkårene og menneskelige fremskridt uden at udtømme eller ødelægge vores planets ressourcer i henhold til en fornyet social kontrakt. Disse anbefalinger har til formål at nå disse mål. Nedenstående forslag bør læses under hensyntagen til, at borgerne i hele Europa har fremsat en række synspunkter og anbefalinger. Det er denne mangfoldighed af synspunkter, der er en af Europas uforlignelige aktiver.</w:t>
      </w:r>
    </w:p>
    <w:p>
      <w:pPr>
        <w:pStyle w:val="Normal"/>
        <w:rPr/>
      </w:pPr>
      <w:r>
        <w:rPr/>
      </w:r>
      <w:r>
        <w:br w:type="page"/>
      </w:r>
    </w:p>
    <w:p>
      <w:pPr>
        <w:pStyle w:val="Titre3"/>
        <w:numPr>
          <w:ilvl w:val="2"/>
          <w:numId w:val="2"/>
        </w:numPr>
        <w:rPr/>
      </w:pPr>
      <w:bookmarkStart w:id="58" w:name="__RefHeading___Toc298290_1346298689"/>
      <w:bookmarkEnd w:id="58"/>
      <w:r>
        <w:rPr/>
        <w:t>11. Forslag: Bæredygtig vækst og innovation</w:t>
      </w:r>
    </w:p>
    <w:p>
      <w:pPr>
        <w:pStyle w:val="P68B1DB1Normal15"/>
        <w:rPr>
          <w:b/>
          <w:b/>
        </w:rPr>
      </w:pPr>
      <w:r>
        <w:rPr/>
        <w:t>Formål: Vi foreslår, at EU støtter omstillingen til en bæredygtig og modstandsdygtig vækstmodel under hensyntagen til den grønne og den digitale omstilling med en stærk social dimension i det europæiske semester og styrkelse af borgere, fagforeninger og virksomheder. Konventionelle makroøkonomiske indikatorer og BNP kan suppleres med nye indikatorer for at reagere på nye europæiske prioriteter, såsom den europæiske grønne pagt eller den europæiske søjle for sociale rettigheder, og for bedre at afspejle den grønne og den digitale omstilling og borgernes velfærd. Dette kan opnås ved hjælp af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9"/>
      </w:r>
      <w:r>
        <w:rPr/>
        <w:t>:</w:t>
      </w:r>
    </w:p>
    <w:p>
      <w:pPr>
        <w:pStyle w:val="ListBullet4"/>
        <w:rPr/>
      </w:pPr>
      <w:r>
        <w:rPr/>
        <w:t>1.</w:t>
        <w:tab/>
        <w:t>Fremme grønnere produktionsprocesser i virksomheder, hjælpe virksomheder med at finde de bedste løsninger og give positive og negative incitamenter. (PCE 11 og 12) og øge den lokale produktion og forbrug (diskussion).</w:t>
      </w:r>
    </w:p>
    <w:p>
      <w:pPr>
        <w:pStyle w:val="ListBullet4"/>
        <w:tabs>
          <w:tab w:val="clear" w:pos="720"/>
        </w:tabs>
        <w:rPr/>
      </w:pPr>
      <w:r>
        <w:rPr/>
        <w:t>2.</w:t>
        <w:tab/>
        <w:t>Arbejde hen imod en mere bæredygtig og cirkulær økonomi ved at løse problemet med planlagt forældelse og sikre retten til erstatning (PCE 14).</w:t>
      </w:r>
    </w:p>
    <w:p>
      <w:pPr>
        <w:pStyle w:val="ListBullet4"/>
        <w:tabs>
          <w:tab w:val="clear" w:pos="720"/>
        </w:tabs>
        <w:rPr/>
      </w:pPr>
      <w:r>
        <w:rPr/>
        <w:t>3.</w:t>
        <w:tab/>
        <w:t>Undersøge den økonomiske styring i Unionen og det europæiske semester for at sikre, at den grønne og den digitale omstilling, social retfærdighed og sociale fremskridt går hånd i hånd med den økonomiske konkurrenceevne uden at ignorere det europæiske semesters økonomiske og budgetmæssige karakter. Desuden er der behov for i højere grad at inddrage arbejdsmarkedets parter og lokale og regionale myndigheder i gennemførelsen af det europæiske semester for at forbedre dets anvendelse og ansvarlighed (e-platform, diskussioner).</w:t>
      </w:r>
    </w:p>
    <w:p>
      <w:pPr>
        <w:pStyle w:val="ListBullet4"/>
        <w:tabs>
          <w:tab w:val="clear" w:pos="720"/>
        </w:tabs>
        <w:rPr/>
      </w:pPr>
      <w:r>
        <w:rPr/>
        <w:t>4.</w:t>
        <w:tab/>
        <w:t>Bekæmpe brugen af engangsplastemballage/beholdere (PCE 12).</w:t>
      </w:r>
    </w:p>
    <w:p>
      <w:pPr>
        <w:pStyle w:val="ListBullet4"/>
        <w:tabs>
          <w:tab w:val="clear" w:pos="720"/>
        </w:tabs>
        <w:rPr/>
      </w:pPr>
      <w:r>
        <w:rPr/>
        <w:t>5.</w:t>
        <w:tab/>
        <w:t>Udvide brugen af europæisk teknologi og gøre den til et levedygtigt alternativ til udenlandsk teknologi (diskussioner).</w:t>
      </w:r>
    </w:p>
    <w:p>
      <w:pPr>
        <w:pStyle w:val="ListBullet4"/>
        <w:tabs>
          <w:tab w:val="clear" w:pos="720"/>
        </w:tabs>
        <w:rPr/>
      </w:pPr>
      <w:r>
        <w:rPr/>
        <w:t>6.</w:t>
        <w:tab/>
        <w:t>Fremme forskning i nye materialer og teknologier samt innovativ anvendelse af eksisterende materialer, samtidig med at dobbeltarbejde undgås (PCE 9, NL 1).</w:t>
      </w:r>
    </w:p>
    <w:p>
      <w:pPr>
        <w:pStyle w:val="ListBullet4"/>
        <w:tabs>
          <w:tab w:val="clear" w:pos="720"/>
        </w:tabs>
        <w:rPr/>
      </w:pPr>
      <w:r>
        <w:rPr/>
        <w:t>7.</w:t>
        <w:tab/>
        <w:t>Overveje bæredygtighed, overkommelige priser og adgang til energi under hensyntagen til energifattigdom og afhængighed af tredjelande ved at øge andelen af bæredygtigt produceret energi (CEP 10, LT 3, IT 1.1).</w:t>
      </w:r>
    </w:p>
    <w:p>
      <w:pPr>
        <w:pStyle w:val="ListBullet4"/>
        <w:tabs>
          <w:tab w:val="clear" w:pos="720"/>
        </w:tabs>
        <w:rPr/>
      </w:pPr>
      <w:r>
        <w:rPr/>
        <w:t>8.</w:t>
        <w:tab/>
        <w:t>Øge bevidstheden blandt virksomheder og borgere om at indføre mere bæredygtig adfærd og sikre en retfærdig omstilling baseret på social dialog og kvalitetsjob (CEP 12 og onlineplatform).</w:t>
      </w:r>
    </w:p>
    <w:p>
      <w:pPr>
        <w:pStyle w:val="ListBullet4"/>
        <w:tabs>
          <w:tab w:val="clear" w:pos="720"/>
        </w:tabs>
        <w:rPr/>
      </w:pPr>
      <w:r>
        <w:rPr/>
        <w:t>9.</w:t>
        <w:tab/>
        <w:t>Medtage ambitiøse sociale, arbejds- og sundhedsstandarder, herunder sundhed og sikkerhed på arbejdspladsen, i nye EU-handelsaftaler.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Forslag: Styrkelse af Unionens konkurrenceevne og yderligere uddybning af det indre marked</w:t>
      </w:r>
    </w:p>
    <w:p>
      <w:pPr>
        <w:pStyle w:val="Normal"/>
        <w:rPr/>
      </w:pPr>
      <w:r>
        <w:rPr/>
        <w:t>Formål: Vi foreslår at styrke konkurrenceevnen og modstandsdygtigheden i EU's økonomi, det indre marked og industrien og tackle strategisk afhængighed. Vi er nødt til at fremme en iværksætterkultur i EU, hvor innovative virksomheder af alle størrelser, navnlig mikrovirksomheder, små og mellemstore virksomheder og nystartede virksomheder, tilskyndes og trives for at bidrage til mere modstandsdygtige og inklusive samfund. Der er behov for en stærk og levedygtig markedsøkonomi for at fremme visionen om et mere socialt Europa. Dette kan opnås ved hjælp af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0"/>
      </w:r>
      <w:r>
        <w:rPr/>
        <w:t>:</w:t>
      </w:r>
    </w:p>
    <w:p>
      <w:pPr>
        <w:pStyle w:val="ListBullet4"/>
        <w:tabs>
          <w:tab w:val="clear" w:pos="720"/>
        </w:tabs>
        <w:rPr/>
      </w:pPr>
      <w:r>
        <w:rPr/>
        <w:t>1.</w:t>
        <w:tab/>
        <w:t>Udvikle en klar vision for den europæiske økonomi og bygge videre på Europas styrker, kvalitet og mangfoldighed, samtidig med at der tages hensyn til økonomiske og andre forskelle mellem medlemsstaterne, og fremme samarbejdet og konkurrencen mellem virksomhederne. (NL 1 &amp; 2)</w:t>
      </w:r>
    </w:p>
    <w:p>
      <w:pPr>
        <w:pStyle w:val="ListBullet4"/>
        <w:tabs>
          <w:tab w:val="clear" w:pos="720"/>
        </w:tabs>
        <w:rPr/>
      </w:pPr>
      <w:r>
        <w:rPr/>
        <w:t>2.</w:t>
        <w:tab/>
        <w:t>Konsolidering af det, der er gjort med hensyn til den fælles valuta og sammenkoblingen af betalingssystemer og telekommunikation. (Det 4.a.2)</w:t>
      </w:r>
    </w:p>
    <w:p>
      <w:pPr>
        <w:pStyle w:val="ListBullet4"/>
        <w:tabs>
          <w:tab w:val="clear" w:pos="720"/>
        </w:tabs>
        <w:rPr/>
      </w:pPr>
      <w:r>
        <w:rPr/>
        <w:t>3.</w:t>
        <w:tab/>
        <w:t>Mindske standardiseringen af produkter og anerkende lokale og regionale særegenheder med hensyn til kultur og produktion (respekt for produktionstraditioner). (PUNKT 2.2)</w:t>
      </w:r>
    </w:p>
    <w:p>
      <w:pPr>
        <w:pStyle w:val="ListBullet4"/>
        <w:tabs>
          <w:tab w:val="clear" w:pos="720"/>
        </w:tabs>
        <w:rPr/>
      </w:pPr>
      <w:r>
        <w:rPr/>
        <w:t>4.</w:t>
        <w:tab/>
        <w:t>Styrke opadgående social og økonomisk konvergens i det indre marked, fuldføre eksisterende initiativer såsom bankunionen og kapitalmarkedsunionen og gennemføre en fremadrettet reform af vores Økonomiske og Monetære Union (drøftelser).</w:t>
      </w:r>
    </w:p>
    <w:p>
      <w:pPr>
        <w:pStyle w:val="ListBullet4"/>
        <w:tabs>
          <w:tab w:val="clear" w:pos="720"/>
        </w:tabs>
        <w:rPr/>
      </w:pPr>
      <w:r>
        <w:rPr/>
        <w:t>5.</w:t>
        <w:tab/>
        <w:t>Fremme politikker for et stærkt industrielt grundlag og innovation inden for centrale støtteteknologier samt en fremadskuende klimapolitik kombineret med industriel konkurrenceevne med en stærk social dimension baseret på social dialog og velfungerende arbejdsmarkedsrelationer (drøftelser).</w:t>
      </w:r>
    </w:p>
    <w:p>
      <w:pPr>
        <w:pStyle w:val="ListBullet4"/>
        <w:tabs>
          <w:tab w:val="clear" w:pos="720"/>
        </w:tabs>
        <w:rPr/>
      </w:pPr>
      <w:r>
        <w:rPr/>
        <w:t>6.</w:t>
        <w:tab/>
        <w:t>I alle nye initiativer lægges der særlig vægt på SMV'er, som er rygraden i vores økonomi. Princippet om at "tænke SMV'er først" skal respekteres i alle EU-lovgivningsforslag, og SMV-testen bør styrkes i Kommissionens konsekvensanalyser i overensstemmelse med klare principper, samtidig med at sociale og miljømæssige standarder og forbrugerrettigheder fuldt ud respekteres (drøftelser).</w:t>
      </w:r>
    </w:p>
    <w:p>
      <w:pPr>
        <w:pStyle w:val="ListBullet4"/>
        <w:tabs>
          <w:tab w:val="clear" w:pos="720"/>
        </w:tabs>
        <w:rPr/>
      </w:pPr>
      <w:r>
        <w:rPr/>
        <w:t>7.</w:t>
        <w:tab/>
        <w:t>Sikre SMV'ers deltagelse i finansieringsansøgninger, udbud og netværk med den mindst mulige administrative indsats. Adgangen til finansiering for SMV'er med højrisikoinnovationsprojekter bør videreudvikles af enheder som Det Europæiske Innovationsråd og Den Europæiske Investeringsbank (drøftelser).</w:t>
      </w:r>
    </w:p>
    <w:p>
      <w:pPr>
        <w:pStyle w:val="ListBullet4"/>
        <w:tabs>
          <w:tab w:val="clear" w:pos="720"/>
        </w:tabs>
        <w:rPr/>
      </w:pPr>
      <w:r>
        <w:rPr/>
        <w:t>8.</w:t>
        <w:tab/>
        <w:t>Skabe bedre rammer for investeringer i FoI med henblik på at opbygge mere bæredygtige og biodiversitetsrige forretningsmodeller (CEP 10, 11 og 14) fokus på teknologi og innovation som drivkræfter for vækst. (DET 1.3)</w:t>
      </w:r>
    </w:p>
    <w:p>
      <w:pPr>
        <w:pStyle w:val="ListBullet4"/>
        <w:tabs>
          <w:tab w:val="clear" w:pos="720"/>
        </w:tabs>
        <w:rPr/>
      </w:pPr>
      <w:r>
        <w:rPr/>
        <w:t>9.</w:t>
        <w:tab/>
        <w:t>Fremme kollektive økonomiske resultater gennem en selvstændig og konkurrencedygtig industri. (FR3)</w:t>
      </w:r>
    </w:p>
    <w:p>
      <w:pPr>
        <w:pStyle w:val="ListBullet4"/>
        <w:tabs>
          <w:tab w:val="clear" w:pos="720"/>
        </w:tabs>
        <w:rPr/>
      </w:pPr>
      <w:r>
        <w:rPr/>
        <w:t>10.</w:t>
        <w:tab/>
        <w:t>Identificere og udvikle strategiske sektorer, herunder rumfart, robotteknologi og kunstig intelligens. (En 3 &amp; 9)</w:t>
      </w:r>
    </w:p>
    <w:p>
      <w:pPr>
        <w:pStyle w:val="ListBullet4"/>
        <w:tabs>
          <w:tab w:val="clear" w:pos="720"/>
        </w:tabs>
        <w:rPr/>
      </w:pPr>
      <w:r>
        <w:rPr/>
        <w:t>11.</w:t>
        <w:tab/>
        <w:t>Investere i turisme og kulturøkonomi, også værdsætte de mange små destinationer i Europa. (DET 1.2)</w:t>
      </w:r>
    </w:p>
    <w:p>
      <w:pPr>
        <w:pStyle w:val="ListBullet4"/>
        <w:tabs>
          <w:tab w:val="clear" w:pos="720"/>
        </w:tabs>
        <w:rPr/>
      </w:pPr>
      <w:r>
        <w:rPr/>
        <w:t>12.</w:t>
        <w:tab/>
        <w:t>Sikre forsyningssikkerheden ved at diversificere kilderne til input/råvarer og øge produktionen af vigtige varer i Europa, f.eks. sundhed, fødevarer, energi, forsvar og transport. (EN 9, LT 1, DET 1.4)</w:t>
      </w:r>
    </w:p>
    <w:p>
      <w:pPr>
        <w:pStyle w:val="ListBullet4"/>
        <w:tabs>
          <w:tab w:val="clear" w:pos="720"/>
        </w:tabs>
        <w:rPr/>
      </w:pPr>
      <w:r>
        <w:rPr/>
        <w:t>13.</w:t>
        <w:tab/>
        <w:t>Fremme digitaliseringen af europæiske virksomheder, f.eks. ved hjælp af en specifik resultattavle, der gør det muligt for virksomhederne at sammenligne deres grad af digitalisering med det overordnede mål at øge deres konkurrenceevne. (FRA 2.1)</w:t>
      </w:r>
    </w:p>
    <w:p>
      <w:pPr>
        <w:pStyle w:val="ListBullet4"/>
        <w:tabs>
          <w:tab w:val="clear" w:pos="720"/>
        </w:tabs>
        <w:rPr/>
      </w:pPr>
      <w:r>
        <w:rPr/>
        <w:t>14.</w:t>
        <w:tab/>
        <w:t>Fremme digital samhørighed med henblik på at bidrage til økonomisk, social og territorial samhørighed som defineret i traktaten om Den Europæiske Unions funktionsmåde (diskussion).</w:t>
      </w:r>
    </w:p>
    <w:p>
      <w:pPr>
        <w:pStyle w:val="ListBullet4"/>
        <w:tabs>
          <w:tab w:val="clear" w:pos="720"/>
        </w:tabs>
        <w:rPr/>
      </w:pPr>
      <w:r>
        <w:rPr/>
        <w:t>15.</w:t>
        <w:tab/>
        <w:t>Styrke det grænseoverskridende samarbejde for at styrke samhørigheden og modstandsdygtigheden i og uden for regionerne ved at tilskynde til den europæiske grænseoverskridende mekanisme og lignende værktøjer (drøftelser).</w:t>
      </w:r>
    </w:p>
    <w:p>
      <w:pPr>
        <w:pStyle w:val="ListBullet4"/>
        <w:tabs>
          <w:tab w:val="clear" w:pos="720"/>
        </w:tabs>
        <w:rPr/>
      </w:pPr>
      <w:r>
        <w:rPr/>
        <w:t>16.</w:t>
        <w:tab/>
        <w:t>Styrke og fremme uddannelsesmuligheder på tværs af grænserne med henblik på at opgradere den europæiske arbejdsstyrkes færdigheder og øge konkurrenceevnen, samtidig med at borgernes færdigheder på det økonomiske område styrkes. (DE 2.2, LT7). Fremme handelen mellem arbejdstagere i Europa gennem et europæisk beskæftigelsescenter (IT 6.1) tilskynde unge til at studere videnskabelige emner. (DET 1.5)</w:t>
      </w:r>
    </w:p>
    <w:p>
      <w:pPr>
        <w:pStyle w:val="ListBullet4"/>
        <w:tabs>
          <w:tab w:val="clear" w:pos="720"/>
        </w:tabs>
        <w:rPr/>
      </w:pPr>
      <w:r>
        <w:rPr/>
        <w:t>17.</w:t>
        <w:tab/>
        <w:t>Mindske bureaukratiet (godkendelser, certificeringer), hvor det ikke er nødvendigt. (PUNKT 2.1)</w:t>
      </w:r>
    </w:p>
    <w:p>
      <w:pPr>
        <w:pStyle w:val="ListBullet4"/>
        <w:tabs>
          <w:tab w:val="clear" w:pos="720"/>
        </w:tabs>
        <w:rPr/>
      </w:pPr>
      <w:r>
        <w:rPr/>
        <w:t>18.</w:t>
        <w:tab/>
        <w:t>Bekæmpelse af varemærkeforfalskning og illoyal konkurrence. (PUNKT 2.4)</w:t>
      </w:r>
    </w:p>
    <w:p>
      <w:pPr>
        <w:pStyle w:val="ListBullet4"/>
        <w:tabs>
          <w:tab w:val="clear" w:pos="720"/>
        </w:tabs>
        <w:rPr/>
      </w:pPr>
      <w:r>
        <w:rPr/>
        <w:t>19.</w:t>
        <w:tab/>
        <w:t>Sikre større deltagelse af nystartede virksomheder og SMV'er i innovationsprojekter, da dette styrker deres innovationsstyrke, konkurrenceevne og netværkssamarbejde (e-platform, diskussioner).</w:t>
      </w:r>
    </w:p>
    <w:p>
      <w:pPr>
        <w:pStyle w:val="ListBullet4"/>
        <w:tabs>
          <w:tab w:val="clear" w:pos="720"/>
        </w:tabs>
        <w:rPr/>
      </w:pPr>
      <w:r>
        <w:rPr/>
        <w:t>20.</w:t>
        <w:tab/>
        <w:t>Konsolidering og beskyttelse af det indre marked bør fortsat prioriteres højt; foranstaltninger og initiativer, der træffes på nationalt plan og EU-plan, bør ikke skade det indre marked og bør bidrage til den frie bevægelighed for personer, varer, tjenesteydelser og kapital (drøftelser).</w:t>
      </w:r>
    </w:p>
    <w:p>
      <w:pPr>
        <w:pStyle w:val="ListBullet4"/>
        <w:tabs>
          <w:tab w:val="clear" w:pos="720"/>
        </w:tabs>
        <w:rPr/>
      </w:pPr>
      <w:r>
        <w:rPr/>
        <w:t>21.</w:t>
        <w:tab/>
        <w:t>Nye EU-politiske initiativer bør underkastes en "konkurrenceevnekontrol" for at analysere deres indvirkning på virksomhederne og deres erhvervsklima (omkostninger til økonomisk aktivitet, innovationskapacitet, international konkurrenceevne, lige konkurrencevilkår osv.). Denne overvågning er i overensstemmelse med Parisaftalen og målene for bæredygtig udvikling, herunder ligestilling mellem kønnene, og underminerer ikke beskyttelsen af menneskerettigheder, sociale rettigheder og arbejdstagerrettigheder eller miljø- og forbrugerbeskyttelsesstandarder. Med henblik herpå foreslår vi også, at der oprettes et europæisk rådgivende organ for konkurrenceevne, der skal overvåge, hvordan overvågningen af konkurrenceevnen gennemføres, og navnlig at vurdere lovgivningens kumulative virkninger samt at fremsætte forslag til at forbedre de passende rammebetingelser for EU's virksomheders konkurrenceevne. Dette organ bør inddrage det organiserede civilsamfund og arbejdsmarkedets parter i dets forvaltning; (diskussioner)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Forslag: Inklusive arbejdsmarkeder</w:t>
      </w:r>
    </w:p>
    <w:p>
      <w:pPr>
        <w:pStyle w:val="P68B1DB1Normal15"/>
        <w:rPr>
          <w:b/>
          <w:b/>
        </w:rPr>
      </w:pPr>
      <w:r>
        <w:rPr/>
        <w:t>Formål: Vi foreslår at forbedre arbejdsmarkedernes funktion for at sikre mere retfærdige arbejdsvilkår og fremme ligestilling og beskæftigelse, navnlig for unge og sårbare grupper. EU, medlemsstaterne og arbejdsmarkedets parter skal arbejde for at sætte en stopper for arbejdstagernes fattigdom, styrke rettighederne for platformsarbejdere, forbyde ulønnede praktikophold og sikre retfærdig arbejdskraftmobilitet i Unionen. Vi skal fremme den sociale dialog og de kollektive forhandlinger. Vi er nødt til at sikre fuld gennemførelse af den europæiske søjle for sociale rettigheder, herunder dens relevante overordnede 2030-mål, på europæisk, nationalt, regionalt og lokalt plan på områderne "lige muligheder og adgang til arbejdsmarkedet" og "rimelige arbejdsvilkår", samtidig med at kompetencerne og principperne om nærhed og proportionalitet respekteres, og der indføjes en protokol om sociale fremskridt i traktaterne. I den forbindelse er det nødvendigt at respektere de nationale traditioner og arbejdsmarkedets parters autonomi og at samarbejde med civilsamfundet. Dette kan opnås ved hjælp af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1"/>
      </w:r>
      <w:r>
        <w:rPr/>
        <w:t>:</w:t>
      </w:r>
    </w:p>
    <w:p>
      <w:pPr>
        <w:pStyle w:val="ListBullet4"/>
        <w:tabs>
          <w:tab w:val="clear" w:pos="720"/>
        </w:tabs>
        <w:rPr/>
      </w:pPr>
      <w:r>
        <w:rPr/>
        <w:t>1.</w:t>
        <w:tab/>
        <w:t>Sikre, at lovbestemte mindstelønninger sikrer hver arbejdstager en anstændig og ensartet livskvalitet i alle medlemsstater. Der bør fastsættes klare kriterier (f.eks. leveomkostninger, inflation, et niveau over fattigdomsgrænsen, gennemsnits- og medianlønninger på nationalt plan), der skal tages i betragtning ved fastsættelsen af mindstelønsniveauet. Niveauerne for lovbestemte mindstelønninger bør revideres regelmæssigt i lyset af disse kriterier for at sikre, at de er tilstrækkelige. Der bør lægges særlig vægt på en effektiv gennemførelse af disse regler og på overvågning og overvågning af forbedringen af levestandarden. Samtidig bør kollektive forhandlinger styrkes og fremmes i hele Unionen (PCE 1 og 30; 4.2; online platform).</w:t>
      </w:r>
    </w:p>
    <w:p>
      <w:pPr>
        <w:pStyle w:val="ListBullet4"/>
        <w:tabs>
          <w:tab w:val="clear" w:pos="720"/>
        </w:tabs>
        <w:rPr/>
      </w:pPr>
      <w:r>
        <w:rPr/>
        <w:t>2.</w:t>
        <w:tab/>
        <w:t>Gøre status og yderligere styrke gennemførelsen af arbejdstidsdirektivet (direktiv 2003/88/EF) og anden relevant lovgivning, der sikrer en sund balance mellem arbejdsliv og privatliv, samtidig med at der tages hensyn til nye nationale politikker på dette område (CEP 2).</w:t>
      </w:r>
    </w:p>
    <w:p>
      <w:pPr>
        <w:pStyle w:val="ListBullet4"/>
        <w:tabs>
          <w:tab w:val="clear" w:pos="720"/>
        </w:tabs>
        <w:rPr/>
      </w:pPr>
      <w:r>
        <w:rPr/>
        <w:t>3.</w:t>
        <w:tab/>
        <w:t>Indføre eller styrke eksisterende lovgivning om "intelligent arbejde" og tilskynde virksomhederne til at fremme denne nye måde at arbejde på. (PCE 7) Unionen bør garantere retten til at være offline, gøre mere for at tackle den digitale kløft på arbejdspladsen og vurdere konsekvenserne af fjernarbejdes sundhed, arbejdstid og ydeevne. Der er behov for at sikre en retfærdig digitalisering baseret på menneskerettigheder, forbedrede arbejdsvilkår og kollektive forhandlinger (diskussioner).</w:t>
      </w:r>
    </w:p>
    <w:p>
      <w:pPr>
        <w:pStyle w:val="ListBullet4"/>
        <w:tabs>
          <w:tab w:val="clear" w:pos="720"/>
        </w:tabs>
        <w:rPr/>
      </w:pPr>
      <w:r>
        <w:rPr/>
        <w:t>4.</w:t>
        <w:tab/>
        <w:t>Integration af beskæftigelsespolitikker på EU-plan, hvor aktive arbejdsmarkedspolitikker fortsat er centrale og i stigende grad koordinerede (IT 6.2), mens medlemsstaterne fokuserer på yderligere reformbestræbelser for at skabe gunstige betingelser for skabelse af kvalitetsjob (drøftelser).</w:t>
      </w:r>
    </w:p>
    <w:p>
      <w:pPr>
        <w:pStyle w:val="ListBullet4"/>
        <w:tabs>
          <w:tab w:val="clear" w:pos="720"/>
        </w:tabs>
        <w:rPr/>
      </w:pPr>
      <w:r>
        <w:rPr/>
        <w:t>5.</w:t>
        <w:tab/>
        <w:t>Træffe foranstaltninger til at sikre, at sociale rettigheder beskyttes fuldt ud og har forrang for økonomiske frihedsrettigheder i tilfælde af konflikter, herunder ved at indføre en protokol om sociale fremskridt i traktaterne (onlineplatform, drøftelser).</w:t>
      </w:r>
    </w:p>
    <w:p>
      <w:pPr>
        <w:pStyle w:val="ListBullet4"/>
        <w:tabs>
          <w:tab w:val="clear" w:pos="720"/>
        </w:tabs>
        <w:rPr/>
      </w:pPr>
      <w:r>
        <w:rPr/>
        <w:t>6.</w:t>
        <w:tab/>
        <w:t>Sikring af ligestilling mellem kønnene i overensstemmelse med EU's strategi for ligestilling mellem mænd og kvinder 2020-2025. Unionen bør fortsat måle ligestilling mellem kønnene ved hjælp af et indeks for ligestilling mellem kønnene (holdninger, lønforskelle, beskæftigelse, lederskab osv.), overvåge strategien årligt, være gennemsigtig med hensyn til de opnåede resultater, tilskynde til udveksling af ekspertise og bedste praksis og etablere en mulig direkte mekanisme for borgernes feedback (f.eks. en ombudsmand) (ECP 28; 5.a.1). Der er behov for at afhjælpe den kønsbestemte lønforskel og indføre kvoter for ledende stillinger. Kvindelige iværksættere bør nyde godt af øget støtte i erhvervsklimaet, og det samme gælder kvinder inden for naturvidenskab, teknologi, ingeniørvidenskab og matematik (diskussioner).</w:t>
      </w:r>
    </w:p>
    <w:p>
      <w:pPr>
        <w:pStyle w:val="ListBullet4"/>
        <w:tabs>
          <w:tab w:val="clear" w:pos="720"/>
        </w:tabs>
        <w:rPr/>
      </w:pPr>
      <w:r>
        <w:rPr/>
        <w:t>7.</w:t>
        <w:tab/>
        <w:t>Fremme ungdomsbeskæftigelsen, bl.a. gennem økonomisk støtte til virksomheder, men også ved at yde yderligere støtte til arbejdsgivere og arbejdstagere (NL 4) og støtte til unge iværksættere og unge selvstændige, f.eks. gennem uddannelsesværktøjer og -kurser (diskussion).</w:t>
      </w:r>
    </w:p>
    <w:p>
      <w:pPr>
        <w:pStyle w:val="ListBullet4"/>
        <w:tabs>
          <w:tab w:val="clear" w:pos="720"/>
        </w:tabs>
        <w:rPr/>
      </w:pPr>
      <w:r>
        <w:rPr/>
        <w:t>8.</w:t>
        <w:tab/>
        <w:t>Fremme beskæftigelsen af dårligt stillede grupper (NL 4), navnlig for personer med handicap (onlineplatform).</w:t>
      </w:r>
    </w:p>
    <w:p>
      <w:pPr>
        <w:pStyle w:val="ListBullet4"/>
        <w:tabs>
          <w:tab w:val="clear" w:pos="720"/>
        </w:tabs>
        <w:rPr/>
      </w:pPr>
      <w:r>
        <w:rPr/>
        <w:t>9.</w:t>
        <w:tab/>
        <w:t>Fremme beskæftigelse og social mobilitet, så folk får alle muligheder for personlig udvikling og selvbestemmelse. (IT 5.a.4 og IT 6.1) Der kunne være en langsigtet strategi for at sikre, at alle i vores samfund har de rigtige færdigheder til at finde et job og vokse deres talent, især den yngre generation (diskussioner). Det er vigtigt at investere i færdigheder, der er tilpasset arbejdsmarkedets skiftende behov, og at fremme livslang læring gennem bl.a. et udvekslingsprogram i alle faser af livet og at sikre retten til livslang læring og retten til uddannelse. (FR 6; Med henblik herpå er det nødvendigt at styrke samarbejdet mellem virksomheder, fagforeninger og udbydere af erhvervsuddannelsestjenester (diskussion).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Forslag: Stærkere socialpolitik</w:t>
      </w:r>
    </w:p>
    <w:p>
      <w:pPr>
        <w:pStyle w:val="Normal"/>
        <w:rPr/>
      </w:pPr>
      <w:r>
        <w:rPr/>
        <w:t>Formål: Vi foreslår at mindske uligheder, bekæmpe social udstødelse og fattigdom. Vi er nødt til at indføre en omfattende strategi til bekæmpelse af fattigdom, der bl.a. kan omfatte en styrkelse af børnegarantien og ungdomsgarantien, indførelse af mindstelønninger, en fælles europæisk ramme for mindsteindkomstordninger og anstændige sociale boliger. Vi er nødt til at sikre fuld gennemførelse af den europæiske søjle for sociale rettigheder, herunder dens relevante overordnede 2030-mål, på europæisk, nationalt, regionalt og lokalt plan på områderne "social beskyttelse og inklusion", samtidig med at de respektive kompetencer og nærhedsprincippet og proportionalitetsprincippet respekteres, og der skal indføjes en protokol om sociale fremskridt i traktaterne. Dette kan opnås ved hjælp af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2"/>
      </w:r>
      <w:r>
        <w:rPr/>
        <w:t>:</w:t>
      </w:r>
    </w:p>
    <w:p>
      <w:pPr>
        <w:pStyle w:val="ListBullet4"/>
        <w:tabs>
          <w:tab w:val="clear" w:pos="720"/>
        </w:tabs>
        <w:rPr/>
      </w:pPr>
      <w:r>
        <w:rPr/>
        <w:t>1.</w:t>
        <w:tab/>
        <w:t>Styrke Unionens kompetencer på det socialpolitiske område og foreslå harmoniseret EU-lovgivning for at fremme socialpolitikker og sikre lige rettigheder, herunder sundhedsrettigheder, under hensyntagen til vedtagne forordninger og minimumskrav i hele området. (CEP 19 &amp; 21) EU kunne støtte og supplere medlemsstaternes politikker, bl.a. ved at foreslå en fælles ramme for at sikre en minimumsindkomst, så ingen lades i stikken. Disse foranstaltninger bør gennemføres som led i den fulde gennemførelse af den europæiske søjle for sociale rettigheder og dens handlingsplan (drøftelser).</w:t>
      </w:r>
    </w:p>
    <w:p>
      <w:pPr>
        <w:pStyle w:val="ListBullet4"/>
        <w:tabs>
          <w:tab w:val="clear" w:pos="720"/>
        </w:tabs>
        <w:rPr/>
      </w:pPr>
      <w:r>
        <w:rPr/>
        <w:t>2.</w:t>
        <w:tab/>
        <w:t>Gå ikke på kompromis med de sociale rettigheder (folkesundhed, offentlig uddannelse, arbejdsmarkedspolitik). (Det 4.a.1)</w:t>
      </w:r>
    </w:p>
    <w:p>
      <w:pPr>
        <w:pStyle w:val="ListBullet4"/>
        <w:tabs>
          <w:tab w:val="clear" w:pos="720"/>
        </w:tabs>
        <w:rPr/>
      </w:pPr>
      <w:r>
        <w:rPr/>
        <w:t>3.</w:t>
        <w:tab/>
        <w:t>Fremme social- og sundhedsforskning i EU efter prioriterede budgetposter, der anses for at være af almen interesse og godkendt af medlemsstaterne, og sørge for passende finansiering. Dette kan delvis opnås ved at styrke samarbejdet mellem ekspertiseområder, lande og studiecentre (universiteter osv.) (CEP 20).</w:t>
      </w:r>
    </w:p>
    <w:p>
      <w:pPr>
        <w:pStyle w:val="ListBullet4"/>
        <w:tabs>
          <w:tab w:val="clear" w:pos="720"/>
        </w:tabs>
        <w:rPr/>
      </w:pPr>
      <w:r>
        <w:rPr/>
        <w:t>4.</w:t>
        <w:tab/>
        <w:t>Give adgang til lægebehandling for alle personer under 16 år i hele EU, hvis disse tjenester ikke er tilgængelige i national sammenhæng (diskussioner).</w:t>
      </w:r>
    </w:p>
    <w:p>
      <w:pPr>
        <w:pStyle w:val="ListBullet4"/>
        <w:tabs>
          <w:tab w:val="clear" w:pos="720"/>
        </w:tabs>
        <w:rPr/>
      </w:pPr>
      <w:r>
        <w:rPr/>
        <w:t>5.</w:t>
        <w:tab/>
        <w:t>Sikre, at EU sammen med arbejdsmarkedets parter og de nationale regeringer støtter målrettet adgang til anstændige sociale boliger for borgerne i overensstemmelse med deres specifikke behov den finansielle indsats bør deles mellem private donorer, boligejere, boligmodtagere, medlemsstaternes regeringer på centralt og lokalt plan og Den Europæiske Union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Forslag: Demografisk overgang</w:t>
      </w:r>
    </w:p>
    <w:p>
      <w:pPr>
        <w:pStyle w:val="P68B1DB1Normal15"/>
        <w:rPr>
          <w:b/>
          <w:b/>
        </w:rPr>
      </w:pPr>
      <w:r>
        <w:rPr/>
        <w:t>Formål: vi foreslår at tackle de udfordringer, der opstår som følge af den demografiske omstilling, som en afgørende del af Europas samlede modstandsdygtighed, navnlig lave fødselsrater og befolkningens konstante aldring, og som yder støtte til mennesker gennem hele livet. Dette bør være en omfattende indsats rettet mod alle generationer, fra børn og unge til familier, befolkningen i den erhvervsaktive alder, de ældre, der stadig er klar til at arbejde, og dem, der går på pension eller har behov for pleje. Dette kan opnås ved hjælp af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3"/>
      </w:r>
      <w:r>
        <w:rPr/>
        <w:t>:</w:t>
      </w:r>
    </w:p>
    <w:p>
      <w:pPr>
        <w:pStyle w:val="ListBullet4"/>
        <w:tabs>
          <w:tab w:val="clear" w:pos="720"/>
        </w:tabs>
        <w:rPr/>
      </w:pPr>
      <w:r>
        <w:rPr/>
        <w:t>1.</w:t>
        <w:tab/>
        <w:t>Sikre økonomisk overkommelige og tilgængelige børnepasningstjenester af høj kvalitet i hele EU, således at mødre og fædre trygt kan forene arbejds- og familieliv. Hvor det er relevant, kan dette omfatte børnepasningsmuligheder på eller i nærheden af arbejdspladsen. I nogle medlemsstater er der også mulighed for dagtilbud, hvilket bør tjene som eksempel. Desuden kan disse foranstaltninger ledsages af støtteforanstaltninger som f.eks. nedsatte momssatser på udstyr, der er nødvendigt for børn. Det er vigtigt at forebygge børnefattigdom og social udstødelse. (CEP 22-26) Styrk børnegarantien ved at sikre adgang for børn i nød til tjenester som uddannelse og børnepasning, sundhedspleje, ernæring og bolig, kunne være et instrument til at opnå dette (e-platform, diskussioner).</w:t>
      </w:r>
    </w:p>
    <w:p>
      <w:pPr>
        <w:pStyle w:val="ListBullet4"/>
        <w:tabs>
          <w:tab w:val="clear" w:pos="720"/>
        </w:tabs>
        <w:rPr/>
      </w:pPr>
      <w:r>
        <w:rPr/>
        <w:t>2.</w:t>
        <w:tab/>
        <w:t>Etablering af særlig støtte til og beskyttelse af unges arbejde. Foranstaltninger rettet mod befolkningen i den erhvervsaktive alder bør omfatte adgang til viden for mødre og fædre, når de vender tilbage til arbejdsmarkedet (CEP 22). En styrkelse af ungdomsgarantien kan være et instrument til at forbedre adgangen for unge under 30 år til et kvalitetstilbud om beskæftigelse, videreuddannelse, lærlingeuddannelser eller praktikophold. (diskussioner)</w:t>
      </w:r>
    </w:p>
    <w:p>
      <w:pPr>
        <w:pStyle w:val="ListBullet4"/>
        <w:tabs>
          <w:tab w:val="clear" w:pos="720"/>
        </w:tabs>
        <w:rPr/>
      </w:pPr>
      <w:r>
        <w:rPr/>
        <w:t>3.</w:t>
        <w:tab/>
        <w:t>Fremme retten til fri bevægelighed for uddannelse inden for Unionen, navnlig gennem gensidig anerkendelse af eksamensbeviser, karakterer, kompetencer og kvalifikationer. (diskussioner)</w:t>
      </w:r>
    </w:p>
    <w:p>
      <w:pPr>
        <w:pStyle w:val="ListBullet4"/>
        <w:tabs>
          <w:tab w:val="clear" w:pos="720"/>
        </w:tabs>
        <w:rPr/>
      </w:pPr>
      <w:r>
        <w:rPr/>
        <w:t>4.</w:t>
        <w:tab/>
        <w:t>Forbedre lovgivningen og dens gennemførelse med henblik på at yde støtte til familier i alle medlemsstater, f.eks. med hensyn til forældreorlov og fødsels- og børnepasningsydelser. (PCE 26 og IT 5.a.1) Boliger spiller en afgørende rolle med hensyn til at støtte familier og bør behandles (onlineplatform, diskussioner).</w:t>
      </w:r>
    </w:p>
    <w:p>
      <w:pPr>
        <w:pStyle w:val="ListBullet4"/>
        <w:tabs>
          <w:tab w:val="clear" w:pos="720"/>
        </w:tabs>
        <w:rPr/>
      </w:pPr>
      <w:r>
        <w:rPr/>
        <w:t>5.</w:t>
        <w:tab/>
        <w:t>Træffe foranstaltninger til at sikre, at alle familier har samme familierettigheder i alle medlemsstater. Dette bør omfatte retten til ægteskab og adoption. (PCE 27)</w:t>
      </w:r>
    </w:p>
    <w:p>
      <w:pPr>
        <w:pStyle w:val="ListBullet4"/>
        <w:tabs>
          <w:tab w:val="clear" w:pos="720"/>
        </w:tabs>
        <w:rPr/>
      </w:pPr>
      <w:r>
        <w:rPr/>
        <w:t>6.</w:t>
        <w:tab/>
        <w:t>Fremme af en fleksibel pensionsalder under hensyntagen til ældres særlige situation. Ved fastsættelsen af pensionsalderen er det nødvendigt at differentiere efter erhvervet og derfor tage hensyn til et særligt krævende arbejde, både mentalt og fysisk. (PCE 21 og IT 5.a.1)</w:t>
      </w:r>
    </w:p>
    <w:p>
      <w:pPr>
        <w:pStyle w:val="ListBullet4"/>
        <w:tabs>
          <w:tab w:val="clear" w:pos="720"/>
        </w:tabs>
        <w:rPr/>
      </w:pPr>
      <w:r>
        <w:rPr/>
        <w:t>7.</w:t>
        <w:tab/>
        <w:t>Forebygge fattigdom blandt ældre ved at indføre minimumspensioner. Disse minimumsniveauer bør tage hensyn til levestandarden, fattigdomsgrænsen og købekraften i den pågældende medlemsstat. (PCE 21)</w:t>
      </w:r>
    </w:p>
    <w:p>
      <w:pPr>
        <w:pStyle w:val="ListBullet4"/>
        <w:tabs>
          <w:tab w:val="clear" w:pos="720"/>
        </w:tabs>
        <w:rPr/>
      </w:pPr>
      <w:r>
        <w:rPr/>
        <w:t>8.</w:t>
        <w:tab/>
        <w:t>Sikre passende social bistand og sundhedspleje til ældre. I den forbindelse er det vigtigt at fokusere på både pleje og pleje i lokalsamfundet. På samme måde skal foranstaltningerne tage hensyn til både plejemodtagere og omsorgspersoner. (PCE 23)</w:t>
      </w:r>
    </w:p>
    <w:p>
      <w:pPr>
        <w:pStyle w:val="ListBullet4"/>
        <w:tabs>
          <w:tab w:val="clear" w:pos="720"/>
        </w:tabs>
        <w:rPr/>
      </w:pPr>
      <w:r>
        <w:rPr/>
        <w:t>9.</w:t>
        <w:tab/>
        <w:t>Sikre bæredygtig udvikling og demografisk modstandsdygtighed i tilbagestående regioner for at gøre dem mere dynamiske og attraktive, bl.a. gennem samhørighedspolitikken. (online platform og diskussioner)</w:t>
      </w:r>
    </w:p>
    <w:p>
      <w:pPr>
        <w:pStyle w:val="ListBullet4"/>
        <w:tabs>
          <w:tab w:val="clear" w:pos="720"/>
        </w:tabs>
        <w:rPr/>
      </w:pPr>
      <w:r>
        <w:rPr/>
        <w:t>10.</w:t>
        <w:tab/>
        <w:t>Træffe koordinerede foranstaltninger på europæisk plan for at indsamle data opdelt efter faktorer som f.eks. kønsaspektet og analysere demografiske tendenser, udveksle bedste praksis og viden og bistå medlemsstaterne med at udvikle og gennemføre passende politikker, herunder ved at oprette et EU-organ, der er specialiseret på dette område. (online platform og diskussioner).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Forslag: Finans- og finanspolitik</w:t>
      </w:r>
    </w:p>
    <w:p>
      <w:pPr>
        <w:pStyle w:val="P68B1DB1Normal15"/>
        <w:rPr>
          <w:b/>
          <w:b/>
        </w:rPr>
      </w:pPr>
      <w:r>
        <w:rPr/>
        <w:t>Formål: vi foreslår, at EU tilskynder til fremadrettede investeringer med fokus på grøn og digital omstilling med en stærk social og kønsdimension, idet der tages hensyn til eksemplerne fra Next Generation EU og det europæiske instrument for midlertidig støtte til bekæmpelse af risici for arbejdsløshed i nødsituationer (SURE). Unionen skal tage hensyn til de sociale og økonomiske konsekvenser af krigen mod Ukraine og forbindelsen mellem landets økonomiske styring og den nye geopolitiske kontekst ved at styrke sit eget budget med nye egne indtægter. Borgerne ønsker, at beskatningen skal vende sig væk fra borgere og SMV'er og målrette skattesvigere, store forurenere og digitale giganter, samtidig med at EU ønsker at støtte medlemsstaternes og de lokale myndigheders evne til at finansiere sig selv og anvende EU-midler. Dette mål bør nås ved hjælp af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4"/>
      </w:r>
      <w:r>
        <w:rPr/>
        <w:t>:</w:t>
      </w:r>
    </w:p>
    <w:p>
      <w:pPr>
        <w:pStyle w:val="ListBullet4"/>
        <w:tabs>
          <w:tab w:val="clear" w:pos="720"/>
        </w:tabs>
        <w:rPr/>
      </w:pPr>
      <w:r>
        <w:rPr/>
        <w:t>1.</w:t>
        <w:tab/>
        <w:t>Harmonisere og koordinere skattepolitikkerne i EU's medlemsstater for at forhindre skatteunddragelse og skatteundgåelse, undgå skattely inden for EU og målrette udflytninger inden for Europa, bl.a. ved at sikre, at skatteafgørelser kan træffes med kvalificeret flertal i Rådet for Den Europæiske Union. På den anden side er der anbefalinger fra borgerpaneler om, at beskatning henhører under forskellige landes kompetence, som har deres egne mål og omstændigheder. (PCE 13 og 31, IT 4.b.3, NL 2.3)</w:t>
      </w:r>
    </w:p>
    <w:p>
      <w:pPr>
        <w:pStyle w:val="ListBullet4"/>
        <w:tabs>
          <w:tab w:val="clear" w:pos="720"/>
        </w:tabs>
        <w:rPr/>
      </w:pPr>
      <w:r>
        <w:rPr/>
        <w:t>2.</w:t>
        <w:tab/>
        <w:t>Fremme samarbejdet mellem EU's medlemsstater for at sikre, at alle EU-virksomheder betaler deres rimelige andel af skatterne indføre et fælles selskabsskattegrundlag (FKSSG) eller en effektiv minimumssats. (NL 3)</w:t>
      </w:r>
    </w:p>
    <w:p>
      <w:pPr>
        <w:pStyle w:val="ListBullet4"/>
        <w:tabs>
          <w:tab w:val="clear" w:pos="720"/>
        </w:tabs>
        <w:rPr/>
      </w:pPr>
      <w:r>
        <w:rPr/>
        <w:t>3.</w:t>
        <w:tab/>
        <w:t>Sikre, at virksomhederne betaler skat, hvor der er overskud. (PCE 13)</w:t>
      </w:r>
    </w:p>
    <w:p>
      <w:pPr>
        <w:pStyle w:val="ListBullet4"/>
        <w:tabs>
          <w:tab w:val="clear" w:pos="720"/>
        </w:tabs>
        <w:rPr/>
      </w:pPr>
      <w:r>
        <w:rPr/>
        <w:t>4.</w:t>
        <w:tab/>
        <w:t>Sikre, at skattepolitikken støtter den europæiske industri og forebygger tab af arbejdspladser i Europa. (PCE 13 og 31)</w:t>
      </w:r>
    </w:p>
    <w:p>
      <w:pPr>
        <w:pStyle w:val="ListBullet4"/>
        <w:tabs>
          <w:tab w:val="clear" w:pos="720"/>
        </w:tabs>
        <w:rPr/>
      </w:pPr>
      <w:r>
        <w:rPr/>
        <w:t>5.</w:t>
        <w:tab/>
        <w:t>Mere detaljeret undersøge muligheden for fælles låntagning på EU-plan med henblik på at skabe gunstigere lånevilkår og samtidig opretholde en ansvarlig finanspolitik på medlemsstatsniveau. (L 9)</w:t>
      </w:r>
    </w:p>
    <w:p>
      <w:pPr>
        <w:pStyle w:val="ListBullet4"/>
        <w:tabs>
          <w:tab w:val="clear" w:pos="720"/>
        </w:tabs>
        <w:rPr/>
      </w:pPr>
      <w:r>
        <w:rPr/>
        <w:t>6.</w:t>
        <w:tab/>
        <w:t>Styrke overvågningen af udnyttelsen og anvendelsen af EU-midler, herunder på lokalt og kommunalt plan (LT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Billeder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leder24"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"EU i verden"</w:t>
      </w:r>
    </w:p>
    <w:p>
      <w:pPr>
        <w:pStyle w:val="Titre3"/>
        <w:numPr>
          <w:ilvl w:val="2"/>
          <w:numId w:val="2"/>
        </w:numPr>
        <w:rPr/>
      </w:pPr>
      <w:bookmarkStart w:id="65" w:name="__RefHeading___Toc298304_1346298689"/>
      <w:bookmarkEnd w:id="65"/>
      <w:r>
        <w:rPr/>
        <w:t>17. Forslag: Mindske EU's afhængighed af udenlandske aktører i strategiske sektorer ud fra et økonomisk synspunkt</w:t>
      </w:r>
    </w:p>
    <w:p>
      <w:pPr>
        <w:pStyle w:val="P68B1DB1Normal15"/>
        <w:rPr>
          <w:b/>
          <w:b/>
        </w:rPr>
      </w:pPr>
      <w:r>
        <w:rPr/>
        <w:t>Formål: Vi foreslår, at EU tager skridt til at styrke sin autonomi i vigtige strategiske sektorer såsom landbrugsprodukter, strategiske økonomiske varer, halvledere, medicinske produkter, innovative digitale og miljømæssige teknologier og energi gennem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Fremme af forsknings-, udviklings- og innovationsaktiviteter og samarbejde mellem offentlige og private partnere på dette område.</w:t>
      </w:r>
    </w:p>
    <w:p>
      <w:pPr>
        <w:pStyle w:val="ListBullet4"/>
        <w:tabs>
          <w:tab w:val="clear" w:pos="720"/>
        </w:tabs>
        <w:rPr/>
      </w:pPr>
      <w:r>
        <w:rPr/>
        <w:t>2.</w:t>
        <w:tab/>
        <w:t>Opretholdelse af en ambitiøs dagsorden for handelsforhandlinger, der kan bidrage til at styrke forsyningskædernes modstandsdygtighed og diversificering, navnlig for råstoffer, og samtidig dele fordelene ved handel mere retfærdigt og med flere partnere og dermed begrænse vores eksponering og afhængighed af et lille antal leverandører, der kan udgøre en risiko</w:t>
      </w:r>
      <w:r>
        <w:rPr>
          <w:rStyle w:val="Ancredenotedefin"/>
          <w:rStyle w:val="Ancredenotedefin"/>
        </w:rPr>
        <w:endnoteReference w:id="15"/>
      </w:r>
      <w:r>
        <w:rPr/>
        <w:t>.</w:t>
      </w:r>
    </w:p>
    <w:p>
      <w:pPr>
        <w:pStyle w:val="ListBullet4"/>
        <w:tabs>
          <w:tab w:val="clear" w:pos="720"/>
        </w:tabs>
        <w:rPr/>
      </w:pPr>
      <w:r>
        <w:rPr/>
        <w:t>3.</w:t>
        <w:tab/>
        <w:t>Større modstandsdygtighed i EU's forsyningskæder ved at fremme investeringer i strategiske sektorer i Unionen, lagre kritisk produktion og udstyr og diversificere forsyningskilderne for kritiske råstoffer.</w:t>
      </w:r>
    </w:p>
    <w:p>
      <w:pPr>
        <w:pStyle w:val="ListBullet4"/>
        <w:tabs>
          <w:tab w:val="clear" w:pos="720"/>
        </w:tabs>
        <w:rPr/>
      </w:pPr>
      <w:r>
        <w:rPr/>
        <w:t>4.</w:t>
        <w:tab/>
        <w:t>Nye investeringer i gennemførelsen af det indre marked og skabelse af lige konkurrencevilkår for at gøre produktionen og købet af disse produkter mere attraktiv i Den Europæiske Union.</w:t>
      </w:r>
    </w:p>
    <w:p>
      <w:pPr>
        <w:pStyle w:val="ListBullet4"/>
        <w:tabs>
          <w:tab w:val="clear" w:pos="720"/>
        </w:tabs>
        <w:rPr/>
      </w:pPr>
      <w:r>
        <w:rPr/>
        <w:t>5.</w:t>
        <w:tab/>
        <w:t>Støtte til at gøre disse produkter tilgængelige og økonomisk overkommelige for de europæiske forbrugere og bidrage til at mindske den eksterne afhængighed, f.eks. gennem struktur- og regionalpolitikker, skattelettelser, subsidier, infrastruktur- og forskningsinvesteringer, styrkelse af SMV'ers konkurrenceevne samt uddannelsesprogrammer med henblik på at bevare de tilsvarende kvalifikationer og job i Europa, som er relevante for at sikre grundlæggende behov</w:t>
      </w:r>
      <w:r>
        <w:rPr>
          <w:rStyle w:val="Ancredenotedefin"/>
          <w:rStyle w:val="Ancredenotedefin"/>
        </w:rPr>
        <w:endnoteReference w:id="16"/>
      </w:r>
      <w:r>
        <w:rPr/>
        <w:t>.</w:t>
      </w:r>
    </w:p>
    <w:p>
      <w:pPr>
        <w:pStyle w:val="ListBullet4"/>
        <w:tabs>
          <w:tab w:val="clear" w:pos="720"/>
        </w:tabs>
        <w:rPr/>
      </w:pPr>
      <w:r>
        <w:rPr/>
        <w:t>6.</w:t>
        <w:tab/>
        <w:t>Et europæisk program til støtte for små lokale producenter i strategiske sektorer i alle</w:t>
      </w:r>
      <w:r>
        <w:rPr>
          <w:rStyle w:val="Ancredenotedefin"/>
          <w:rStyle w:val="Ancredenotedefin"/>
        </w:rPr>
        <w:endnoteReference w:id="17"/>
      </w:r>
      <w:r>
        <w:rPr/>
        <w:t>medlemsstater, hvor der gøres større brug af EU-programmer og finansielle instrumenter såsom InvestEU.</w:t>
      </w:r>
    </w:p>
    <w:p>
      <w:pPr>
        <w:pStyle w:val="ListBullet4"/>
        <w:tabs>
          <w:tab w:val="clear" w:pos="720"/>
        </w:tabs>
        <w:rPr/>
      </w:pPr>
      <w:r>
        <w:rPr/>
        <w:t>7.</w:t>
        <w:tab/>
        <w:t>Bedre samarbejde mellem medlemsstaterne for at styre risikostyringen i forsyningskæden.</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Forslag: Mindske EU's afhængighed af udenlandske energiaktører</w:t>
      </w:r>
    </w:p>
    <w:p>
      <w:pPr>
        <w:pStyle w:val="P68B1DB1Normal15"/>
        <w:rPr>
          <w:b/>
          <w:b/>
        </w:rPr>
      </w:pPr>
      <w:r>
        <w:rPr/>
        <w:t>Formål: Vi foreslår, at EU opnår større autonomi med hensyn til energiproduktion og -forsyning i forbindelse med den igangværende økologiske omstilling gennem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Vedtagelse af en strategi, der skal gøre den mere selvstændig i sin energiproduktion. Et europæisk organ bør integrere eksisterende europæiske energiagenturer, koordinere udviklingen af vedvarende energi og fremme videndeling</w:t>
      </w:r>
      <w:r>
        <w:rPr>
          <w:rStyle w:val="Ancredenotedefin"/>
          <w:rStyle w:val="Ancredenotedefin"/>
        </w:rPr>
        <w:endnoteReference w:id="19"/>
      </w:r>
      <w:r>
        <w:rPr/>
        <w:t>.</w:t>
      </w:r>
    </w:p>
    <w:p>
      <w:pPr>
        <w:pStyle w:val="ListBullet4"/>
        <w:tabs>
          <w:tab w:val="clear" w:pos="720"/>
        </w:tabs>
        <w:rPr/>
      </w:pPr>
      <w:r>
        <w:rPr/>
        <w:t>2.</w:t>
        <w:tab/>
        <w:t>Aktiv støtte til offentlige transport- og energieffektivitetsprojekter, et europæisk højhastighedsjernbanenet for godstransport, udvidelse af ren og vedvarende energiforsyning (herunder sol- og vindenergi), alternative teknologier (såsom brint eller energiudnyttelse af affald) og omstilling i byområder fra en enkelt bilkultur til en kultur med offentlig transport, delebiler og cykling</w:t>
      </w:r>
      <w:r>
        <w:rPr>
          <w:rStyle w:val="Ancredenotedefin"/>
          <w:rStyle w:val="Ancredenotedefin"/>
        </w:rPr>
        <w:endnoteReference w:id="20"/>
      </w:r>
      <w:r>
        <w:rPr/>
        <w:t>.</w:t>
      </w:r>
    </w:p>
    <w:p>
      <w:pPr>
        <w:pStyle w:val="ListBullet4"/>
        <w:tabs>
          <w:tab w:val="clear" w:pos="720"/>
        </w:tabs>
        <w:rPr/>
      </w:pPr>
      <w:r>
        <w:rPr/>
        <w:t>3.</w:t>
        <w:tab/>
        <w:t>Sikring af en retfærdig og retfærdig omstilling, navnlig ved at støtte sårbare borgere, som står over for de største udfordringer i omstillingen til klimaneutralitet, og som allerede lider under højere energipriser på grund af energiafhængighed og den seneste tredobling af energipriserne.</w:t>
      </w:r>
    </w:p>
    <w:p>
      <w:pPr>
        <w:pStyle w:val="Normal"/>
        <w:rPr/>
      </w:pPr>
      <w:r>
        <w:rPr/>
      </w:r>
    </w:p>
    <w:p>
      <w:pPr>
        <w:pStyle w:val="ListBullet4"/>
        <w:tabs>
          <w:tab w:val="clear" w:pos="720"/>
        </w:tabs>
        <w:rPr/>
      </w:pPr>
      <w:r>
        <w:rPr/>
        <w:t>4.</w:t>
        <w:tab/>
        <w:t>Øget samarbejde om vurdering af anvendelsen af kerneenergi i forbindelse med den igangværende grønne omstilling til vedvarende energi i Europa, undersøgelse af de kollektive problemer, som den kan løse eller skabe, da den stadig anvendes af mange medlemsstater</w:t>
      </w:r>
      <w:r>
        <w:rPr>
          <w:rStyle w:val="Ancredenotedefin"/>
          <w:rStyle w:val="Ancredenotedefin"/>
        </w:rPr>
        <w:endnoteReference w:id="21"/>
      </w:r>
      <w:r>
        <w:rPr/>
        <w:t>.</w:t>
      </w:r>
    </w:p>
    <w:p>
      <w:pPr>
        <w:pStyle w:val="ListBullet4"/>
        <w:tabs>
          <w:tab w:val="clear" w:pos="720"/>
        </w:tabs>
        <w:rPr/>
      </w:pPr>
      <w:r>
        <w:rPr/>
        <w:t>5.</w:t>
        <w:tab/>
        <w:t>Samarbejde med internationale partnere om at forpligte dem til at nå mere ambitiøse klimaændringsmål i forskellige internationale fora, herunder G7 og G20.</w:t>
      </w:r>
    </w:p>
    <w:p>
      <w:pPr>
        <w:pStyle w:val="ListBullet4"/>
        <w:tabs>
          <w:tab w:val="clear" w:pos="720"/>
        </w:tabs>
        <w:rPr/>
      </w:pPr>
      <w:r>
        <w:rPr/>
        <w:t>6.</w:t>
        <w:tab/>
        <w:t>Sammenkædning af udenrigshandelen med klimapolitiske foranstaltninger (f.eks. ved at iværksætte en pakke af investeringsforanstaltninger for klimavenlige teknologier og innovationer, herunder finansieringsprogrammer)</w:t>
      </w:r>
      <w:r>
        <w:rPr>
          <w:rStyle w:val="Ancredenotedefin"/>
          <w:rStyle w:val="Ancredenotedefin"/>
        </w:rPr>
        <w:endnoteReference w:id="22"/>
      </w:r>
      <w:r>
        <w:rPr/>
        <w:t>.</w:t>
      </w:r>
    </w:p>
    <w:p>
      <w:pPr>
        <w:pStyle w:val="ListBullet4"/>
        <w:tabs>
          <w:tab w:val="clear" w:pos="720"/>
        </w:tabs>
        <w:rPr/>
      </w:pPr>
      <w:r>
        <w:rPr/>
        <w:t>7.</w:t>
        <w:tab/>
        <w:t>Fælles indkøb af importeret energi og bæredygtige energipartnerskaber med henblik på at mindske Europas afhængighed af energiimport, navnlig inden for gas og olie, og for at udvikle EU's indenlandske energikilder.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Forslag: Fastsættelse af standarder i og uden for EU i handels- og investeringsforbindelserne</w:t>
      </w:r>
    </w:p>
    <w:p>
      <w:pPr>
        <w:pStyle w:val="P68B1DB1Normal15"/>
        <w:rPr>
          <w:b/>
          <w:b/>
        </w:rPr>
      </w:pPr>
      <w:r>
        <w:rPr/>
        <w:t>Formål: Vi foreslår, at EU styrker den etiske dimension af sine handels- og investeringsforbindelser gennem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Bevarelse og reform af vores regelbaserede multilaterale internationale handelsarkitektur og partnerskab med ligesindede demokratier.</w:t>
      </w:r>
    </w:p>
    <w:p>
      <w:pPr>
        <w:pStyle w:val="ListBullet4"/>
        <w:tabs>
          <w:tab w:val="clear" w:pos="720"/>
        </w:tabs>
        <w:rPr/>
      </w:pPr>
      <w:r>
        <w:rPr/>
        <w:t>2.</w:t>
        <w:tab/>
        <w:t>Effektiv og forholdsmæssig EU-lovgivning for at sikre, at anstændige arbejdsstandarder anvendes fuldt ud i de globale værdikæder, herunder i EU's produktions- og forsyningsprocesser, og at importerede varer overholder kvalitative etiske standarder, bæredygtig udvikling og menneskerettighedsstandarder, herunder arbejdstager- og fagforeningsrettigheder, ved at tilbyde certificering af produkter i overensstemmelse med denne EU-lovgivning</w:t>
      </w:r>
      <w:r>
        <w:rPr>
          <w:rStyle w:val="Ancredenotedefin"/>
          <w:rStyle w:val="Ancredenotedefin"/>
        </w:rPr>
        <w:endnoteReference w:id="23"/>
      </w:r>
      <w:r>
        <w:rPr/>
        <w:t xml:space="preserve"> og deltage i en EU-dækkende dialogproces med henblik på at informere og uddanne om de miljømæssige og etiske virkninger af strategiske ændringer i den internationale handel.</w:t>
      </w:r>
    </w:p>
    <w:p>
      <w:pPr>
        <w:pStyle w:val="Normal"/>
        <w:rPr/>
      </w:pPr>
      <w:r>
        <w:rPr/>
      </w:r>
    </w:p>
    <w:p>
      <w:pPr>
        <w:pStyle w:val="ListBullet4"/>
        <w:tabs>
          <w:tab w:val="clear" w:pos="720"/>
        </w:tabs>
        <w:rPr/>
      </w:pPr>
      <w:r>
        <w:rPr/>
        <w:t>3.</w:t>
        <w:tab/>
        <w:t>Restriktioner for import og salg af produkter fra lande, der tillader tvangsarbejde og børnearbejde, en regelmæssigt ajourført sortliste over virksomheder og forbrugernes bevidsthed om børnearbejde gennem oplysninger, der offentliggøres via officielle EU-kanaler</w:t>
      </w:r>
      <w:r>
        <w:rPr>
          <w:rStyle w:val="Ancredenotedefin"/>
          <w:rStyle w:val="Ancredenotedefin"/>
        </w:rPr>
        <w:endnoteReference w:id="24"/>
      </w:r>
      <w:r>
        <w:rPr/>
        <w:t>.</w:t>
      </w:r>
    </w:p>
    <w:p>
      <w:pPr>
        <w:pStyle w:val="ListBullet4"/>
        <w:tabs>
          <w:tab w:val="clear" w:pos="720"/>
        </w:tabs>
        <w:rPr/>
      </w:pPr>
      <w:r>
        <w:rPr/>
        <w:t>4.</w:t>
        <w:tab/>
        <w:t>Overvågning og håndhævelse af kapitlerne om handel og bæredygtig udvikling, der kan håndhæves, i EU's frihandelsaftaler, herunder muligheden for en sanktionsbaseret sidste udvej.</w:t>
      </w:r>
    </w:p>
    <w:p>
      <w:pPr>
        <w:pStyle w:val="ListBullet4"/>
        <w:tabs>
          <w:tab w:val="clear" w:pos="720"/>
        </w:tabs>
        <w:rPr/>
      </w:pPr>
      <w:r>
        <w:rPr/>
        <w:t>5.</w:t>
        <w:tab/>
        <w:t>Reformen af EU's generelle toldpræferenceordning (GSP) med strenge bestemmelser om krydsoverensstemmelse og effektive og hensigtsmæssige overvågnings-, rapporterings- og dialogprocesser for at forbedre den indvirkning, som GSP kan have på handel, menneskerettigheder og udvikling i partnerlande, med mulighed for at trække handelspræferencer tilbage i tilfælde af manglende overholdelse.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Forslag: Fastsættelse af standarder i og uden for EU for miljøpolitikker</w:t>
      </w:r>
    </w:p>
    <w:p>
      <w:pPr>
        <w:pStyle w:val="P68B1DB1Normal15"/>
        <w:rPr>
          <w:b/>
          <w:b/>
        </w:rPr>
      </w:pPr>
      <w:r>
        <w:rPr/>
        <w:t>Formål: Vi foreslår, at EU styrker miljødimensionen af sine handelsforbindelser gennem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Harmonisering og styrkelse af miljømærkning og obligatorisk visning af en europæisk miljøvirkningsindikator (økoscore) på alle forbrugerprodukter. Økoscore beregnes på grundlag af emissioner fra produktion og transport samt indholdets skadelighed på grundlag af en liste over farlige produkter. Ecoscore bør forvaltes og overvåges af en europæisk myndighed</w:t>
      </w:r>
      <w:r>
        <w:rPr>
          <w:rStyle w:val="Ancredenotedefin"/>
          <w:rStyle w:val="Ancredenotedefin"/>
        </w:rPr>
        <w:endnoteReference w:id="25"/>
      </w:r>
      <w:r>
        <w:rPr/>
        <w:t>.</w:t>
      </w:r>
    </w:p>
    <w:p>
      <w:pPr>
        <w:pStyle w:val="ListBullet4"/>
        <w:tabs>
          <w:tab w:val="clear" w:pos="720"/>
        </w:tabs>
        <w:rPr/>
      </w:pPr>
      <w:r>
        <w:rPr/>
        <w:t>2.</w:t>
        <w:tab/>
        <w:t>Højere miljøstandarder for eksport af affald samt strengere kontrol og sanktioner for at standse ulovlig eksport. Unionen bør tilskynde medlemsstaterne til at genanvende deres eget affald og bruge det til at producere energi</w:t>
      </w:r>
      <w:r>
        <w:rPr>
          <w:rStyle w:val="Ancredenotedefin"/>
          <w:rStyle w:val="Ancredenotedefin"/>
        </w:rPr>
        <w:endnoteReference w:id="26"/>
      </w:r>
      <w:r>
        <w:rPr/>
        <w:t>.</w:t>
      </w:r>
    </w:p>
    <w:p>
      <w:pPr>
        <w:pStyle w:val="ListBullet4"/>
        <w:tabs>
          <w:tab w:val="clear" w:pos="720"/>
        </w:tabs>
        <w:rPr/>
      </w:pPr>
      <w:r>
        <w:rPr/>
        <w:t>3.</w:t>
        <w:tab/>
        <w:t>Definition af et mål om at fjerne forurenende emballager gennem fremme af mindre forurenende emballager eller mere miljøvenlig emballage</w:t>
      </w:r>
      <w:r>
        <w:rPr>
          <w:rStyle w:val="Ancredenotedefin"/>
          <w:rStyle w:val="Ancredenotedefin"/>
        </w:rPr>
        <w:endnoteReference w:id="27"/>
      </w:r>
      <w:r>
        <w:rPr/>
        <w:t xml:space="preserve"> og etablering af partnerskaber med udviklingslandene, ved at støtte deres infrastruktur og ved at overveje gensidigt fordelagtige handelsaftaler med henblik på at hjælpe dem med deres omstilling til grønne energikilder</w:t>
      </w:r>
      <w:r>
        <w:rPr>
          <w:rStyle w:val="Ancredenotedefin"/>
          <w:rStyle w:val="Ancredenotedefin"/>
        </w:rPr>
        <w:endnoteReference w:id="28"/>
      </w:r>
      <w:r>
        <w:rPr/>
        <w:t>.</w:t>
      </w:r>
    </w:p>
    <w:p>
      <w:pPr>
        <w:pStyle w:val="ListBullet4"/>
        <w:tabs>
          <w:tab w:val="clear" w:pos="720"/>
        </w:tabs>
        <w:rPr/>
      </w:pPr>
      <w:r>
        <w:rPr/>
        <w:t>4.</w:t>
        <w:tab/>
        <w:t>Muligheden for at belønne lande med høje bæredygtighedsstandarder ved at give yderligere adgang til EU-markedet for deres varige varer og tjenesteydelser, enten ensidigt gennem den generelle GSP±præferenceordning eller bilateralt gennem forhandlede handelsaftaler eller multilateralt gennem initiativer inden for Verdenshandelsorganisationen.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Forslag: Beslutningstagning og samhørighed i Unionen</w:t>
      </w:r>
    </w:p>
    <w:p>
      <w:pPr>
        <w:pStyle w:val="P68B1DB1Normal15"/>
        <w:rPr>
          <w:b/>
          <w:b/>
        </w:rPr>
      </w:pPr>
      <w:r>
        <w:rPr/>
        <w:t>Formål: Vi foreslår, at EU forbedrer sin kapacitet til at træffe hurtige og effektive beslutninger inden for rammerne af den fælles udenrigs- og sikkerhedspolitik (FUSP) ved at tale med én stemme og fungere som en ægte global aktør for at få en positiv rolle i verden og ved at gøre en forskel som reaktion på enhver krise, herunder: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Ved at sikre, at spørgsmål, der i øjeblikket træffes med enstemmighed, navnlig på FUSP-området, normalt behandles med kvalificeret flertal</w:t>
      </w:r>
      <w:r>
        <w:rPr>
          <w:rStyle w:val="Ancredenotedefin"/>
          <w:rStyle w:val="Ancredenotedefin"/>
        </w:rPr>
        <w:endnoteReference w:id="29"/>
      </w:r>
      <w:r>
        <w:rPr/>
        <w:t>.</w:t>
      </w:r>
    </w:p>
    <w:p>
      <w:pPr>
        <w:pStyle w:val="ListBullet4"/>
        <w:tabs>
          <w:tab w:val="clear" w:pos="720"/>
        </w:tabs>
        <w:rPr/>
      </w:pPr>
      <w:r>
        <w:rPr/>
        <w:t>2.</w:t>
        <w:tab/>
        <w:t>At basere samarbejdet om sikkerheds- og forsvarspolitik på det nyligt godkendte strategiske kompas og anvendelse af den europæiske fredsfacilitet</w:t>
      </w:r>
      <w:r>
        <w:rPr>
          <w:rStyle w:val="Ancredenotedefin"/>
          <w:rStyle w:val="Ancredenotedefin"/>
        </w:rPr>
        <w:endnoteReference w:id="30"/>
      </w:r>
      <w:r>
        <w:rPr/>
        <w:t>.</w:t>
      </w:r>
    </w:p>
    <w:p>
      <w:pPr>
        <w:pStyle w:val="ListBullet4"/>
        <w:tabs>
          <w:tab w:val="clear" w:pos="720"/>
        </w:tabs>
        <w:rPr/>
      </w:pPr>
      <w:r>
        <w:rPr/>
        <w:t>3.</w:t>
        <w:tab/>
        <w:t>Styrkelse af den højtstående repræsentants rolle med hensyn til at sikre, at EU taler med én stemme</w:t>
      </w:r>
      <w:r>
        <w:rPr>
          <w:rStyle w:val="Ancredenotedefin"/>
          <w:rStyle w:val="Ancredenotedefin"/>
        </w:rPr>
        <w:endnoteReference w:id="31"/>
      </w:r>
      <w:r>
        <w:rPr/>
        <w:t>.</w:t>
      </w:r>
    </w:p>
    <w:p>
      <w:pPr>
        <w:pStyle w:val="ListBullet4"/>
        <w:tabs>
          <w:tab w:val="clear" w:pos="720"/>
        </w:tabs>
        <w:rPr/>
      </w:pPr>
      <w:r>
        <w:rPr/>
        <w:t>4.</w:t>
        <w:tab/>
        <w:t>At nå til enighed om en stærk vision og en fælles strategi for at konsolidere EU's enhed og beslutningsevne med henblik på at forberede Unionen på yderligere udvidelser</w:t>
      </w:r>
      <w:r>
        <w:rPr>
          <w:rStyle w:val="Ancredenotedefin"/>
          <w:rStyle w:val="Ancredenotedefin"/>
        </w:rPr>
        <w:endnoteReference w:id="32"/>
      </w:r>
      <w:r>
        <w:rPr/>
        <w:t>.</w:t>
      </w:r>
    </w:p>
    <w:p>
      <w:pPr>
        <w:pStyle w:val="ListBullet4"/>
        <w:tabs>
          <w:tab w:val="clear" w:pos="720"/>
        </w:tabs>
        <w:rPr/>
      </w:pPr>
      <w:r>
        <w:rPr/>
        <w:t>5.</w:t>
        <w:tab/>
        <w:t>Ved hurtigt at ratificere de nyligt indgåede handelsaftaler uden at give afkald på passende overvejelser og drøftelser.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Forslag: Gennemsigtighed i EU og dets forbindelser med borgerne</w:t>
      </w:r>
    </w:p>
    <w:p>
      <w:pPr>
        <w:pStyle w:val="P68B1DB1Normal15"/>
        <w:rPr>
          <w:b/>
          <w:b/>
        </w:rPr>
      </w:pPr>
      <w:r>
        <w:rPr/>
        <w:t>Formål: vi foreslår, at EU, navnlig i sine foranstaltninger på internationalt plan, herunder handelsforhandlinger, øger sin tilgængelighed for borgerne ved at forbedre information, uddannelse, borgerdeltagelse og gennemsigtighed, navnlig ved at: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Styrkelse af forbindelserne med borgerne og de lokale institutioner med henblik på at forbedre gennemsigtigheden, nå ud til borgerne og bedre kommunikere og kommunikere med dem om konkrete EU-initiativer på internationalt plan</w:t>
      </w:r>
      <w:r>
        <w:rPr>
          <w:rStyle w:val="Ancredenotedefin"/>
          <w:rStyle w:val="Ancredenotedefin"/>
        </w:rPr>
        <w:endnoteReference w:id="33"/>
      </w:r>
      <w:r>
        <w:rPr/>
        <w:t>.</w:t>
      </w:r>
    </w:p>
    <w:p>
      <w:pPr>
        <w:pStyle w:val="ListBullet4"/>
        <w:tabs>
          <w:tab w:val="clear" w:pos="720"/>
        </w:tabs>
        <w:rPr/>
      </w:pPr>
      <w:r>
        <w:rPr/>
        <w:t>2.</w:t>
        <w:tab/>
        <w:t>Større deltagelse af borgerne i EU's internationale politik og arrangementer med direkte borgerdeltagelse, f.eks. konferencen om Europas fremtid, der afholdes på nationalt, lokalt og europæisk plan</w:t>
      </w:r>
      <w:r>
        <w:rPr>
          <w:rStyle w:val="Ancredenotedefin"/>
          <w:rStyle w:val="Ancredenotedefin"/>
        </w:rPr>
        <w:endnoteReference w:id="34"/>
      </w:r>
      <w:r>
        <w:rPr/>
        <w:t xml:space="preserve"> og med aktiv deltagelse af det organiserede civilsamfund</w:t>
      </w:r>
      <w:r>
        <w:rPr>
          <w:rStyle w:val="Ancredenotedefin"/>
          <w:rStyle w:val="Ancredenotedefin"/>
        </w:rPr>
        <w:endnoteReference w:id="35"/>
      </w:r>
      <w:r>
        <w:rPr/>
        <w:t>.</w:t>
      </w:r>
    </w:p>
    <w:p>
      <w:pPr>
        <w:pStyle w:val="ListBullet4"/>
        <w:tabs>
          <w:tab w:val="clear" w:pos="720"/>
        </w:tabs>
        <w:rPr/>
      </w:pPr>
      <w:r>
        <w:rPr/>
        <w:t>3.</w:t>
        <w:tab/>
        <w:t>Fuld støtte fra alle relevante interessenter til borgere, der vælger at deltage i organiserede civilsamfundsorganisationer, som det har været tilfældet med covid-19 og Ukraine.</w:t>
      </w:r>
    </w:p>
    <w:p>
      <w:pPr>
        <w:pStyle w:val="ListBullet4"/>
        <w:tabs>
          <w:tab w:val="clear" w:pos="720"/>
        </w:tabs>
        <w:rPr/>
      </w:pPr>
      <w:r>
        <w:rPr/>
        <w:t>4.</w:t>
        <w:tab/>
        <w:t>Tildeling af et særligt budget til udvikling af uddannelsesprogrammer om EU's funktionsmåde og dets værdier, som den kan foreslå medlemsstaterne, hvis de ønsker det, således at de kan integrere dem i deres læseplaner (primært, sekundært og universitet). Desuden kan der tilbydes et særligt kursus om Unionen og dens funktion til studerende, der ønsker at studere i et andet europæisk land gennem Erasmus-programmet. Studerende, der vælger dette kursus, vil få prioritet for at kunne drage fordel af Erasmus-programmerne.</w:t>
      </w:r>
    </w:p>
    <w:p>
      <w:pPr>
        <w:pStyle w:val="ListBullet4"/>
        <w:tabs>
          <w:tab w:val="clear" w:pos="720"/>
        </w:tabs>
        <w:rPr/>
      </w:pPr>
      <w:r>
        <w:rPr/>
        <w:t>5.</w:t>
        <w:tab/>
        <w:t>Forbedring af EU's mediestrategi gennem større synlighed på de sociale medier og aktiv fremme af dets indhold fremme af innovation ved at forbedre tilgængeligheden af EU's tilstedeværelse på de sociale medier</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Forslag: EU som verdensførende inden for fred og sikkerhed</w:t>
      </w:r>
    </w:p>
    <w:p>
      <w:pPr>
        <w:pStyle w:val="P68B1DB1Normal15"/>
        <w:rPr>
          <w:b/>
          <w:b/>
        </w:rPr>
      </w:pPr>
      <w:r>
        <w:rPr/>
        <w:t>Formål: vi foreslår, at EU fortsætter med at handle for at fremme dialog og sikre fred og en regelbaseret international orden, styrke multilateralisme og bygge videre på EU's mangeårige fredsinitiativer, der bidrog til tildelingen af Nobelprisen i 2012, samtidig med at den fælles sikkerhed styrkes gennem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b/>
        </w:rPr>
        <w:endnoteReference w:id="37"/>
      </w:r>
      <w:r>
        <w:rPr>
          <w:rStyle w:val="Ancredenotedefin"/>
          <w:rStyle w:val="Ancredenotedefin"/>
          <w:b/>
        </w:rPr>
        <w:endnoteReference w:id="38"/>
      </w:r>
      <w:r>
        <w:rPr/>
        <w:t>:</w:t>
      </w:r>
    </w:p>
    <w:p>
      <w:pPr>
        <w:pStyle w:val="ListBullet4"/>
        <w:tabs>
          <w:tab w:val="clear" w:pos="720"/>
        </w:tabs>
        <w:rPr/>
      </w:pPr>
      <w:r>
        <w:rPr/>
        <w:t>1.</w:t>
        <w:tab/>
        <w:t>Fælles væbnede styrker, der anvendes til selvforsvarsformål og har til formål at forhindre enhver form for aggressiv militær aktion, der har kapacitet til at yde bistand i krisetider, herunder i tilfælde af en naturkatastrofe. Uden for de europæiske grænser kan de udsendes under ekstraordinære omstændigheder, helst inden for rammerne af et retligt mandat fra FN's Sikkerhedsråd og dermed i overensstemmelse med folkeretten</w:t>
      </w:r>
      <w:r>
        <w:rPr>
          <w:rStyle w:val="Ancredenotedefin"/>
          <w:rStyle w:val="Ancredenotedefin"/>
        </w:rPr>
        <w:endnoteReference w:id="39"/>
      </w:r>
      <w:r>
        <w:rPr/>
        <w:t>, uden at konkurrere med NATO eller overlappe NATO og respektere de forskellige nationale forbindelser med NATO; i den forbindelse bør der foretages en vurdering af EU's forbindelser med NATO i forbindelse med debatten om EU's strategiske autonomi.</w:t>
      </w:r>
    </w:p>
    <w:p>
      <w:pPr>
        <w:pStyle w:val="Normal"/>
        <w:rPr/>
      </w:pPr>
      <w:r>
        <w:rPr/>
      </w:r>
    </w:p>
    <w:p>
      <w:pPr>
        <w:pStyle w:val="ListBullet4"/>
        <w:tabs>
          <w:tab w:val="clear" w:pos="720"/>
        </w:tabs>
        <w:rPr/>
      </w:pPr>
      <w:r>
        <w:rPr/>
        <w:t>2.</w:t>
        <w:tab/>
        <w:t>En ledende rolle i opbygningen af den globale sikkerhedsorden efter krigen i Ukraine baseret på EU's nyligt vedtagne strategiske kompas.</w:t>
      </w:r>
    </w:p>
    <w:p>
      <w:pPr>
        <w:pStyle w:val="ListBullet4"/>
        <w:tabs>
          <w:tab w:val="clear" w:pos="720"/>
        </w:tabs>
        <w:rPr/>
      </w:pPr>
      <w:r>
        <w:rPr/>
        <w:t>3.</w:t>
        <w:tab/>
        <w:t>Beskyttelse af dens strategiske forskning og kapaciteter inden for prioriterede sektorer som f.eks. rumsektoren, cybersikkerhed, sundhedssektoren og miljøet</w:t>
      </w:r>
      <w:r>
        <w:rPr>
          <w:rStyle w:val="Ancredenotedefin"/>
          <w:rStyle w:val="Ancredenotedefin"/>
        </w:rPr>
        <w:endnoteReference w:id="40"/>
      </w:r>
      <w:r>
        <w:rPr/>
        <w:t>.</w:t>
      </w:r>
    </w:p>
    <w:p>
      <w:pPr>
        <w:pStyle w:val="ListBullet4"/>
        <w:tabs>
          <w:tab w:val="clear" w:pos="720"/>
        </w:tabs>
        <w:rPr/>
      </w:pPr>
      <w:r>
        <w:rPr/>
        <w:t>4.</w:t>
        <w:tab/>
        <w:t>Styrkelse af den operationelle kapacitet, der er nødvendig for at sikre effektiviteten af klausulen om gensidig bistand i artikel 42, stk. 7, i traktaten om Den Europæiske Union, som sikrer en tilstrækkelig EU-beskyttelse til enhver medlemsstat, der angribes af et tredjeland.</w:t>
      </w:r>
    </w:p>
    <w:p>
      <w:pPr>
        <w:pStyle w:val="ListBullet4"/>
        <w:tabs>
          <w:tab w:val="clear" w:pos="720"/>
        </w:tabs>
        <w:rPr/>
      </w:pPr>
      <w:r>
        <w:rPr/>
        <w:t>5.</w:t>
        <w:tab/>
        <w:t>En refleksion over, hvordan man kan bekæmpe desinformation og propaganda på en objektiv og faktuel måde.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Forslag: EU som en førende global aktør i opbygningen af relationer</w:t>
      </w:r>
    </w:p>
    <w:p>
      <w:pPr>
        <w:pStyle w:val="P68B1DB1Normal15"/>
        <w:rPr>
          <w:b/>
          <w:b/>
        </w:rPr>
      </w:pPr>
      <w:r>
        <w:rPr/>
        <w:t>Formål: Vi foreslår, at EU i sine forbindelser med tredjelande: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Gøre større brug af sin kollektive politiske og økonomiske vægt ved at tale med én stemme og handle på en fælles måde, uden at nogle medlemsstater opdeler Unionen ved uhensigtsmæssige bilaterale interventioner</w:t>
      </w:r>
      <w:r>
        <w:rPr>
          <w:rStyle w:val="Ancredenotedefin"/>
          <w:rStyle w:val="Ancredenotedefin"/>
        </w:rPr>
        <w:endnoteReference w:id="41"/>
      </w:r>
      <w:r>
        <w:rPr/>
        <w:t>.</w:t>
      </w:r>
    </w:p>
    <w:p>
      <w:pPr>
        <w:pStyle w:val="ListBullet4"/>
        <w:tabs>
          <w:tab w:val="clear" w:pos="720"/>
        </w:tabs>
        <w:rPr/>
      </w:pPr>
      <w:r>
        <w:rPr/>
        <w:t>2.</w:t>
        <w:tab/>
        <w:t>Styrker sin kapacitet til at sanktionere stater, regeringer, enheder, grupper eller organisationer samt enkeltpersoner, der ikke overholder dens grundlæggende principper, aftaler og love, og sikrer, at eksisterende sanktioner hurtigt gennemføres og håndhæves. Sanktioner, der pålægges tredjelande, bør stå i et rimeligt forhold til de foranstaltninger, der udløste dem, være effektive og anvendes rettidigt</w:t>
      </w:r>
      <w:r>
        <w:rPr>
          <w:rStyle w:val="Ancredenotedefin"/>
          <w:rStyle w:val="Ancredenotedefin"/>
        </w:rPr>
        <w:endnoteReference w:id="42"/>
      </w:r>
      <w:r>
        <w:rPr/>
        <w:t>.</w:t>
      </w:r>
    </w:p>
    <w:p>
      <w:pPr>
        <w:pStyle w:val="ListBullet4"/>
        <w:tabs>
          <w:tab w:val="clear" w:pos="720"/>
        </w:tabs>
        <w:rPr/>
      </w:pPr>
      <w:r>
        <w:rPr/>
        <w:t>3.</w:t>
        <w:tab/>
        <w:t>Fremmer bæredygtig og regelbaseret handel og åbner nye handels- og investeringsmuligheder for europæiske virksomheder. Bilaterale handels- og investeringsaftaler er afgørende for at fremme europæisk konkurrenceevne, men der er behov for standarder og regler for at sikre lige konkurrencevilkår. EU skal forblive en aktiv og pålidelig partner i forhandlingerne, indgåelsen og gennemførelsen af handelsaftaler, der også fastsætter høje bæredygtighedsstandarder.</w:t>
      </w:r>
    </w:p>
    <w:p>
      <w:pPr>
        <w:pStyle w:val="ListBullet4"/>
        <w:tabs>
          <w:tab w:val="clear" w:pos="720"/>
        </w:tabs>
        <w:rPr/>
      </w:pPr>
      <w:r>
        <w:rPr/>
        <w:t>4.</w:t>
        <w:tab/>
        <w:t>De vigtigste internationale samarbejdsaftaler blev indgået ved at repræsentere Den Europæiske Union i stedet for de enkelte lande</w:t>
      </w:r>
      <w:r>
        <w:rPr>
          <w:rStyle w:val="Ancredenotedefin"/>
          <w:rStyle w:val="Ancredenotedefin"/>
        </w:rPr>
        <w:endnoteReference w:id="43"/>
      </w:r>
      <w:r>
        <w:rPr/>
        <w:t>.</w:t>
      </w:r>
    </w:p>
    <w:p>
      <w:pPr>
        <w:pStyle w:val="ListBullet4"/>
        <w:tabs>
          <w:tab w:val="clear" w:pos="720"/>
        </w:tabs>
        <w:rPr/>
      </w:pPr>
      <w:r>
        <w:rPr/>
        <w:t>5.</w:t>
        <w:tab/>
        <w:t>Reformere EU's handels- og investeringspolitik for at relancere den globale multilateralisme med det formål at skabe anstændige arbejdspladser og beskytte grundlæggende menneskerettigheder, herunder arbejdstagerrettigheder og fagforeningsrettigheder, bevare miljøet og biodiversiteten og respektere Parisaftalen om klimaændringer, sikre offentlige tjenesteydelser af høj kvalitet og styrke Europas industrigrundlag. EU bør bidrage til en relancering af global multilateralisme gennem gennemgribende reformer baseret på demokrati og fred, solidaritet og respekt for menneskerettighederne, sociale og miljømæssige rettigheder og en styrket rolle for ILO.</w:t>
      </w:r>
    </w:p>
    <w:p>
      <w:pPr>
        <w:pStyle w:val="ListBullet4"/>
        <w:tabs>
          <w:tab w:val="clear" w:pos="720"/>
        </w:tabs>
        <w:rPr/>
      </w:pPr>
      <w:r>
        <w:rPr/>
        <w:t>6.</w:t>
        <w:tab/>
        <w:t>Omfatter bekæmpelse af menneskehandel og ulovlig indvandring samt samarbejde om mulige tilbagesendelsesoperationer i samarbejds- og investeringsaftaler med tredjelande.</w:t>
      </w:r>
    </w:p>
    <w:p>
      <w:pPr>
        <w:pStyle w:val="ListBullet4"/>
        <w:tabs>
          <w:tab w:val="clear" w:pos="720"/>
        </w:tabs>
        <w:rPr/>
      </w:pPr>
      <w:r>
        <w:rPr/>
        <w:t>7.</w:t>
        <w:tab/>
        <w:t>Udvikle partnerskaber med udviklingslande for at støtte deres infrastruktur og overveje gensidigt fordelagtige handelsaftaler for at hjælpe dem med deres omstilling til grønne energikilder</w:t>
      </w:r>
      <w:r>
        <w:rPr>
          <w:rStyle w:val="Ancredenotedefin"/>
          <w:rStyle w:val="Ancredenotedefin"/>
        </w:rPr>
        <w:endnoteReference w:id="44"/>
      </w:r>
      <w:r>
        <w:rPr/>
        <w:t>.</w:t>
      </w:r>
    </w:p>
    <w:p>
      <w:pPr>
        <w:pStyle w:val="ListBullet4"/>
        <w:tabs>
          <w:tab w:val="clear" w:pos="720"/>
        </w:tabs>
        <w:rPr/>
      </w:pPr>
      <w:r>
        <w:rPr/>
        <w:t>8.</w:t>
        <w:tab/>
        <w:t>Udvikler en mere effektiv og forenet politik for autokratiske og hybride regimer og udvikler partnerskaber med civilsamfundsorganisationer i disse lande.</w:t>
      </w:r>
    </w:p>
    <w:p>
      <w:pPr>
        <w:pStyle w:val="ListBullet4"/>
        <w:tabs>
          <w:tab w:val="clear" w:pos="720"/>
        </w:tabs>
        <w:rPr/>
      </w:pPr>
      <w:r>
        <w:rPr/>
        <w:t>9.</w:t>
        <w:tab/>
        <w:t>Øger ressourcerne til EU's valgobservationsmissioner.</w:t>
      </w:r>
    </w:p>
    <w:p>
      <w:pPr>
        <w:pStyle w:val="ListBullet4"/>
        <w:tabs>
          <w:tab w:val="clear" w:pos="720"/>
        </w:tabs>
        <w:rPr/>
      </w:pPr>
      <w:r>
        <w:rPr/>
        <w:t>10.</w:t>
        <w:tab/>
        <w:t>Giver en troværdig udsigt til tiltrædelse af kandidatlande og potentielle kandidatlande med henblik på at fremme fred og stabilitet i Europa og skabe velstand for millioner af europæere</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BEMÆRK: Flere medlemmer af arbejdsgruppen mener, at navnlig forslagene om reduktion af EU's afhængighed af udenlandske aktører på energiområdet og "EU's gennemsigtighed og dets forbindelser med borgerne" hører under andre arbejdsgrupper. Nogle medlemmer ønskede ud over afstemning med kvalificeret flertal at nævne alternativer til enstemmighed i Rådet, f.eks. variabel geometri, klausuler om ikkedeltagelse og forstærket samarbejde. Nogle medlemmer af arbejdsgruppen opfordrede til at anvende udtrykket "bæredygtig" snarere end "etisk" i forslaget om fastlæggelse af standarder i og uden for EU i handels- og investeringsforbindelserne. Der er uenighed om, hvorvidt de nye medlemsstaters tiltrædelse fortsat bør kræve enstemmighed blandt alle de nuværende medlemsstater. Der opstod en række synspunkter om den ønskede grad af fælles væbnede styrker. To medlemmer henviste til udsigten til irsk enhed i tilfælde af, at Nordirland ville stemme i denne retning i overensstemmelse med bestemmelserne i Langfredagsaftalen og behovet for, at Unionen var forberedt på en sådan situation.</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Billed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lede25"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Værdier og rettigheder, retsstatsprincippet, sikkerhed</w:t>
      </w:r>
    </w:p>
    <w:p>
      <w:pPr>
        <w:pStyle w:val="Titre3"/>
        <w:numPr>
          <w:ilvl w:val="2"/>
          <w:numId w:val="2"/>
        </w:numPr>
        <w:rPr/>
      </w:pPr>
      <w:bookmarkStart w:id="74" w:name="__RefHeading___Toc298322_1346298689"/>
      <w:bookmarkEnd w:id="74"/>
      <w:r>
        <w:rPr/>
        <w:t>25. Forslag: Retsstatsprincippet, demokratiske værdier og europæisk identitet</w:t>
      </w:r>
    </w:p>
    <w:p>
      <w:pPr>
        <w:pStyle w:val="P68B1DB1Normal15"/>
        <w:rPr>
          <w:b/>
          <w:b/>
        </w:rPr>
      </w:pPr>
      <w:r>
        <w:rPr/>
        <w:t>Formål: Systematisk at opretholde retsstatsprincippet i alle medlemsstater, herunder: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46"/>
      </w:r>
      <w:r>
        <w:rPr/>
        <w:t>:</w:t>
      </w:r>
    </w:p>
    <w:p>
      <w:pPr>
        <w:pStyle w:val="ListBullet4"/>
        <w:tabs>
          <w:tab w:val="clear" w:pos="720"/>
        </w:tabs>
        <w:rPr/>
      </w:pPr>
      <w:r>
        <w:rPr/>
        <w:t>1.</w:t>
        <w:tab/>
        <w:t>At sikre, at de værdier og principper, der er nedfældet i EU-traktaterne og Den Europæiske Unions charter om grundlæggende rettigheder, ikke er til forhandling og uigenkaldeligt, og at de udgør en ufravigelig betingelse for medlemskab og tiltrædelse af Unionen. EU's værdier skal respekteres fuldt ud i alle medlemsstater; de bør også fungere som en international standard og repræsentere en tiltrækningspol gennem diplomati og dialog. Udvidelsen af Unionen bør ikke underminere gældende EU-ret med hensyn til grundlæggende værdier og borgernes rettigheder</w:t>
      </w:r>
      <w:r>
        <w:rPr>
          <w:rStyle w:val="Ancredenotedefin"/>
          <w:rStyle w:val="Ancredenotedefin"/>
        </w:rPr>
        <w:endnoteReference w:id="47"/>
      </w:r>
      <w:r>
        <w:rPr/>
        <w:t>.</w:t>
      </w:r>
    </w:p>
    <w:p>
      <w:pPr>
        <w:pStyle w:val="ListBullet4"/>
        <w:tabs>
          <w:tab w:val="clear" w:pos="720"/>
        </w:tabs>
        <w:rPr/>
      </w:pPr>
      <w:r>
        <w:rPr/>
        <w:t>2.</w:t>
        <w:tab/>
        <w:t>Ved at gøre europæiske værdier til en konkret realitet for EU-borgerne, navnlig gennem en mere interaktiv og direkte deltagelse, bør unionsborgerskabet styrkes, f.eks. gennem en status som unionsborger med borgernes rettigheder og frihedsrettigheder samt en statut for europæiske grænseoverskridende sammenslutninger og nonprofitorganisationer. Tilsvarende bør europæiske værdier fremmes ved hjælp af en "integrationsmappe", der omfatter uddannelseselementer og informationsmateriale til borgerne. Endelig bør der skabes et europæisk offentligt rum for audiovisuelle medier og onlinemedier gennem nye EU-investeringer, forbedring af eksisterende medieplatforme og øget støtte til de mere end 500 europæiske forbindelseskontorer, der er til stede på lokalt plan</w:t>
      </w:r>
      <w:r>
        <w:rPr>
          <w:rStyle w:val="Ancredenotedefin"/>
          <w:rStyle w:val="Ancredenotedefin"/>
        </w:rPr>
        <w:endnoteReference w:id="48"/>
      </w:r>
      <w:r>
        <w:rPr/>
        <w:t xml:space="preserve">. </w:t>
      </w:r>
    </w:p>
    <w:p>
      <w:pPr>
        <w:pStyle w:val="ListBullet4"/>
        <w:tabs>
          <w:tab w:val="clear" w:pos="720"/>
        </w:tabs>
        <w:rPr/>
      </w:pPr>
      <w:r>
        <w:rPr/>
        <w:t>3.</w:t>
        <w:tab/>
        <w:t>Den Europæiske Unions charter om grundlæggende rettigheder bør finde generel anvendelse. Desuden bør der afholdes årlige retsstatskonferencer (efter Kommissionens rapport om retsstatsprincippet), der samler delegationer fra alle medlemsstater, der består af borgere, embedsmænd, parlamentarikere, lokale myndigheder, arbejdsmarkedets parter og civilsamfundet, udvalgt på en tilfældig og forskelligartet måde. Det er også vigtigt yderligere at støtte organisationer, herunder civilsamfundsorganisationer, der fremmer retsstatsprincippet på stedet</w:t>
      </w:r>
      <w:r>
        <w:rPr>
          <w:rStyle w:val="Ancredenotedefin"/>
          <w:rStyle w:val="Ancredenotedefin"/>
        </w:rPr>
        <w:endnoteReference w:id="49"/>
      </w:r>
      <w:r>
        <w:rPr/>
        <w:t>.</w:t>
      </w:r>
    </w:p>
    <w:p>
      <w:pPr>
        <w:pStyle w:val="ListBullet4"/>
        <w:tabs>
          <w:tab w:val="clear" w:pos="720"/>
        </w:tabs>
        <w:rPr/>
      </w:pPr>
      <w:r>
        <w:rPr/>
        <w:t>4.</w:t>
        <w:tab/>
        <w:t>Ved effektivt at anvende den såkaldte krydsoverensstemmelsesforordning, vurdere anvendelsesområdet for nævnte forordning og andre retsstatsinstrumenter samt overveje at udvide deres anvendelsesområde til nye områder, uanset deres relevans for Unionens budget. Alle nødvendige retsmidler, herunder ændringer af traktaterne, bør overvejes med henblik på at straffe overtrædelser af retsstatsprincippet</w:t>
      </w:r>
      <w:r>
        <w:rPr>
          <w:rStyle w:val="Ancredenotedefin"/>
          <w:rStyle w:val="Ancredenotedefin"/>
        </w:rPr>
        <w:endnoteReference w:id="50"/>
      </w:r>
      <w:r>
        <w:rPr/>
        <w:t>.</w:t>
      </w:r>
    </w:p>
    <w:p>
      <w:pPr>
        <w:pStyle w:val="ListBullet4"/>
        <w:tabs>
          <w:tab w:val="clear" w:pos="720"/>
        </w:tabs>
        <w:rPr/>
      </w:pPr>
      <w:r>
        <w:rPr/>
        <w:t>5.</w:t>
        <w:tab/>
        <w:t>Fremme af uddannelses- og medieprogrammer, der sætter Unionens værdier i centrum for integrationsprocessen for migranter og tilskynder til interaktion mellem unionsborgere og migranter med henblik på at muliggøre en vellykket integration i Unionens samfund og øge bevidstheden om migrationsspørgsmål blandt EU-borgerne.</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Forslag: Beskyttelse af personoplysninger</w:t>
      </w:r>
    </w:p>
    <w:p>
      <w:pPr>
        <w:pStyle w:val="Corpsdetexte"/>
        <w:rPr/>
      </w:pPr>
      <w:r>
        <w:rPr/>
      </w:r>
    </w:p>
    <w:p>
      <w:pPr>
        <w:pStyle w:val="P68B1DB1Normal15"/>
        <w:rPr>
          <w:b/>
          <w:b/>
        </w:rPr>
      </w:pPr>
      <w:r>
        <w:rPr/>
        <w:t>Formål: sikre en mere beskyttende og bedre databehandlingspolitik for borgerne, navnlig: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52"/>
      </w:r>
      <w:r>
        <w:rPr/>
        <w:t>:</w:t>
      </w:r>
    </w:p>
    <w:p>
      <w:pPr>
        <w:pStyle w:val="ListBullet4"/>
        <w:tabs>
          <w:tab w:val="clear" w:pos="720"/>
        </w:tabs>
        <w:rPr/>
      </w:pPr>
      <w:r>
        <w:rPr/>
        <w:t>1.</w:t>
        <w:tab/>
        <w:t>Ved fuldt ud at gennemføre og revidere den eksisterende databeskyttelseslovgivning med henblik på at vurdere behovet for forbedrede håndhævelsesmekanismer for enheder, der behandler personoplysninger, som i øjeblikket henhører under uafhængige nationale databeskyttelsesmyndigheders kompetence under overholdelse af nærhedsprincippet. Disse enheder bør straffes strengere end ved den nuværende anvendelse af reglerne i forhold til deres årlige omsætning (op til 4 %) eller endog ved et forbud mod deres aktiviteter, og de bør underkastes en uafhængig årlig revision</w:t>
      </w:r>
      <w:r>
        <w:rPr>
          <w:rStyle w:val="Ancredenotedefin"/>
          <w:rStyle w:val="Ancredenotedefin"/>
        </w:rPr>
        <w:endnoteReference w:id="53"/>
      </w:r>
      <w:r>
        <w:rPr>
          <w:rStyle w:val="Ancredenotedefin"/>
          <w:rStyle w:val="Ancredenotedefin"/>
        </w:rPr>
        <w:endnoteReference w:id="54"/>
      </w:r>
      <w:r>
        <w:rPr/>
        <w:t>.</w:t>
      </w:r>
    </w:p>
    <w:p>
      <w:pPr>
        <w:pStyle w:val="ListBullet4"/>
        <w:tabs>
          <w:tab w:val="clear" w:pos="720"/>
        </w:tabs>
        <w:rPr/>
      </w:pPr>
      <w:r>
        <w:rPr/>
        <w:t>2.</w:t>
        <w:tab/>
        <w:t xml:space="preserve">Ved at give princippet om privatlivets fred gennem design eller gennem standardindstillinger større virkning, f.eks. ved at evaluere og udvikle datasamtykkeformularer, der er lette at forstå, koncise og intuitive, og klart angive, hvad der er nødvendigt, og hvad der ikke er. Brugerne skal være i stand til at give eller tilbagekalde deres samtykke til behandling af data på en enkel, hurtig og permanent måde. </w:t>
      </w:r>
      <w:r>
        <w:rPr>
          <w:rStyle w:val="Ancredenotedefin"/>
          <w:rStyle w:val="Ancredenotedefin"/>
        </w:rPr>
        <w:endnoteReference w:id="55"/>
      </w:r>
      <w:r>
        <w:rPr/>
        <w:t xml:space="preserve"> </w:t>
      </w:r>
      <w:r>
        <w:rPr>
          <w:rStyle w:val="Ancredenotedefin"/>
          <w:rStyle w:val="Ancredenotedefin"/>
        </w:rPr>
        <w:endnoteReference w:id="56"/>
      </w:r>
    </w:p>
    <w:p>
      <w:pPr>
        <w:pStyle w:val="ListBullet4"/>
        <w:tabs>
          <w:tab w:val="clear" w:pos="720"/>
        </w:tabs>
        <w:rPr/>
      </w:pPr>
      <w:r>
        <w:rPr/>
        <w:t>3.</w:t>
        <w:tab/>
        <w:t>Vurdering og indførelse af klarere og mere beskyttende regler for behandling af oplysninger om mindreårige, eventuelt i EU's generelle forordning om databeskyttelse, navnlig ved at oprette en særlig kategori for følsomme oplysninger om mindreårige og harmonisere minimumsalderen for samtykke i medlemsstaterne. Selv om størstedelen af gennemførelsen af reglerne om privatlivets fred og oplysningskampagner fortsat bør henhøre under medlemsstaternes kompetenceområde, navnlig gennem øgede investeringer og ressourcer på nationalt plan, bør Unionen også spille en vigtigere rolle, f.eks. ved at skabe europæiske kompetencer inden for medborgerskabsuddannelse inden for databeskyttelse</w:t>
      </w:r>
      <w:r>
        <w:rPr>
          <w:rStyle w:val="Ancredenotedefin"/>
          <w:rStyle w:val="Ancredenotedefin"/>
        </w:rPr>
        <w:endnoteReference w:id="57"/>
      </w:r>
      <w:r>
        <w:rPr/>
        <w:t>.</w:t>
      </w:r>
    </w:p>
    <w:p>
      <w:pPr>
        <w:pStyle w:val="ListBullet4"/>
        <w:tabs>
          <w:tab w:val="clear" w:pos="720"/>
        </w:tabs>
        <w:rPr/>
      </w:pPr>
      <w:r>
        <w:rPr/>
        <w:t>4.</w:t>
        <w:tab/>
        <w:t>Bedre overholdelse af de kriterier for støtteberettigelse, der gælder for europæiske og nationale databeskyttelsesmyndigheder med hensyn til kvalifikationer og egnethed, for at sikre deres medlemmer størst mulig uafhængighed.</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Forslag: Medier, falske nyheder, desinformation, faktatjek, cybersikkerhed</w:t>
      </w:r>
    </w:p>
    <w:p>
      <w:pPr>
        <w:pStyle w:val="P68B1DB1Normal15"/>
        <w:rPr>
          <w:b/>
          <w:b/>
        </w:rPr>
      </w:pPr>
      <w:r>
        <w:rPr/>
        <w:t>Formål: Bekæmpelse af desinformation gennem øget fremme af mediernes uafhængighed og pluralisme og mediekendskab, navnlig: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60"/>
      </w:r>
      <w:r>
        <w:rPr/>
        <w:t>:</w:t>
      </w:r>
    </w:p>
    <w:p>
      <w:pPr>
        <w:pStyle w:val="ListBullet4"/>
        <w:tabs>
          <w:tab w:val="clear" w:pos="720"/>
        </w:tabs>
        <w:rPr/>
      </w:pPr>
      <w:r>
        <w:rPr/>
        <w:t>1.</w:t>
        <w:tab/>
        <w:t>Indførelse af lovgivning til bekæmpelse af trusler mod mediernes uafhængighed gennem minimumsstandarder, der gælder i hele Unionen, herunder en gennemgang af medieforretningsmodellen for at sikre det europæiske mediemarkeds integritet og uafhængighed</w:t>
      </w:r>
      <w:r>
        <w:rPr>
          <w:rStyle w:val="Ancredenotedefin"/>
          <w:rStyle w:val="Ancredenotedefin"/>
        </w:rPr>
        <w:endnoteReference w:id="61"/>
      </w:r>
      <w:r>
        <w:rPr/>
        <w:t>.</w:t>
      </w:r>
    </w:p>
    <w:p>
      <w:pPr>
        <w:pStyle w:val="ListBullet4"/>
        <w:tabs>
          <w:tab w:val="clear" w:pos="720"/>
        </w:tabs>
        <w:rPr/>
      </w:pPr>
      <w:r>
        <w:rPr/>
        <w:t>2.</w:t>
        <w:tab/>
        <w:t>Nøje at anvende EU's konkurrenceregler i mediesektoren for at forhindre oprettelsen af store mediemonopoler og sikre mediepluralisme og uafhængighed af enhver uønsket indblanding fra de politiske, erhvervsmæssige og/eller udenlandske lande. Der bør også tilskyndes til kvalitetsjournalistik med anerkendte og høje standarder for etik og selvregulering</w:t>
      </w:r>
      <w:r>
        <w:rPr>
          <w:rStyle w:val="Ancredenotedefin"/>
          <w:rStyle w:val="Ancredenotedefin"/>
        </w:rPr>
        <w:endnoteReference w:id="62"/>
      </w:r>
      <w:r>
        <w:rPr/>
        <w:t>.</w:t>
      </w:r>
    </w:p>
    <w:p>
      <w:pPr>
        <w:pStyle w:val="ListBullet4"/>
        <w:tabs>
          <w:tab w:val="clear" w:pos="720"/>
        </w:tabs>
        <w:rPr/>
      </w:pPr>
      <w:r>
        <w:rPr/>
        <w:t>3.</w:t>
        <w:tab/>
        <w:t xml:space="preserve">Oprettelse af et EU-organ til bekæmpelse af målrettet desinformation og indblanding, forbedring af situationsopfattelsen og styrkelse af faktatjekorganisationer og uafhængige medier. "Nødnumre" og websteder såsom Europe Direct, der giver borgerne og de nationale medier mulighed for at anmode om og modtage verificerede oplysninger om EU's strategier og politikker, bør også støttes yderligere og fremmes mere aktivt. </w:t>
      </w:r>
      <w:r>
        <w:rPr>
          <w:rStyle w:val="Ancredenotedefin"/>
          <w:rStyle w:val="Ancredenotedefin"/>
        </w:rPr>
        <w:endnoteReference w:id="63"/>
      </w:r>
      <w:r>
        <w:rPr/>
        <w:t xml:space="preserve"> </w:t>
      </w:r>
      <w:r>
        <w:rPr>
          <w:rStyle w:val="Ancredenotedefin"/>
          <w:rStyle w:val="Ancredenotedefin"/>
        </w:rPr>
        <w:endnoteReference w:id="64"/>
      </w:r>
    </w:p>
    <w:p>
      <w:pPr>
        <w:pStyle w:val="ListBullet4"/>
        <w:tabs>
          <w:tab w:val="clear" w:pos="720"/>
        </w:tabs>
        <w:rPr/>
      </w:pPr>
      <w:r>
        <w:rPr/>
        <w:t>4.</w:t>
        <w:tab/>
        <w:t xml:space="preserve">Fremme mediekendskab og offentlighedens bevidsthed om desinformation og utilsigtet udbredelse af nyheder, herunder gennem skolepligt. Medlemsstaterne bør også tilskyndes til at afsætte tilstrækkelige menneskelige og finansielle ressourcer til dette formål. </w:t>
      </w:r>
      <w:r>
        <w:rPr>
          <w:rStyle w:val="Ancredenotedefin"/>
          <w:rStyle w:val="Ancredenotedefin"/>
        </w:rPr>
        <w:endnoteReference w:id="65"/>
      </w:r>
    </w:p>
    <w:p>
      <w:pPr>
        <w:pStyle w:val="ListBullet4"/>
        <w:tabs>
          <w:tab w:val="clear" w:pos="720"/>
        </w:tabs>
        <w:rPr/>
      </w:pPr>
      <w:r>
        <w:rPr/>
        <w:t>5.</w:t>
        <w:tab/>
        <w:t>Med udgangspunkt i eksisterende initiativer såsom adfærdskodeksen mod desinformation og Det Europæiske Observatorium for Digitale Medier (EDMO) skal onlineplatforme forpligtes til at offentliggøre klare oplysninger om de algoritmer, de anvender (med et valg, som brugerne kan give samtykke til eller ej), og de risici for desinformation, som brugerne udsættes for, samtidig med at retten til ytringsfrihed og retten til privatlivets fred bevares.</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Forslag: Medier, falske nyheder, desinformation, faktatjek, cybersikkerhed (a)</w:t>
      </w:r>
    </w:p>
    <w:p>
      <w:pPr>
        <w:pStyle w:val="P68B1DB1Normal15"/>
        <w:rPr>
          <w:b/>
          <w:b/>
        </w:rPr>
      </w:pPr>
      <w:r>
        <w:rPr/>
        <w:t>Formål: styrkelse af Unionens rolle i håndteringen af cybersikkerhedstrusler, navnlig: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 xml:space="preserve">Styrkelse af Den Europæiske Unions Agentur for Cybersikkerhed (ENISA) for bedre at beskytte enkeltpersoner, organisationer og institutioner mod brud på cybersikkerheden og anvendelse af kunstig intelligens til kriminelle formål. Samtidig bør fortroligheden og beskyttelsen af personoplysninger bevares. </w:t>
      </w:r>
      <w:r>
        <w:rPr>
          <w:rStyle w:val="Ancredenotedefin"/>
          <w:rStyle w:val="Ancredenotedefin"/>
        </w:rPr>
        <w:endnoteReference w:id="68"/>
      </w:r>
      <w:r>
        <w:rPr/>
        <w:t xml:space="preserve"> </w:t>
      </w:r>
      <w:r>
        <w:rPr>
          <w:rStyle w:val="Ancredenotedefin"/>
          <w:rStyle w:val="Ancredenotedefin"/>
        </w:rPr>
        <w:endnoteReference w:id="69"/>
      </w:r>
    </w:p>
    <w:p>
      <w:pPr>
        <w:pStyle w:val="ListBullet4"/>
        <w:tabs>
          <w:tab w:val="clear" w:pos="720"/>
        </w:tabs>
        <w:rPr/>
      </w:pPr>
      <w:r>
        <w:rPr/>
        <w:t>2.</w:t>
        <w:tab/>
        <w:t>Forbedre koordineringen af de nationale cybersikkerhedsmyndigheder og gøre en yderligere indsats for at sikre en effektiv gennemførelse af EU-reglerne på nationalt plan.</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Forslag: Bekæmpelse af forskelsbehandling, lighed og livskvalitet</w:t>
      </w:r>
    </w:p>
    <w:p>
      <w:pPr>
        <w:pStyle w:val="P68B1DB1Normal15"/>
        <w:rPr>
          <w:b/>
          <w:b/>
        </w:rPr>
      </w:pPr>
      <w:r>
        <w:rPr/>
        <w:t>FORMÅL: Træffe foranstaltninger til at harmonisere levevilkårene i hele Unionen og forbedre den socioøkonomiske livskvalitet for borgerne, navnlig: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72"/>
      </w:r>
      <w:r>
        <w:rPr/>
        <w:t>:</w:t>
      </w:r>
    </w:p>
    <w:p>
      <w:pPr>
        <w:pStyle w:val="ListBullet4"/>
        <w:tabs>
          <w:tab w:val="clear" w:pos="720"/>
        </w:tabs>
        <w:rPr/>
      </w:pPr>
      <w:r>
        <w:rPr/>
        <w:t>1.</w:t>
        <w:tab/>
        <w:t>Udvikling af gennemsigtige indikatorer for livskvalitet, herunder økonomiske, sociale og retsstatsmæssige kriterier, i samråd med eksperter og arbejdsmarkedets parter med henblik på at fastlægge en klar og realistisk tidsplan for at hæve de sociale standarder og etablere en fælles socioøkonomisk struktur i Unionen, herunder gennem gennemførelsen af den europæiske søjle for sociale rettigheder. Disse foranstaltninger bør integreres i rammerne for økonomisk styring og det europæiske semester</w:t>
      </w:r>
      <w:r>
        <w:rPr>
          <w:rStyle w:val="Ancredenotedefin"/>
          <w:rStyle w:val="Ancredenotedefin"/>
        </w:rPr>
        <w:endnoteReference w:id="73"/>
      </w:r>
      <w:r>
        <w:rPr>
          <w:rStyle w:val="Ancredenotedefin"/>
          <w:rStyle w:val="Ancredenotedefin"/>
        </w:rPr>
        <w:endnoteReference w:id="74"/>
      </w:r>
      <w:r>
        <w:rPr/>
        <w:t>.</w:t>
      </w:r>
    </w:p>
    <w:p>
      <w:pPr>
        <w:pStyle w:val="ListBullet4"/>
        <w:tabs>
          <w:tab w:val="clear" w:pos="720"/>
        </w:tabs>
        <w:rPr/>
      </w:pPr>
      <w:r>
        <w:rPr/>
        <w:t>2.</w:t>
        <w:tab/>
        <w:t>Øge og lette direkte offentlige investeringer i sundhed, uddannelse, fysisk infrastruktur og pleje af ældre og personer med handicap. Yderligere investeringer bør også sigte mod at sikre en tilfredsstillende balance mellem arbejdsliv og privatliv for borgerne. Disse investeringer bør gennemføres på en fuldstændig gennemsigtig måde for at overvåge hele processen</w:t>
      </w:r>
      <w:r>
        <w:rPr>
          <w:rStyle w:val="Ancredenotedefin"/>
          <w:rStyle w:val="Ancredenotedefin"/>
        </w:rPr>
        <w:endnoteReference w:id="75"/>
      </w:r>
      <w:r>
        <w:rPr/>
        <w:t>.</w:t>
      </w:r>
    </w:p>
    <w:p>
      <w:pPr>
        <w:pStyle w:val="ListBullet4"/>
        <w:tabs>
          <w:tab w:val="clear" w:pos="720"/>
        </w:tabs>
        <w:rPr/>
      </w:pPr>
      <w:r>
        <w:rPr/>
        <w:t>3.</w:t>
        <w:tab/>
        <w:t>Fremme af beskatning af store virksomheder, bekæmpelse af adgang til skattely og afskaffelse af deres eksistens i EU med henblik på at øge de offentlige investeringer på prioriterede områder såsom uddannelse (studiestipendier, Erasmus) og forskning. Bekæmpelsen af skatteunddragelse på EU-plan bør også være et middel til at skaffe midler til offentligt finansierede initiativer</w:t>
      </w:r>
      <w:r>
        <w:rPr>
          <w:rStyle w:val="Ancredenotedefin"/>
          <w:rStyle w:val="Ancredenotedefin"/>
        </w:rPr>
        <w:endnoteReference w:id="76"/>
      </w:r>
      <w:r>
        <w:rPr>
          <w:rStyle w:val="Ancredenotedefin"/>
          <w:rStyle w:val="Ancredenotedefin"/>
        </w:rPr>
        <w:endnoteReference w:id="77"/>
      </w:r>
      <w:r>
        <w:rPr/>
        <w:t>.</w:t>
      </w:r>
    </w:p>
    <w:p>
      <w:pPr>
        <w:pStyle w:val="ListBullet4"/>
        <w:tabs>
          <w:tab w:val="clear" w:pos="720"/>
        </w:tabs>
        <w:rPr/>
      </w:pPr>
      <w:r>
        <w:rPr/>
        <w:t>4.</w:t>
        <w:tab/>
        <w:t>Ved at opstille EU-dækkende kriterier til bekæmpelse af forskelsbehandling på arbejdsmarkedet og ved at tilskynde private virksomheder til at ansætte personer, der generelt er hårdest ramt af forskelsbehandling (herunder unge, ældre, kvinder og personer fra mindretal), herunder gennem tilskud, og for det andet midlertidige kvoter. Arbejdsmarkedets parter bør inddrages tæt i disse bestræbelser. Forskelsbehandling uden for arbejdsmarkedet bør også forbydes ved lov, og ligestilling bør fremmes</w:t>
      </w:r>
      <w:r>
        <w:rPr>
          <w:rStyle w:val="Ancredenotedefin"/>
          <w:rStyle w:val="Ancredenotedefin"/>
        </w:rPr>
        <w:endnoteReference w:id="78"/>
      </w:r>
      <w:r>
        <w:rPr/>
        <w:t>.</w:t>
      </w:r>
    </w:p>
    <w:p>
      <w:pPr>
        <w:pStyle w:val="ListBullet4"/>
        <w:tabs>
          <w:tab w:val="clear" w:pos="720"/>
        </w:tabs>
        <w:rPr/>
      </w:pPr>
      <w:r>
        <w:rPr/>
        <w:t>5.</w:t>
        <w:tab/>
        <w:t>Sikring af oprettelse og fremme af eksistensen af både offentlige og private børnehaver til overkommelige priser samt gratis børnepasningsordninger for dem, der har behov for det</w:t>
      </w:r>
      <w:r>
        <w:rPr>
          <w:rStyle w:val="Ancredenotedefin"/>
          <w:rStyle w:val="Ancredenotedefin"/>
        </w:rPr>
        <w:endnoteReference w:id="79"/>
      </w:r>
      <w:r>
        <w:rPr/>
        <w:t>.</w:t>
      </w:r>
    </w:p>
    <w:p>
      <w:pPr>
        <w:pStyle w:val="ListBullet4"/>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Forslag: Dyrs rettigheder, landbrug</w:t>
      </w:r>
    </w:p>
    <w:p>
      <w:pPr>
        <w:pStyle w:val="P68B1DB1Normal15"/>
        <w:rPr>
          <w:b/>
          <w:b/>
        </w:rPr>
      </w:pPr>
      <w:r>
        <w:rPr/>
        <w:t>Formål: Træffe afgørende foranstaltninger til at fremme og sikre et mere miljøvenligt og klimavenligt landbrug, navnlig: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80"/>
      </w:r>
      <w:r>
        <w:rPr/>
        <w:t>:</w:t>
      </w:r>
    </w:p>
    <w:p>
      <w:pPr>
        <w:pStyle w:val="ListBullet4"/>
        <w:tabs>
          <w:tab w:val="clear" w:pos="720"/>
        </w:tabs>
        <w:rPr/>
      </w:pPr>
      <w:r>
        <w:rPr/>
        <w:t>1.</w:t>
        <w:tab/>
        <w:t>Ved at fastsætte detaljerede, målelige og tidsbestemte minimumskriterier for beskyttelse af husdyr med henblik på at sikre højere dyrevelfærdsstandarder i overensstemmelse med indførelsen af bæredygtighedsmål og på grundlag af en integreret tilgang til fødevaresystemet</w:t>
      </w:r>
      <w:r>
        <w:rPr>
          <w:rStyle w:val="Ancredenotedefin"/>
          <w:rStyle w:val="Ancredenotedefin"/>
        </w:rPr>
        <w:endnoteReference w:id="81"/>
      </w:r>
      <w:r>
        <w:rPr>
          <w:rStyle w:val="Ancredenotedefin"/>
          <w:rStyle w:val="Ancredenotedefin"/>
        </w:rPr>
        <w:endnoteReference w:id="82"/>
      </w:r>
      <w:r>
        <w:rPr/>
        <w:t>.</w:t>
      </w:r>
    </w:p>
    <w:p>
      <w:pPr>
        <w:pStyle w:val="ListBullet4"/>
        <w:tabs>
          <w:tab w:val="clear" w:pos="720"/>
        </w:tabs>
        <w:rPr/>
      </w:pPr>
      <w:r>
        <w:rPr/>
        <w:t>2.</w:t>
        <w:tab/>
        <w:t>Indførelse af økonomiske sanktioner for negative virkninger forårsaget af landbrugsaktiviteter (f.eks. drivhusgasemissioner, pesticidanvendelse, overdrevent vandforbrug, transport over lange afstande osv.) afhængigt af deres indvirkning på miljøet. Landbrugsprodukter, der importeres til Unionen, bør også vurderes på dette grundlag, herunder gennem told, for at fjerne enhver konkurrencefordel som følge af mindre strenge miljøstandarder</w:t>
      </w:r>
      <w:r>
        <w:rPr>
          <w:rStyle w:val="Ancredenotedefin"/>
          <w:rStyle w:val="Ancredenotedefin"/>
        </w:rPr>
        <w:endnoteReference w:id="83"/>
      </w:r>
      <w:r>
        <w:rPr/>
        <w:t>.</w:t>
      </w:r>
    </w:p>
    <w:p>
      <w:pPr>
        <w:pStyle w:val="ListBullet4"/>
        <w:tabs>
          <w:tab w:val="clear" w:pos="720"/>
        </w:tabs>
        <w:rPr/>
      </w:pPr>
      <w:r>
        <w:br w:type="column"/>
      </w:r>
      <w:r>
        <w:rPr/>
      </w:r>
    </w:p>
    <w:p>
      <w:pPr>
        <w:pStyle w:val="ListBullet4"/>
        <w:tabs>
          <w:tab w:val="clear" w:pos="720"/>
        </w:tabs>
        <w:rPr/>
      </w:pPr>
      <w:r>
        <w:rPr/>
        <w:t>3.</w:t>
        <w:tab/>
        <w:t>Reduktion af støtten til masselandbrugsproduktion, når den ikke bidrager til en bæredygtig omstilling, og omlægning af disse ressourcer for at støtte et miljømæssigt bæredygtigt landbrug, samtidig med at fødevareprodukternes prisoverkommelighed sikres.</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Billed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lede26"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"Digital transformation"</w:t>
      </w:r>
    </w:p>
    <w:p>
      <w:pPr>
        <w:pStyle w:val="Normal"/>
        <w:rPr/>
      </w:pPr>
      <w:r>
        <w:rPr/>
        <w:t>Europa skal være på forkant med verden og fastsætte standarder for digital omstilling, og det skal kortlægge en europæisk vej mod et etisk, menneskecentreret, gennemsigtigt og sikkert samfund. Europa skal anlægge en ambitiøs tilgang og gøre fuld brug af de muligheder, som digitaliseringen giver, samtidig med at de risici og udfordringer, som digitaliseringen medfører, håndteres. Digitalisering vedrører alle områder af vores samfund og skal systematisk tages i betragtning. I denne forbindelse er der blevet henvist til den europæiske erklæring om digitale rettigheder og principper for det digitale årti, og det er blevet foreslået at overveje en eventuel udarbejdelse af et charter om digitale rettigheder i fremtiden.</w:t>
      </w:r>
    </w:p>
    <w:p>
      <w:pPr>
        <w:pStyle w:val="Normal"/>
        <w:rPr/>
      </w:pPr>
      <w:r>
        <w:rPr/>
        <w:t>Den russiske aggression i Ukraine bekræfter kun mange elementer, der behandles i forslagene, såsom behovet for digital suverænitet, øget opmærksomhed på cyberforsvar og beskyttelse mod desinformation. Det beviser også, at nutidige konflikter har konsekvenser på det digitale område og rejser nye spørgsmål, såsom de langsigtede konsekvenser af misbrug af personoplysninger og ulovlig brug af disse data i fremtiden.</w:t>
      </w:r>
    </w:p>
    <w:p>
      <w:pPr>
        <w:pStyle w:val="Normal"/>
        <w:rPr/>
      </w:pPr>
      <w:r>
        <w:rPr/>
      </w:r>
    </w:p>
    <w:p>
      <w:pPr>
        <w:pStyle w:val="Titre3"/>
        <w:numPr>
          <w:ilvl w:val="2"/>
          <w:numId w:val="2"/>
        </w:numPr>
        <w:rPr/>
      </w:pPr>
      <w:bookmarkStart w:id="81" w:name="__RefHeading___Toc298336_1346298689"/>
      <w:bookmarkEnd w:id="81"/>
      <w:r>
        <w:rPr/>
        <w:t>31. Forslag: Adgang til digital infrastruktur</w:t>
      </w:r>
    </w:p>
    <w:p>
      <w:pPr>
        <w:pStyle w:val="Normal"/>
        <w:rPr/>
      </w:pPr>
      <w:r>
        <w:rPr/>
        <w:t>Formål: Lige adgang til internettet er en grundlæggende rettighed for alle europæiske borgere. Vi foreslår, at alle i Europa har effektiv adgang til internettet og digitale tjenester, og at suveræniteten i EU's digitale infrastruktur styrkes ved at gennemføre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86"/>
      </w:r>
      <w:r>
        <w:rPr/>
        <w:t>:</w:t>
      </w:r>
    </w:p>
    <w:p>
      <w:pPr>
        <w:pStyle w:val="ListBullet4"/>
        <w:tabs>
          <w:tab w:val="clear" w:pos="720"/>
        </w:tabs>
        <w:rPr/>
      </w:pPr>
      <w:r>
        <w:rPr/>
        <w:t>1.</w:t>
        <w:tab/>
        <w:t>Investering i innovativ europæisk digital infrastruktur af høj kvalitet (herunder udvikling af 5G og 6G i Europa) (henstilling 40 og 47 i ECP 1 og nr. 1 fra det nederlandske nationale kontaktpunkt).</w:t>
      </w:r>
    </w:p>
    <w:p>
      <w:pPr>
        <w:pStyle w:val="ListBullet4"/>
        <w:tabs>
          <w:tab w:val="clear" w:pos="720"/>
        </w:tabs>
        <w:rPr/>
      </w:pPr>
      <w:r>
        <w:rPr/>
        <w:t>2.</w:t>
        <w:tab/>
        <w:t>Sikre hurtig, økonomisk overkommelig, sikker og stabil internetadgang i hele Unionen, herunder roaming, med prioritet til etablering af internetforbindelser i "hvide/døde zoner", landdistrikter, fjerntliggende og perifere områder med henblik på at afhjælpe den digitale kløft mellem og inden for medlemsstaterne og sikre, at ingen lades i stikken (henstilling 17 og 47 i det nederlandske NCP 1 og nr. 1).</w:t>
      </w:r>
    </w:p>
    <w:p>
      <w:pPr>
        <w:pStyle w:val="ListBullet4"/>
        <w:tabs>
          <w:tab w:val="clear" w:pos="720"/>
        </w:tabs>
        <w:rPr/>
      </w:pPr>
      <w:r>
        <w:rPr/>
        <w:t>3.</w:t>
        <w:tab/>
        <w:t>Fremme udbredelsen i offentlige og private rum af digital og elektrisk infrastruktur, der muliggør anvendelse af elektriske og autonome køretøjer (forhandling i arbejdsgruppen)</w:t>
      </w:r>
      <w:r>
        <w:rPr>
          <w:rStyle w:val="Ancredenotedefin"/>
          <w:rStyle w:val="Ancredenotedefin"/>
        </w:rPr>
        <w:endnoteReference w:id="87"/>
      </w:r>
      <w:r>
        <w:rPr/>
        <w:t>.</w:t>
      </w:r>
    </w:p>
    <w:p>
      <w:pPr>
        <w:pStyle w:val="ListBullet4"/>
        <w:tabs>
          <w:tab w:val="clear" w:pos="720"/>
        </w:tabs>
        <w:rPr/>
      </w:pPr>
      <w:r>
        <w:rPr/>
        <w:t>4.</w:t>
        <w:tab/>
        <w:t>Træffe foranstaltninger til at sikre fair og åben konkurrence og forhindre monopoler, afhængighed af leverandører, datakoncentration og afhængighed af tredjelande af infrastruktur og tjenester forbedring af markederne set fra et forbrugerperspektiv (CEP-henstilling nr. 17 1).</w:t>
      </w:r>
    </w:p>
    <w:p>
      <w:pPr>
        <w:pStyle w:val="ListBullet4"/>
        <w:tabs>
          <w:tab w:val="clear" w:pos="720"/>
        </w:tabs>
        <w:rPr/>
      </w:pPr>
      <w:r>
        <w:rPr/>
        <w:t>5.</w:t>
        <w:tab/>
        <w:t>Gøre børn, familier, ældre og sårbare grupper til en prioritet med hensyn til adgang til internettet og IT-udstyr, herunder adgang til uddannelse, offentlige tjenester og sundhed (CEP 1-henstilling 17 og drøftelse i arbejdsgruppen).</w:t>
      </w:r>
    </w:p>
    <w:p>
      <w:pPr>
        <w:pStyle w:val="ListBullet4"/>
        <w:tabs>
          <w:tab w:val="clear" w:pos="720"/>
        </w:tabs>
        <w:rPr/>
      </w:pPr>
      <w:r>
        <w:rPr/>
        <w:t>6.</w:t>
        <w:tab/>
        <w:t>Forbedre den digitale adgang med fuld tilgængelighed til væsentlige offentlige og private tjenester for borgere og virksomheder, f.eks. med hensyn til administrative procedurer, og sikre adgang til og støtte i tilknytning til disse tjenester for alle, f.eks. gennem støttetjenester (forhandling i arbejdsgruppen, flersproget digital platform).</w:t>
      </w:r>
    </w:p>
    <w:p>
      <w:pPr>
        <w:pStyle w:val="ListBullet4"/>
        <w:tabs>
          <w:tab w:val="clear" w:pos="720"/>
        </w:tabs>
        <w:rPr/>
      </w:pPr>
      <w:r>
        <w:rPr/>
        <w:t>7.</w:t>
        <w:tab/>
        <w:t>Harmonisere digitale standarder af høj kvalitet og forbedre sikker datamobilitet for at fremme grænseoverskridende interoperabilitet (forhandling i arbejdsgruppen, flersproget digital platform).</w:t>
      </w:r>
    </w:p>
    <w:p>
      <w:pPr>
        <w:pStyle w:val="ListBullet4"/>
        <w:tabs>
          <w:tab w:val="clear" w:pos="720"/>
        </w:tabs>
        <w:rPr/>
      </w:pPr>
      <w:r>
        <w:rPr/>
        <w:t>8.</w:t>
        <w:tab/>
        <w:t>Reflektere over de miljømæssige virkninger af digital infrastruktur og digitalisering for at gøre den digitale omstilling bæredygtig og bevæge sig i retning af et grønt digitalt samfund (forhandling i arbejdsgruppen, flersproget digital platform).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Forslag: Digital viden og færdigheder, der styrker mennesker</w:t>
      </w:r>
    </w:p>
    <w:p>
      <w:pPr>
        <w:pStyle w:val="P68B1DB1Normal15"/>
        <w:rPr>
          <w:b/>
          <w:b/>
        </w:rPr>
      </w:pPr>
      <w:r>
        <w:rPr/>
        <w:t>Formål: Vi foreslår, at EU sikrer, at alle europæiske borgere kan drage fordel af digitaliseringen ved at sætte dem i stand til at erhverve de nødvendige digitale færdigheder og muligheder ved at gennemføre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88"/>
      </w:r>
      <w:r>
        <w:rPr/>
        <w:t>:</w:t>
      </w:r>
    </w:p>
    <w:p>
      <w:pPr>
        <w:pStyle w:val="ListBullet4"/>
        <w:tabs>
          <w:tab w:val="clear" w:pos="720"/>
        </w:tabs>
        <w:rPr/>
      </w:pPr>
      <w:r>
        <w:rPr/>
        <w:t>1.</w:t>
        <w:tab/>
        <w:t>Sikre adgang til erhvervsuddannelse og uddannelse, herunder skoler, formelle og ikkeformelle læseplaner, til livslange digitale færdigheder og viden baseret på eksisterende initiativer på europæisk plan, idet der lægges særlig vægt på inklusion af personer, der tilhører sårbare grupper og ældre, samt på at styrke børns digitale færdigheder på en måde, der er forenelig med deres korrekte udvikling og tackler digitale uligheder, herunder den digitale kløft mellem mænd og kvinder (ECP-henstilling nr. 8, henstilling 5.2 fra det italienske nationale kontaktpunkt og debat i arbejdsgruppen).</w:t>
      </w:r>
    </w:p>
    <w:p>
      <w:pPr>
        <w:pStyle w:val="ListBullet4"/>
        <w:tabs>
          <w:tab w:val="clear" w:pos="720"/>
        </w:tabs>
        <w:rPr/>
      </w:pPr>
      <w:r>
        <w:rPr/>
        <w:t>2.</w:t>
        <w:tab/>
        <w:t>Sikre en forsvarlig anvendelse af internettet ved at tilskynde medlemsstaterne til at udvikle uddannelse i digitale færdigheder for alle aldersgrupper med harmoniserede programmer og indhold på europæisk plan, såsom internetrisici og -muligheder, brugernes onlinerettigheder og netiquette (CEP 1-henstilling 47 og debat i arbejdsgruppen).</w:t>
      </w:r>
    </w:p>
    <w:p>
      <w:pPr>
        <w:pStyle w:val="ListBullet4"/>
        <w:tabs>
          <w:tab w:val="clear" w:pos="720"/>
        </w:tabs>
        <w:rPr/>
      </w:pPr>
      <w:r>
        <w:rPr/>
        <w:t>3.</w:t>
        <w:tab/>
        <w:t>Træffe alle nødvendige foranstaltninger for at sikre, at digitaliseringen af samfundet ikke udelukker ældre, og at teknologien er tilgængelig for dem ved at tilskynde til relevante programmer og initiativer, såsom kurser, der er skræddersyet til deres behov. Samtidig bør det sikres, at væsentlige tjenester også er tilgængelige personligt og på en ikkedigital måde (CEP-henstilling 34 og 47).</w:t>
      </w:r>
    </w:p>
    <w:p>
      <w:pPr>
        <w:pStyle w:val="ListBullet4"/>
        <w:tabs>
          <w:tab w:val="clear" w:pos="720"/>
        </w:tabs>
        <w:rPr/>
      </w:pPr>
      <w:r>
        <w:rPr/>
        <w:t>4.</w:t>
        <w:tab/>
        <w:t>Indføre en europæisk certificering af digitale færdigheder i skolerne, som vil forberede unge på det fremtidige arbejdsmarked (CEP-henstilling 8 1).</w:t>
      </w:r>
    </w:p>
    <w:p>
      <w:pPr>
        <w:pStyle w:val="ListBullet4"/>
        <w:tabs>
          <w:tab w:val="clear" w:pos="720"/>
        </w:tabs>
        <w:rPr/>
      </w:pPr>
      <w:r>
        <w:rPr/>
        <w:t>5.</w:t>
        <w:tab/>
        <w:t>Gennemføre koordinerede uddannelsesinitiativer på EU-plan med henblik på omskoling og opkvalificering af arbejdstagere for at forblive konkurrencedygtige på arbejdsmarkedet, navnlig i betragtning af de færdigheder og kvalifikationer, der er nødvendige i små og mellemstore virksomheder, samt med henblik på uddannelse af digitale specialister (CEP-henstilling 8 og debat i arbejdsgruppen).</w:t>
      </w:r>
    </w:p>
    <w:p>
      <w:pPr>
        <w:pStyle w:val="ListBullet4"/>
        <w:tabs>
          <w:tab w:val="clear" w:pos="720"/>
        </w:tabs>
        <w:rPr/>
      </w:pPr>
      <w:r>
        <w:rPr/>
        <w:t>6.</w:t>
        <w:tab/>
        <w:t>Offentliggøre eksisterende digitale platforme, der forbinder borgerne med arbejdsgiverne og hjælper dem med at finde job i EU, såsom Eures (CEP-henstilling nr. 8 1).</w:t>
      </w:r>
    </w:p>
    <w:p>
      <w:pPr>
        <w:pStyle w:val="ListBullet4"/>
        <w:tabs>
          <w:tab w:val="clear" w:pos="720"/>
        </w:tabs>
        <w:rPr/>
      </w:pPr>
      <w:r>
        <w:rPr/>
        <w:t>7.</w:t>
        <w:tab/>
        <w:t>Øge investeringerne og indsatsen for at stimulere digitaliseringen af uddannelse, herunder videregående uddannelse (forhandling i arbejdsgruppen/den flersprogede digitale platform).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Forslag: Et sikkert og pålideligt digitalt samfund — cybersikkerhed og desinformation</w:t>
      </w:r>
    </w:p>
    <w:p>
      <w:pPr>
        <w:pStyle w:val="P68B1DB1Normal15"/>
        <w:rPr>
          <w:b/>
          <w:b/>
        </w:rPr>
      </w:pPr>
      <w:r>
        <w:rPr/>
        <w:t>Formål: vi foreslår, at EU for at skabe et sikkert, modstandsdygtigt og pålideligt digitalt samfund bør sikre en effektiv og rettidig gennemførelse af eksisterende lovgivning og have flere beføjelser til at styrke cybersikkerheden, bekæmpe ulovligt indhold og cyberkriminalitet, håndtere og håndtere konsekvenserne af cybertrusler fra ikkestatslige aktører og autoritære stater og bekæmpe desinformation ved at gennemføre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89"/>
      </w:r>
      <w:r>
        <w:rPr/>
        <w:t>:</w:t>
      </w:r>
    </w:p>
    <w:p>
      <w:pPr>
        <w:pStyle w:val="ListBullet4"/>
        <w:tabs>
          <w:tab w:val="clear" w:pos="720"/>
        </w:tabs>
        <w:rPr/>
      </w:pPr>
      <w:r>
        <w:rPr/>
        <w:t>1.</w:t>
        <w:tab/>
        <w:t>Styrke Europols/Det Europæiske Center til Bekæmpelse af Cyberkriminalitets kapacitet med hensyn til finansielle og menneskelige ressourcer for at muliggøre en mere proaktiv tilgang til cyberkriminalitet og styrke den fælles europæiske cyberforsvarskapacitet mod omfattende angreb, herunder gennem bedre samarbejde (ECP-henstilling nr. 39, henstilling 2.6 fra det litauiske nationale kontaktpunkt og NCP 1 fra det nederlandske nationale kontaktpunkt og debat i arbejdsgruppen).</w:t>
      </w:r>
    </w:p>
    <w:p>
      <w:pPr>
        <w:pStyle w:val="ListBullet4"/>
        <w:tabs>
          <w:tab w:val="clear" w:pos="720"/>
        </w:tabs>
        <w:rPr/>
      </w:pPr>
      <w:r>
        <w:rPr/>
        <w:t>2.</w:t>
        <w:tab/>
        <w:t>Træffe de nødvendige foranstaltninger til at forberede sig på omfattende angreb og driftsforstyrrelser og for hurtigt at kunne overvinde dem, f.eks. ved at sikre, at der findes robust infrastruktur og alternative kommunikationskanaler (forhandling i arbejdsgruppen).</w:t>
      </w:r>
    </w:p>
    <w:p>
      <w:pPr>
        <w:pStyle w:val="ListBullet4"/>
        <w:tabs>
          <w:tab w:val="clear" w:pos="720"/>
        </w:tabs>
        <w:rPr/>
      </w:pPr>
      <w:r>
        <w:rPr/>
        <w:t>3.</w:t>
        <w:tab/>
        <w:t>Sikre lignende sanktioner og en hurtig og effektiv håndhævelse heraf i medlemsstaterne i tilfælde af cyberkriminalitet gennem forbedret koordinering af lokale, regionale og nationale cybersikkerhedscentre og -myndigheder (CEP-henstilling nr. 39 1).</w:t>
      </w:r>
    </w:p>
    <w:p>
      <w:pPr>
        <w:pStyle w:val="ListBullet4"/>
        <w:tabs>
          <w:tab w:val="clear" w:pos="720"/>
        </w:tabs>
        <w:rPr/>
      </w:pPr>
      <w:r>
        <w:rPr/>
        <w:t>4.</w:t>
        <w:tab/>
        <w:t>Forbedre digital viden og kritisk tænkning som et middel til at bekæmpe desinformation, onlinetrusler og hadefuld tale samt manipulerede grænseflader og fordelagtige priser (forhandling i arbejdsgruppen).</w:t>
      </w:r>
    </w:p>
    <w:p>
      <w:pPr>
        <w:pStyle w:val="ListBullet4"/>
        <w:tabs>
          <w:tab w:val="clear" w:pos="720"/>
        </w:tabs>
        <w:rPr/>
      </w:pPr>
      <w:r>
        <w:rPr/>
        <w:t>5.</w:t>
        <w:tab/>
        <w:t>Bekæmpelse af desinformation ved at vedtage lovgivning og retningslinjer, der sikrer, at onlineplatforme og sociale medievirksomheder afhjælper deres sårbarheder i forbindelse med desinformation og anvender gennemsigtighedsforanstaltninger, herunder f.eks. algoritmer baseret på kunstig intelligens, der kan fremhæve pålideligheden af oplysninger på sociale medier og nye medier, ved at give brugeren verificerede informationskilder. Når algoritmer anvendes, bør den endelige kontrol i beslutningsprocesserne være menneskets ansvar (CEP 1 anbefaling 46 og diskussion i arbejdsgruppen).</w:t>
      </w:r>
    </w:p>
    <w:p>
      <w:pPr>
        <w:pStyle w:val="ListBullet4"/>
        <w:tabs>
          <w:tab w:val="clear" w:pos="720"/>
        </w:tabs>
        <w:rPr/>
      </w:pPr>
      <w:r>
        <w:rPr/>
        <w:t>6.</w:t>
        <w:tab/>
        <w:t>Støtte digitale platforme, der bidrager til mediepluralisme og tilvejebringer ressourcer og initiativer til at vurdere pålideligheden og upartiskheden af oplysninger fra traditionelle medier (tv, print, radio) og andre medier under fuld overholdelse af princippet om mediefrihed og for at give borgerne oplysninger om informationens kvalitet (CEP-henstilling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Forslag: Et sikkert og pålideligt digitalt samfund — databeskyttelse</w:t>
      </w:r>
    </w:p>
    <w:p>
      <w:pPr>
        <w:pStyle w:val="P68B1DB1Normal15"/>
        <w:rPr>
          <w:b/>
          <w:b/>
        </w:rPr>
      </w:pPr>
      <w:r>
        <w:rPr/>
        <w:t>Formål: Vi støtter folks datasuverænitet, bedre bevidsthed og mere effektiv gennemførelse og håndhævelse af eksisterende databeskyttelsesregler (GDPR) for at styrke folks kontrol over deres data og begrænse misbrug af data ved at gennemføre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90"/>
      </w:r>
      <w:r>
        <w:rPr/>
        <w:t>:</w:t>
      </w:r>
    </w:p>
    <w:p>
      <w:pPr>
        <w:pStyle w:val="ListBullet4"/>
        <w:tabs>
          <w:tab w:val="clear" w:pos="720"/>
        </w:tabs>
        <w:rPr/>
      </w:pPr>
      <w:r>
        <w:rPr/>
        <w:t>1.</w:t>
        <w:tab/>
        <w:t>Bedre at forklare databeskyttelsesreglerne, øge gennemsigtigheden og forbedre kommunikationen ved at udarbejde retningslinjer for tekster om informeret samtykke, der anvender et enkelt, klart og forståeligt sprog, herunder en mere visuel præsentation for at give samtykke til brugen af data, der ledsager dem med en informationskampagne, samt sikre, at de dataansvarlige har de nødvendige færdigheder og rådgiver dem, der har behov for bistand (anbefaling 42 og 45 i det nederlandske NCP 1 og nr. 2).</w:t>
      </w:r>
    </w:p>
    <w:p>
      <w:pPr>
        <w:pStyle w:val="ListBullet4"/>
        <w:tabs>
          <w:tab w:val="clear" w:pos="720"/>
        </w:tabs>
        <w:rPr/>
      </w:pPr>
      <w:r>
        <w:rPr/>
        <w:t>2.</w:t>
        <w:tab/>
        <w:t>Sikre håndhævelse af det eksisterende forbud mod misligholdelse af samtykke til videreanvendelse eller videresalg af data (CEP-henstilling nr. 42 1).</w:t>
      </w:r>
    </w:p>
    <w:p>
      <w:pPr>
        <w:pStyle w:val="ListBullet4"/>
        <w:tabs>
          <w:tab w:val="clear" w:pos="720"/>
        </w:tabs>
        <w:rPr/>
      </w:pPr>
      <w:r>
        <w:rPr/>
        <w:t>3.</w:t>
        <w:tab/>
        <w:t>Sikre, at anmodninger fra brugerne om endelig sletning af data imødekommes inden for en bestemt tidsramme (CEP-henstilling nr. 42).</w:t>
      </w:r>
    </w:p>
    <w:p>
      <w:pPr>
        <w:pStyle w:val="ListBullet4"/>
        <w:tabs>
          <w:tab w:val="clear" w:pos="720"/>
        </w:tabs>
        <w:rPr/>
      </w:pPr>
      <w:r>
        <w:rPr/>
        <w:t>4.</w:t>
        <w:tab/>
        <w:t>Give brugerne klare og præcise oplysninger om, hvordan dataene vil blive anvendt og af hvem (CEP-anbefaling nr. 42 1)</w:t>
      </w:r>
    </w:p>
    <w:p>
      <w:pPr>
        <w:pStyle w:val="ListBullet4"/>
        <w:tabs>
          <w:tab w:val="clear" w:pos="720"/>
        </w:tabs>
        <w:rPr/>
      </w:pPr>
      <w:r>
        <w:rPr/>
        <w:t>5.</w:t>
        <w:tab/>
        <w:t>Sikre, at ikke-europæiske virksomheder overholder de europæiske databeskyttelsesregler (CEP 1-anbefaling 42 og 43).</w:t>
      </w:r>
    </w:p>
    <w:p>
      <w:pPr>
        <w:pStyle w:val="ListBullet4"/>
        <w:tabs>
          <w:tab w:val="clear" w:pos="720"/>
        </w:tabs>
        <w:rPr/>
      </w:pPr>
      <w:r>
        <w:rPr/>
        <w:t>6.</w:t>
        <w:tab/>
        <w:t>Tilskyndelse til oprettelse af en certificeringsordning på EU-plan, der attesterer overholdelse af databeskyttelsesforordningen på en tilgængelig, klar og enkel måde, er synlig på websteder og platforme og bør udstedes af en uafhængig certifikator på europæisk plan. Dette bør ikke udgøre en uforholdsmæssig stor byrde for små og mellemstore virksomheder (CEP 1-henstilling 44 og drøftelse i arbejdsgruppen).</w:t>
      </w:r>
    </w:p>
    <w:p>
      <w:pPr>
        <w:pStyle w:val="ListBullet4"/>
        <w:tabs>
          <w:tab w:val="clear" w:pos="720"/>
        </w:tabs>
        <w:rPr/>
      </w:pPr>
      <w:r>
        <w:rPr/>
        <w:t>7.</w:t>
        <w:tab/>
        <w:t>Sikre effektiv og rettidig bistand til borgere, der har svært ved at gøre indsigelse mod behandlingen af deres data eller tilbagekalde deres samtykke. Det er derfor nødvendigt på europæisk plan bedre at definere påtrængende adfærd og udvikle vejledende principper og mekanismer, der gør det muligt for borgerne at modsætte sig behandlingen af deres data og opnå deres sletning samt at identificere og sanktionere svindlere (CEP-henstilling 43 og debat i arbejdsgruppen).</w:t>
      </w:r>
    </w:p>
    <w:p>
      <w:pPr>
        <w:pStyle w:val="ListBullet4"/>
        <w:tabs>
          <w:tab w:val="clear" w:pos="720"/>
        </w:tabs>
        <w:rPr/>
      </w:pPr>
      <w:r>
        <w:rPr/>
        <w:t>8.</w:t>
        <w:tab/>
        <w:t>Fastsætte sanktioner, herunder en bøde, der står i forhold til virksomhedernes omsætning og begrænsninger i deres aktiviteter, f.eks. midlertidige eller endelige forbud mod uønsket databehandling, og bistå Den Europæiske Tilsynsførende for Databeskyttelse og nationale agenturer med at sikre deres gennemførelse (CEP 1-henstilling 42 og 43 og debat i arbejdsgruppen).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Forslag: Digital innovation med henblik på at styrke den sociale og bæredygtige økonomi</w:t>
      </w:r>
    </w:p>
    <w:p>
      <w:pPr>
        <w:pStyle w:val="Normal"/>
        <w:rPr/>
      </w:pPr>
      <w:r>
        <w:rPr/>
        <w:t>Formål: Vi foreslår, at EU fremmer digitaliseringsforanstaltninger, der styrker økonomien og det indre marked på en retfærdig og bæredygtig måde, gør Europa mere konkurrencedygtigt inden for teknologi og innovation, forbedrer det digitale indre marked for virksomheder af alle størrelser og sætter Europa i spidsen for den digitale omstilling og menneskecentreret digitalisering ved at anvende følgende foranstaltninger: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91"/>
      </w:r>
      <w:r>
        <w:rPr/>
        <w:t>:</w:t>
      </w:r>
    </w:p>
    <w:p>
      <w:pPr>
        <w:pStyle w:val="ListBullet4"/>
        <w:tabs>
          <w:tab w:val="clear" w:pos="720"/>
        </w:tabs>
        <w:rPr/>
      </w:pPr>
      <w:r>
        <w:rPr/>
        <w:t>1.</w:t>
        <w:tab/>
        <w:t>Indføre lovgivning eller styrke eksisterende lovgivning om "mobilt arbejde" (menneskecentreret) under hensyntagen til dens indvirkning på arbejdstagernes fysiske og mentale sundhed, f.eks. ved at sikre retten til at være offline. En "menneskecentreret" tilgang forudsætter princippet om "menneskelig kontrol" (PCE 1-henstilling nr. 7 og debat i arbejdsgruppen)</w:t>
      </w:r>
      <w:r>
        <w:rPr>
          <w:rStyle w:val="Ancredenotedefin"/>
          <w:rStyle w:val="Ancredenotedefin"/>
        </w:rPr>
        <w:endnoteReference w:id="92"/>
      </w:r>
      <w:r>
        <w:rPr/>
        <w:t>.</w:t>
      </w:r>
    </w:p>
    <w:p>
      <w:pPr>
        <w:pStyle w:val="ListBullet4"/>
        <w:tabs>
          <w:tab w:val="clear" w:pos="720"/>
        </w:tabs>
        <w:rPr/>
      </w:pPr>
      <w:r>
        <w:rPr/>
        <w:t>2.</w:t>
        <w:tab/>
        <w:t>Lovgivning på EU-plan for at tilskynde virksomhederne til at være socialt ansvarlige og opretholde "mobile job" af høj kvalitet i Europa og dermed undgå, at disse job flyttes til lande med lavere omkostninger. Incitamenter kan være af finansiel karakter og/eller påvirke virksomhedernes image og bør tage hensyn til internationalt anerkendte miljømæssige, sociale og ledelsesmæssige kriterier. Unionen bør med henblik herpå nedsætte en arbejdsgruppe bestående af eksperter fra alle interesserede parter, der skal gennemgå og styrke denne lovgivning (CEP-henstilling 7).</w:t>
      </w:r>
    </w:p>
    <w:p>
      <w:pPr>
        <w:pStyle w:val="ListBullet4"/>
        <w:tabs>
          <w:tab w:val="clear" w:pos="720"/>
        </w:tabs>
        <w:rPr/>
      </w:pPr>
      <w:r>
        <w:rPr/>
        <w:t>3.</w:t>
        <w:tab/>
        <w:t>Sikre menneskelig kontrol med beslutningsprocesser ved hjælp af kunstig intelligens på arbejdspladsen og gennemsigtighed i de anvendte algoritmer tage hensyn til de skadelige virkninger af grænseløs digital overvågning på arbejdspladsen at informere og høre arbejdstagerne inden indførelsen af digitale teknologier, der har indvirkning på arbejdsvilkårene sikre, at nye former for beskæftigelse, f.eks. platformsarbejde, er i overensstemmelse med arbejdstagernes rettigheder og sikrer passende arbejdsvilkår (forhandling i arbejdsgruppen).</w:t>
      </w:r>
    </w:p>
    <w:p>
      <w:pPr>
        <w:pStyle w:val="ListBullet4"/>
        <w:tabs>
          <w:tab w:val="clear" w:pos="720"/>
        </w:tabs>
        <w:rPr/>
      </w:pPr>
      <w:r>
        <w:rPr/>
        <w:t>4.</w:t>
        <w:tab/>
        <w:t>Tage initiativer til støtte for fjernarbejde, f.eks. ved at skabe kontorlokaler med hurtig og pålidelig internetadgang, tilrettelægge digital uddannelse og tilvejebringe ressourcer til ergonomisk udstyr til hjemmearbejde (CEP 1 anbefaling 17 og diskussion i arbejdsgruppen).</w:t>
      </w:r>
    </w:p>
    <w:p>
      <w:pPr>
        <w:pStyle w:val="ListBullet4"/>
        <w:tabs>
          <w:tab w:val="clear" w:pos="720"/>
        </w:tabs>
        <w:rPr/>
      </w:pPr>
      <w:r>
        <w:rPr/>
        <w:t>5.</w:t>
        <w:tab/>
        <w:t>Oprette en offentligt tilgængelig digital resultattavle, som skaber et rangordningssystem, der angiver og sammenligner det nuværende niveau for digitalisering af EU-virksomheder (tyske nationale kontaktpunkter).</w:t>
      </w:r>
    </w:p>
    <w:p>
      <w:pPr>
        <w:pStyle w:val="ListBullet4"/>
        <w:tabs>
          <w:tab w:val="clear" w:pos="720"/>
        </w:tabs>
        <w:rPr/>
      </w:pPr>
      <w:r>
        <w:rPr/>
        <w:t>6.</w:t>
        <w:tab/>
        <w:t>Opbygning af en stærk og konkurrencedygtig digital økonomi og deling af fordelene ved digital omstilling ligeligt i hele Europa ved at fokusere på teknologi og innovation som drivkræfter for vækst, tilskynde til banebrydende banebrydende forskning samt skabe plads til innovationsøkosystemer i alle regioner ved at forbedre driftsmiljøet for SMV'er og nystartede virksomheder og fair adgang til finansiering og fjerne juridiske eller andre byrder, der hindrer grænseoverskridende aktiviteter (den italienske NCP-henstilling 1.3, arbejdsgruppens debat og flersproget digital platform). Opbygning af en datainfrastruktur baseret på europæiske værdier anvende principperne om "digital prioritet" og "enkelt overførsel af oplysninger" og lette digital og sikker adgang til data for innovation og virksomheder fremme digitaliseringen af offentlige tjenester (forhandling i arbejdsgruppen og flersproget digital platform). Udnytte potentialet i pålidelig og ansvarlig brug af kunstig intelligens fuldt ud og udnytte potentialet i blockchain- og cloudtjenesteteknologien ved at definere sikkerhedsforanstaltninger og standarder, der sikrer gennemsigtighed og interoperabilitet, skaber tillid, letter brugen og eliminerer diskriminerende eller forudindtagede algoritmer (forhandling i arbejdsgruppen og flersproget digital platform).</w:t>
      </w:r>
    </w:p>
    <w:p>
      <w:pPr>
        <w:pStyle w:val="ListBullet4"/>
        <w:tabs>
          <w:tab w:val="clear" w:pos="720"/>
        </w:tabs>
        <w:rPr/>
      </w:pPr>
      <w:r>
        <w:rPr/>
        <w:t>9.</w:t>
        <w:tab/>
        <w:t>Fremme fri software, dens anvendelse inden for uddannelse og fri adgang til offentligt finansieret forskning og software (forhandling i arbejdsgruppen og flersproget digital platform).</w:t>
      </w:r>
    </w:p>
    <w:p>
      <w:pPr>
        <w:pStyle w:val="ListBullet4"/>
        <w:tabs>
          <w:tab w:val="clear" w:pos="720"/>
        </w:tabs>
        <w:rPr/>
      </w:pPr>
      <w:r>
        <w:rPr/>
        <w:t>10.</w:t>
        <w:tab/>
        <w:t>Indføre en fælles europæisk digital identitet for at lette grænseoverskridende digitale transaktioner og tjenester gennem en ramme af europæiske standarder og vejledende principper, der giver de nødvendige garantier (forhandling i arbejdsgruppen og flersproget digital platform).</w:t>
      </w:r>
    </w:p>
    <w:p>
      <w:pPr>
        <w:pStyle w:val="ListBullet4"/>
        <w:tabs>
          <w:tab w:val="clear" w:pos="720"/>
        </w:tabs>
        <w:rPr/>
      </w:pPr>
      <w:r>
        <w:rPr/>
        <w:t>11.</w:t>
        <w:tab/>
        <w:t>Vurdere, om det vil være muligt at digitalisere oplysninger om forbruger- og fødevarer ved hjælp af en standardiseret europæisk applikation, der vil give mere brugervenlig adgang til oplysninger og give yderligere produkt- og produktionskædeoplysninger (CEP-henstilling nr.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Billeder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leder27"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"Det europæiske demokrati"</w:t>
      </w:r>
    </w:p>
    <w:p>
      <w:pPr>
        <w:pStyle w:val="Titre3"/>
        <w:numPr>
          <w:ilvl w:val="2"/>
          <w:numId w:val="2"/>
        </w:numPr>
        <w:rPr/>
      </w:pPr>
      <w:bookmarkStart w:id="87" w:name="__RefHeading___Toc298348_1346298689"/>
      <w:bookmarkEnd w:id="87"/>
      <w:r>
        <w:rPr/>
        <w:t>36. Forslag: Information til borgere, deltagelse og unge</w:t>
      </w:r>
    </w:p>
    <w:p>
      <w:pPr>
        <w:pStyle w:val="P68B1DB1Normal15"/>
        <w:rPr>
          <w:b/>
          <w:b/>
        </w:rPr>
      </w:pPr>
      <w:r>
        <w:rPr/>
        <w:t>Formål: Øge borgernes deltagelse og inddragelse af unge i demokratiet på EU-plan med henblik på at skabe en "fuldstændig borgeroplevelse" for europæerne sikre, at der tages hensyn til deres synspunkter, også uden for valgperioderne, og at deres deltagelse er reel. Det er derfor nødvendigt at afgøre, hvilken form for deltagelse der er mest hensigtsmæssig for hvert tema, f.eks.: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pPr>
      <w:r>
        <w:rPr/>
        <w:t>1.</w:t>
        <w:tab/>
        <w:t>Udvikle nye mekanismer for borgernes deltagelse og gøre eksisterende mekanismer mere effektive i overensstemmelse med gældende EU-ret, samtidig med at kommunikationen om alle disse mekanismer forbedres. Ideelt set bør alle oplysninger om deltagelseslokaler sammenfattes</w:t>
      </w:r>
      <w:r>
        <w:rPr>
          <w:rStyle w:val="Ancredenotedefin"/>
          <w:rStyle w:val="Ancredenotedefin"/>
        </w:rPr>
        <w:endnoteReference w:id="93"/>
      </w:r>
      <w:r>
        <w:rPr/>
        <w:t xml:space="preserve"> på et fuldt officielt websted med forskellige funktioner</w:t>
      </w:r>
      <w:r>
        <w:rPr>
          <w:rStyle w:val="Ancredenotedefin"/>
          <w:rStyle w:val="Ancredenotedefin"/>
        </w:rPr>
        <w:endnoteReference w:id="94"/>
      </w:r>
      <w:r>
        <w:rPr/>
        <w:t>. Der bør udvikles en mekanisme til overvågning af politiske og lovgivningsmæssige initiativer som følge af deltagelsesdemokratiprocesser</w:t>
      </w:r>
      <w:r>
        <w:rPr>
          <w:rStyle w:val="Ancredenotedefin"/>
          <w:rStyle w:val="Ancredenotedefin"/>
        </w:rPr>
        <w:endnoteReference w:id="95"/>
      </w:r>
      <w:r>
        <w:rPr/>
        <w:t>. Deltagelsesmekanismerne bør alle henvende sig til hele befolkningen for at nå ud til en bred vifte af målgrupper. Der bør lægges vægt på moderatorernes indhold, emner og færdigheder. Disse mekanismer bør baseres på en analyse af virkningerne af de pågældende foranstaltninger, navnlig for kvinder og sårbare personer</w:t>
      </w:r>
      <w:r>
        <w:rPr>
          <w:rStyle w:val="Ancredenotedefin"/>
          <w:rStyle w:val="Ancredenotedefin"/>
        </w:rPr>
        <w:endnoteReference w:id="96"/>
      </w:r>
      <w:r>
        <w:rPr/>
        <w:t>.</w:t>
      </w:r>
    </w:p>
    <w:p>
      <w:pPr>
        <w:pStyle w:val="ListBullet4"/>
        <w:tabs>
          <w:tab w:val="clear" w:pos="720"/>
        </w:tabs>
        <w:rPr/>
      </w:pPr>
      <w:r>
        <w:rPr/>
        <w:t>2.</w:t>
        <w:tab/>
        <w:t>Ved at øge hyppigheden af online- og offline-interaktioner mellem EU-institutionerne og borgerne på forskellige måder for at sikre, at de kan deltage i den europæiske politiske beslutningsproces, give udtryk for deres synspunkter og indhente feedback og udarbejde et charter om EU-tjenestemænds deltagelse</w:t>
      </w:r>
      <w:r>
        <w:rPr>
          <w:rStyle w:val="Ancredenotedefin"/>
          <w:rStyle w:val="Ancredenotedefin"/>
        </w:rPr>
        <w:endnoteReference w:id="97"/>
      </w:r>
      <w:r>
        <w:rPr/>
        <w:t>.</w:t>
      </w:r>
    </w:p>
    <w:p>
      <w:pPr>
        <w:pStyle w:val="ListBullet4"/>
        <w:tabs>
          <w:tab w:val="clear" w:pos="720"/>
        </w:tabs>
        <w:rPr/>
      </w:pPr>
      <w:r>
        <w:rPr/>
        <w:t>3.</w:t>
        <w:tab/>
        <w:t>Foreslå en brugervenlig digital platform, hvor borgerne — og navnlig de unge — kan dele deres idéer, stille spørgsmål til repræsentanter for EU-institutionerne og give udtryk for deres synspunkter om vigtige europæiske spørgsmål samt lovgivningsforslag. Der bør også fastsættes bestemmelser om muligheden for at tilrettelægge onlineundersøgelser på denne platform</w:t>
      </w:r>
      <w:r>
        <w:rPr>
          <w:rStyle w:val="Ancredenotedefin"/>
          <w:rStyle w:val="Ancredenotedefin"/>
        </w:rPr>
        <w:endnoteReference w:id="98"/>
      </w:r>
      <w:r>
        <w:rPr/>
        <w:t>.</w:t>
      </w:r>
    </w:p>
    <w:p>
      <w:pPr>
        <w:pStyle w:val="ListBullet4"/>
        <w:tabs>
          <w:tab w:val="clear" w:pos="720"/>
        </w:tabs>
        <w:rPr/>
      </w:pPr>
      <w:r>
        <w:rPr/>
        <w:t>4.</w:t>
        <w:tab/>
        <w:t>Forbedring og harmonisering af eksisterende mekanismer på europæisk, nationalt og lokalt plan for at gøre dem sikrere, mere tilgængelige, mere synlige og mere inklusive</w:t>
      </w:r>
      <w:r>
        <w:rPr>
          <w:rStyle w:val="Ancredenotedefin"/>
          <w:rStyle w:val="Ancredenotedefin"/>
        </w:rPr>
        <w:endnoteReference w:id="99"/>
      </w:r>
      <w:r>
        <w:rPr/>
        <w:t>.</w:t>
      </w:r>
    </w:p>
    <w:p>
      <w:pPr>
        <w:pStyle w:val="ListBullet4"/>
        <w:tabs>
          <w:tab w:val="clear" w:pos="720"/>
        </w:tabs>
        <w:rPr/>
      </w:pPr>
      <w:r>
        <w:rPr/>
        <w:t>5.</w:t>
        <w:tab/>
        <w:t>Inddragelse af civilsamfundsorganisationer, regionale og lokale myndigheder og eksisterende organer som f.eks. Det Europæiske Økonomiske og Sociale Udvalg (EØSU) og Regionsudvalget</w:t>
      </w:r>
      <w:r>
        <w:rPr>
          <w:rStyle w:val="Ancredenotedefin"/>
          <w:rStyle w:val="Ancredenotedefin"/>
        </w:rPr>
        <w:endnoteReference w:id="100"/>
      </w:r>
      <w:r>
        <w:rPr/>
        <w:t>(RU) i borgerdeltagelsesprocesser</w:t>
      </w:r>
      <w:r>
        <w:rPr>
          <w:rStyle w:val="Ancredenotedefin"/>
          <w:rStyle w:val="Ancredenotedefin"/>
        </w:rPr>
        <w:endnoteReference w:id="101"/>
      </w:r>
      <w:r>
        <w:rPr/>
        <w:t>.</w:t>
      </w:r>
    </w:p>
    <w:p>
      <w:pPr>
        <w:pStyle w:val="ListBullet4"/>
        <w:tabs>
          <w:tab w:val="clear" w:pos="720"/>
        </w:tabs>
        <w:rPr/>
      </w:pPr>
      <w:r>
        <w:rPr/>
        <w:t>6.</w:t>
        <w:tab/>
        <w:t>Ved at skabe et system med lokale EU-rådgivere for at bringe de europæiske institutioner tættere på de europæiske borgere</w:t>
      </w:r>
      <w:r>
        <w:rPr>
          <w:rStyle w:val="Ancredenotedefin"/>
          <w:rStyle w:val="Ancredenotedefin"/>
        </w:rPr>
        <w:endnoteReference w:id="102"/>
      </w:r>
      <w:r>
        <w:rPr/>
        <w:t>.</w:t>
      </w:r>
    </w:p>
    <w:p>
      <w:pPr>
        <w:pStyle w:val="ListBullet4"/>
        <w:tabs>
          <w:tab w:val="clear" w:pos="720"/>
        </w:tabs>
        <w:rPr/>
      </w:pPr>
      <w:r>
        <w:rPr/>
        <w:t>7.</w:t>
        <w:tab/>
        <w:t>Regelmæssigt at samle borgerforsamlinger på et juridisk bindende grundlag af EU-retten. Deltagerne vil blive trukket ved lodtrækning efter repræsentativitetskriterier, og deltagelse vil blive kraftigt opmuntret. Om nødvendigt vil eksperterne give medlemmerne af forsamlingen oplysninger, der er relevante for deres drøftelser. Hvis institutionerne ikke tager hensyn til konklusionerne af disse møder, skal de begrunde deres afgørelse</w:t>
      </w:r>
      <w:r>
        <w:rPr>
          <w:rStyle w:val="Ancredenotedefin"/>
          <w:rStyle w:val="Ancredenotedefin"/>
        </w:rPr>
        <w:endnoteReference w:id="103"/>
      </w:r>
      <w:r>
        <w:rPr/>
        <w:t>. Det er vigtigt, at folkevalgte repræsentanter hører borgerne og civilsamfundet, inden de træffer politiske beslutninger og tager hensyn til deres bidrag. Den Europæiske Union bygger på repræsentativt demokrati: ved valget til Europa-Parlamentet sender borgerne et klart budskab til deres repræsentanter og taler indirekte om EU's politikker</w:t>
      </w:r>
      <w:r>
        <w:rPr>
          <w:rStyle w:val="Ancredenotedefin"/>
          <w:rStyle w:val="Ancredenotedefin"/>
        </w:rPr>
        <w:endnoteReference w:id="104"/>
      </w:r>
      <w:r>
        <w:rPr/>
        <w:t>.</w:t>
      </w:r>
    </w:p>
    <w:p>
      <w:pPr>
        <w:pStyle w:val="ListBullet4"/>
        <w:tabs>
          <w:tab w:val="clear" w:pos="720"/>
        </w:tabs>
        <w:rPr/>
      </w:pPr>
      <w:r>
        <w:rPr/>
        <w:t>8.</w:t>
        <w:tab/>
        <w:t>At yde øget finansiel eller anden strukturel støtte til civilsamfundet, navnlig unge, og lokale myndigheder med henblik på at oprette lokale</w:t>
      </w:r>
      <w:r>
        <w:rPr>
          <w:rStyle w:val="Ancredenotedefin"/>
          <w:rStyle w:val="Ancredenotedefin"/>
        </w:rPr>
        <w:endnoteReference w:id="105"/>
      </w:r>
      <w:r>
        <w:rPr/>
        <w:t>ungdomsråd inddragelsen af civilsamfundet og arbejdsmarkedets parter kunne være en fuldstændig søjle i den europæiske handlingsplan for demokrati, og der kunne afsættes en specifik strategi til civilsamfundet</w:t>
      </w:r>
      <w:r>
        <w:rPr>
          <w:rStyle w:val="Ancredenotedefin"/>
          <w:rStyle w:val="Ancredenotedefin"/>
        </w:rPr>
        <w:endnoteReference w:id="106"/>
      </w:r>
      <w:r>
        <w:rPr/>
        <w:t>.</w:t>
      </w:r>
    </w:p>
    <w:p>
      <w:pPr>
        <w:pStyle w:val="ListBullet4"/>
        <w:tabs>
          <w:tab w:val="clear" w:pos="720"/>
        </w:tabs>
        <w:rPr/>
      </w:pPr>
      <w:r>
        <w:rPr/>
        <w:t>9.</w:t>
        <w:tab/>
        <w:t>Indførelse af en "ungdomskontrol" af lovgivningen, som vil omfatte en konsekvensanalyse og en mekanisme til høring af ungdomsrepræsentanter, hvor lovgivningen sandsynligvis vil få indvirkning på de unge</w:t>
      </w:r>
      <w:r>
        <w:rPr>
          <w:rStyle w:val="Ancredenotedefin"/>
          <w:rStyle w:val="Ancredenotedefin"/>
        </w:rPr>
        <w:endnoteReference w:id="107"/>
      </w:r>
      <w:r>
        <w:rPr/>
        <w:t>.</w:t>
      </w:r>
    </w:p>
    <w:p>
      <w:pPr>
        <w:pStyle w:val="ListBullet4"/>
        <w:tabs>
          <w:tab w:val="clear" w:pos="720"/>
        </w:tabs>
        <w:rPr/>
      </w:pPr>
      <w:r>
        <w:br w:type="column"/>
      </w:r>
      <w:r>
        <w:rPr/>
      </w:r>
    </w:p>
    <w:p>
      <w:pPr>
        <w:pStyle w:val="ListBullet4"/>
        <w:tabs>
          <w:tab w:val="clear" w:pos="720"/>
        </w:tabs>
        <w:rPr/>
      </w:pPr>
      <w:r>
        <w:rPr/>
        <w:t>10.</w:t>
        <w:tab/>
        <w:t>Ved at styrke samarbejdet mellem EU-lovgivere og civilsamfundsorganisationer med henblik på at udnytte deres forbindelser mellem beslutningstagere og borgere</w:t>
      </w:r>
      <w:r>
        <w:rPr>
          <w:rStyle w:val="Ancredenotedefin"/>
          <w:rStyle w:val="Ancredenotedefin"/>
        </w:rPr>
        <w:endnoteReference w:id="108"/>
      </w:r>
      <w:r>
        <w:rPr/>
        <w:t>.</w:t>
      </w:r>
    </w:p>
    <w:p>
      <w:pPr>
        <w:pStyle w:val="ListBullet4"/>
        <w:tabs>
          <w:tab w:val="clear" w:pos="720"/>
        </w:tabs>
        <w:rPr/>
      </w:pPr>
      <w:r>
        <w:rPr/>
        <w:t>11.</w:t>
        <w:tab/>
        <w:t>Sammenfatning af punkterne om borgernes deltagelse i et europæisk charter for borgernes bidrag til europæiske anliggender.</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Forslag: Information til borgere, deltagelse og unge (a)</w:t>
      </w:r>
    </w:p>
    <w:p>
      <w:pPr>
        <w:pStyle w:val="P68B1DB1Normal15"/>
        <w:rPr>
          <w:b/>
          <w:b/>
        </w:rPr>
      </w:pPr>
      <w:r>
        <w:rPr/>
        <w:t>Formål: At gøre Den Europæiske Union mere forståelig og tilgængelig styrkelse af den fælles europæiske identitet, navnlig: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pPr>
      <w:r>
        <w:rPr/>
        <w:t>1.</w:t>
        <w:tab/>
      </w:r>
      <w:r>
        <w:rPr>
          <w:rStyle w:val="Ancredenotedefin"/>
          <w:rStyle w:val="Ancredenotedefin"/>
          <w:b/>
        </w:rPr>
        <w:endnoteReference w:id="109"/>
      </w:r>
      <w:r>
        <w:rPr/>
        <w:t>Sikring af et minimum af uddannelse i Den Europæiske Union, navnlig dens demokratiske processer, uden at forsømme historien om europæisk integration og europæisk medborgerskab. Mennesker i alle aldre bør kunne drage fordel af disse programmer, som bør udformes på en attraktiv og alderssvarende måde, såsom udvikling af specifikke uddannelsesprogrammer og materialer til børn, skoler</w:t>
      </w:r>
      <w:r>
        <w:rPr>
          <w:rStyle w:val="Ancredenotedefin"/>
          <w:rStyle w:val="Ancredenotedefin"/>
        </w:rPr>
        <w:endnoteReference w:id="110"/>
      </w:r>
      <w:r>
        <w:rPr/>
        <w:t xml:space="preserve"> og civilsamfundsorganisationer, der er aktive inden for ikke-formel uddannelse</w:t>
      </w:r>
      <w:r>
        <w:rPr>
          <w:rStyle w:val="Ancredenotedefin"/>
          <w:rStyle w:val="Ancredenotedefin"/>
        </w:rPr>
        <w:endnoteReference w:id="111"/>
      </w:r>
      <w:r>
        <w:rPr/>
        <w:t>.</w:t>
      </w:r>
    </w:p>
    <w:p>
      <w:pPr>
        <w:pStyle w:val="ListBullet4"/>
        <w:tabs>
          <w:tab w:val="clear" w:pos="720"/>
        </w:tabs>
        <w:rPr/>
      </w:pPr>
      <w:r>
        <w:rPr/>
        <w:t>2.</w:t>
        <w:tab/>
        <w:t>Sikre, at alle borgere har let adgang til pålidelige oplysninger om Unionen. EU-institutionerne bør anvende et mere tilgængeligt sprog og undgå brug af bureaukratisk jargon i deres kommunikation, samtidig med at kvaliteten og det tekniske niveau af de givne oplysninger opretholdes, og oplysningerne tilpasses de forskellige kommunikationskanaler og modtagerprofiler.</w:t>
      </w:r>
      <w:r>
        <w:rPr>
          <w:rStyle w:val="Ancredenotedefin"/>
          <w:rStyle w:val="Ancredenotedefin"/>
        </w:rPr>
        <w:endnoteReference w:id="112"/>
      </w:r>
      <w:r>
        <w:rPr/>
        <w:t xml:space="preserve"> De bør f.eks. overveje at oprette en mobilapplikation med oplysninger om EU's politikker på et klart sprog</w:t>
      </w:r>
      <w:r>
        <w:rPr>
          <w:rStyle w:val="Ancredenotedefin"/>
          <w:rStyle w:val="Ancredenotedefin"/>
        </w:rPr>
        <w:endnoteReference w:id="113"/>
      </w:r>
      <w:r>
        <w:rPr/>
        <w:t>. Der bør gøres en særlig indsats for at nå ud til unge på sociale netværk, men også gennem ungdomsbevægelser og forskellige "ambassadører" (organisationer og enkeltpersoner), der forklarer</w:t>
      </w:r>
      <w:r>
        <w:rPr>
          <w:rStyle w:val="Ancredenotedefin"/>
          <w:rStyle w:val="Ancredenotedefin"/>
        </w:rPr>
        <w:endnoteReference w:id="114"/>
      </w:r>
      <w:r>
        <w:rPr/>
        <w:t xml:space="preserve"> det europæiske projekt</w:t>
      </w:r>
      <w:r>
        <w:rPr>
          <w:rStyle w:val="Ancredenotedefin"/>
          <w:rStyle w:val="Ancredenotedefin"/>
        </w:rPr>
        <w:endnoteReference w:id="115"/>
      </w:r>
      <w:r>
        <w:rPr/>
        <w:t>.</w:t>
      </w:r>
    </w:p>
    <w:p>
      <w:pPr>
        <w:pStyle w:val="ListBullet4"/>
        <w:tabs>
          <w:tab w:val="clear" w:pos="720"/>
        </w:tabs>
        <w:rPr/>
      </w:pPr>
      <w:r>
        <w:rPr/>
        <w:t>3.</w:t>
        <w:tab/>
        <w:t>At gøre større brug af kunstig intelligens og maskinoversættelsesteknologier for at overvinde</w:t>
      </w:r>
      <w:r>
        <w:rPr>
          <w:rStyle w:val="Ancredenotedefin"/>
          <w:rStyle w:val="Ancredenotedefin"/>
        </w:rPr>
        <w:endnoteReference w:id="116"/>
      </w:r>
      <w:r>
        <w:rPr/>
        <w:t xml:space="preserve"> sprogbarrieren og</w:t>
      </w:r>
      <w:r>
        <w:rPr>
          <w:rStyle w:val="Ancredenotedefin"/>
          <w:rStyle w:val="Ancredenotedefin"/>
        </w:rPr>
        <w:endnoteReference w:id="117"/>
      </w:r>
      <w:r>
        <w:rPr/>
        <w:t>sikre, at alle digitale værktøjer er tilgængelige for personer med handicap</w:t>
      </w:r>
      <w:r>
        <w:rPr>
          <w:rStyle w:val="Ancredenotedefin"/>
          <w:rStyle w:val="Ancredenotedefin"/>
        </w:rPr>
        <w:endnoteReference w:id="118"/>
      </w:r>
      <w:r>
        <w:rPr/>
        <w:t xml:space="preserve"> og lette at bruge.</w:t>
      </w:r>
    </w:p>
    <w:p>
      <w:pPr>
        <w:pStyle w:val="ListBullet4"/>
        <w:tabs>
          <w:tab w:val="clear" w:pos="720"/>
        </w:tabs>
        <w:rPr/>
      </w:pPr>
      <w:r>
        <w:rPr/>
        <w:t>4.</w:t>
        <w:tab/>
        <w:t>Ved at forsvare og støtte mediernes frihed, pluralisme og uafhængighed og ved at tilskynde medierne, herunder offentlige radio- og tv-selskaber, offentlige nyhedsagenturer og europæiske medier til at dække europæiske anliggender mere regelmæssigt, samtidig med at deres frihed og uafhængighed respekteres, således at en sådan dækning er regelmæssig og omfattende i alle EU's medlemsstater,</w:t>
      </w:r>
      <w:r>
        <w:rPr>
          <w:rStyle w:val="Ancredenotedefin"/>
          <w:rStyle w:val="Ancredenotedefin"/>
        </w:rPr>
        <w:endnoteReference w:id="119"/>
      </w:r>
      <w:r>
        <w:rPr/>
        <w:t>øge indsatsen for at bekæmpe desinformation og udenlandsk indblanding og beskytte journalister</w:t>
      </w:r>
      <w:r>
        <w:rPr>
          <w:rStyle w:val="Ancredenotedefin"/>
          <w:rStyle w:val="Ancredenotedefin"/>
        </w:rPr>
        <w:endnoteReference w:id="120"/>
      </w:r>
      <w:r>
        <w:rPr/>
        <w:t>.</w:t>
      </w:r>
    </w:p>
    <w:p>
      <w:pPr>
        <w:pStyle w:val="ListBullet4"/>
        <w:tabs>
          <w:tab w:val="clear" w:pos="720"/>
        </w:tabs>
        <w:rPr/>
      </w:pPr>
      <w:r>
        <w:rPr/>
      </w:r>
    </w:p>
    <w:p>
      <w:pPr>
        <w:pStyle w:val="ListBullet4"/>
        <w:tabs>
          <w:tab w:val="clear" w:pos="720"/>
        </w:tabs>
        <w:rPr/>
      </w:pPr>
      <w:r>
        <w:rPr/>
        <w:t>5.</w:t>
        <w:tab/>
        <w:t>Ved at bringe Europa tættere på borgerne ved at styrke</w:t>
      </w:r>
      <w:r>
        <w:rPr>
          <w:rStyle w:val="Ancredenotedefin"/>
          <w:rStyle w:val="Ancredenotedefin"/>
        </w:rPr>
        <w:endnoteReference w:id="121"/>
      </w:r>
      <w:r>
        <w:rPr/>
        <w:t xml:space="preserve"> kontaktpunkter og specialiserede knudepunkter ("Europahuse") på lokalt plan, som vil tilbyde ressourcer, information og rådgivning til borgerne om europæiske spørgsmål, lytte til deres bekymringer og drøfte med sammenslutninger for at bidrage til at bringe borgernes synspunkter på europæisk plan</w:t>
      </w:r>
      <w:r>
        <w:rPr>
          <w:rStyle w:val="Ancredenotedefin"/>
          <w:rStyle w:val="Ancredenotedefin"/>
        </w:rPr>
        <w:endnoteReference w:id="122"/>
      </w:r>
      <w:r>
        <w:rPr/>
        <w:t>.</w:t>
      </w:r>
    </w:p>
    <w:p>
      <w:pPr>
        <w:pStyle w:val="ListBullet4"/>
        <w:tabs>
          <w:tab w:val="clear" w:pos="720"/>
        </w:tabs>
        <w:rPr/>
      </w:pPr>
      <w:r>
        <w:rPr/>
        <w:t>6.</w:t>
        <w:tab/>
        <w:t>Ved at træffe nye foranstaltninger for at styrke en fælles identitet blandt europæerne, f.eks. gennem en EU-fond, der kan tilskynde til online- og offlineinteraktioner (f.eks. udvekslingsprogrammer, paneler eller møder) af forskellig varighed mellem EU-borgerne, tilrettelæggelse af europæiske sportsbegivenheder, oprettelse af fælles hold eller den 9. maj (Europadagen) en ekstra ferie</w:t>
      </w:r>
      <w:r>
        <w:rPr>
          <w:rStyle w:val="Ancredenotedefin"/>
          <w:rStyle w:val="Ancredenotedefin"/>
        </w:rPr>
        <w:endnoteReference w:id="123"/>
      </w:r>
      <w:r>
        <w:rPr/>
        <w:t xml:space="preserve"> for alle europæiske borgere</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Forslag: Demokrati og valg</w:t>
      </w:r>
    </w:p>
    <w:p>
      <w:pPr>
        <w:pStyle w:val="Normal"/>
        <w:rPr/>
      </w:pPr>
      <w:r>
        <w:rPr/>
        <w:t>Formål: Styrkelse af det europæiske demokrati ved at styrke dets grundlag, tilskynde borgerne til at deltage i valg til Europa-Parlamentet, fremme tværnationale debatter om europæiske spørgsmål og sikre en stærk forbindelse mellem borgerne og deres folkevalgte repræsentanter, navnlig: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pPr>
      <w:r>
        <w:rPr/>
        <w:t>1.</w:t>
        <w:tab/>
        <w:t>Sikring af beskyttelsen af de europæiske værdier, der er nedfældet i traktaterne, herunder retsstatsprincippet og en robust social model</w:t>
      </w:r>
      <w:r>
        <w:rPr>
          <w:rStyle w:val="Ancredenotedefin"/>
          <w:rStyle w:val="Ancredenotedefin"/>
        </w:rPr>
        <w:endnoteReference w:id="125"/>
      </w:r>
      <w:r>
        <w:rPr/>
        <w:t>, som udgør kernen i det europæiske demokrati. I sine forbindelser med resten af verden bør Unionen prioritere fælles demokratiske værdier i grænselandene. Det er først efter at have nået dette mål, at hun kan blive ambassadør for vores demokratiske model i lande, der har kapacitet og vilje til at gøre det, gennem diplomati og dialog</w:t>
      </w:r>
      <w:r>
        <w:rPr>
          <w:rStyle w:val="Ancredenotedefin"/>
          <w:rStyle w:val="Ancredenotedefin"/>
        </w:rPr>
        <w:endnoteReference w:id="126"/>
      </w:r>
      <w:r>
        <w:rPr/>
        <w:t>.</w:t>
      </w:r>
    </w:p>
    <w:p>
      <w:pPr>
        <w:pStyle w:val="ListBullet4"/>
        <w:tabs>
          <w:tab w:val="clear" w:pos="720"/>
        </w:tabs>
        <w:rPr/>
      </w:pPr>
      <w:r>
        <w:rPr/>
        <w:t>2.</w:t>
        <w:tab/>
        <w:t>Ved undtagelsesvis at indføre mulighed for at afholde en folkeafstemning i hele Unionen på Europa-Parlamentets initiativ, hvis et emne viser sig at være særlig vigtigt for alle europæiske borgere</w:t>
      </w:r>
      <w:r>
        <w:rPr>
          <w:rStyle w:val="Ancredenotedefin"/>
          <w:rStyle w:val="Ancredenotedefin"/>
        </w:rPr>
        <w:endnoteReference w:id="127"/>
      </w:r>
      <w:r>
        <w:rPr/>
        <w:t>.</w:t>
      </w:r>
    </w:p>
    <w:p>
      <w:pPr>
        <w:pStyle w:val="ListBullet4"/>
        <w:tabs>
          <w:tab w:val="clear" w:pos="720"/>
        </w:tabs>
        <w:rPr/>
      </w:pPr>
      <w:r>
        <w:rPr/>
        <w:t>3.</w:t>
        <w:tab/>
        <w:t>Ved at ændre EU's valglov med henblik på at harmonisere reglerne for valg til Europa-Parlamentet (f.eks. flertalsalder, valgdato, krav til valgkredse, kandidater, politiske partier og finansiering heraf) samt ved at bevæge sig i retning af paneuropæiske eller tværnationale lister,</w:t>
      </w:r>
      <w:r>
        <w:rPr>
          <w:rStyle w:val="Ancredenotedebasdepage"/>
          <w:rStyle w:val="Ancredenotedebasdepage"/>
        </w:rPr>
        <w:footnoteReference w:id="11"/>
      </w:r>
      <w:r>
        <w:rPr/>
        <w:t xml:space="preserve"> herunder kandidater fra forskellige medlemsstater, efter at have taget hensyn til de</w:t>
      </w:r>
      <w:r>
        <w:rPr>
          <w:rStyle w:val="Ancredenotedefin"/>
          <w:rStyle w:val="Ancredenotedefin"/>
        </w:rPr>
        <w:endnoteReference w:id="128"/>
      </w:r>
      <w:r>
        <w:rPr/>
        <w:t xml:space="preserve"> synspunkter, som medlemsstaternes borgere har givet udtryk for på dette område</w:t>
      </w:r>
      <w:r>
        <w:rPr>
          <w:rStyle w:val="Ancredenotedefin"/>
          <w:rStyle w:val="Ancredenotedefin"/>
        </w:rPr>
        <w:endnoteReference w:id="129"/>
      </w:r>
      <w:r>
        <w:rPr/>
        <w:t>.</w:t>
      </w:r>
    </w:p>
    <w:p>
      <w:pPr>
        <w:pStyle w:val="Alineanegatifpuce"/>
        <w:numPr>
          <w:ilvl w:val="0"/>
          <w:numId w:val="3"/>
        </w:numPr>
        <w:rPr/>
      </w:pPr>
      <w:r>
        <w:rPr/>
        <w:t xml:space="preserve"> </w:t>
      </w:r>
      <w:r>
        <w:rPr/>
        <w:t>Nogle medlemmer af Europa-Parlamentet bør vælges fra paneuropæiske lister, mens de andre vil blive valgt på medlemsstatsniveau</w:t>
      </w:r>
      <w:r>
        <w:rPr>
          <w:rStyle w:val="Ancredenotedefin"/>
          <w:rStyle w:val="Ancredenotedefin"/>
        </w:rPr>
        <w:endnoteReference w:id="130"/>
      </w:r>
      <w:r>
        <w:rPr/>
        <w:t>.</w:t>
      </w:r>
    </w:p>
    <w:p>
      <w:pPr>
        <w:pStyle w:val="Alineanegatifpuce"/>
        <w:numPr>
          <w:ilvl w:val="0"/>
          <w:numId w:val="3"/>
        </w:numPr>
        <w:rPr/>
      </w:pPr>
      <w:r>
        <w:rPr/>
        <w:t xml:space="preserve"> </w:t>
      </w:r>
      <w:r>
        <w:rPr/>
        <w:t>Formålet med reformen bør også være at lette digitale afstemningsordninger</w:t>
      </w:r>
      <w:r>
        <w:rPr>
          <w:rStyle w:val="Ancredenotedefin"/>
          <w:rStyle w:val="Ancredenotedefin"/>
        </w:rPr>
        <w:endnoteReference w:id="131"/>
      </w:r>
      <w:r>
        <w:rPr/>
        <w:t xml:space="preserve"> og sikre den reelle ret for personer med handicap til at stemme</w:t>
      </w:r>
      <w:r>
        <w:rPr>
          <w:rStyle w:val="Ancredenotedefin"/>
          <w:rStyle w:val="Ancredenotedefin"/>
        </w:rPr>
        <w:endnoteReference w:id="132"/>
      </w:r>
      <w:r>
        <w:rPr/>
        <w:t>.</w:t>
      </w:r>
    </w:p>
    <w:p>
      <w:pPr>
        <w:pStyle w:val="ListBullet4"/>
        <w:tabs>
          <w:tab w:val="clear" w:pos="720"/>
        </w:tabs>
        <w:rPr/>
      </w:pPr>
      <w:r>
        <w:rPr/>
        <w:t>4.</w:t>
        <w:tab/>
        <w:t>Styrkelse af forbindelserne mellem borgerne og deres folkevalgte repræsentanter under hensyntagen til særlige nationale forhold: borgerne ønsker at føle, at MEP'erne og de nationale parlamentarikere er tæt på dem og reagerer på deres bekymringer med specifikke foranstaltninger</w:t>
      </w:r>
      <w:r>
        <w:rPr>
          <w:rStyle w:val="Ancredenotedefin"/>
          <w:rStyle w:val="Ancredenotedefin"/>
        </w:rPr>
        <w:endnoteReference w:id="133"/>
      </w:r>
      <w:r>
        <w:rPr/>
        <w:t>. Dette er et universelt problem, og folk i alle aldre bør involveres</w:t>
      </w:r>
      <w:r>
        <w:rPr>
          <w:rStyle w:val="Ancredenotedefin"/>
          <w:rStyle w:val="Ancredenotedefin"/>
        </w:rPr>
        <w:endnoteReference w:id="134"/>
      </w:r>
      <w:r>
        <w:rPr/>
        <w:t>.</w:t>
      </w:r>
    </w:p>
    <w:p>
      <w:pPr>
        <w:pStyle w:val="Alineanegatifpuce"/>
        <w:numPr>
          <w:ilvl w:val="0"/>
          <w:numId w:val="3"/>
        </w:numPr>
        <w:rPr/>
      </w:pPr>
      <w:r>
        <w:rPr/>
        <w:t xml:space="preserve"> </w:t>
      </w:r>
      <w:r>
        <w:rPr/>
        <w:t>De europæiske borgere bør have større vægt ved valget af kommissionsformanden. Dette mål kan opnås ved direkte valg af formanden for Kommissionen</w:t>
      </w:r>
      <w:r>
        <w:rPr>
          <w:rStyle w:val="Ancredenotedefin"/>
          <w:rStyle w:val="Ancredenotedefin"/>
        </w:rPr>
        <w:endnoteReference w:id="135"/>
      </w:r>
      <w:r>
        <w:rPr/>
        <w:t xml:space="preserve"> eller ved hjælp af en ordning med topkandidater</w:t>
      </w:r>
      <w:r>
        <w:rPr>
          <w:rStyle w:val="Ancredenotedebasdepage"/>
          <w:rStyle w:val="Ancredenotedebasdepage"/>
        </w:rPr>
        <w:footnoteReference w:id="12"/>
      </w:r>
      <w:r>
        <w:rPr/>
        <w:t>.</w:t>
      </w:r>
    </w:p>
    <w:p>
      <w:pPr>
        <w:pStyle w:val="Alineanegatifpuce"/>
        <w:numPr>
          <w:ilvl w:val="0"/>
          <w:numId w:val="3"/>
        </w:numPr>
        <w:rPr/>
      </w:pPr>
      <w:r>
        <w:rPr/>
        <w:t xml:space="preserve"> </w:t>
      </w:r>
      <w:r>
        <w:rPr/>
        <w:t>Europa-Parlamentet bør have lovgivningsinitiativret for at foreslå</w:t>
      </w:r>
      <w:r>
        <w:rPr>
          <w:rStyle w:val="Ancredenotedefin"/>
          <w:rStyle w:val="Ancredenotedefin"/>
        </w:rPr>
        <w:endnoteReference w:id="136"/>
      </w:r>
      <w:r>
        <w:rPr/>
        <w:t xml:space="preserve"> emner, der skal drøftes, og derefter vedtage de nødvendige tekster for at følge op på de henstillinger, der følger af drøftelserne</w:t>
      </w:r>
      <w:r>
        <w:rPr>
          <w:rStyle w:val="Ancredenotedefin"/>
          <w:rStyle w:val="Ancredenotedefin"/>
        </w:rPr>
        <w:endnoteReference w:id="137"/>
      </w:r>
      <w:r>
        <w:rPr/>
        <w:t>.</w:t>
      </w:r>
    </w:p>
    <w:p>
      <w:pPr>
        <w:pStyle w:val="Alineanegatifpuce"/>
        <w:numPr>
          <w:ilvl w:val="0"/>
          <w:numId w:val="3"/>
        </w:numPr>
        <w:rPr/>
      </w:pPr>
      <w:r>
        <w:rPr/>
        <w:t xml:space="preserve"> </w:t>
      </w:r>
      <w:r>
        <w:rPr/>
        <w:t>Europa-Parlamentet bør træffe afgørelse om EU-budgettet, som det er tilfældet med parlamenterne på nationalt plan</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Politiske partier, civilsamfundsorganisationer og fagforeninger bør være mere dynamiske og tilgængelige, så borgerne kan engagere sig og investere mere i det europæiske demokrati</w:t>
      </w:r>
      <w:r>
        <w:rPr>
          <w:rStyle w:val="Ancredenotedefin"/>
          <w:rStyle w:val="Ancredenotedefin"/>
        </w:rPr>
        <w:endnoteReference w:id="139"/>
      </w:r>
      <w:r>
        <w:rPr/>
        <w:t>. Dette vil også fremme inddragelsen af europæiske spørgsmål i offentlige debatter, der organiseres af politiske partier, civilsamfundsorganisationer og arbejdsmarkedets parter, enten forud for valget til Europa-Parlamentet eller forud for nationale, regionale eller lokale valg</w:t>
      </w:r>
      <w:r>
        <w:rPr>
          <w:rStyle w:val="Ancredenotedefin"/>
          <w:rStyle w:val="Ancredenotedefin"/>
        </w:rPr>
        <w:endnoteReference w:id="140"/>
      </w:r>
      <w:r>
        <w:rPr/>
        <w:t>.</w:t>
      </w:r>
    </w:p>
    <w:p>
      <w:pPr>
        <w:pStyle w:val="ListBullet4"/>
        <w:tabs>
          <w:tab w:val="clear" w:pos="720"/>
        </w:tabs>
        <w:rPr/>
      </w:pPr>
      <w:r>
        <w:rPr/>
        <w:t>5.</w:t>
        <w:tab/>
        <w:t>Demokratiet er legemliggjort i institutioner og samfundet generelt, også på arbejdspladsen takket være arbejdsmarkedets parter</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Forslag: EU's beslutningsproces</w:t>
      </w:r>
    </w:p>
    <w:p>
      <w:pPr>
        <w:pStyle w:val="P68B1DB1Normal15"/>
        <w:rPr>
          <w:b/>
          <w:b/>
        </w:rPr>
      </w:pPr>
      <w:r>
        <w:rPr/>
        <w:t>Formål: Forbedre Unionens beslutningsproces for at sikre dens handleevne under hensyntagen til de enkelte medlemsstaters interesser og sikre en gennemsigtig og forståelig proces for borgerne, navnlig: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pPr>
      <w:r>
        <w:rPr/>
        <w:t>1.</w:t>
        <w:tab/>
        <w:t>Revision af reglerne om beslutningstagning og afstemning i EU-institutionerne. Spørgsmålet om enstemmighed fortjener særlig opmærksomhed, da det gør enhver aftale meget vanskelig. Der bør sikres retfærdighed i stemmevægtningen for at beskytte de små landes interesser</w:t>
      </w:r>
      <w:r>
        <w:rPr>
          <w:rStyle w:val="Ancredenotedefin"/>
          <w:rStyle w:val="Ancredenotedefin"/>
        </w:rPr>
        <w:endnoteReference w:id="142"/>
      </w:r>
      <w:r>
        <w:rPr/>
        <w:t>.</w:t>
      </w:r>
    </w:p>
    <w:p>
      <w:pPr>
        <w:pStyle w:val="Alineanegatifpuce"/>
        <w:numPr>
          <w:ilvl w:val="0"/>
          <w:numId w:val="3"/>
        </w:numPr>
        <w:rPr/>
      </w:pPr>
      <w:r>
        <w:rPr/>
        <w:t xml:space="preserve"> </w:t>
      </w:r>
      <w:r>
        <w:rPr/>
        <w:t>Alle afgørelser, der i øjeblikket træffes med enstemmighed, bør fremover vedtages med kvalificeret flertal. De eneste undtagelser bør være optagelsen af nye medlemsstater i Den Europæiske Union og ændringen af Unionens grundlæggende principper, der er nedfældet i artikel 2 i traktaten om Den Europæiske Union og i Den Europæiske Unions charter om grundlæggende rettigheder</w:t>
      </w:r>
      <w:r>
        <w:rPr>
          <w:rStyle w:val="Ancredenotedefin"/>
          <w:rStyle w:val="Ancredenotedefin"/>
        </w:rPr>
        <w:endnoteReference w:id="143"/>
      </w:r>
      <w:r>
        <w:rPr/>
        <w:t>.</w:t>
      </w:r>
    </w:p>
    <w:p>
      <w:pPr>
        <w:pStyle w:val="ListBullet4"/>
        <w:tabs>
          <w:tab w:val="clear" w:pos="720"/>
        </w:tabs>
        <w:rPr/>
      </w:pPr>
      <w:r>
        <w:rPr/>
        <w:t>2.</w:t>
        <w:tab/>
        <w:t>Sikring af gennemsigtighed i beslutningsprocessen, der gør det muligt for uafhængige borgerobservatører at overvåge denne proces nøje, anvende en bredere ret til aktindsigt</w:t>
      </w:r>
      <w:r>
        <w:rPr>
          <w:rStyle w:val="Ancredenotedefin"/>
          <w:rStyle w:val="Ancredenotedefin"/>
        </w:rPr>
        <w:endnoteReference w:id="144"/>
      </w:r>
      <w:r>
        <w:rPr/>
        <w:t xml:space="preserve"> og etablere tættere forbindelser og en styrket dialog mellem borgerne og EU-institutionerne på dette grundlag</w:t>
      </w:r>
      <w:r>
        <w:rPr>
          <w:rStyle w:val="Ancredenotedefin"/>
          <w:rStyle w:val="Ancredenotedefin"/>
        </w:rPr>
        <w:endnoteReference w:id="145"/>
      </w:r>
      <w:r>
        <w:rPr/>
        <w:t>.</w:t>
      </w:r>
    </w:p>
    <w:p>
      <w:pPr>
        <w:pStyle w:val="Alineanegatifpuce"/>
        <w:numPr>
          <w:ilvl w:val="0"/>
          <w:numId w:val="3"/>
        </w:numPr>
        <w:rPr/>
      </w:pPr>
      <w:r>
        <w:rPr/>
        <w:t xml:space="preserve"> </w:t>
      </w:r>
      <w:r>
        <w:rPr/>
        <w:t>Unionen er nødt til at forbedre gennemsigtigheden i sin beslutningsproces og sine institutioner. F.eks. bør møder i Rådet og Europa-Parlamentet, herunder afstemninger, udbredes online på samme måde. Dette vil gøre det muligt for interesserede borgere at overvåge EU's politikudformning og forpligte de politiske beslutningstagere til at rapportere om deres foranstaltninger</w:t>
      </w:r>
      <w:r>
        <w:rPr>
          <w:rStyle w:val="Ancredenotedefin"/>
          <w:rStyle w:val="Ancredenotedefin"/>
        </w:rPr>
        <w:endnoteReference w:id="146"/>
      </w:r>
      <w:r>
        <w:rPr/>
        <w:t>. Europa-Parlamentets undersøgelsesbeføjelse bør også styrkes.</w:t>
      </w:r>
      <w:r>
        <w:rPr>
          <w:rStyle w:val="Ancredenotedefin"/>
          <w:rStyle w:val="Ancredenotedefin"/>
        </w:rPr>
        <w:endnoteReference w:id="147"/>
      </w:r>
      <w:r>
        <w:rPr/>
        <w:t xml:space="preserve"> Ændringsforslag nr. 44A i arbejdsgruppen.</w:t>
      </w:r>
    </w:p>
    <w:p>
      <w:pPr>
        <w:pStyle w:val="Alineanegatifpuce"/>
        <w:numPr>
          <w:ilvl w:val="0"/>
          <w:numId w:val="3"/>
        </w:numPr>
        <w:rPr/>
      </w:pPr>
      <w:r>
        <w:rPr/>
        <w:t xml:space="preserve"> </w:t>
      </w:r>
      <w:r>
        <w:rPr/>
        <w:t>EU's beslutningsproces bør videreudvikles med henblik på at inddrage flere nationale, regionale og lokale repræsentanter, arbejdsmarkedets parter og civilsamfundsorganisationer</w:t>
      </w:r>
      <w:r>
        <w:rPr>
          <w:rStyle w:val="Ancredenotedefin"/>
          <w:rStyle w:val="Ancredenotedefin"/>
        </w:rPr>
        <w:endnoteReference w:id="148"/>
      </w:r>
      <w:r>
        <w:rPr/>
        <w:t>. Det interparlamentariske samarbejde og dialog bør styrkes. Europa-Parlamentet bør også i højere grad inddrage de nationale parlamenter i den europæiske lovgivningsprocedure, f.eks. ved at indbyde dem til høringer</w:t>
      </w:r>
      <w:r>
        <w:rPr>
          <w:rStyle w:val="Ancredenotedefin"/>
          <w:rStyle w:val="Ancredenotedefin"/>
        </w:rPr>
        <w:endnoteReference w:id="149"/>
      </w:r>
      <w:r>
        <w:rPr/>
        <w:t>. Det ville desuden være nyttigt at opnå en stærkere inddragelse af de subnationale myndigheder og RU for bedre at tage hensyn til deres erfaringer med gennemførelsen af EU-lovgivningen</w:t>
      </w:r>
      <w:r>
        <w:rPr>
          <w:rStyle w:val="Ancredenotedefin"/>
          <w:rStyle w:val="Ancredenotedefin"/>
        </w:rPr>
        <w:endnoteReference w:id="150"/>
      </w:r>
      <w:r>
        <w:rPr/>
        <w:t>.</w:t>
      </w:r>
    </w:p>
    <w:p>
      <w:pPr>
        <w:pStyle w:val="ListBullet4"/>
        <w:tabs>
          <w:tab w:val="clear" w:pos="720"/>
        </w:tabs>
        <w:rPr/>
      </w:pPr>
      <w:r>
        <w:rPr/>
        <w:t>3.</w:t>
        <w:tab/>
        <w:t>Ved at overveje at ændre navnene på de europæiske institutioner med henblik på at klarlægge hver enkelts rolle og rolle i EU's beslutningsproces i borgernes øjne</w:t>
      </w:r>
      <w:r>
        <w:rPr>
          <w:rStyle w:val="Ancredenotedefin"/>
          <w:rStyle w:val="Ancredenotedefin"/>
        </w:rPr>
        <w:endnoteReference w:id="151"/>
      </w:r>
      <w:r>
        <w:rPr/>
        <w:t>.</w:t>
      </w:r>
    </w:p>
    <w:p>
      <w:pPr>
        <w:pStyle w:val="Alineanegatifpuce"/>
        <w:numPr>
          <w:ilvl w:val="0"/>
          <w:numId w:val="3"/>
        </w:numPr>
        <w:rPr/>
      </w:pPr>
      <w:r>
        <w:rPr/>
        <w:t xml:space="preserve"> </w:t>
      </w:r>
      <w:r>
        <w:rPr/>
        <w:t>EU's beslutningsproces bør baseres på en klarere og mere forståelig struktur, der ligner de nationale systemer,</w:t>
      </w:r>
      <w:r>
        <w:rPr>
          <w:rStyle w:val="Ancredenotedefin"/>
          <w:rStyle w:val="Ancredenotedefin"/>
        </w:rPr>
        <w:endnoteReference w:id="152"/>
      </w:r>
      <w:r>
        <w:rPr/>
        <w:t xml:space="preserve"> og som udtrykkeligt angiver kompetencefordelingen mellem EU-institutionerne og medlemsstaterne</w:t>
      </w:r>
      <w:r>
        <w:rPr>
          <w:rStyle w:val="Ancredenotedefin"/>
          <w:rStyle w:val="Ancredenotedefin"/>
        </w:rPr>
        <w:endnoteReference w:id="153"/>
      </w:r>
      <w:r>
        <w:rPr/>
        <w:t>.</w:t>
      </w:r>
    </w:p>
    <w:p>
      <w:pPr>
        <w:pStyle w:val="Alineanegatifpuce"/>
        <w:numPr>
          <w:ilvl w:val="0"/>
          <w:numId w:val="3"/>
        </w:numPr>
        <w:rPr/>
      </w:pPr>
      <w:r>
        <w:rPr/>
        <w:t xml:space="preserve"> </w:t>
      </w:r>
      <w:r>
        <w:rPr/>
        <w:t>F.eks. kan Rådet for Den Europæiske Union omdøbes til "Unionens enhed" og Europa-Kommissionen "Unionens administrative kommission"</w:t>
      </w:r>
      <w:r>
        <w:rPr>
          <w:rStyle w:val="Ancredenotedefin"/>
          <w:rStyle w:val="Ancredenotedefin"/>
        </w:rPr>
        <w:endnoteReference w:id="154"/>
      </w:r>
      <w:r>
        <w:rPr/>
        <w:t>.</w:t>
      </w:r>
    </w:p>
    <w:p>
      <w:pPr>
        <w:pStyle w:val="ListBullet4"/>
        <w:tabs>
          <w:tab w:val="clear" w:pos="720"/>
        </w:tabs>
        <w:rPr/>
      </w:pPr>
      <w:r>
        <w:rPr/>
        <w:t>4.</w:t>
        <w:tab/>
        <w:t>Styrkelse af Unionens kapacitet til at levere resultater på centrale områder</w:t>
      </w:r>
      <w:r>
        <w:rPr>
          <w:rStyle w:val="Ancredenotedefin"/>
          <w:rStyle w:val="Ancredenotedefin"/>
        </w:rPr>
        <w:endnoteReference w:id="155"/>
      </w:r>
      <w:r>
        <w:rPr/>
        <w:t>.</w:t>
      </w:r>
    </w:p>
    <w:p>
      <w:pPr>
        <w:pStyle w:val="ListBullet4"/>
        <w:tabs>
          <w:tab w:val="clear" w:pos="720"/>
        </w:tabs>
        <w:rPr/>
      </w:pPr>
      <w:r>
        <w:rPr/>
        <w:t>5.</w:t>
        <w:tab/>
        <w:t>Sikring af mekanismer for social dialog og høring af borgerne i alle faser af Unionens beslutningsproces, fra konsekvensanalysen til udformningen og gennemførelsen af foranstaltningerne</w:t>
      </w:r>
      <w:r>
        <w:rPr>
          <w:rStyle w:val="Ancredenotedefin"/>
          <w:rStyle w:val="Ancredenotedefin"/>
        </w:rPr>
        <w:endnoteReference w:id="156"/>
      </w:r>
      <w:r>
        <w:rPr/>
        <w:t>.</w:t>
      </w:r>
    </w:p>
    <w:p>
      <w:pPr>
        <w:pStyle w:val="ListBullet4"/>
        <w:tabs>
          <w:tab w:val="clear" w:pos="720"/>
        </w:tabs>
        <w:rPr/>
      </w:pPr>
      <w:r>
        <w:rPr/>
        <w:t>6.</w:t>
        <w:tab/>
        <w:t>Reform af Den Europæiske Unions funktionsmåde, bl.a. ved at inddrage arbejdsmarkedets parter og civilsamfundsorganisationerne tættere. De eksisterende strukturer skal styrkes, så beslutningsprocessen bedre afspejler de europæiske borgeres behov og forventninger, som er centrale for det europæiske demokrati. I den forbindelse skal EØSU skaffe sig midler til at spille en vigtigere institutionel rolle som garant og facilitator for deltagelsesdemokratiaktiviteter såsom struktureret dialog med civilsamfundsorganisationer og borgerpaneler. Et dynamisk civilsamfund er afgørende for Unionens demokratiske liv</w:t>
      </w:r>
      <w:r>
        <w:rPr>
          <w:rStyle w:val="Ancredenotedefin"/>
          <w:rStyle w:val="Ancredenotedefin"/>
        </w:rPr>
        <w:endnoteReference w:id="157"/>
      </w:r>
      <w:r>
        <w:rPr/>
        <w:t>.</w:t>
      </w:r>
    </w:p>
    <w:p>
      <w:pPr>
        <w:pStyle w:val="ListBullet4"/>
        <w:tabs>
          <w:tab w:val="clear" w:pos="720"/>
        </w:tabs>
        <w:rPr/>
      </w:pPr>
      <w:r>
        <w:rPr/>
        <w:t>7.</w:t>
        <w:tab/>
        <w:t>Ved at genåbne debatten om forfatningen, hvis det er relevant, for klart at definere vores værdier. En forfatning kan skabe større præcision, mobilisere borgerne og nå til enighed om beslutningsprocessens regler</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Forslag: Nærhedsprincippet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ListBullet4"/>
        <w:tabs>
          <w:tab w:val="clear" w:pos="720"/>
        </w:tabs>
        <w:rPr/>
      </w:pPr>
      <w:r>
        <w:rPr/>
        <w:t>1.</w:t>
        <w:tab/>
        <w:t>Aktiv nærhed og forvaltning på flere myndighedsniveauer er centrale principper, hvis Den Europæiske Union skal fungere på en demokratisk og ansvarlig måde</w:t>
      </w:r>
      <w:r>
        <w:rPr>
          <w:rStyle w:val="Ancredenotedefin"/>
          <w:rStyle w:val="Ancredenotedefin"/>
        </w:rPr>
        <w:endnoteReference w:id="159"/>
      </w:r>
      <w:r>
        <w:rPr/>
        <w:t>;</w:t>
      </w:r>
    </w:p>
    <w:p>
      <w:pPr>
        <w:pStyle w:val="ListBullet4"/>
        <w:tabs>
          <w:tab w:val="clear" w:pos="720"/>
        </w:tabs>
        <w:rPr/>
      </w:pPr>
      <w:r>
        <w:rPr/>
        <w:t>2.</w:t>
        <w:tab/>
        <w:t>EU skal revidere den mekanisme, hvorved de nationale parlamenter undersøger, om europæiske lovgivningsforslag griber ind i nationale kompetencer eller ej; de nationale parlamenter bør kunne foreslå EU-institutionerne lovgivningsmæssige initiativer. Disse mekanismer bør udvides til at omfatte alle regionale parlamenter med lovgivningsbeføjelser</w:t>
      </w:r>
      <w:r>
        <w:rPr>
          <w:rStyle w:val="Ancredenotedefin"/>
          <w:rStyle w:val="Ancredenotedefin"/>
        </w:rPr>
        <w:endnoteReference w:id="160"/>
      </w:r>
      <w:r>
        <w:rPr/>
        <w:t>.</w:t>
      </w:r>
    </w:p>
    <w:p>
      <w:pPr>
        <w:pStyle w:val="ListBullet4"/>
        <w:tabs>
          <w:tab w:val="clear" w:pos="720"/>
        </w:tabs>
        <w:rPr/>
      </w:pPr>
      <w:r>
        <w:rPr/>
        <w:t>3.</w:t>
        <w:tab/>
        <w:t>Regionsudvalget bør reformeres for at åbne passende kanaler for dialog med regioner, byer og kommuner. Det bør spille en vigtigere rolle</w:t>
      </w:r>
      <w:r>
        <w:rPr>
          <w:rStyle w:val="Ancredenotedefin"/>
          <w:rStyle w:val="Ancredenotedefin"/>
        </w:rPr>
        <w:endnoteReference w:id="161"/>
      </w:r>
      <w:r>
        <w:rPr/>
        <w:t xml:space="preserve"> i den institutionelle arkitektur, når det drejer sig om spørgsmål med territoriale konsekvenser</w:t>
      </w:r>
      <w:r>
        <w:rPr>
          <w:rStyle w:val="Ancredenotedefin"/>
          <w:rStyle w:val="Ancredenotedefin"/>
        </w:rPr>
        <w:endnoteReference w:id="162"/>
      </w:r>
      <w:r>
        <w:rPr/>
        <w:t>.</w:t>
      </w:r>
    </w:p>
    <w:p>
      <w:pPr>
        <w:pStyle w:val="Normal"/>
        <w:rPr/>
      </w:pPr>
      <w:r>
        <w:rPr/>
      </w:r>
    </w:p>
    <w:p>
      <w:pPr>
        <w:pStyle w:val="ListBullet4"/>
        <w:tabs>
          <w:tab w:val="clear" w:pos="720"/>
        </w:tabs>
        <w:rPr/>
      </w:pPr>
      <w:r>
        <w:rPr/>
        <w:t>4.</w:t>
        <w:tab/>
        <w:t>Den systematiske anvendelse af en fælles definition af nærhedsprincippet, som alle EU-institutionerne har tilsluttet sig, kunne klart definere, på hvilket niveau (europæiske, nationale eller regionale) beslutninger skal træffes</w:t>
      </w:r>
      <w:r>
        <w:rPr>
          <w:rStyle w:val="Ancredenotedefin"/>
          <w:rStyle w:val="Ancredenotedefin"/>
        </w:rPr>
        <w:endnoteReference w:id="163"/>
      </w:r>
      <w:r>
        <w:rPr/>
        <w:t>.</w:t>
      </w:r>
    </w:p>
    <w:p>
      <w:pPr>
        <w:pStyle w:val="ListBullet4"/>
        <w:tabs>
          <w:tab w:val="clear" w:pos="720"/>
        </w:tabs>
        <w:rPr/>
      </w:pPr>
      <w:r>
        <w:rPr/>
        <w:t>5.</w:t>
        <w:tab/>
        <w:t>Arbejdsmarkedets parter og civilsamfundsorganisationer, som er centrale for det europæiske demokrati, skal inddrages bedre i beslutningsprocessen. Et dynamisk samfund er afgørende for Unionens demokratiske liv.</w:t>
      </w:r>
      <w:r>
        <w:rPr>
          <w:rStyle w:val="Ancredenotedefin"/>
          <w:rStyle w:val="Ancredenotedefin"/>
        </w:rPr>
        <w:endnoteReference w:id="164"/>
      </w:r>
    </w:p>
    <w:p>
      <w:pPr>
        <w:pStyle w:val="ListBullet4"/>
        <w:tabs>
          <w:tab w:val="clear" w:pos="720"/>
        </w:tabs>
        <w:rPr/>
      </w:pPr>
      <w:r>
        <w:rPr/>
        <w:t>6.</w:t>
        <w:tab/>
        <w:t>Vi opfordrer indtrængende EU-institutionerne til at gennemføre arbejdsgruppens konklusioner og gøre dem effektive. Dette kan ske gennem de eksisterende bestemmelser i Lissabontraktaten og om nødvendigt ved at opfordre til iværksættelse af et europæisk konvent</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Billeder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leder28"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"Migration"</w:t>
      </w:r>
    </w:p>
    <w:p>
      <w:pPr>
        <w:pStyle w:val="Titre3"/>
        <w:numPr>
          <w:ilvl w:val="2"/>
          <w:numId w:val="2"/>
        </w:numPr>
        <w:rPr/>
      </w:pPr>
      <w:bookmarkStart w:id="93" w:name="__RefHeading___Toc298360_1346298689"/>
      <w:bookmarkEnd w:id="93"/>
      <w:r>
        <w:rPr/>
        <w:t>41. Forslag: Lovlig migration</w:t>
      </w:r>
    </w:p>
    <w:p>
      <w:pPr>
        <w:pStyle w:val="P68B1DB1Normal15"/>
        <w:rPr>
          <w:b/>
          <w:b/>
        </w:rPr>
      </w:pPr>
      <w:r>
        <w:rPr/>
        <w:t>Formål: Styrkelse af EU's rolle i forbindelse med lovlig migration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66"/>
      </w:r>
      <w:r>
        <w:rPr/>
        <w:t>:</w:t>
      </w:r>
    </w:p>
    <w:p>
      <w:pPr>
        <w:pStyle w:val="ListBullet4"/>
        <w:tabs>
          <w:tab w:val="clear" w:pos="720"/>
        </w:tabs>
        <w:rPr/>
      </w:pPr>
      <w:r>
        <w:rPr/>
        <w:t>1.</w:t>
        <w:tab/>
        <w:t>Iværksætte en kommunikationskampagne på europæisk plan for at sikre, at Eures (det europæiske arbejdsformidlingsnetværk), EU's indvandringsportal og det europæiske værktøj til profilering af færdigheder for tredjelandsstatsborgere er bedre kendt af europæiske borgere og anvendes hyppigere af EU-virksomheder, når de rekrutterer (anbefaling 6).</w:t>
      </w:r>
    </w:p>
    <w:p>
      <w:pPr>
        <w:pStyle w:val="ListBullet4"/>
        <w:tabs>
          <w:tab w:val="clear" w:pos="720"/>
        </w:tabs>
        <w:rPr/>
      </w:pPr>
      <w:r>
        <w:rPr/>
        <w:t>2.</w:t>
        <w:tab/>
        <w:t>Oprettelse af en europæisk enhed for migranters adgang til EU's arbejdsmarked eller, hvis dette ikke er muligt, udvidelse af kompetencerne i det europæiske arbejdsformidlingsnetværk (Eures), f.eks. forbedring af projekter vedrørende talenttiltrækning (anbefaling nr. 7 og drøftelse i arbejdsgruppen), med mulighed for at imødekomme udbuddet af og efterspørgslen efter kvalifikationer online i afgangslandet på grundlag af evalueringskriterier (anbefaling nr. 9 og debat i arbejdsgruppen). Unionen bør tilskynde medlemsstaterne til at forenkle processen for modtagelse og integration af lovlige migranter og deres adgang til EU's arbejdsmarked ved at forbedre interoperabiliteten mellem de forskellige berørte forvaltninger (forhandling i arbejdsgruppen).</w:t>
      </w:r>
    </w:p>
    <w:p>
      <w:pPr>
        <w:pStyle w:val="ListBullet4"/>
        <w:tabs>
          <w:tab w:val="clear" w:pos="720"/>
        </w:tabs>
        <w:rPr/>
      </w:pPr>
      <w:r>
        <w:rPr/>
        <w:t>3.</w:t>
        <w:tab/>
        <w:t>Forbedre funktionen og gennemførelsen af direktivet om det blå kort for at tiltrække de færdigheder, som EU's økonomi har brug for (henstilling nr. 7 og debat i arbejdsgruppen) under behørig hensyntagen til risikoen for hjerneflugt (i henhold til foranstaltning 1 i forslag 42).</w:t>
      </w:r>
    </w:p>
    <w:p>
      <w:pPr>
        <w:pStyle w:val="ListBullet4"/>
        <w:tabs>
          <w:tab w:val="clear" w:pos="720"/>
        </w:tabs>
        <w:rPr/>
      </w:pPr>
      <w:r>
        <w:rPr/>
        <w:t>4.</w:t>
        <w:tab/>
        <w:t>Fremme opadgående konvergens i arbejdsvilkårene på en harmonisk måde i hele Unionen for at tackle uligheder i arbejdsvilkår, sikre en effektiv EU-politik for arbejdskraftmigration og forsvare arbejdstagernes rettigheder. I den forbindelse styrkes fagforeningernes rolle på nationalt og tværnationalt plan (anbefaling nr. 28 og debat i arbejdsgruppen) i samarbejde med arbejdsgiverorganisationer (forhandling på plenarmødet).</w:t>
      </w:r>
    </w:p>
    <w:p>
      <w:pPr>
        <w:pStyle w:val="ListBullet4"/>
        <w:tabs>
          <w:tab w:val="clear" w:pos="720"/>
        </w:tabs>
        <w:rPr/>
      </w:pPr>
      <w:r>
        <w:rPr/>
        <w:t>5.</w:t>
        <w:tab/>
        <w:t>Intensivere indsatsen for at informere og oplyse medlemsstaternes borgere om migrations- og integrationsspørgsmål (henstilling 30, LT-panelets henstilling 9 og debat i arbejdsgruppen).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Forslag: Irregulær migration</w:t>
      </w:r>
    </w:p>
    <w:p>
      <w:pPr>
        <w:pStyle w:val="P68B1DB1Normal15"/>
        <w:rPr>
          <w:b/>
          <w:b/>
        </w:rPr>
      </w:pPr>
      <w:r>
        <w:rPr/>
        <w:t>Formål: Styrkelse af Unionens rolle i bekæmpelsen af alle former for irregulær migration og styrkelsen af beskyttelsen af Den Europæiske Unions ydre grænser under overholdelse af menneskerettighederne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67"/>
      </w:r>
      <w:r>
        <w:rPr/>
        <w:t>:</w:t>
      </w:r>
    </w:p>
    <w:p>
      <w:pPr>
        <w:pStyle w:val="ListBullet4"/>
        <w:tabs>
          <w:tab w:val="clear" w:pos="720"/>
        </w:tabs>
        <w:rPr/>
      </w:pPr>
      <w:r>
        <w:rPr/>
        <w:t>1.</w:t>
        <w:tab/>
        <w:t>Deltage aktivt, f.eks. gennem partnerskabsaftaler, i den økonomiske og sociale udvikling i lande uden for EU, og hvorfra der er en stor tilstrømning af migranter, for at tackle de grundlæggende årsager til migration, herunder klimaændringer. Disse foranstaltninger bør være gennemsigtige og give håndgribelige resultater med målbare virkninger, som bør formidles klart til EU-borgerne (anbefaling 27, NL henstilling 3 og debat i arbejdsgruppen).</w:t>
      </w:r>
    </w:p>
    <w:p>
      <w:pPr>
        <w:pStyle w:val="ListBullet4"/>
        <w:tabs>
          <w:tab w:val="clear" w:pos="720"/>
        </w:tabs>
        <w:rPr/>
      </w:pPr>
      <w:r>
        <w:rPr/>
        <w:t>2.</w:t>
        <w:tab/>
        <w:t>Sikre beskyttelsen af alle de ydre grænser ved at forbedre gennemsigtigheden og ansvarligheden i Frontex og styrke Frontex' rolle (henstilling nr. 8 og debat i arbejdsgruppen) og tilpasse EU-lovgivningen for bedre at tackle de aktuelle udfordringer i forbindelse med irregulær migration, såsom menneskehandel, menneskehandel, seksuel udnyttelse, hybride angreb begået af stater, der udnytter migranter, og krænkelse af menneskerettighederne (henstilling LT 10 og debat i arbejdsgruppen).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Forslag: Irregulær migration (a)</w:t>
      </w:r>
    </w:p>
    <w:p>
      <w:pPr>
        <w:pStyle w:val="P68B1DB1Normal15"/>
        <w:rPr>
          <w:b/>
          <w:b/>
        </w:rPr>
      </w:pPr>
      <w:r>
        <w:rPr/>
        <w:t>Formål: Anvende fælles regler ensartet i alle medlemsstater med hensyn til første modtagelse af migranter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68"/>
      </w:r>
      <w:r>
        <w:rPr/>
        <w:t>:</w:t>
      </w:r>
    </w:p>
    <w:p>
      <w:pPr>
        <w:pStyle w:val="ListBullet4"/>
        <w:tabs>
          <w:tab w:val="clear" w:pos="720"/>
        </w:tabs>
        <w:rPr/>
      </w:pPr>
      <w:r>
        <w:rPr/>
        <w:t>1.</w:t>
        <w:tab/>
        <w:t>Udvikle EU-dækkende foranstaltninger for at sikre sikkerheden og sundheden for alle migranter, navnlig gravide kvinder, børn, uledsagede mindreårige og alle sårbare personer (henstilling 10 og 38 og debat i arbejdsgruppen).</w:t>
      </w:r>
    </w:p>
    <w:p>
      <w:pPr>
        <w:pStyle w:val="Normal"/>
        <w:rPr/>
      </w:pPr>
      <w:r>
        <w:rPr/>
      </w:r>
    </w:p>
    <w:p>
      <w:pPr>
        <w:pStyle w:val="ListBullet4"/>
        <w:tabs>
          <w:tab w:val="clear" w:pos="720"/>
        </w:tabs>
        <w:rPr/>
      </w:pPr>
      <w:r>
        <w:rPr/>
        <w:t>2.</w:t>
        <w:tab/>
        <w:t>Øge EU's finansielle, logistiske og operationelle støtte, herunder til lokale myndigheder, regionale beslutningstagere og civilsamfundsorganisationer, til forvaltning af den første modtagelse, hvilket kan føre til integration af flygtninge eller regulære migranter i EU og hjemsendelse af irregulære migranter (henstilling 35 og debat i arbejdsgruppen).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Forslag: Asyl, integration</w:t>
      </w:r>
    </w:p>
    <w:p>
      <w:pPr>
        <w:pStyle w:val="P68B1DB1Normal15"/>
        <w:rPr>
          <w:b/>
          <w:b/>
        </w:rPr>
      </w:pPr>
      <w:r>
        <w:rPr/>
        <w:t>Formål: Styrkelse af Unionens rolle og reform af det europæiske asylsystem på grundlag af principperne om solidaritet og rimelig ansvarsfordeling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69"/>
      </w:r>
      <w:r>
        <w:rPr/>
        <w:t>:</w:t>
      </w:r>
    </w:p>
    <w:p>
      <w:pPr>
        <w:pStyle w:val="ListBullet4"/>
        <w:tabs>
          <w:tab w:val="clear" w:pos="720"/>
        </w:tabs>
        <w:rPr/>
      </w:pPr>
      <w:r>
        <w:rPr/>
        <w:t>1.</w:t>
        <w:tab/>
        <w:t>Vedtage fælles EU-regler for procedurer for behandling af ansøgninger om international beskyttelse i medlemsstaterne, som finder ensartet anvendelse på alle asylansøgere. Disse procedurer skal respektere den menneskelige værdighed og folkeretten (henstilling 29, IT-henstilling 3.8 og 4.4, s. 15 og debat i arbejdsgruppen). Da modtagelse af asylansøgere involverer forskellige aktører på nationalt plan, bør Unionen tilskynde medlemsstaterne til at forenkle og fremskynde denne proces ved at forbedre interoperabiliteten mellem de forskellige berørte myndigheder og oprette et fælles kontor (vindue eller fælles kontaktpunkt) for asylansøgere med henblik på at strømline de nationale administrative procedurer (henstilling 37 og debat i arbejdsgruppen).</w:t>
      </w:r>
    </w:p>
    <w:p>
      <w:pPr>
        <w:pStyle w:val="ListBullet4"/>
        <w:tabs>
          <w:tab w:val="clear" w:pos="720"/>
        </w:tabs>
        <w:rPr/>
      </w:pPr>
      <w:r>
        <w:rPr/>
        <w:t>2.</w:t>
        <w:tab/>
        <w:t>Revidere Dublinsystemet for at sikre solidaritet og rimelig ansvarsfordeling, herunder fordelingen af migranter mellem medlemsstaterne der kunne også overvejes andre former for støtte (anbefalinger 33, 36, 37 og 40; LT henstilling nr. 2 henstilling IT 3.8 (s. 15) og NL 2, debat i arbejdsgruppen og debat på plenarmødet.</w:t>
      </w:r>
    </w:p>
    <w:p>
      <w:pPr>
        <w:pStyle w:val="ListBullet4"/>
        <w:tabs>
          <w:tab w:val="clear" w:pos="720"/>
        </w:tabs>
        <w:rPr/>
      </w:pPr>
      <w:r>
        <w:rPr/>
        <w:t>3.</w:t>
        <w:tab/>
        <w:t>Styrke minimumsstandarderne for modtagelse af asylansøgere i direktiv 2013/33/EU gennem strengere lovgivningsmæssige foranstaltninger til forbedring af modtagelsesfaciliteter og indkvartering (CEP's henstilling 31, IT-henstilling 5.6, s. 11 og debat i arbejdsgruppen).</w:t>
      </w:r>
    </w:p>
    <w:p>
      <w:pPr>
        <w:pStyle w:val="ListBullet4"/>
        <w:tabs>
          <w:tab w:val="clear" w:pos="720"/>
        </w:tabs>
        <w:rPr/>
      </w:pPr>
      <w:r>
        <w:rPr/>
        <w:t>4.</w:t>
        <w:tab/>
        <w:t>Der bør lægges særlig vægt på gravide kvinder, børn og navnlig uledsagede mindreårige (anbefaling nr. 38 og drøftelse i arbejdsgruppen).</w:t>
      </w:r>
    </w:p>
    <w:p>
      <w:pPr>
        <w:pStyle w:val="ListBullet4"/>
        <w:tabs>
          <w:tab w:val="clear" w:pos="720"/>
        </w:tabs>
        <w:rPr/>
      </w:pPr>
      <w:r>
        <w:rPr/>
        <w:t>5.</w:t>
        <w:tab/>
        <w:t>Styrke og øge de finansielle og menneskelige ressourcer og forvaltningskapaciteten i Den Europæiske Unions Asylagentur til at koordinere og forvalte omfordelingen af asylansøgere inden for EU's medlemsstater med henblik på at opnå en retfærdig fordeling (henstilling 36 og 37, henstilling 3 til LT og debat i arbejdsgruppen).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Forslag: Asyl, integration(a)</w:t>
      </w:r>
    </w:p>
    <w:p>
      <w:pPr>
        <w:pStyle w:val="P68B1DB1Normal15"/>
        <w:rPr>
          <w:b/>
          <w:b/>
        </w:rPr>
      </w:pPr>
      <w:r>
        <w:rPr/>
        <w:t>Formål: Forbedring af integrationspolitikkerne i alle medlemsstater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rPr>
        <w:endnoteReference w:id="170"/>
      </w:r>
      <w:r>
        <w:rPr/>
        <w:t>:</w:t>
      </w:r>
    </w:p>
    <w:p>
      <w:pPr>
        <w:pStyle w:val="ListBullet4"/>
        <w:tabs>
          <w:tab w:val="clear" w:pos="720"/>
        </w:tabs>
        <w:rPr/>
      </w:pPr>
      <w:r>
        <w:rPr/>
        <w:t>1.</w:t>
        <w:tab/>
        <w:t>Unionen sikrer også med deltagelse af lokale og regionale myndigheder og civilsamfundets organisationer, at alle asylansøgere og flygtninge deltager i sprog- og integrationskurser og -aktiviteter samt erhvervsuddannelse under behandlingen af deres ansøgning om ophold (henstilling nr. 32, henstilling FR nr. 13, debat i arbejdsgruppen og debat på plenarmødet).</w:t>
      </w:r>
    </w:p>
    <w:p>
      <w:pPr>
        <w:pStyle w:val="ListBullet4"/>
        <w:tabs>
          <w:tab w:val="clear" w:pos="720"/>
        </w:tabs>
        <w:rPr/>
      </w:pPr>
      <w:r>
        <w:rPr/>
        <w:t>2.</w:t>
        <w:tab/>
        <w:t>Asylansøgere med de rette kvalifikationer bør have adgang til arbejdsmarkedet, om muligt med henblik på at styrke deres autonomi, i hele Unionen (anbefaling nr. 7 og debat i arbejdsgruppen).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Billed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lede29"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Uddannelse, kultur, ungdom og sport</w:t>
      </w:r>
    </w:p>
    <w:p>
      <w:pPr>
        <w:pStyle w:val="Titre3"/>
        <w:numPr>
          <w:ilvl w:val="2"/>
          <w:numId w:val="2"/>
        </w:numPr>
        <w:rPr/>
      </w:pPr>
      <w:bookmarkStart w:id="99" w:name="__RefHeading___Toc298372_1346298689"/>
      <w:bookmarkEnd w:id="99"/>
      <w:r>
        <w:rPr/>
        <w:t>46. Forslag: Uddannelse</w:t>
      </w:r>
    </w:p>
    <w:p>
      <w:pPr>
        <w:pStyle w:val="P68B1DB1Normal15"/>
        <w:rPr>
          <w:b/>
          <w:b/>
        </w:rPr>
      </w:pPr>
      <w:r>
        <w:rPr/>
        <w:t>Formål: EU og dets medlemsstater bør bestræbe sig på senest i 2025 at etablere et inklusivt europæisk uddannelsesområde, hvor alle borgere har lige adgang til livslang læring og uddannelse af høj kvalitet, herunder personer, der bor i landdistrikter og fjerntliggende områder. Med henblik herpå bør Den Europæiske Union og dens medlemsstater navnlig:</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Koordinere niveauet for alle de forskellige uddannelsesprogrammer i Den Europæiske Union ved at acceptere nationalt, regionalt og lokalt indhold og skabe tættere forbindelser mellem uddannelsessystemerne, navnlig gennem ligestilling af eksamensbeviser</w:t>
      </w:r>
      <w:r>
        <w:rPr>
          <w:rStyle w:val="Ancredenotedefin"/>
          <w:rStyle w:val="Ancredenotedefin"/>
        </w:rPr>
        <w:endnoteReference w:id="171"/>
      </w:r>
      <w:r>
        <w:rPr/>
        <w:t>. En certificeret minimumsstandard for undervisning i vigtige fag bør vedtages så tidligt som i grundskolen</w:t>
      </w:r>
      <w:r>
        <w:rPr>
          <w:rStyle w:val="Ancredenotedefin"/>
          <w:rStyle w:val="Ancredenotedefin"/>
        </w:rPr>
        <w:endnoteReference w:id="172"/>
      </w:r>
      <w:r>
        <w:rPr/>
        <w:t>171. Der bør fastlægges delte kompetencer på uddannelsesområdet, i det mindste med hensyn til undervisning i medborgerkundskab, og Unionens udøvelse af denne kompetence kan ikke forhindre medlemsstaterne i at udøve deres egne kompetencer. Eksamensbeviser og erhvervsuddannelser bør valideres og anerkendes gensidigt i alle EU's medlemsstater</w:t>
      </w:r>
      <w:r>
        <w:rPr>
          <w:rStyle w:val="Ancredenotedefin"/>
          <w:rStyle w:val="Ancredenotedefin"/>
        </w:rPr>
        <w:endnoteReference w:id="173"/>
      </w:r>
      <w:r>
        <w:rPr/>
        <w:t>. Den Europæiske Union bør også udnytte anerkendelsen af ikkeformel</w:t>
      </w:r>
      <w:r>
        <w:rPr>
          <w:rStyle w:val="Ancredenotedefin"/>
          <w:rStyle w:val="Ancredenotedefin"/>
        </w:rPr>
        <w:endnoteReference w:id="174"/>
      </w:r>
      <w:r>
        <w:rPr/>
        <w:t xml:space="preserve"> og uformel læring og ungdomsorganisationer, der tilbyder den, samt læringsophold i udlandet.</w:t>
      </w:r>
    </w:p>
    <w:p>
      <w:pPr>
        <w:pStyle w:val="ListBullet4"/>
        <w:tabs>
          <w:tab w:val="clear" w:pos="720"/>
        </w:tabs>
        <w:rPr/>
      </w:pPr>
      <w:r>
        <w:rPr/>
        <w:t>2.</w:t>
        <w:tab/>
        <w:t>Udvikling af fremtidssikret livslang læring og uddannelse i Europa — i overensstemmelse med retten til uddannelse på arbejdspladsen for alle — med fokus på følgende aspekter:</w:t>
        <w:br/>
        <w:t>Borgeroplysning om demokratiske processer og EU's værdier og Europas historie</w:t>
      </w:r>
      <w:r>
        <w:rPr>
          <w:rStyle w:val="Ancredenotedefin"/>
          <w:rStyle w:val="Ancredenotedefin"/>
        </w:rPr>
        <w:endnoteReference w:id="175"/>
      </w:r>
      <w:r>
        <w:rPr/>
        <w:t>. Det bør gøres til et fælles modul, der skal undervises i alle medlemsstater. Kendskabet til økonomi bør også forbedres for at muliggøre en bedre forståelse af den europæiske integrationsproces</w:t>
      </w:r>
      <w:r>
        <w:rPr>
          <w:rStyle w:val="Ancredenotedefin"/>
          <w:rStyle w:val="Ancredenotedefin"/>
        </w:rPr>
        <w:endnoteReference w:id="176"/>
      </w:r>
      <w:r>
        <w:rPr/>
        <w:t>.</w:t>
        <w:br/>
        <w:t>− Digitale færdigheder</w:t>
      </w:r>
      <w:r>
        <w:rPr>
          <w:rStyle w:val="Ancredenotedefin"/>
          <w:rStyle w:val="Ancredenotedefin"/>
        </w:rPr>
        <w:endnoteReference w:id="177"/>
      </w:r>
      <w:r>
        <w:rPr/>
        <w:t>.</w:t>
        <w:br/>
        <w:t>STIMNING</w:t>
      </w:r>
      <w:r>
        <w:rPr>
          <w:rStyle w:val="Ancredenotedefin"/>
          <w:rStyle w:val="Ancredenotedefin"/>
        </w:rPr>
        <w:endnoteReference w:id="178"/>
      </w:r>
      <w:r>
        <w:rPr/>
        <w:br/>
        <w:t>− Iværksætteri og forskning.</w:t>
        <w:br/>
        <w:t>Udvikling af kritisk tænkning. Mediekendskab bør forbedres for at sikre onlinesikkerhed og give borgerne i alle medlemsstater mulighed for uafhængigt at vurdere, om oplysninger er troværdige eller ej, og for at identificere falske oplysninger, samtidig med at de udnytter de muligheder, som internettet giver. Denne uddannelse bør omfatte tilrettelæggelse af specifikke kurser på grunduddannelsesniveau og bør tilbydes borgere i alle aldre i andre offentlige rum under ledelse af et specialiseret organ på EU-plan, idet der drages fordel af god praksis, der findes i alle medlemsstater. EU bør sikre, at de midler, der specifikt afsættes til disse aktiviteter, anvendes til det tilsigtede formål</w:t>
      </w:r>
      <w:r>
        <w:rPr>
          <w:rStyle w:val="Ancredenotedefin"/>
          <w:rStyle w:val="Ancredenotedefin"/>
        </w:rPr>
        <w:endnoteReference w:id="179"/>
      </w:r>
      <w:r>
        <w:rPr/>
        <w:t>.</w:t>
        <w:br/>
        <w:t>integration af ikke-tekniske færdigheder i alle kurser i skolernes læseplaner. Ikke-teknisk kompetence betyder: gensidig lytning, dialog, modstandsdygtighed, forståelse, respekt og påskønnelse af andre, kritisk tænkning, selvlæring og forblive nysgerrig og</w:t>
      </w:r>
      <w:r>
        <w:rPr>
          <w:rStyle w:val="Ancredenotedefin"/>
          <w:rStyle w:val="Ancredenotedefin"/>
        </w:rPr>
        <w:endnoteReference w:id="180"/>
      </w:r>
      <w:r>
        <w:rPr/>
        <w:t>resultatorienteret Give alle mulighed for at lære mere om miljømæssig bæredygtighed og dens forbindelser til sundhed. Biodiversitet bør være et obligatorisk emne i skolen. Det bør starte i skolen med specifikke emner, der omhandler alle økologiske spørgsmål, og omfatte udflugter for at præsentere relevante reelle eksempler, alt sammen ved hjælp af et finansieringsprogram</w:t>
      </w:r>
      <w:r>
        <w:rPr>
          <w:rStyle w:val="Ancredenotedefin"/>
          <w:rStyle w:val="Ancredenotedefin"/>
        </w:rPr>
        <w:endnoteReference w:id="181"/>
      </w:r>
      <w:r>
        <w:rPr/>
        <w:t xml:space="preserve">. </w:t>
        <w:br/>
        <w:t>Bekæmpelse af mobning i skoler og racisme.</w:t>
      </w:r>
    </w:p>
    <w:p>
      <w:pPr>
        <w:pStyle w:val="ListBullet4"/>
        <w:tabs>
          <w:tab w:val="clear" w:pos="720"/>
        </w:tabs>
        <w:rPr/>
      </w:pPr>
      <w:r>
        <w:rPr/>
        <w:t>3.</w:t>
        <w:tab/>
        <w:t>Støtte læreruddannelsen</w:t>
      </w:r>
      <w:r>
        <w:rPr>
          <w:rStyle w:val="Ancredenotedefin"/>
          <w:rStyle w:val="Ancredenotedefin"/>
        </w:rPr>
        <w:endnoteReference w:id="182"/>
      </w:r>
      <w:r>
        <w:rPr/>
        <w:t>med henblik på at lære af bedste praksis og anvende ajourførte innovative og kreative undervisningsteknikker, der afspejler udviklingen af pædagogiske metoder, herunder praktiske aktiviteter, der også bygger på erfaringerne fra covid-19-pandemien og andre typer kriser, samt fremme mobilitetsmuligheder</w:t>
      </w:r>
      <w:r>
        <w:rPr>
          <w:rStyle w:val="Ancredenotedefin"/>
          <w:rStyle w:val="Ancredenotedefin"/>
        </w:rPr>
        <w:endnoteReference w:id="183"/>
      </w:r>
      <w:r>
        <w:rPr/>
        <w:t>.</w:t>
      </w:r>
    </w:p>
    <w:p>
      <w:pPr>
        <w:pStyle w:val="ListBullet4"/>
        <w:tabs>
          <w:tab w:val="clear" w:pos="720"/>
        </w:tabs>
        <w:rPr/>
      </w:pPr>
      <w:r>
        <w:rPr/>
        <w:t>4.</w:t>
        <w:tab/>
        <w:t>For at opfylde alle børns og familiers uddannelsesbehov prioriteres adgang til udstyr og effektiv bredbåndsforbindelse</w:t>
      </w:r>
      <w:r>
        <w:rPr>
          <w:rStyle w:val="Ancredenotedefin"/>
          <w:rStyle w:val="Ancredenotedefin"/>
        </w:rPr>
        <w:endnoteReference w:id="184"/>
      </w:r>
      <w:r>
        <w:rPr/>
        <w:t>.</w:t>
      </w:r>
    </w:p>
    <w:p>
      <w:pPr>
        <w:pStyle w:val="ListBullet4"/>
        <w:tabs>
          <w:tab w:val="clear" w:pos="720"/>
        </w:tabs>
        <w:rPr/>
      </w:pPr>
      <w:r>
        <w:rPr/>
        <w:t>5.</w:t>
        <w:tab/>
        <w:t>Oprette en informationsplatform for udveksling af viden og erfaringer på EU-plan ved at udveksle oplysninger om tværnationale uddannelses- og erhvervsuddannelseskurser i Unionen, præsentere eksempler på bedste praksis og give borgerne mulighed for at fremlægge nye idéer til grænseoverskridende udvekslinger. Den bør levere undervisningsmateriale om klimaændringer, miljøspørgsmål og digitalisering og give oplysninger om eksisterende specialiserede fora om hovedtemaerne</w:t>
      </w:r>
      <w:r>
        <w:rPr>
          <w:rStyle w:val="Ancredenotedefin"/>
          <w:rStyle w:val="Ancredenotedefin"/>
        </w:rPr>
        <w:endnoteReference w:id="185"/>
      </w:r>
      <w:r>
        <w:rPr/>
        <w:t>. — Dette kunne ledsages af et finansieringsprogram til støtte for anvendelsen og udnyttelsen af platformens oplysninger.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Forslag: Spørgsmål vedrørende europæiske unge</w:t>
      </w:r>
    </w:p>
    <w:p>
      <w:pPr>
        <w:pStyle w:val="P68B1DB1Normal15"/>
        <w:rPr>
          <w:b/>
          <w:b/>
        </w:rPr>
      </w:pPr>
      <w:r>
        <w:rPr/>
        <w:t>Formål: EU og dets medlemsstater bør fokusere på unges specifikke behov i alle relevante politikker, herunder EU's regionalpolitik, for at give dem de bedst mulige betingelser for at studere og arbejde og starte et selvstændigt liv, samtidig med at de inddrages i det demokratiske liv og beslutningsprocesserne, herunder på europæisk plan. Ungdomsorganisationerne spiller en central rolle. For at nå dette mål foreslår vi følgende: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Give unge flere muligheder for deltagelse og repræsentation i demokratiske processer og beslutningsprocesser på alle niveauer og støtte eksisterende programmer på dette område, herunder ved at organisere borgerpaneler med børn (f.eks. 10-16 år) i skolerne. Europæiske repræsentanter kunne mødes med skolebørn i deres skoler for at styrke borgernes nærhed og forståelse af Europa fra en tidlig alder</w:t>
      </w:r>
      <w:r>
        <w:rPr>
          <w:rStyle w:val="Ancredenotedefin"/>
          <w:rStyle w:val="Ancredenotedefin"/>
        </w:rPr>
        <w:endnoteReference w:id="186"/>
      </w:r>
      <w:r>
        <w:rPr/>
        <w:t>. For at alle EU's politiske beslutninger kan analyseres af ungdomsområdet, bør der udvikles en "ungdomstest" på europæisk plan for at sikre, at alle nye politiske og lovgivningsmæssige forslag gøres til genstand for en konsekvensanalyse med fokus på unge, herunder en høring af unge.</w:t>
      </w:r>
    </w:p>
    <w:p>
      <w:pPr>
        <w:pStyle w:val="ListBullet4"/>
        <w:tabs>
          <w:tab w:val="clear" w:pos="720"/>
        </w:tabs>
        <w:rPr/>
      </w:pPr>
      <w:r>
        <w:rPr/>
        <w:t>2.</w:t>
        <w:tab/>
        <w:t>Det bør drøftes og overvejes, om der gives stemmeret fra det fyldte 16. år ved valg til Europa-Parlamentet sammen med en styrkelse af undervisningen i medborgerskab og om EU. De nationale politiske partier bør også sikre, at yngre kandidater opføres på deres lister til valg til Europa-Parlamentet</w:t>
      </w:r>
      <w:r>
        <w:rPr>
          <w:rStyle w:val="Ancredenotedefin"/>
          <w:rStyle w:val="Ancredenotedefin"/>
        </w:rPr>
        <w:endnoteReference w:id="187"/>
      </w:r>
      <w:r>
        <w:rPr/>
        <w:t>.</w:t>
      </w:r>
    </w:p>
    <w:p>
      <w:pPr>
        <w:pStyle w:val="ListBullet4"/>
        <w:tabs>
          <w:tab w:val="clear" w:pos="720"/>
        </w:tabs>
        <w:rPr/>
      </w:pPr>
      <w:r>
        <w:rPr/>
        <w:t>3.</w:t>
        <w:tab/>
        <w:t>Bedre forberedelse af unge til at komme ind i arbejdsstyrken, give gymnasieelever (fra 12 år) mulighed for at deltage i kvalitetsobservationsbesøg i nonprofitorganisationer og nonprofitorganisationer i tæt samarbejde mellem skoler, lokale myndigheder og relevante organisationer og virksomheder</w:t>
      </w:r>
      <w:r>
        <w:rPr>
          <w:rStyle w:val="Ancredenotedefin"/>
          <w:rStyle w:val="Ancredenotedefin"/>
        </w:rPr>
        <w:endnoteReference w:id="188"/>
      </w:r>
      <w:r>
        <w:rPr/>
        <w:t>. Disse besøg bør betragtes som en del af en bredere karrierevejledningsproces inden for formel uddannelse for at give unge mulighed for at få en første kontakt med arbejdsmarkedet for at kunne vejlede deres faglige valg og/eller overveje at blive iværksætter.</w:t>
      </w:r>
    </w:p>
    <w:p>
      <w:pPr>
        <w:pStyle w:val="ListBullet4"/>
        <w:tabs>
          <w:tab w:val="clear" w:pos="720"/>
        </w:tabs>
        <w:rPr/>
      </w:pPr>
      <w:r>
        <w:rPr/>
        <w:t>4.</w:t>
        <w:tab/>
        <w:t>Større EU-finansiering under NextGenerationEU bør også afsættes til gennemførelsen af den forbedrede europæiske ungdomsgaranti, herunder større engagement, øget bevidsthed, forbedret udbudskvalitet, finansiering og indsats fra alle medlemsstaters og relevante myndighedsniveauers side. Da ungdomsorganisationer er bedre i stand til at identificere unges behov, bør de nationale regeringer samarbejde med ungdomsorganisationer gennem en tæt dialog for at sikre den mest effektive gennemførelse af ungdomsgarantien.</w:t>
      </w:r>
    </w:p>
    <w:p>
      <w:pPr>
        <w:pStyle w:val="ListBullet4"/>
        <w:tabs>
          <w:tab w:val="clear" w:pos="720"/>
        </w:tabs>
        <w:rPr/>
      </w:pPr>
      <w:r>
        <w:rPr/>
        <w:t>5.</w:t>
        <w:tab/>
        <w:t>Sikre, at praktikophold og job for unge overholder kvalitetsstandarderne, navnlig hvad angår aflønning, ved at sætte en stopper for mindstelønninger for unge og andre diskriminerende bestemmelser i ungdomsspecifik arbejdsret og ved at forbyde ulønnede praktikophold på arbejdsmarkedet og uden formel uddannelse ved hjælp af et retligt instrument</w:t>
      </w:r>
      <w:r>
        <w:rPr>
          <w:rStyle w:val="Ancredenotedefin"/>
          <w:rStyle w:val="Ancredenotedefin"/>
        </w:rPr>
        <w:endnoteReference w:id="189"/>
      </w:r>
      <w:r>
        <w:rPr/>
        <w:t>.</w:t>
      </w:r>
    </w:p>
    <w:p>
      <w:pPr>
        <w:pStyle w:val="ListBullet4"/>
        <w:tabs>
          <w:tab w:val="clear" w:pos="720"/>
        </w:tabs>
        <w:rPr/>
      </w:pPr>
      <w:r>
        <w:rPr/>
        <w:t>6.</w:t>
        <w:tab/>
        <w:t>Sikre en rimelig levestandard for unge, herunder adgang til social beskyttelse og boliger. Unge bør have adgang til et niveau af social beskyttelse, der svarer til niveauet for andre aldersgrupper. Unges adgang til økonomisk overkommelige boliger bør også lettes, bl.a. gennem EU-finansiering</w:t>
      </w:r>
      <w:r>
        <w:rPr>
          <w:rStyle w:val="Ancredenotedefin"/>
          <w:rStyle w:val="Ancredenotedefin"/>
        </w:rPr>
        <w:endnoteReference w:id="190"/>
      </w:r>
      <w:r>
        <w:rPr/>
        <w:t>.</w:t>
      </w:r>
    </w:p>
    <w:p>
      <w:pPr>
        <w:pStyle w:val="ListBullet4"/>
        <w:tabs>
          <w:tab w:val="clear" w:pos="720"/>
        </w:tabs>
        <w:rPr/>
      </w:pPr>
      <w:r>
        <w:rPr/>
        <w:t>7.</w:t>
        <w:tab/>
        <w:t>Der er behov for specifikke foranstaltninger for at forhindre hjerneflugt fra visse regioner og lande i Unionen på grund af utilstrækkelige muligheder for unge, samtidig med at Europa gøres mere attraktivt for at forhindre, at europæiske talenter og arbejdskraft flyver til tredjelande, for at undgå at underminere den territoriale samhørighed, navnlig i regioner, der lider et betydeligt tab af unge talenter, herunder gennem EU-finansiering</w:t>
      </w:r>
      <w:r>
        <w:rPr>
          <w:rStyle w:val="Ancredenotedefin"/>
          <w:rStyle w:val="Ancredenotedefin"/>
        </w:rPr>
        <w:endnoteReference w:id="191"/>
      </w:r>
      <w:r>
        <w:rPr/>
        <w:t>.</w:t>
      </w:r>
    </w:p>
    <w:p>
      <w:pPr>
        <w:pStyle w:val="ListBullet4"/>
        <w:tabs>
          <w:tab w:val="clear" w:pos="720"/>
        </w:tabs>
        <w:rPr/>
      </w:pPr>
      <w:r>
        <w:rPr/>
        <w:t>8.</w:t>
        <w:tab/>
        <w:t>I tilfælde af en alvorlig krise (f.eks. sundhedskrise, krig) bør veludformede planer med detaljerede scenarier være klar til at blive anvendt fleksibelt for at minimere indvirkningen på uddannelse, erhvervsuddannelse, overgangen til arbejdsmarkedet og unges mentale trivsel</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Forslag: Kultur og udvekslinger</w:t>
      </w:r>
    </w:p>
    <w:p>
      <w:pPr>
        <w:pStyle w:val="P68B1DB1Normal15"/>
        <w:rPr>
          <w:b/>
          <w:b/>
        </w:rPr>
      </w:pPr>
      <w:r>
        <w:rPr/>
        <w:t>Formål: For at fremme en udvekslingskultur og fremme europæisk identitet og mangfoldighed på forskellige områder bør medlemsstaterne med bistand fra Den Europæiske Union: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r>
        <w:rPr>
          <w:rStyle w:val="Ancredenotedefin"/>
          <w:rStyle w:val="Ancredenotedefin"/>
          <w:b/>
        </w:rPr>
        <w:endnoteReference w:id="193"/>
      </w:r>
      <w:r>
        <w:rPr/>
        <w:t>:</w:t>
      </w:r>
    </w:p>
    <w:p>
      <w:pPr>
        <w:pStyle w:val="ListBullet4"/>
        <w:tabs>
          <w:tab w:val="clear" w:pos="720"/>
        </w:tabs>
        <w:rPr/>
      </w:pPr>
      <w:r>
        <w:rPr/>
        <w:t>1.</w:t>
        <w:tab/>
        <w:t xml:space="preserve">Fremme europæiske udvekslinger på forskellige områder, både fysisk og digitalt, herunder uddannelsesudveksling, venskabsbyer, rejser og faglig mobilitet (især for lærere og lokale folkevalgte). </w:t>
      </w:r>
      <w:r>
        <w:rPr>
          <w:rStyle w:val="Ancredenotedefin"/>
          <w:rStyle w:val="Ancredenotedefin"/>
        </w:rPr>
        <w:endnoteReference w:id="194"/>
      </w:r>
      <w:r>
        <w:rPr/>
        <w:t>Med henblik herpå bør Unionen navnlig styrke eksisterende udvekslings- og mobilitetsprogrammer på EU-plan, såsom det europæiske solidaritetskorps, Erasmus+ og DiscoverEU, sikre en bredere og diversificeret deltagelse i disse programmer og overveje at tilføje nye elementer, f.eks. et yderligere mål for den civile tjeneste, der tilskyndes af frivilligt arbejde (for Det Europæiske Solidaritetskorps) og "kulturelle adgangstitler" (for DiscoverEU). De lokale og regionale myndigheder skal i Regionsudvalgets regi spille en ledende rolle på dette område.</w:t>
      </w:r>
    </w:p>
    <w:p>
      <w:pPr>
        <w:pStyle w:val="ListBullet4"/>
        <w:tabs>
          <w:tab w:val="clear" w:pos="720"/>
        </w:tabs>
        <w:rPr/>
      </w:pPr>
      <w:r>
        <w:rPr/>
        <w:t>2.</w:t>
        <w:tab/>
        <w:t>Fremme flersprogethed som en indgang til andre kulturer fra en tidlig alder. Regionale sprog og mindretalssprog skal beskyttes yderligere under hensyntagen til Europarådets konvention om mindretalssprog og rammekonventionen om beskyttelse af nationale mindretal. EU bør overveje at oprette en institution til fremme af sproglig mangfoldighed på europæisk plan. Børn bør fra grundskolen være forpligtet til at tilegne sig færdigheder på et aktivt EU-sprog, der ikke er deres eget, på det højest mulige niveau. For at lette de europæiske borgeres mulighed for at kommunikere med bredere grupper af andre europæere og som en faktor for europæisk samhørighed bør medlemsstaterne tilskynde til at lære sproget i EU-medlemsstater, der grænser direkte op til grænseregionerne, og opnå et certificeret engelskniveau</w:t>
      </w:r>
      <w:r>
        <w:rPr>
          <w:rStyle w:val="Ancredenotedefin"/>
          <w:rStyle w:val="Ancredenotedefin"/>
        </w:rPr>
        <w:endnoteReference w:id="195"/>
      </w:r>
      <w:r>
        <w:rPr/>
        <w:t>.</w:t>
      </w:r>
    </w:p>
    <w:p>
      <w:pPr>
        <w:pStyle w:val="ListBullet4"/>
        <w:tabs>
          <w:tab w:val="clear" w:pos="720"/>
        </w:tabs>
        <w:rPr/>
      </w:pPr>
      <w:r>
        <w:rPr/>
        <w:t>3.</w:t>
        <w:tab/>
        <w:t>Skabe muligheder for at dele europæiske kulturer, bringe folk tættere sammen og fremme en fælles europæisk identitet, f.eks. gennem arrangementer og møder, der involverer alle målgrupper, og som finder sted forskellige steder. Som eksempler kan nævnes tilrettelæggelsen af verdenskunstdage</w:t>
      </w:r>
      <w:r>
        <w:rPr>
          <w:rStyle w:val="Ancredenotedefin"/>
          <w:rStyle w:val="Ancredenotedefin"/>
        </w:rPr>
        <w:endnoteReference w:id="196"/>
      </w:r>
      <w:r>
        <w:rPr/>
        <w:t>, en europæisk udstilling med pædagogiske arrangementer eller omdannelsen af Europadagen (9. maj) til en officiel europæisk feriedag for alle EU-borgere</w:t>
      </w:r>
      <w:r>
        <w:rPr>
          <w:rStyle w:val="Ancredenotedefin"/>
          <w:rStyle w:val="Ancredenotedefin"/>
        </w:rPr>
        <w:endnoteReference w:id="197"/>
      </w:r>
      <w:r>
        <w:rPr/>
        <w:t>.</w:t>
      </w:r>
    </w:p>
    <w:p>
      <w:pPr>
        <w:pStyle w:val="ListBullet4"/>
        <w:tabs>
          <w:tab w:val="clear" w:pos="720"/>
        </w:tabs>
        <w:rPr/>
      </w:pPr>
      <w:r>
        <w:rPr/>
      </w:r>
    </w:p>
    <w:p>
      <w:pPr>
        <w:pStyle w:val="ListBullet4"/>
        <w:tabs>
          <w:tab w:val="clear" w:pos="720"/>
        </w:tabs>
        <w:rPr/>
      </w:pPr>
      <w:r>
        <w:rPr/>
        <w:t>4.</w:t>
        <w:tab/>
        <w:t>At beskytte den europæiske kulturarv og den europæiske kultur,</w:t>
      </w:r>
      <w:r>
        <w:rPr>
          <w:rStyle w:val="Ancredenotedefin"/>
          <w:rStyle w:val="Ancredenotedefin"/>
        </w:rPr>
        <w:endnoteReference w:id="198"/>
      </w:r>
      <w:r>
        <w:rPr/>
        <w:t>navnlig ved at anerkende lokale og regionale særegenheder på kultur- og produktionsområdet,</w:t>
      </w:r>
      <w:r>
        <w:rPr>
          <w:rStyle w:val="Ancredenotedefin"/>
          <w:rStyle w:val="Ancredenotedefin"/>
        </w:rPr>
        <w:endnoteReference w:id="199"/>
      </w:r>
      <w:r>
        <w:rPr/>
        <w:t>ved hjælp af nye initiativer for at bevare og fejre den, gennem mobilitet for at fremme udveksling af kulturarv og ved at fremme eksisterende foranstaltninger såsom Et Kreativt Europa, det nye europæiske Bauhaus, venskabsbyprogrammerne og de europæiske kulturhovedstæder i overensstemmelse med målene for bæredygtig udvikling.</w:t>
      </w:r>
    </w:p>
    <w:p>
      <w:pPr>
        <w:pStyle w:val="ListBullet4"/>
        <w:tabs>
          <w:tab w:val="clear" w:pos="720"/>
        </w:tabs>
        <w:rPr/>
      </w:pPr>
      <w:r>
        <w:rPr/>
        <w:t>5.</w:t>
        <w:tab/>
        <w:t>Træffe foranstaltninger til at sikre, at kulturarbejdere beskyttes tilstrækkeligt på EU-plan, navnlig i fremtidige kriser, gennem vedtagelse af en retlig statut på europæisk plan.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Forslag: Sport</w:t>
      </w:r>
    </w:p>
    <w:p>
      <w:pPr>
        <w:pStyle w:val="P68B1DB1Normal15"/>
        <w:rPr>
          <w:b/>
          <w:b/>
        </w:rPr>
      </w:pPr>
      <w:r>
        <w:rPr/>
        <w:t>Formål: Sport er afgørende for vores samfund — for at forsvare vores værdier, føre en sund livsstil og alder ved godt helbred, fremme en udvekslingskultur og fejre den europæiske kulturarvs mangfoldighed. Derfor bør medlemsstaterne med bistand fra Den Europæiske Union bestræbe sig på at: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Foranstaltninger:</w:t>
      </w:r>
    </w:p>
    <w:p>
      <w:pPr>
        <w:pStyle w:val="ListBullet4"/>
        <w:tabs>
          <w:tab w:val="clear" w:pos="720"/>
        </w:tabs>
        <w:rPr/>
      </w:pPr>
      <w:r>
        <w:rPr/>
        <w:t>1.</w:t>
        <w:tab/>
        <w:t>Fremhæve værdier, navnlig ligestilling mellem kønnene, lighed og inklusion, som konkret kan afspejles i idrætsudøvelsen under hele uddannelsesforløbet.</w:t>
      </w:r>
    </w:p>
    <w:p>
      <w:pPr>
        <w:pStyle w:val="ListBullet4"/>
        <w:tabs>
          <w:tab w:val="clear" w:pos="720"/>
        </w:tabs>
        <w:rPr/>
      </w:pPr>
      <w:r>
        <w:rPr/>
        <w:t>2.</w:t>
        <w:tab/>
        <w:t>Øge bevidstheden om de sundhedsmæssige fordele ved sport og fysisk aktivitet</w:t>
      </w:r>
      <w:r>
        <w:rPr>
          <w:rStyle w:val="Ancredenotedefin"/>
          <w:rStyle w:val="Ancredenotedefin"/>
        </w:rPr>
        <w:endnoteReference w:id="200"/>
      </w:r>
      <w:r>
        <w:rPr/>
        <w:t>.</w:t>
      </w:r>
    </w:p>
    <w:p>
      <w:pPr>
        <w:pStyle w:val="ListBullet4"/>
        <w:tabs>
          <w:tab w:val="clear" w:pos="720"/>
        </w:tabs>
        <w:rPr/>
      </w:pPr>
      <w:r>
        <w:rPr/>
        <w:t>3.</w:t>
        <w:tab/>
        <w:t>Integrere sportsaktiviteter i udvekslings- og mobilitetsprogrammer på EU-plan</w:t>
      </w:r>
      <w:r>
        <w:rPr>
          <w:rStyle w:val="Ancredenotedefin"/>
          <w:rStyle w:val="Ancredenotedefin"/>
        </w:rPr>
        <w:endnoteReference w:id="201"/>
      </w:r>
      <w:r>
        <w:rPr/>
        <w:t>200.</w:t>
      </w:r>
    </w:p>
    <w:p>
      <w:pPr>
        <w:pStyle w:val="ListBullet4"/>
        <w:tabs>
          <w:tab w:val="clear" w:pos="720"/>
        </w:tabs>
        <w:rPr/>
      </w:pPr>
      <w:r>
        <w:rPr/>
        <w:t>4.</w:t>
        <w:tab/>
        <w:t>Øge opmærksomheden ikke kun på professionel og kommerciel sport, men også på lokale og traditionelle sportsgrene, som er vidner til europæisk kulturel mangfoldighed, med henblik på at fremme kulturarven og støtte sportsmestre i ikke-professionelle rammer.</w:t>
      </w:r>
    </w:p>
    <w:p>
      <w:pPr>
        <w:pStyle w:val="Normal"/>
        <w:rPr/>
      </w:pPr>
      <w:r>
        <w:rPr/>
      </w:r>
    </w:p>
    <w:p>
      <w:pPr>
        <w:pStyle w:val="ListBullet4"/>
        <w:tabs>
          <w:tab w:val="clear" w:pos="720"/>
        </w:tabs>
        <w:rPr/>
      </w:pPr>
      <w:r>
        <w:rPr/>
        <w:t>5.</w:t>
        <w:tab/>
        <w:t>Samtidig tilskynde til fremme af den europæiske identitet ved at organisere mere intereuropæiske sportsbegivenheder</w:t>
      </w:r>
      <w:r>
        <w:rPr/>
        <w:commentReference w:id="0"/>
      </w:r>
      <w:r>
        <w:rPr/>
        <w:t>, oprette EU-sportshold eller vise europæiske flag eller symboler ved europæiske sportsbegivenheder.</w:t>
      </w:r>
    </w:p>
    <w:p>
      <w:pPr>
        <w:pStyle w:val="ListBullet4"/>
        <w:tabs>
          <w:tab w:val="clear" w:pos="720"/>
        </w:tabs>
        <w:rPr/>
      </w:pPr>
      <w:r>
        <w:rPr/>
        <w:t>6.</w:t>
        <w:tab/>
        <w:t>Investere mere i kommunikation, som f.eks. den europæiske idrætsuge, så borgerne i hele EU kan drage fordel af de bedste muligheder i fællesskab.</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De endelige overvejelser i direktionen</w:t>
      </w:r>
    </w:p>
    <w:p>
      <w:pPr>
        <w:pStyle w:val="Normal"/>
        <w:rPr/>
      </w:pPr>
      <w:r>
        <w:rPr/>
      </w:r>
      <w:r>
        <w:br w:type="page"/>
      </w:r>
    </w:p>
    <w:p>
      <w:pPr>
        <w:pStyle w:val="Corpsdetexte"/>
        <w:rPr/>
      </w:pPr>
      <w:r>
        <w:rPr/>
        <w:t>Hovedformålet med konferencen om Europas fremtid var at sikre, at Den Europæiske Union er rede til at imødegå nuværende og fremtidige udfordringer ved at give borgerne mulighed for at give udtryk for deres bekymringer og forhåbninger og i samarbejde med repræsentanter for de tre institutioner, nationale parlamenter og andre interessenter at udstikke retningslinjer for fremtiden. For at nå dette mål skulle konferencen være en borgercentreret øvelse baseret på en bottom-up-tilgang, der kunne skabe et nyt rum til at drøfte Europas prioriteter og udarbejde et overblik over, hvad borgerne forventer af EU.</w:t>
      </w:r>
    </w:p>
    <w:p>
      <w:pPr>
        <w:pStyle w:val="Corpsdetexte"/>
        <w:rPr/>
      </w:pPr>
      <w:r>
        <w:rPr/>
        <w:t>Konferencen var faktisk i stand til at spille den rolle. EU-borgere fra alle samfundslag og fra alle dele af Unionen deltog i konferencen og fremsatte anbefalinger fra borgerpanelerne og forslag til Europas fremtid i samarbejde med det efterfølgende plenarmøde med medlemmer fra Europa-Parlamentet, Rådet og Kommissionen samt repræsentanter for alle nationale parlamenter, Regionsudvalget, regionale og lokale folkevalgte repræsentanter, Det Europæiske Økonomiske og Sociale Udvalg, arbejdsmarkedets parter og civilsamfundet og andre nøgleaktører. De værktøjer og metoder, der er udviklet til denne proces, udgør et unikt sæt ressourcer, der kan danne grundlag for fremtidige øvelser vedrørende borgerdeltagelse og debatdemokrati på EU-plan.</w:t>
      </w:r>
    </w:p>
    <w:p>
      <w:pPr>
        <w:pStyle w:val="Corpsdetexte"/>
        <w:rPr/>
      </w:pPr>
      <w:r>
        <w:rPr/>
        <w:t>Takket være en lang række arrangementer og debatter i hele EU, den interaktive flersprogede digitale platform, europæiske og nationale borgerpaneler og konferencens plenarforsamling har konferencen nu fremlagt en endelig rapport, herunder en oversigt over det arbejde, der er udført på en vedvarende måde i år, samt de forslag, som plenarforsamlingen har fremsat om Europas fremtid. Det fremgår meget klart af disse forslag, at EU skal handle for at lykkes i den grønne og den digitale omstilling, styrke Europas modstandsdygtighed og dets sociale kontrakt, samtidig med at man tager fat på uligheder og sikrer, at Den Europæiske Union er en retfærdig, bæredygtig, innovativ og konkurrencedygtig økonomi, der ikke lader nogen i stikken.</w:t>
      </w:r>
    </w:p>
    <w:p>
      <w:pPr>
        <w:pStyle w:val="Corpsdetexte"/>
        <w:rPr/>
      </w:pPr>
      <w:r>
        <w:rPr/>
        <w:t>Udviklingen i den geopolitiske situation under konferencen, og navnlig den russiske aggressionskrig mod Ukraine, viste også, at EU skal blive mere selvsikker og spille en ledende rolle på verdensscenen med hensyn til at fremme sine værdier og normer i en stadig mere rystet verden.</w:t>
      </w:r>
    </w:p>
    <w:p>
      <w:pPr>
        <w:pStyle w:val="Corpsdetexte"/>
        <w:rPr/>
      </w:pPr>
      <w:r>
        <w:rPr/>
        <w:t>Konferencen gav klare retningslinjer på disse områder, og de tre EU-institutioner skal nu overveje, hvordan man kan håndtere de bekymringer, forhåbninger og idéer, der er kommet til udtryk. Det næste skridt i denne proces er at udvikle konkrete EU-foranstaltninger baseret på resultatet af konferencen som beskrevet i denne endelige rapport. EU-institutionerne vil derfor nu gennemgå denne rapport og opfølgningen heraf, hver inden for rammerne af deres beføjelser og i overensstemmelse med traktaterne. Der vil blive afholdt et opfølgningsarrangement i efteråret 2022 for at informere borgerne om, hvordan institutionerne vil leve op til deres forpligtelse til at sikre, at de lyttes til og holder Europas fremtid i deres hænder.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Billeder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leder30" descr=""/>
                    <pic:cNvPicPr>
                      <a:picLocks noChangeAspect="1" noChangeArrowheads="1"/>
                    </pic:cNvPicPr>
                  </pic:nvPicPr>
                  <pic:blipFill>
                    <a:blip r:embed="rId83"/>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Bilag I — Anbefalinger fra de fire europæiske borgerpaneler</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Billeder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leder31" descr=""/>
                    <pic:cNvPicPr>
                      <a:picLocks noChangeAspect="1" noChangeArrowheads="1"/>
                    </pic:cNvPicPr>
                  </pic:nvPicPr>
                  <pic:blipFill>
                    <a:blip r:embed="rId84"/>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1325" cy="3211195"/>
                <wp:effectExtent l="0" t="0" r="0" b="0"/>
                <wp:wrapTopAndBottom/>
                <wp:docPr id="72" name="Framework13"/>
                <a:graphic xmlns:a="http://schemas.openxmlformats.org/drawingml/2006/main">
                  <a:graphicData uri="http://schemas.microsoft.com/office/word/2010/wordprocessingShape">
                    <wps:wsp>
                      <wps:cNvSpPr/>
                      <wps:spPr>
                        <a:xfrm>
                          <a:off x="0" y="0"/>
                          <a:ext cx="4250520" cy="321048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Konference om </w:t>
                            </w:r>
                          </w:p>
                          <w:p>
                            <w:pPr>
                              <w:pStyle w:val="P68B1DB1Normal16"/>
                              <w:rPr>
                                <w:color w:val="FFFFFF"/>
                                <w:sz w:val="72"/>
                              </w:rPr>
                            </w:pPr>
                            <w:r>
                              <w:rPr/>
                              <w:t xml:space="preserve">Europas fremtid </w:t>
                            </w:r>
                          </w:p>
                          <w:p>
                            <w:pPr>
                              <w:pStyle w:val="P68B1DB1Normal17"/>
                              <w:rPr>
                                <w:color w:val="FFFFFF"/>
                              </w:rPr>
                            </w:pPr>
                            <w:r>
                              <w:rPr/>
                              <w:t xml:space="preserve"> </w:t>
                            </w:r>
                            <w:r>
                              <w:rPr/>
                              <w:t>Det europæiske</w:t>
                            </w:r>
                            <w:r>
                              <w:rPr>
                                <w:sz w:val="32"/>
                              </w:rPr>
                              <w:t xml:space="preserve">borgerpanel 1: En stærkere økonomi, social retfærdighed og beskæftigelse/uddannelse, kultur, ungdom og sport/digital omstilling </w:t>
                            </w:r>
                          </w:p>
                          <w:p>
                            <w:pPr>
                              <w:pStyle w:val="P68B1DB1Normal17"/>
                              <w:rPr>
                                <w:color w:val="FFFFFF"/>
                              </w:rPr>
                            </w:pPr>
                            <w:r>
                              <w:rPr/>
                              <w:t xml:space="preserve"> </w:t>
                            </w:r>
                          </w:p>
                          <w:p>
                            <w:pPr>
                              <w:pStyle w:val="P68B1DB1Normal17"/>
                              <w:rPr>
                                <w:color w:val="FFFFFF"/>
                              </w:rPr>
                            </w:pPr>
                            <w:r>
                              <w:rPr/>
                              <w:t>Anbefalinger</w:t>
                            </w:r>
                          </w:p>
                          <w:p>
                            <w:pPr>
                              <w:pStyle w:val="P68B1DB1Normal17"/>
                              <w:rPr>
                                <w:color w:val="FFFFFF"/>
                              </w:rPr>
                            </w:pPr>
                            <w:r>
                              <w:rPr/>
                              <w:t xml:space="preserve"> </w:t>
                            </w:r>
                            <w:r>
                              <w:rPr/>
                              <w:t>Billeder © Den Europæiske Union,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Framework13" stroked="f" style="position:absolute;margin-left:10.1pt;margin-top:175.1pt;width:334.65pt;height:252.75pt">
                <w10:wrap type="square"/>
                <v:fill o:detectmouseclick="t" on="false"/>
                <v:stroke color="#3465a4" joinstyle="round" endcap="flat"/>
                <v:textbox>
                  <w:txbxContent>
                    <w:p>
                      <w:pPr>
                        <w:pStyle w:val="P68B1DB1Normal16"/>
                        <w:spacing w:before="57" w:after="57"/>
                        <w:rPr>
                          <w:color w:val="FFFFFF"/>
                          <w:sz w:val="72"/>
                        </w:rPr>
                      </w:pPr>
                      <w:r>
                        <w:rPr/>
                        <w:t xml:space="preserve">Konference om </w:t>
                      </w:r>
                    </w:p>
                    <w:p>
                      <w:pPr>
                        <w:pStyle w:val="P68B1DB1Normal16"/>
                        <w:rPr>
                          <w:color w:val="FFFFFF"/>
                          <w:sz w:val="72"/>
                        </w:rPr>
                      </w:pPr>
                      <w:r>
                        <w:rPr/>
                        <w:t xml:space="preserve">Europas fremtid </w:t>
                      </w:r>
                    </w:p>
                    <w:p>
                      <w:pPr>
                        <w:pStyle w:val="P68B1DB1Normal17"/>
                        <w:rPr>
                          <w:color w:val="FFFFFF"/>
                        </w:rPr>
                      </w:pPr>
                      <w:r>
                        <w:rPr/>
                        <w:t xml:space="preserve"> </w:t>
                      </w:r>
                      <w:r>
                        <w:rPr/>
                        <w:t>Det europæiske</w:t>
                      </w:r>
                      <w:r>
                        <w:rPr>
                          <w:sz w:val="32"/>
                        </w:rPr>
                        <w:t xml:space="preserve">borgerpanel 1: En stærkere økonomi, social retfærdighed og beskæftigelse/uddannelse, kultur, ungdom og sport/digital omstilling </w:t>
                      </w:r>
                    </w:p>
                    <w:p>
                      <w:pPr>
                        <w:pStyle w:val="P68B1DB1Normal17"/>
                        <w:rPr>
                          <w:color w:val="FFFFFF"/>
                        </w:rPr>
                      </w:pPr>
                      <w:r>
                        <w:rPr/>
                        <w:t xml:space="preserve"> </w:t>
                      </w:r>
                    </w:p>
                    <w:p>
                      <w:pPr>
                        <w:pStyle w:val="P68B1DB1Normal17"/>
                        <w:rPr>
                          <w:color w:val="FFFFFF"/>
                        </w:rPr>
                      </w:pPr>
                      <w:r>
                        <w:rPr/>
                        <w:t>Anbefalinger</w:t>
                      </w:r>
                    </w:p>
                    <w:p>
                      <w:pPr>
                        <w:pStyle w:val="P68B1DB1Normal17"/>
                        <w:rPr>
                          <w:color w:val="FFFFFF"/>
                        </w:rPr>
                      </w:pPr>
                      <w:r>
                        <w:rPr/>
                        <w:t xml:space="preserve"> </w:t>
                      </w:r>
                      <w:r>
                        <w:rPr/>
                        <w:t>Billeder © Den Europæiske Union,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Det europæiske borgerpanel 1: En stærkere økonomi, social retfærdighed og beskæftigelse/uddannelse, kultur, ungdom og sport/digital omstilling </w:t>
      </w:r>
    </w:p>
    <w:p>
      <w:pPr>
        <w:pStyle w:val="P68B1DB1Normal18"/>
        <w:widowControl w:val="false"/>
        <w:spacing w:lineRule="exact" w:line="468"/>
        <w:ind w:left="425" w:right="0" w:hanging="0"/>
        <w:jc w:val="left"/>
        <w:rPr/>
      </w:pPr>
      <w:r>
        <w:rPr>
          <w:b/>
          <w:color w:val="1C4587"/>
        </w:rPr>
        <w:t>ANBEFALINGER VEDTAGET AF PANELET (FREMLÆGGES PÅ PLENARMØDET)</w:t>
      </w:r>
      <w:r>
        <w:rPr>
          <w:color w:val="000000"/>
        </w:rPr>
        <w:t xml:space="preserve"> </w:t>
      </w:r>
    </w:p>
    <w:p>
      <w:pPr>
        <w:pStyle w:val="Titre3"/>
        <w:numPr>
          <w:ilvl w:val="2"/>
          <w:numId w:val="2"/>
        </w:numPr>
        <w:rPr/>
      </w:pPr>
      <w:bookmarkStart w:id="106" w:name="__RefHeading___Toc297145_1346298689"/>
      <w:bookmarkEnd w:id="106"/>
      <w:r>
        <w:rPr/>
        <w:t xml:space="preserve">Akse 1: Arbejde i Europa </w:t>
      </w:r>
    </w:p>
    <w:p>
      <w:pPr>
        <w:pStyle w:val="Titre4"/>
        <w:numPr>
          <w:ilvl w:val="3"/>
          <w:numId w:val="2"/>
        </w:numPr>
        <w:rPr/>
      </w:pPr>
      <w:bookmarkStart w:id="107" w:name="__RefHeading___Toc297147_1346298689"/>
      <w:bookmarkEnd w:id="107"/>
      <w:r>
        <w:rPr/>
        <w:t xml:space="preserve">Delakse 1.1 Arbejdsmarkedet </w:t>
      </w:r>
    </w:p>
    <w:p>
      <w:pPr>
        <w:pStyle w:val="P68B1DB1Normal15"/>
        <w:rPr>
          <w:b/>
          <w:b/>
        </w:rPr>
      </w:pPr>
      <w:r>
        <w:rPr/>
        <w:t xml:space="preserve">1. Vi anbefaler, at der indføres en mindsteløn for at sikre en ensartet livskvalitet i alle medlemsstater. Vi er opmærksomme på de igangværende bestræbelser i henhold til EU-direktivet COM(2020) 682 for at harmonisere levevis. Mindstelønnen skal sikre en minimumsnettoindkomst for at nå et væsentligt mål: alle i nød skal have en højere indkomst. Mindstelønnen bør tage hensyn til følgende aspekter: </w:t>
      </w:r>
    </w:p>
    <w:p>
      <w:pPr>
        <w:pStyle w:val="P68B1DB1Normal15"/>
        <w:rPr>
          <w:b/>
          <w:b/>
        </w:rPr>
      </w:pPr>
      <w:r>
        <w:rPr/>
        <w:t xml:space="preserve">● </w:t>
      </w:r>
      <w:r>
        <w:rPr/>
        <w:t xml:space="preserve">EU bør sikre, at den gennemføres effektivt, da det på nuværende tidspunkt ikke er alle medlemsstater, der anvender beskyttelsen af arbejdstagerne korrekt; </w:t>
      </w:r>
    </w:p>
    <w:p>
      <w:pPr>
        <w:pStyle w:val="P68B1DB1Normal15"/>
        <w:rPr>
          <w:b/>
          <w:b/>
        </w:rPr>
      </w:pPr>
      <w:r>
        <w:rPr/>
        <w:t xml:space="preserve">● </w:t>
      </w:r>
      <w:r>
        <w:rPr/>
        <w:t xml:space="preserve">der bør lægges særlig vægt på at overvåge forbedringen af levestandarden; </w:t>
      </w:r>
    </w:p>
    <w:p>
      <w:pPr>
        <w:pStyle w:val="Normal"/>
        <w:rPr/>
      </w:pPr>
      <w:r>
        <w:rPr>
          <w:b/>
        </w:rPr>
        <w:t xml:space="preserve">● </w:t>
      </w:r>
      <w:r>
        <w:rPr>
          <w:b/>
        </w:rPr>
        <w:t>mindstelønnen skal tage hensyn til købekraften i forskellige lande. Det er nødvendigt med en periodisk revisionsprocedure for at tilpasse den til ændringer i leveomkostningerne (f.eks. for at tage hensyn til inflationen).</w:t>
      </w:r>
      <w:r>
        <w:rPr/>
        <w:t xml:space="preserve"> </w:t>
      </w:r>
    </w:p>
    <w:p>
      <w:pPr>
        <w:pStyle w:val="Normal"/>
        <w:rPr/>
      </w:pPr>
      <w:r>
        <w:rPr/>
        <w:t xml:space="preserve"> </w:t>
      </w:r>
    </w:p>
    <w:p>
      <w:pPr>
        <w:pStyle w:val="Normal"/>
        <w:rPr/>
      </w:pPr>
      <w:r>
        <w:rPr/>
        <w:t xml:space="preserve">Vi fremsætter denne henstilling, fordi en mindsteløn styrker den sociale retfærdighed på arbejdsmarkedet og forbedrer arbejdstagernes konkrete levevilkår i alle medlemsstater, hvilket er særlig vigtigt i forbindelse med et hurtigt skiftende arbejdsmiljø, f.eks. på grund af digitaliseringen. </w:t>
      </w:r>
    </w:p>
    <w:p>
      <w:pPr>
        <w:pStyle w:val="Normal"/>
        <w:rPr/>
      </w:pPr>
      <w:r>
        <w:rPr/>
        <w:t xml:space="preserve"> </w:t>
      </w:r>
    </w:p>
    <w:p>
      <w:pPr>
        <w:pStyle w:val="P68B1DB1Normal15"/>
        <w:rPr>
          <w:b/>
          <w:b/>
        </w:rPr>
      </w:pPr>
      <w:r>
        <w:rPr/>
        <w:t xml:space="preserve">2. Der findes allerede en EU-retsakt (EU-direktiv 2003/88/EF om arbejdstid), men det er ikke nok at sikre en sund balance mellem arbejdsliv og privatliv. Som et første skridt anbefaler vi, at de eksisterende rammer revideres for at sikre, at de tilpasses de nuværende omstændigheder. For det andet bør EU indføre en strengere overvågningsmekanisme for at sikre dens gennemførelse i alle medlemsstater. Der bør lægges særlig vægt på de forskellige sektorer med forskellige stress- og belastningsniveauer, både psykologisk og fysisk. Samtidig er andre sektorer imidlertid afhængige af større fleksibilitet fra medarbejdernes side for at kunne tilpasse sig virksomhedernes specifikke behov. </w:t>
      </w:r>
    </w:p>
    <w:p>
      <w:pPr>
        <w:pStyle w:val="Normal"/>
        <w:rPr/>
      </w:pPr>
      <w:r>
        <w:rPr/>
        <w:t xml:space="preserve">Vi fremsætter denne anbefaling på grund af vigtigheden af en bedre balance mellem arbejdsliv og privatliv. En bedre balance mellem arbejdsliv og privatliv styrker den sociale samhørighed og bidrager til at skabe lige vilkår for arbejdstagerne. Desuden har det en positiv indvirkning på arbejdstagernes individuelle trivsel. </w:t>
      </w:r>
    </w:p>
    <w:p>
      <w:pPr>
        <w:pStyle w:val="Normal"/>
        <w:rPr/>
      </w:pPr>
      <w:r>
        <w:rPr/>
        <w:t xml:space="preserve"> </w:t>
      </w:r>
    </w:p>
    <w:p>
      <w:pPr>
        <w:pStyle w:val="Titre4"/>
        <w:numPr>
          <w:ilvl w:val="3"/>
          <w:numId w:val="2"/>
        </w:numPr>
        <w:rPr/>
      </w:pPr>
      <w:bookmarkStart w:id="108" w:name="__RefHeading___Toc297151_1346298689"/>
      <w:bookmarkEnd w:id="108"/>
      <w:r>
        <w:rPr/>
        <w:t xml:space="preserve">Delakse 1.2 Ungdom og beskæftigelse </w:t>
      </w:r>
    </w:p>
    <w:p>
      <w:pPr>
        <w:pStyle w:val="Normal"/>
        <w:rPr/>
      </w:pPr>
      <w:r>
        <w:rPr/>
        <w:t xml:space="preserve"> </w:t>
      </w:r>
    </w:p>
    <w:p>
      <w:pPr>
        <w:pStyle w:val="P68B1DB1Normal15"/>
        <w:rPr>
          <w:b/>
          <w:b/>
        </w:rPr>
      </w:pPr>
      <w:r>
        <w:rPr/>
        <w:t xml:space="preserve">3. Vi anbefaler at harmonisere niveauet for alle forskellige uddannelsesprogrammer i EU og acceptere nationalt indhold. Vi anbefaler derfor, at alle erhvervsmæssige eksamensbeviser valideres og anerkendes gensidigt i alle EU's medlemsstater. </w:t>
      </w:r>
    </w:p>
    <w:p>
      <w:pPr>
        <w:pStyle w:val="Normal"/>
        <w:rPr/>
      </w:pPr>
      <w:r>
        <w:rPr/>
        <w:t xml:space="preserve"> </w:t>
      </w:r>
    </w:p>
    <w:p>
      <w:pPr>
        <w:pStyle w:val="Normal"/>
        <w:rPr/>
      </w:pPr>
      <w:r>
        <w:rPr/>
        <w:t xml:space="preserve">Vi fremsætter denne anbefaling, fordi vi ønsker at lette mobiliteten for den europæiske arbejdsstyrke og mindske de administrative byrder. </w:t>
      </w:r>
    </w:p>
    <w:p>
      <w:pPr>
        <w:pStyle w:val="Normal"/>
        <w:rPr/>
      </w:pPr>
      <w:r>
        <w:rPr/>
      </w:r>
    </w:p>
    <w:p>
      <w:pPr>
        <w:pStyle w:val="P68B1DB1Normal15"/>
        <w:rPr>
          <w:b/>
          <w:b/>
        </w:rPr>
      </w:pPr>
      <w:r>
        <w:rPr/>
        <w:t xml:space="preserve">4. Vi anbefaler at give gymnasieelever (fra 12 år) et overblik over deres fremtidige arbejdsmarked ved at give dem mulighed for at deltage i forskellige kvalitetsobservationsbesøg i for-profit og non-profit organisationer. Vi foreslår at tilskynde virksomheder til at byde studerende velkommen til observation praktikophold ved at give dem stipendier. I fjerntliggende områder med færre muligheder er lokale skoler, offentlige myndigheder, organisationer og virksomheder nødt til at arbejde tæt sammen for at sikre, at disse observationsbesøg også er tilgængelige. </w:t>
      </w:r>
    </w:p>
    <w:p>
      <w:pPr>
        <w:pStyle w:val="Normal"/>
        <w:rPr/>
      </w:pPr>
      <w:r>
        <w:rPr/>
        <w:t xml:space="preserve"> </w:t>
      </w:r>
    </w:p>
    <w:p>
      <w:pPr>
        <w:pStyle w:val="Normal"/>
        <w:rPr/>
      </w:pPr>
      <w:r>
        <w:rPr/>
        <w:t xml:space="preserve">Vi fremsætter denne anbefaling, fordi vi ønsker, at unge skal få en idé om de forskellige muligheder, som arbejdsmarkedet tilbyder, så de bedre kan vælge deres studier og deres fremtidige arbejde og forstå vigtigheden af at vælge den rigtige uddannelse. Det ville også lære dem en følelse af ansvar og respekt for arbejdsmarkedet og hjælpe dem med at blive integreret på arbejdsmarkedet og give fordele til alle. </w:t>
      </w:r>
    </w:p>
    <w:p>
      <w:pPr>
        <w:pStyle w:val="Normal"/>
        <w:rPr/>
      </w:pPr>
      <w:r>
        <w:rPr/>
        <w:t xml:space="preserve"> </w:t>
      </w:r>
    </w:p>
    <w:p>
      <w:pPr>
        <w:pStyle w:val="P68B1DB1Normal15"/>
        <w:rPr>
          <w:b/>
          <w:b/>
        </w:rPr>
      </w:pPr>
      <w:r>
        <w:rPr/>
        <w:t xml:space="preserve">5. Vi anbefaler at integrere praksis af ikke-tekniske færdigheder i alle skoler pensum kurser. Med ikke-tekniske færdigheder mener vi: gensidig lytning, dialog, modstandsdygtighed, forståelse, respekt og påskønnelse af andre, kritisk tænkning, selvlæring og forblive nysgerrig og resultatorienteret. Lærerne bør uddannes i overførsel af disse færdigheder ved at arbejde tæt sammen med socialarbejdere og/eller psykologer. Andre forslag til gennemførelse: tilrettelæggelse af udvekslingsprogrammer for studerende mellem skoler, deltagelse i idræts- og kulturarrangementer mellem skoler m.v. </w:t>
      </w:r>
    </w:p>
    <w:p>
      <w:pPr>
        <w:pStyle w:val="Normal"/>
        <w:rPr/>
      </w:pPr>
      <w:r>
        <w:rPr/>
        <w:t xml:space="preserve"> </w:t>
      </w:r>
    </w:p>
    <w:p>
      <w:pPr>
        <w:pStyle w:val="Normal"/>
        <w:rPr/>
      </w:pPr>
      <w:r>
        <w:rPr/>
        <w:t xml:space="preserve">Vi fremsætter denne anbefaling, fordi ikke-tekniske færdigheder er nødvendige grundlæggende færdigheder, der går tabt i den digitale tidsalder, og at vores unge har absolut brug for i deres fremtidige liv. Derfor insisterer vi på at integrere disse færdigheder i skolernes læseplaner for at hjælpe unge med at blive modstandsdygtige og undgå eller overvinde mentale problemer, som de måtte opleve i deres fremtidige liv. Sociale færdigheder styrker mellemfolkelige relationer og hjælper derfor folk med at finde deres plads i samfundet. </w:t>
      </w:r>
    </w:p>
    <w:p>
      <w:pPr>
        <w:pStyle w:val="Normal"/>
        <w:rPr/>
      </w:pPr>
      <w:r>
        <w:rPr/>
        <w:t xml:space="preserve"> </w:t>
      </w:r>
    </w:p>
    <w:p>
      <w:pPr>
        <w:pStyle w:val="P68B1DB1Normal15"/>
        <w:rPr>
          <w:b/>
          <w:b/>
        </w:rPr>
      </w:pPr>
      <w:r>
        <w:rPr/>
        <w:t xml:space="preserve">6. Vi anbefaler, at veludformede planer med detaljerede scenarier i tilfælde af en alvorlig krise (sundhedskrise, krig osv.) er klar til at blive anvendt fleksibelt for at minimere indvirkningen på vores unges uddannelse, erhvervsuddannelse og mentale trivsel osv. en stigning i udgifterne til uddannelse eller erhvervsuddannelse, en obligatorisk forlængelse af studierne, umuligheden af at gennemføre praktikophold, en stigning i mentale sundhedsproblemer. Disse planer skal gennemføres på en sådan måde, at indvirkningen på de unge og deres overgang til arbejdsmarkedet minimeres. </w:t>
      </w:r>
    </w:p>
    <w:p>
      <w:pPr>
        <w:pStyle w:val="Normal"/>
        <w:rPr/>
      </w:pPr>
      <w:r>
        <w:rPr/>
        <w:t xml:space="preserve"> </w:t>
      </w:r>
    </w:p>
    <w:p>
      <w:pPr>
        <w:pStyle w:val="Normal"/>
        <w:rPr/>
      </w:pPr>
      <w:r>
        <w:rPr/>
        <w:t xml:space="preserve">Vi fremsætter denne anbefaling, fordi unge er meget sårbare i krisetider. </w:t>
      </w:r>
    </w:p>
    <w:p>
      <w:pPr>
        <w:pStyle w:val="Normal"/>
        <w:rPr/>
      </w:pPr>
      <w:r>
        <w:rPr/>
        <w:t xml:space="preserve"> </w:t>
      </w:r>
    </w:p>
    <w:p>
      <w:pPr>
        <w:pStyle w:val="Titre4"/>
        <w:numPr>
          <w:ilvl w:val="3"/>
          <w:numId w:val="2"/>
        </w:numPr>
        <w:rPr/>
      </w:pPr>
      <w:bookmarkStart w:id="109" w:name="__RefHeading___Toc297153_1346298689"/>
      <w:bookmarkEnd w:id="109"/>
      <w:r>
        <w:rPr/>
        <w:t xml:space="preserve">Delakse 1.3 Digital transformation på arbejdspladsen </w:t>
      </w:r>
    </w:p>
    <w:p>
      <w:pPr>
        <w:pStyle w:val="Normal"/>
        <w:rPr/>
      </w:pPr>
      <w:r>
        <w:rPr/>
        <w:t xml:space="preserve"> </w:t>
      </w:r>
    </w:p>
    <w:p>
      <w:pPr>
        <w:pStyle w:val="P68B1DB1Normal15"/>
        <w:rPr>
          <w:b/>
          <w:b/>
        </w:rPr>
      </w:pPr>
      <w:r>
        <w:rPr/>
        <w:t xml:space="preserve">7. Vi anbefaler, at EU indfører eller styrker den eksisterende lovgivning om intelligent arbejde, dvs. online- og fjernarbejde, f.eks. hjemme eller fra et andet forbundet onlinested. Vi anbefaler også, at EU lovgiver for at tilskynde virksomheder til at være socialt ansvarlige og opretholde mobile job af høj kvalitet i EU. Incitamenter kan være af finansiel karakter og/eller spille ind på virksomhedernes image og bør tage hensyn til internationalt anerkendte miljømæssige, sociale og ledelsesmæssige (ESG) kriterier. Med henblik herpå bør EU nedsætte en arbejdsgruppe bestående af eksperter fra alle interesserede parter, der skal gennemgå og styrke denne lovgivning. </w:t>
      </w:r>
    </w:p>
    <w:p>
      <w:pPr>
        <w:pStyle w:val="Normal"/>
        <w:rPr/>
      </w:pPr>
      <w:r>
        <w:rPr/>
        <w:t xml:space="preserve"> </w:t>
      </w:r>
    </w:p>
    <w:p>
      <w:pPr>
        <w:pStyle w:val="Normal"/>
        <w:rPr/>
      </w:pPr>
      <w:r>
        <w:rPr/>
        <w:t xml:space="preserve">Vi fremsætter denne anbefaling, fordi vi er nødt til at fremme mobile job af høj kvalitet og undgå, at de flyttes til tredjelande med lavere omkostninger. Covid-19-pandemien og de globale økonomiske tendenser understreger, at det haster med at beskytte job i EU og regulere mobilt arbejde. </w:t>
      </w:r>
    </w:p>
    <w:p>
      <w:pPr>
        <w:pStyle w:val="Normal"/>
        <w:rPr/>
      </w:pPr>
      <w:r>
        <w:rPr/>
        <w:t xml:space="preserve"> </w:t>
      </w:r>
    </w:p>
    <w:p>
      <w:pPr>
        <w:pStyle w:val="P68B1DB1Normal15"/>
        <w:rPr>
          <w:b/>
          <w:b/>
        </w:rPr>
      </w:pPr>
      <w:r>
        <w:rPr/>
        <w:t xml:space="preserve">8. Vi anbefaler, at EU garanterer retten til digital uddannelse for alle EU-borgere. Navnlig kan unges digitale færdigheder styrkes ved at indføre et EU-certifikat i skolerne, som vil forberede dem på det fremtidige arbejdsmarked. Vi anbefaler også specifik uddannelse på EU-plan med henblik på omskoling og opkvalificering af arbejdstagere, så de forbliver konkurrencedygtige på arbejdsmarkedet. Endelig anbefaler vi, at EU øger bevidstheden om eksisterende digitale platforme, der forbinder borgerne med arbejdsgiverne og hjælper dem med at finde job i EU, f.eks. Eures. </w:t>
      </w:r>
    </w:p>
    <w:p>
      <w:pPr>
        <w:pStyle w:val="Normal"/>
        <w:rPr/>
      </w:pPr>
      <w:r>
        <w:rPr/>
        <w:t xml:space="preserve"> </w:t>
      </w:r>
    </w:p>
    <w:p>
      <w:pPr>
        <w:pStyle w:val="Normal"/>
        <w:rPr/>
      </w:pPr>
      <w:r>
        <w:rPr/>
        <w:t xml:space="preserve">Vi fremsætter denne anbefaling, fordi certificerede digitale færdigheder er afgørende for adgangen til arbejdsmarkedet og for arbejdstagerne at omskole og forblive konkurrencedygtige. </w:t>
      </w:r>
    </w:p>
    <w:p>
      <w:pPr>
        <w:pStyle w:val="Normal"/>
        <w:rPr/>
      </w:pPr>
      <w:r>
        <w:rPr/>
        <w:t xml:space="preserve"> </w:t>
      </w:r>
    </w:p>
    <w:p>
      <w:pPr>
        <w:pStyle w:val="Titre3"/>
        <w:numPr>
          <w:ilvl w:val="2"/>
          <w:numId w:val="2"/>
        </w:numPr>
        <w:rPr/>
      </w:pPr>
      <w:bookmarkStart w:id="110" w:name="__RefHeading___Toc297155_1346298689"/>
      <w:bookmarkEnd w:id="110"/>
      <w:r>
        <w:rPr/>
        <w:t xml:space="preserve">Akse 2 En fremtidsorienteret økonomi </w:t>
      </w:r>
    </w:p>
    <w:p>
      <w:pPr>
        <w:pStyle w:val="Normal"/>
        <w:rPr/>
      </w:pPr>
      <w:r>
        <w:rPr/>
        <w:t xml:space="preserve"> </w:t>
      </w:r>
    </w:p>
    <w:p>
      <w:pPr>
        <w:pStyle w:val="Titre4"/>
        <w:numPr>
          <w:ilvl w:val="3"/>
          <w:numId w:val="2"/>
        </w:numPr>
        <w:rPr/>
      </w:pPr>
      <w:bookmarkStart w:id="111" w:name="__RefHeading___Toc297157_1346298689"/>
      <w:bookmarkEnd w:id="111"/>
      <w:r>
        <w:rPr/>
        <w:t xml:space="preserve">Delakse 2.1 Innovation og europæisk konkurrenceevne </w:t>
      </w:r>
    </w:p>
    <w:p>
      <w:pPr>
        <w:pStyle w:val="Normal"/>
        <w:rPr/>
      </w:pPr>
      <w:r>
        <w:rPr/>
        <w:t xml:space="preserve"> </w:t>
      </w:r>
    </w:p>
    <w:p>
      <w:pPr>
        <w:pStyle w:val="P68B1DB1Normal15"/>
        <w:rPr>
          <w:b/>
          <w:b/>
        </w:rPr>
      </w:pPr>
      <w:r>
        <w:rPr/>
        <w:t xml:space="preserve">9. Vi anbefaler, at EU skaber muligheder for investeringer i forskning og innovation for forskellige enheder (universiteter, virksomheder, forskningsinstitutter osv.) med henblik på at udvikle: </w:t>
      </w:r>
    </w:p>
    <w:p>
      <w:pPr>
        <w:pStyle w:val="P68B1DB1Normal15"/>
        <w:rPr>
          <w:b/>
          <w:b/>
        </w:rPr>
      </w:pPr>
      <w:r>
        <w:rPr/>
        <w:t xml:space="preserve">● </w:t>
      </w:r>
      <w:r>
        <w:rPr/>
        <w:t xml:space="preserve">nye, mere bæredygtige og biodiversificerede materialer til erstatning af de materialer, der i øjeblikket anvendes </w:t>
      </w:r>
    </w:p>
    <w:p>
      <w:pPr>
        <w:pStyle w:val="P68B1DB1Normal15"/>
        <w:rPr>
          <w:b/>
          <w:b/>
        </w:rPr>
      </w:pPr>
      <w:r>
        <w:rPr/>
        <w:t xml:space="preserve">● </w:t>
      </w:r>
      <w:r>
        <w:rPr/>
        <w:t xml:space="preserve">innovative anvendelser af eksisterende materialer (baseret bl.a. på genanvendelse og avancerede teknikker med det laveste miljøaftryk). </w:t>
      </w:r>
    </w:p>
    <w:p>
      <w:pPr>
        <w:pStyle w:val="Normal"/>
        <w:rPr/>
      </w:pPr>
      <w:r>
        <w:rPr>
          <w:b/>
        </w:rPr>
        <w:t>Vi anbefaler, at dette er en permanent og langsigtet forpligtelse fra EU's side (i det mindste frem til 2050).</w:t>
      </w:r>
      <w:r>
        <w:rPr/>
        <w:t xml:space="preserve"> </w:t>
      </w:r>
    </w:p>
    <w:p>
      <w:pPr>
        <w:pStyle w:val="Normal"/>
        <w:rPr/>
      </w:pPr>
      <w:r>
        <w:rPr/>
        <w:t xml:space="preserve"> </w:t>
      </w:r>
    </w:p>
    <w:p>
      <w:pPr>
        <w:pStyle w:val="Normal"/>
        <w:rPr/>
      </w:pPr>
      <w:r>
        <w:rPr/>
        <w:t xml:space="preserve">Vi fremsætter denne anbefaling, fordi vi lever på en planet med begrænsede ressourcer. Hvis vi skal have en fremtid, skal vi beskytte klimaet og finde alternativer, der respekterer planeten. Vi ønsker også, at EU bliver en førende aktør på dette område med en stærk konkurrencefordel på den internationale scene. Henstillingen har til formål at skabe innovative resultater, der kan anvendes i stor skala og kan gennemføres på forskellige områder og lande. Det vil også have en positiv indvirkning på økonomien og arbejdsmarkedet ved at skabe nye beskæftigelsesmuligheder inden for bæredygtig innovation. Det kunne bidrage til bekæmpelsen af sociale uretfærdigheder, i det omfang de nuværende produktionsmidler, baseret på udnyttelse, ville blive erstattet af andre, mere etiske. </w:t>
      </w:r>
    </w:p>
    <w:p>
      <w:pPr>
        <w:pStyle w:val="Normal"/>
        <w:rPr/>
      </w:pPr>
      <w:r>
        <w:rPr/>
        <w:t xml:space="preserve"> </w:t>
      </w:r>
    </w:p>
    <w:p>
      <w:pPr>
        <w:pStyle w:val="P68B1DB1Normal15"/>
        <w:rPr>
          <w:b/>
          <w:b/>
        </w:rPr>
      </w:pPr>
      <w:r>
        <w:rPr/>
        <w:t xml:space="preserve">10. Vi anbefaler, at EU på lang sigt løbende forpligter sig til at øge sin andel af bæredygtigt produceret energi betydeligt ved hjælp af en bred vifte af vedvarende energikilder med det laveste miljøaftryk (baseret på en omfattende livscyklusanalyse). Desuden bør EU investere i at forbedre og opretholde kvaliteten af elektricitetsinfrastrukturen og -nettet. Vi anbefaler også, at adgang til energi og prisoverkommelighed anerkendes som en grundlæggende rettighed for borgerne. </w:t>
      </w:r>
    </w:p>
    <w:p>
      <w:pPr>
        <w:pStyle w:val="P68B1DB1Normal15"/>
        <w:rPr>
          <w:b/>
          <w:b/>
        </w:rPr>
      </w:pPr>
      <w:r>
        <w:rPr/>
        <w:t xml:space="preserve"> </w:t>
      </w:r>
    </w:p>
    <w:p>
      <w:pPr>
        <w:pStyle w:val="Normal"/>
        <w:rPr/>
      </w:pPr>
      <w:r>
        <w:rPr/>
        <w:t xml:space="preserve">Vi fremsætter denne anbefaling af følgende grunde: </w:t>
      </w:r>
    </w:p>
    <w:p>
      <w:pPr>
        <w:pStyle w:val="Normal"/>
        <w:rPr/>
      </w:pPr>
      <w:r>
        <w:rPr/>
        <w:t xml:space="preserve">● </w:t>
      </w:r>
      <w:r>
        <w:rPr/>
        <w:t xml:space="preserve">diversificering af energikilder (herunder solenergi, vind, brint, havvand eller enhver anden fremtidig bæredygtig metode) vil gøre EU mere energiuafhængig; </w:t>
      </w:r>
    </w:p>
    <w:p>
      <w:pPr>
        <w:pStyle w:val="Normal"/>
        <w:rPr/>
      </w:pPr>
      <w:r>
        <w:rPr/>
        <w:t xml:space="preserve">● </w:t>
      </w:r>
      <w:r>
        <w:rPr/>
        <w:t xml:space="preserve">det vil reducere EU-borgernes elomkostninger; </w:t>
      </w:r>
    </w:p>
    <w:p>
      <w:pPr>
        <w:pStyle w:val="Normal"/>
        <w:rPr/>
      </w:pPr>
      <w:r>
        <w:rPr/>
        <w:t xml:space="preserve">● </w:t>
      </w:r>
      <w:r>
        <w:rPr/>
        <w:t xml:space="preserve">det vil skabe arbejdspladser og omstrukturere energimarkedet (især i regioner, der hidtil har været afhængige af fossile brændstoffer); </w:t>
      </w:r>
    </w:p>
    <w:p>
      <w:pPr>
        <w:pStyle w:val="Normal"/>
        <w:rPr/>
      </w:pPr>
      <w:r>
        <w:rPr/>
        <w:t xml:space="preserve">● </w:t>
      </w:r>
      <w:r>
        <w:rPr/>
        <w:t xml:space="preserve">det kunne tilskynde til videnskabelig udvikling af innovative energiforsyningsteknikker; </w:t>
      </w:r>
    </w:p>
    <w:p>
      <w:pPr>
        <w:pStyle w:val="Normal"/>
        <w:rPr/>
      </w:pPr>
      <w:r>
        <w:rPr/>
        <w:t xml:space="preserve">● </w:t>
      </w:r>
      <w:r>
        <w:rPr/>
        <w:t xml:space="preserve">kvaliteten af den elektriske infrastruktur og nettet er lige så vigtig som energikilderne, da det giver mulighed for jævn, effektiv og økonomisk overkommelig energidistribution og -transmission. </w:t>
      </w:r>
    </w:p>
    <w:p>
      <w:pPr>
        <w:pStyle w:val="Normal"/>
        <w:rPr/>
      </w:pPr>
      <w:r>
        <w:rPr/>
        <w:t xml:space="preserve"> </w:t>
      </w:r>
    </w:p>
    <w:p>
      <w:pPr>
        <w:pStyle w:val="P68B1DB1Normal15"/>
        <w:rPr>
          <w:b/>
          <w:b/>
        </w:rPr>
      </w:pPr>
      <w:r>
        <w:rPr/>
        <w:t xml:space="preserve">11. Vi anbefaler, at EU aktivt fremmer grønnere produktionsprocesser ved at støtte eller på anden måde belønne virksomheder, der investerer i at reducere miljøomkostningerne ved deres produktion. Vi opfordrer også til en indsats for at vokse postindustrielle steder og skabe beskyttede grønne områder omkring eksisterende lokaliteter. Virksomhederne bør være forpligtet til at finansiere disse bestræbelser, i det mindste delvist, med deres egne penge. </w:t>
      </w:r>
    </w:p>
    <w:p>
      <w:pPr>
        <w:pStyle w:val="Normal"/>
        <w:rPr/>
      </w:pPr>
      <w:r>
        <w:rPr/>
        <w:t xml:space="preserve"> </w:t>
      </w:r>
    </w:p>
    <w:p>
      <w:pPr>
        <w:pStyle w:val="Normal"/>
        <w:rPr/>
      </w:pPr>
      <w:r>
        <w:rPr/>
        <w:t xml:space="preserve">Vi fremsætter denne anbefaling, fordi produktionsprocesserne er en vigtig del af forsyningskæden. At gøre dem mere miljøvenlige kan reducere vores påvirkning af klimaet betydeligt. Vi mener, at virksomheder og industrier bør holdes ansvarlige for den måde, hvorpå de fremstiller deres produkter (herunder foranstaltninger til gendyrkning og beskyttelse af miljøet). Grønnere produktionsprocesser forbereder også virksomhederne på fremtiden og styrker deres modstandsdygtighed (som beskytter arbejdspladser). </w:t>
      </w:r>
    </w:p>
    <w:p>
      <w:pPr>
        <w:pStyle w:val="Normal"/>
        <w:rPr/>
      </w:pPr>
      <w:r>
        <w:rPr/>
      </w:r>
    </w:p>
    <w:p>
      <w:pPr>
        <w:pStyle w:val="Titre4"/>
        <w:numPr>
          <w:ilvl w:val="3"/>
          <w:numId w:val="2"/>
        </w:numPr>
        <w:rPr/>
      </w:pPr>
      <w:bookmarkStart w:id="112" w:name="__RefHeading___Toc297159_1346298689"/>
      <w:bookmarkEnd w:id="112"/>
      <w:r>
        <w:rPr/>
        <w:t xml:space="preserve">Delakse 2.2 Bæredygtig økonomi/delakse 2.3 Beskatning </w:t>
      </w:r>
    </w:p>
    <w:p>
      <w:pPr>
        <w:pStyle w:val="Normal"/>
        <w:rPr/>
      </w:pPr>
      <w:r>
        <w:rPr/>
        <w:t xml:space="preserve"> </w:t>
      </w:r>
    </w:p>
    <w:p>
      <w:pPr>
        <w:pStyle w:val="P68B1DB1Normal15"/>
        <w:rPr>
          <w:b/>
          <w:b/>
        </w:rPr>
      </w:pPr>
      <w:r>
        <w:rPr/>
        <w:t xml:space="preserve">12. Vi anbefaler at opgive plastemballage og generalisere genanvendelig emballage. Der bør gives incitamenter til forbrugere og virksomheder, så det ikke er dyrere for en forbruger at købe bulkvarer ("i bulk" på engelsk eller "sfuso" på italiensk) end emballerede produkter. Virksomheder, der bidrager til denne omstilling, bør drage fordel af skattefordele, og andre bør betale mere skat. Produkter, der ikke kan genbruges, bør være genanvendelige og/eller bionedbrydelige. Det er nødvendigt at oprette en offentlig eller tilsynsinstitution, der er ansvarlig for at overvåge, fastsætte reglerne og udbrede dem til alle. Det anbefales at uddanne og kommunikere — herunder via sociale medier — om disse tiltag og nå ud til både virksomheder og forbrugere for at ændre deres adfærd på lang sigt. Virksomheder (f.eks. byggefirmaer) bør tilskyndes og hjælpes med at finde de bedste løsninger på deres affald. </w:t>
      </w:r>
    </w:p>
    <w:p>
      <w:pPr>
        <w:pStyle w:val="Normal"/>
        <w:rPr/>
      </w:pPr>
      <w:r>
        <w:rPr/>
        <w:t xml:space="preserve"> </w:t>
      </w:r>
    </w:p>
    <w:p>
      <w:pPr>
        <w:pStyle w:val="Normal"/>
        <w:rPr/>
      </w:pPr>
      <w:r>
        <w:rPr/>
        <w:t xml:space="preserve">Vi fremsætter denne anbefaling, fordi vi alle skal være ansvarlige for vores handlinger. Derfor er vi nødt til at genoverveje alle produktionsprocesser. Genbrug kræver mange ressourcer (vand, energi) og kan derfor ikke være den eneste løsning, og derfor tilbyder vi at sælge produkterne i løs vægt. Genanvendelse bør kun anvendes til let genanvendelige materialer, og vi har lært af det finske eksempel, at det er muligt at genbruge i stor skala. </w:t>
      </w:r>
    </w:p>
    <w:p>
      <w:pPr>
        <w:pStyle w:val="Normal"/>
        <w:rPr/>
      </w:pPr>
      <w:r>
        <w:rPr/>
      </w:r>
    </w:p>
    <w:p>
      <w:pPr>
        <w:pStyle w:val="P68B1DB1Normal15"/>
        <w:rPr>
          <w:b/>
          <w:b/>
        </w:rPr>
      </w:pPr>
      <w:r>
        <w:rPr/>
        <w:t xml:space="preserve">13. Vi anbefaler at have de samme skatteregler i hele Europa og harmonisere skattepolitikken i hele EU. Harmoniseringen på dette område bør give de enkelte medlemsstater mulighed for at fastsætte deres egne regler og samtidig undgå skatteunddragelse. Det vil sætte en stopper for skadelig skattepraksis og skattekonkurrence. Der bør pålægges afgifter på handelstransaktioner, hvor de finder sted: når en virksomhed sælger i et land, skal den betale skat i det pågældende land. Disse nye regler vil have til formål at forhindre udflytning og sikre, at produktion og transaktioner finder sted mellem europæiske lande. </w:t>
      </w:r>
    </w:p>
    <w:p>
      <w:pPr>
        <w:pStyle w:val="Normal"/>
        <w:rPr/>
      </w:pPr>
      <w:r>
        <w:rPr/>
        <w:t xml:space="preserve"> </w:t>
      </w:r>
    </w:p>
    <w:p>
      <w:pPr>
        <w:pStyle w:val="Normal"/>
        <w:rPr/>
      </w:pPr>
      <w:r>
        <w:rPr/>
        <w:t xml:space="preserve">Vi fremsætter denne henstilling om at beskytte og udvikle beskæftigelsen og den økonomiske aktivitet i Europa på en måde, der er retfærdig for alle medlemsstater. På denne måde vil Europa få en fælles forståelse af skattesystemet, og den absurde monopolsituation for meget store virksomheder, der ikke betaler nok skat i forhold til mindre virksomheder, vil blive bragt til ophør. Desuden vil de finansielle ressourcer blive omdirigeret til det sted, hvor kommercielle aktiviteter finder sted. </w:t>
      </w:r>
    </w:p>
    <w:p>
      <w:pPr>
        <w:pStyle w:val="Normal"/>
        <w:rPr/>
      </w:pPr>
      <w:r>
        <w:rPr/>
        <w:t xml:space="preserve"> </w:t>
      </w:r>
    </w:p>
    <w:p>
      <w:pPr>
        <w:pStyle w:val="P68B1DB1Normal15"/>
        <w:rPr>
          <w:b/>
          <w:b/>
        </w:rPr>
      </w:pPr>
      <w:r>
        <w:rPr/>
        <w:t xml:space="preserve">14. Vi anbefaler at fjerne det programmerede forældelsessystem fra alle elektroniske enheder. Ændringen bør finde sted både individuelt og kommercielt for at sikre, at udstyr kan repareres og opgraderes på lang sigt og kan opbevares i lang tid. Vi anbefaler at fremme renoverede enheder. Reglerne bør kræve, at virksomhederne garanterer retten til reparation, herunder softwareopgraderinger og -opdateringer, samt til at genbruge alle enheder på lang sigt. Det anbefales også, at hver virksomhed bruger standardstik. </w:t>
      </w:r>
    </w:p>
    <w:p>
      <w:pPr>
        <w:pStyle w:val="P68B1DB1Normal15"/>
        <w:rPr>
          <w:b/>
          <w:b/>
        </w:rPr>
      </w:pPr>
      <w:r>
        <w:rPr/>
        <w:t xml:space="preserve"> </w:t>
      </w:r>
    </w:p>
    <w:p>
      <w:pPr>
        <w:pStyle w:val="Normal"/>
        <w:rPr/>
      </w:pPr>
      <w:r>
        <w:rPr/>
        <w:t xml:space="preserve">Vi fremsætter denne anbefaling, fordi produkter i den moderne verden har tendens til at vare to år, og vores ønske er, at de har en meget længere levetid, omkring 10 år. Dette forslag vil have en positiv indvirkning på klimaændringer og økologi. Det vil også reducere omkostningerne for forbrugerne og forbrugerismen. </w:t>
      </w:r>
    </w:p>
    <w:p>
      <w:pPr>
        <w:pStyle w:val="Normal"/>
        <w:rPr/>
      </w:pPr>
      <w:r>
        <w:rPr/>
      </w:r>
    </w:p>
    <w:p>
      <w:pPr>
        <w:pStyle w:val="P68B1DB1Normal15"/>
        <w:rPr>
          <w:b/>
          <w:b/>
        </w:rPr>
      </w:pPr>
      <w:r>
        <w:rPr/>
        <w:t xml:space="preserve">15. Vi anbefaler at hjælpe alle med at lære mere om vores miljø og dets forbindelser til den enkeltes sundhed gennem uddannelse. Pædagogiske veje vil hjælpe alle med at definere deres egne personlige strategier til at integrere disse temaer i deres daglige liv. Denne uddannelse bør begynde i skolen med specifikke emner, der beskæftiger sig med alle økologiske spørgsmål, og vi bør fortsætte med at uddanne os gennem hele vores liv (f.eks. på arbejdspladsen). Det vil bidrage til at reducere affald og beskytte miljøet og menneskers sundhed og fremme lokalt forbrug af sunde og uforarbejdede produkter fra lokale producenter. De, der ikke gør noget for at reducere deres affald, skal have gratis uddannelse på dette område. For at tilpasse levevisen skal priserne være rimelige for både producenten og forbrugeren. Derfor foreslår vi, at små, miljøvenlige lokale producenter nyder godt af afgiftsfritagelser. </w:t>
      </w:r>
    </w:p>
    <w:p>
      <w:pPr>
        <w:pStyle w:val="Normal"/>
        <w:rPr/>
      </w:pPr>
      <w:r>
        <w:rPr/>
        <w:t xml:space="preserve"> </w:t>
      </w:r>
    </w:p>
    <w:p>
      <w:pPr>
        <w:pStyle w:val="Normal"/>
        <w:rPr/>
      </w:pPr>
      <w:r>
        <w:rPr/>
        <w:t xml:space="preserve">Vi fremsætter denne anbefaling, fordi vi mener, at mange mennesker endnu ikke føler sig bekymrede over disse spørgsmål. Det er derfor, at der skal etableres uddannelse for alle. Derudover har lokale og sunde produkter tendens til at være uoverkommelige for mange mennesker. Vi er nødt til at sikre, at lokale produkter er mere bredt tilgængelige for alle. </w:t>
      </w:r>
    </w:p>
    <w:p>
      <w:pPr>
        <w:pStyle w:val="Normal"/>
        <w:rPr/>
      </w:pPr>
      <w:r>
        <w:rPr/>
      </w:r>
    </w:p>
    <w:p>
      <w:pPr>
        <w:pStyle w:val="Titre4"/>
        <w:numPr>
          <w:ilvl w:val="3"/>
          <w:numId w:val="2"/>
        </w:numPr>
        <w:rPr/>
      </w:pPr>
      <w:bookmarkStart w:id="113" w:name="__RefHeading___Toc297161_1346298689"/>
      <w:bookmarkEnd w:id="113"/>
      <w:r>
        <w:rPr/>
        <w:t xml:space="preserve">Delakse 2.4 Landbrug/Underakse 2.5 Digital infrastruktur </w:t>
      </w:r>
    </w:p>
    <w:p>
      <w:pPr>
        <w:pStyle w:val="Normal"/>
        <w:rPr/>
      </w:pPr>
      <w:r>
        <w:rPr/>
        <w:t xml:space="preserve"> </w:t>
      </w:r>
    </w:p>
    <w:p>
      <w:pPr>
        <w:pStyle w:val="P68B1DB1Normal15"/>
        <w:rPr>
          <w:b/>
          <w:b/>
        </w:rPr>
      </w:pPr>
      <w:r>
        <w:rPr/>
        <w:t xml:space="preserve">16. Vi anbefaler, at der indføres et fælles europæisk forbruger- og ernæringsmærkningssystem, som er let at forstå (f.eks. allergener, oprindelsesland osv.); vi anbefaler gennemsigtighed i igangværende godkendelsesprocesser og digitalisering af produktinformation gennem en standardiseret europæisk applikation, der giver mere brugervenlig adgang til oplysninger og giver yderligere produkt- og produktionskædeoplysninger. Vi ser også behovet for et virkeligt uafhængigt organ, der regulerer fødevarestandarder i hele EU og har lovgivningsbeføjelser til at håndhæve sanktioner. </w:t>
      </w:r>
    </w:p>
    <w:p>
      <w:pPr>
        <w:pStyle w:val="Normal"/>
        <w:rPr/>
      </w:pPr>
      <w:r>
        <w:rPr/>
        <w:t xml:space="preserve"> </w:t>
      </w:r>
    </w:p>
    <w:p>
      <w:pPr>
        <w:pStyle w:val="Normal"/>
        <w:rPr/>
      </w:pPr>
      <w:r>
        <w:rPr/>
        <w:t xml:space="preserve">Vi fremsætter disse anbefalinger, fordi alle EU-borgere bør kunne stole på den samme fødevarekvalitet. Fødevarernes integritet er nødvendig for at sikre borgernes sikkerhed. Disse henstillinger blev formuleret for på en harmoniseret måde at forbedre overvågningen af godkendelsesprocesserne og gennemsigtigheden i fødevareproduktionen. </w:t>
      </w:r>
    </w:p>
    <w:p>
      <w:pPr>
        <w:pStyle w:val="Normal"/>
        <w:rPr/>
      </w:pPr>
      <w:r>
        <w:rPr/>
      </w:r>
    </w:p>
    <w:p>
      <w:pPr>
        <w:pStyle w:val="P68B1DB1Normal15"/>
        <w:rPr>
          <w:b/>
          <w:b/>
        </w:rPr>
      </w:pPr>
      <w:r>
        <w:rPr/>
        <w:t xml:space="preserve">17. Vi anbefaler, at infrastrukturen ejes af staten for at forhindre, at der opstår monopoler inden for telekommunikations- og internettjenester. Internetadgang bør være en ret; det bør være en prioritet at bringe internetforbindelsen ind i "hvide områder/døde zoner" (områder uden internetadgang). Når det drejer sig om adgang til internettet og computerudstyr, er børn og familier en prioritet, navnlig med hensyn til uddannelse og især i pandemitider. Der er behov for et initiativ til støtte for fjernarbejde, f.eks. ved at skabe kontorlokaler med adgang til en hurtig og pålidelig internetforbindelse eller ved at tilrettelægge digital uddannelse. </w:t>
      </w:r>
    </w:p>
    <w:p>
      <w:pPr>
        <w:pStyle w:val="Normal"/>
        <w:rPr/>
      </w:pPr>
      <w:r>
        <w:rPr/>
        <w:t xml:space="preserve"> </w:t>
      </w:r>
    </w:p>
    <w:p>
      <w:pPr>
        <w:pStyle w:val="Normal"/>
        <w:rPr/>
      </w:pPr>
      <w:r>
        <w:rPr/>
        <w:t xml:space="preserve">Vi fremsætter denne anbefaling, fordi vi er nødt til at sikre, at den digitale omstilling sker retfærdigt. Internetadgang er grundlæggende for demokratiet og er en ret for alle europæiske borgere. </w:t>
      </w:r>
    </w:p>
    <w:p>
      <w:pPr>
        <w:pStyle w:val="Normal"/>
        <w:rPr/>
      </w:pPr>
      <w:r>
        <w:rPr/>
      </w:r>
    </w:p>
    <w:p>
      <w:pPr>
        <w:pStyle w:val="Normal"/>
        <w:rPr/>
      </w:pPr>
      <w:r>
        <w:rPr>
          <w:b/>
        </w:rPr>
        <w:t>18. Vi anbefaler at respektere lokale insekter og beskytte dem mod invasive arter. Vi foreslår også at fremme og forsvare forpligtelsen til at skabe grønne områder i nye urbaniseringsprojekter. Vi opfordrer til, at biodiversitet bliver et obligatorisk emne i skolerne og gøres til genstand for skoleaktiviteter, f.eks. praktiske aktiviteter. Det er vigtigt at øge offentlighedens bevidsthed om biodiversitet gennem mediekampagner og "konkurrencer", der fremmes i hele EU (kontester på lokalt plan). Vi anbefaler, at der i alle EU's medlemsstater fastsættes bindende nationale mål for genplantning af skov med hjemmehørende træer og genindførelse af lokal flora</w:t>
      </w:r>
      <w:r>
        <w:rPr/>
        <w:t xml:space="preserve">. </w:t>
      </w:r>
    </w:p>
    <w:p>
      <w:pPr>
        <w:pStyle w:val="Normal"/>
        <w:rPr/>
      </w:pPr>
      <w:r>
        <w:rPr/>
        <w:t xml:space="preserve"> </w:t>
      </w:r>
    </w:p>
    <w:p>
      <w:pPr>
        <w:pStyle w:val="Normal"/>
        <w:rPr/>
      </w:pPr>
      <w:r>
        <w:rPr/>
        <w:t xml:space="preserve">Vi fremsætter denne anbefaling, fordi biodiversitet er afgørende for miljøet, livskvaliteten og bekæmpelsen af klimaændringer.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Akse 3 Et retfærdigt samfund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Delakse 3.1 Social sikring </w:t>
      </w:r>
    </w:p>
    <w:p>
      <w:pPr>
        <w:pStyle w:val="Normal"/>
        <w:rPr/>
      </w:pPr>
      <w:r>
        <w:rPr/>
        <w:t xml:space="preserve"> </w:t>
      </w:r>
    </w:p>
    <w:p>
      <w:pPr>
        <w:pStyle w:val="P68B1DB1Normal15"/>
        <w:rPr>
          <w:b/>
          <w:b/>
        </w:rPr>
      </w:pPr>
      <w:r>
        <w:rPr/>
        <w:t xml:space="preserve">19. Vi anbefaler at fremme lige rettigheder og sociale politikker, herunder sundhedspolitikker, der harmoniseres i hele EU, under hensyntagen til vedtagne forordninger og minimumskrav i hele landet. </w:t>
      </w:r>
    </w:p>
    <w:p>
      <w:pPr>
        <w:pStyle w:val="Normal"/>
        <w:rPr/>
      </w:pPr>
      <w:r>
        <w:rPr/>
        <w:t xml:space="preserve"> </w:t>
      </w:r>
    </w:p>
    <w:p>
      <w:pPr>
        <w:pStyle w:val="Normal"/>
        <w:rPr/>
      </w:pPr>
      <w:r>
        <w:rPr/>
        <w:t xml:space="preserve">Vi fremsætter denne henstilling, fordi der er store forskelle mellem medlemsstaterne med hensyn til socialpolitikker, som skal mindskes for at sikre et anstændigt liv for alle borgere og for at yde den nødvendige pleje og støtte til sårbare personer af forskellige årsager (sundhed, alder, seksuel orientering osv.). </w:t>
      </w:r>
    </w:p>
    <w:p>
      <w:pPr>
        <w:pStyle w:val="Normal"/>
        <w:rPr/>
      </w:pPr>
      <w:r>
        <w:rPr/>
      </w:r>
    </w:p>
    <w:p>
      <w:pPr>
        <w:pStyle w:val="P68B1DB1Normal15"/>
        <w:rPr>
          <w:b/>
          <w:b/>
        </w:rPr>
      </w:pPr>
      <w:r>
        <w:rPr/>
        <w:t xml:space="preserve">20. Vi anbefaler at fremme social- og sundhedsforskning i EU ved at følge prioriterede linjer, der anses for at være af almen interesse og godkendt af medlemsstaterne, og sørge for passende finansiering. Vi er nødt til at styrke samarbejdet mellem ekspertiseområder, lande, studiecentre (universiteter osv.). </w:t>
      </w:r>
    </w:p>
    <w:p>
      <w:pPr>
        <w:pStyle w:val="Normal"/>
        <w:rPr/>
      </w:pPr>
      <w:r>
        <w:rPr/>
        <w:t xml:space="preserve"> </w:t>
      </w:r>
    </w:p>
    <w:p>
      <w:pPr>
        <w:pStyle w:val="Normal"/>
        <w:rPr/>
      </w:pPr>
      <w:r>
        <w:rPr/>
        <w:t xml:space="preserve">Vi fremsætter denne anbefaling, fordi der er mange områder, hvor vi skal fremme og uddybe vores viden. Erfaringerne med pandemien er et eksempel på, hvordan forskning er afgørende for at forbedre livet, at samarbejde mellem det offentlige og det private og mellem regeringer er afgørende, og at der er behov for økonomisk støtte. </w:t>
      </w:r>
    </w:p>
    <w:p>
      <w:pPr>
        <w:pStyle w:val="Normal"/>
        <w:rPr/>
      </w:pPr>
      <w:r>
        <w:rPr/>
      </w:r>
    </w:p>
    <w:p>
      <w:pPr>
        <w:pStyle w:val="P68B1DB1Normal15"/>
        <w:rPr>
          <w:b/>
          <w:b/>
        </w:rPr>
      </w:pPr>
      <w:r>
        <w:rPr/>
        <w:t xml:space="preserve">21. Vi anbefaler, at EU har øget kompetence inden for socialpolitikker til at harmonisere minimumsregler og pensionsydelser i hele EU og etablere nye, baseret på en grundig diagnose. Minimumspensionen skal ligge over landets fattigdomsgrænse. Pensionsalderen bør variere afhængigt af erhvervskategorier og bør være lavere for mentalt og fysisk krævende erhverv. Samtidig bør retten til arbejde garanteres for ældre, der ønsker at fortsætte med at arbejde på frivillig basis. </w:t>
      </w:r>
    </w:p>
    <w:p>
      <w:pPr>
        <w:pStyle w:val="Normal"/>
        <w:rPr/>
      </w:pPr>
      <w:r>
        <w:rPr/>
        <w:t xml:space="preserve"> </w:t>
      </w:r>
    </w:p>
    <w:p>
      <w:pPr>
        <w:pStyle w:val="Normal"/>
        <w:rPr/>
      </w:pPr>
      <w:r>
        <w:rPr/>
        <w:t xml:space="preserve">Vi fremsætter denne anbefaling, fordi den forventede levetid stiger, og fødselsraten falder. Den europæiske befolkning bliver ældre, hvilket er grunden til, at vi er nødt til at tage yderligere skridt for at undgå risikoen for marginalisering af ældre og sikre dem et anstændigt liv. </w:t>
      </w:r>
    </w:p>
    <w:p>
      <w:pPr>
        <w:pStyle w:val="Normal"/>
        <w:rPr/>
      </w:pPr>
      <w:r>
        <w:rPr/>
        <w:t xml:space="preserve"> </w:t>
      </w:r>
    </w:p>
    <w:p>
      <w:pPr>
        <w:pStyle w:val="Normal"/>
        <w:rPr/>
      </w:pPr>
      <w:r>
        <w:rPr>
          <w:b/>
        </w:rPr>
        <w:t>22. Vi anbefaler, at der vedtages en række foranstaltninger for at tilskynde til en stigning i fødselsraten og sikre passende børnepasningsløsninger. Disse foranstaltninger bør bl.a. omfatte økonomisk overkommelige og tilgængelige børnepasningstjenester (på arbejde, nattid, nedsat moms på børnefaciliteter), bolig, jobstabilitet, barselsstøtte, særlig støtte og beskyttelse på arbejdspladsen for unge og forældre samt støtte til mødre og fædre i form af adgang til viden, når de vender tilbage til arbejdsmarkedet.</w:t>
      </w:r>
      <w:r>
        <w:rPr/>
        <w:t xml:space="preserve"> </w:t>
      </w:r>
    </w:p>
    <w:p>
      <w:pPr>
        <w:pStyle w:val="Normal"/>
        <w:rPr/>
      </w:pPr>
      <w:r>
        <w:rPr/>
        <w:t xml:space="preserve"> </w:t>
      </w:r>
    </w:p>
    <w:p>
      <w:pPr>
        <w:pStyle w:val="Normal"/>
        <w:rPr/>
      </w:pPr>
      <w:r>
        <w:rPr/>
        <w:t xml:space="preserve">Vi fremsætter denne henstilling, fordi EU er kendetegnet ved lave fødselsrater, som også bidrager til den europæiske befolknings aldring, og som kræver øjeblikkelig handling. Den foreslåede pakke har til formål at sikre, at unge familier har den nødvendige stabilitet til at passe børn. </w:t>
      </w:r>
    </w:p>
    <w:p>
      <w:pPr>
        <w:pStyle w:val="Normal"/>
        <w:rPr/>
      </w:pPr>
      <w:r>
        <w:rPr/>
      </w:r>
    </w:p>
    <w:p>
      <w:pPr>
        <w:pStyle w:val="P68B1DB1Normal15"/>
        <w:rPr>
          <w:b/>
          <w:b/>
        </w:rPr>
      </w:pPr>
      <w:r>
        <w:rPr/>
        <w:t xml:space="preserve">23. Vi anbefaler at sikre social bistand og sundhedspleje til ældre i hjemmet og i plejehjem. Der er også behov for at forbedre støtten til dem, der tager sig af de ældre (nær). </w:t>
      </w:r>
    </w:p>
    <w:p>
      <w:pPr>
        <w:pStyle w:val="Normal"/>
        <w:rPr/>
      </w:pPr>
      <w:r>
        <w:rPr/>
        <w:t xml:space="preserve"> </w:t>
      </w:r>
    </w:p>
    <w:p>
      <w:pPr>
        <w:pStyle w:val="Normal"/>
        <w:rPr/>
      </w:pPr>
      <w:r>
        <w:rPr/>
        <w:t xml:space="preserve">Vi fremsætter denne anbefaling, fordi den forventede levetid stiger, og fødselsraten falder; den europæiske befolkning bliver ældre, hvilket er grunden til, at vi er nødt til at tage yderligere skridt for at undgå risikoen for marginalisering af ældre og sikre dem et anstændigt liv. </w:t>
      </w:r>
    </w:p>
    <w:p>
      <w:pPr>
        <w:pStyle w:val="Normal"/>
        <w:rPr/>
      </w:pPr>
      <w:r>
        <w:rPr/>
        <w:t xml:space="preserve"> </w:t>
      </w:r>
    </w:p>
    <w:p>
      <w:pPr>
        <w:pStyle w:val="P68B1DB1Normal15"/>
        <w:rPr>
          <w:b/>
          <w:b/>
        </w:rPr>
      </w:pPr>
      <w:r>
        <w:rPr/>
        <w:t xml:space="preserve">24. Vi anbefaler, at EU støtter palliativ pleje og assisteret død [euthanasi] i henhold til et konkret sæt regler og regler. </w:t>
      </w:r>
    </w:p>
    <w:p>
      <w:pPr>
        <w:pStyle w:val="Normal"/>
        <w:rPr/>
      </w:pPr>
      <w:r>
        <w:rPr/>
        <w:t xml:space="preserve"> </w:t>
      </w:r>
    </w:p>
    <w:p>
      <w:pPr>
        <w:pStyle w:val="Normal"/>
        <w:rPr/>
      </w:pPr>
      <w:r>
        <w:rPr/>
        <w:t xml:space="preserve">Vi fremsætter denne anbefaling, fordi det vil reducere smerten hos patienter og familier og sikre en anstændig afslutning på livet. </w:t>
      </w:r>
    </w:p>
    <w:p>
      <w:pPr>
        <w:pStyle w:val="Normal"/>
        <w:rPr/>
      </w:pPr>
      <w:r>
        <w:rPr/>
        <w:t xml:space="preserve"> </w:t>
      </w:r>
    </w:p>
    <w:p>
      <w:pPr>
        <w:pStyle w:val="Titre4"/>
        <w:numPr>
          <w:ilvl w:val="3"/>
          <w:numId w:val="2"/>
        </w:numPr>
        <w:rPr/>
      </w:pPr>
      <w:bookmarkStart w:id="117" w:name="__RefHeading___Toc297169_1346298689"/>
      <w:bookmarkEnd w:id="117"/>
      <w:r>
        <w:rPr/>
        <w:t xml:space="preserve">Delakse 3.2 Ligestilling af rettigheder </w:t>
      </w:r>
    </w:p>
    <w:p>
      <w:pPr>
        <w:pStyle w:val="Normal"/>
        <w:rPr/>
      </w:pPr>
      <w:r>
        <w:rPr/>
        <w:t xml:space="preserve"> </w:t>
      </w:r>
    </w:p>
    <w:p>
      <w:pPr>
        <w:pStyle w:val="P68B1DB1Normal15"/>
        <w:rPr>
          <w:b/>
          <w:b/>
        </w:rPr>
      </w:pPr>
      <w:r>
        <w:rPr/>
        <w:t xml:space="preserve">25. Vi anbefaler, at EU støtter borgernes målrettede adgang til anstændige sociale boliger i overensstemmelse med deres specifikke behov. Den finansielle indsats bør deles mellem private donorer, boligejere, boligmodtagere, medlemsstaternes regeringer på centralt og lokalt plan og Den Europæiske Union. Målet bør være at lette opførelsen/reparationen af eksisterende socialt boligbyggeri, herunder gennem andelsforeninger, leje og køb. Støtten bør ydes på grundlag af klare kriterier (f.eks. det maksimale areal/person, der skal støttes, støttemodtagernes indkomst osv.). </w:t>
      </w:r>
    </w:p>
    <w:p>
      <w:pPr>
        <w:pStyle w:val="Normal"/>
        <w:rPr/>
      </w:pPr>
      <w:r>
        <w:rPr/>
        <w:t xml:space="preserve"> </w:t>
      </w:r>
    </w:p>
    <w:p>
      <w:pPr>
        <w:pStyle w:val="Normal"/>
        <w:rPr/>
      </w:pPr>
      <w:r>
        <w:rPr/>
        <w:t xml:space="preserve">Vi fremsætter denne henstilling, fordi en bedre adgang til boliger vil sikre, at EU-borgerne har håndgribelige lige rettigheder og bidrage til at lette de sociale spændinger. EU opfordres hovedsagelig til at føre tilsyn med støttemekanismen. de nationale og lokale myndigheder bør gøre en større indsats for at løse boligproblemerne. </w:t>
      </w:r>
    </w:p>
    <w:p>
      <w:pPr>
        <w:pStyle w:val="Normal"/>
        <w:rPr/>
      </w:pPr>
      <w:r>
        <w:rPr/>
      </w:r>
    </w:p>
    <w:p>
      <w:pPr>
        <w:pStyle w:val="P68B1DB1Normal15"/>
        <w:rPr>
          <w:b/>
          <w:b/>
        </w:rPr>
      </w:pPr>
      <w:r>
        <w:rPr/>
        <w:t xml:space="preserve">26. Vi anbefaler, at EU forbedrer reguleringen og en ensartet gennemførelse af støtteforanstaltninger for familier med børn i alle medlemsstater. Disse foranstaltninger omfatter bl.a.: en forøgelse af varigheden af forældreorloven, størrelsen af barselsydelsen og børnepasningsydelsen. </w:t>
      </w:r>
    </w:p>
    <w:p>
      <w:pPr>
        <w:pStyle w:val="Normal"/>
        <w:rPr/>
      </w:pPr>
      <w:r>
        <w:rPr/>
        <w:t xml:space="preserve"> </w:t>
      </w:r>
    </w:p>
    <w:p>
      <w:pPr>
        <w:pStyle w:val="Normal"/>
        <w:rPr/>
      </w:pPr>
      <w:r>
        <w:rPr/>
        <w:t xml:space="preserve">Vi fremsætter denne henstilling, fordi vi mener, at disse foranstaltninger vil afbøde det demografiske problem, som EU står over for. De vil også forbedre ligestillingen mellem kønnene mellem forældre. </w:t>
      </w:r>
    </w:p>
    <w:p>
      <w:pPr>
        <w:pStyle w:val="Normal"/>
        <w:rPr/>
      </w:pPr>
      <w:r>
        <w:rPr/>
      </w:r>
    </w:p>
    <w:p>
      <w:pPr>
        <w:pStyle w:val="P68B1DB1Normal15"/>
        <w:rPr>
          <w:b/>
          <w:b/>
        </w:rPr>
      </w:pPr>
      <w:r>
        <w:rPr/>
        <w:t xml:space="preserve">27. Vi anbefaler, at EU tager skridt til at sikre, at alle familier har de samme familierettigheder i alle medlemsstater. Disse rettigheder omfatter retten til ægteskab og adoption. </w:t>
      </w:r>
    </w:p>
    <w:p>
      <w:pPr>
        <w:pStyle w:val="Normal"/>
        <w:rPr/>
      </w:pPr>
      <w:r>
        <w:rPr/>
        <w:t xml:space="preserve"> </w:t>
      </w:r>
    </w:p>
    <w:p>
      <w:pPr>
        <w:pStyle w:val="Normal"/>
        <w:rPr/>
      </w:pPr>
      <w:r>
        <w:rPr/>
        <w:t xml:space="preserve">Vi fremsætter denne anbefaling, fordi vi mener, at alle EU-borgere bør have lige rettigheder, herunder familierettigheder. Familien er den grundlæggende form for social organisation. En lykkelig familie bidrager til et sundt samfund. Henstillingen har til formål at sikre, at alle borgere har familierettigheder, uanset køn, voksenalder, etnisk oprindelse eller fysisk sundhed.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Sub-akse 3.3 Equity/sub-akse 3.4 Adgang til sport </w:t>
      </w:r>
      <w:commentRangeEnd w:id="1"/>
      <w:r>
        <w:commentReference w:id="1"/>
      </w:r>
      <w:r>
        <w:rPr/>
      </w:r>
    </w:p>
    <w:p>
      <w:pPr>
        <w:pStyle w:val="Normal"/>
        <w:rPr/>
      </w:pPr>
      <w:r>
        <w:rPr/>
        <w:t xml:space="preserve"> </w:t>
      </w:r>
    </w:p>
    <w:p>
      <w:pPr>
        <w:pStyle w:val="P68B1DB1Normal15"/>
        <w:rPr>
          <w:b/>
          <w:b/>
        </w:rPr>
      </w:pPr>
      <w:r>
        <w:rPr/>
        <w:t xml:space="preserve">28. Vi anbefaler, at EU's strategi for ligestilling mellem mænd og kvinder (2020-2025) fremmes kraftigt og prioriteres højt som et presserende problem, som medlemsstaterne effektivt tager fat på. EU bør a) definere indikatorer (holdninger, lønforskelle, beskæftigelse, lederskab osv.), overvåge strategien på årsbasis og være gennemsigtig med hensyn til de opnåede resultater; og b) oprette en ombudsmand for at få direkte feedback fra borgerne. </w:t>
      </w:r>
    </w:p>
    <w:p>
      <w:pPr>
        <w:pStyle w:val="Normal"/>
        <w:rPr/>
      </w:pPr>
      <w:r>
        <w:rPr/>
        <w:t xml:space="preserve"> </w:t>
      </w:r>
    </w:p>
    <w:p>
      <w:pPr>
        <w:pStyle w:val="Normal"/>
        <w:rPr/>
      </w:pPr>
      <w:r>
        <w:rPr/>
        <w:t xml:space="preserve">Vi fremsætter denne anbefaling, fordi vi mener, at kønssituationen i EU langt fra er tilfredsstillende. Der bør være harmoni med hensyn til ligestilling mellem kønnene og borgerlige rettigheder på europæisk plan for at nå målene om ligestilling mellem kønnene og borgerlige rettigheder i alle lande, ikke kun dem, hvor kompromiset er stærkere. Vi er engagerede i kvinders tilstedeværelse og bidrag i magtpositioner og inden for alle former for erhverv for at få et mangfoldigt og tilfredsstillende EU. Kvinder er dårligt stillede i mange situationer (selv når de har et godt uddannelsesniveau/certificeret videregående uddannelse eller andre privilegier), så en sådan strategi er absolut nødvendig. </w:t>
      </w:r>
    </w:p>
    <w:p>
      <w:pPr>
        <w:pStyle w:val="Normal"/>
        <w:rPr/>
      </w:pPr>
      <w:r>
        <w:rPr/>
      </w:r>
    </w:p>
    <w:p>
      <w:pPr>
        <w:pStyle w:val="P68B1DB1Normal15"/>
        <w:rPr>
          <w:b/>
          <w:b/>
        </w:rPr>
      </w:pPr>
      <w:r>
        <w:rPr/>
        <w:t xml:space="preserve">29. Vi anbefaler, at EU fremmer og øger offentlighedens bevidsthed om sport og fysisk aktivitet i alle medlemsstater på grund af deres sundhedsmæssige fordele. Sport og fysisk aktivitet bør indgå i socialpolitikker, politikker for mental og fysisk sundhed, uddannelses- og arbejdsmarkedspolitikker (dvs. fremme lægers ordinering af sport og/eller fysisk aktivitet og, hvor det er gjort, sikre adgang til sportsfaciliteter; 1 times arbejde/uge for fysisk aktivitet m.v.). </w:t>
      </w:r>
    </w:p>
    <w:p>
      <w:pPr>
        <w:pStyle w:val="Normal"/>
        <w:rPr/>
      </w:pPr>
      <w:r>
        <w:rPr/>
        <w:t xml:space="preserve"> </w:t>
      </w:r>
    </w:p>
    <w:p>
      <w:pPr>
        <w:pStyle w:val="Normal"/>
        <w:rPr/>
      </w:pPr>
      <w:r>
        <w:rPr/>
        <w:t xml:space="preserve">Vi fremsætter denne anbefaling, fordi det er en langsigtet investering. Investering i sport og fysisk aktivitet reducerer omkostninger og byrder for sundhedsvæsenet. For eksempel vil sport og fysisk aktivitet som et sundhedsintervention reducere varigheden af behandlinger og gøre dem mere effektive. Denne strategi er allerede ved at blive gennemført med succes i nogle lande som Tyskland. Sport er en måde at opbygge værdier som engagement, indsats, selvværd, respekt eller kammeratskab på. Stillesiddende livsstil er mere almindelig end tidligere generationer på grund af blandt andet flere kontorjob og/eller ændringer i fritidsvaner. </w:t>
      </w:r>
    </w:p>
    <w:p>
      <w:pPr>
        <w:pStyle w:val="Normal"/>
        <w:rPr/>
      </w:pPr>
      <w:r>
        <w:rPr/>
      </w:r>
    </w:p>
    <w:p>
      <w:pPr>
        <w:pStyle w:val="P68B1DB1Normal15"/>
        <w:rPr>
          <w:b/>
          <w:b/>
        </w:rPr>
      </w:pPr>
      <w:r>
        <w:rPr/>
        <w:t xml:space="preserve">30. Vi anbefaler, at EU forpligter hver medlemsstat til at have en mindsteløn, der er fastsat i henhold til leveomkostningerne på dens område, og som betragtes som en rimelig løn, der giver mulighed for minimumslevevilkår over fattigdomsgrænsen. Hver medlemsstat skal overvåge den. </w:t>
      </w:r>
    </w:p>
    <w:p>
      <w:pPr>
        <w:pStyle w:val="Normal"/>
        <w:rPr/>
      </w:pPr>
      <w:r>
        <w:rPr/>
        <w:t xml:space="preserve"> </w:t>
      </w:r>
    </w:p>
    <w:p>
      <w:pPr>
        <w:pStyle w:val="Normal"/>
        <w:rPr/>
      </w:pPr>
      <w:r>
        <w:rPr/>
        <w:t xml:space="preserve">Vi fremsætter denne anbefaling, fordi det er uretfærdigt ikke at være i stand til at nå slutningen af ​​måneden, når vi arbejder. Rimelige lønninger bør bidrage til livskvaliteten på det sociale plan. Uretfærdige lønninger har høje omkostninger for stater (sikkerhed, skatteunddragelse, højere sociale omkostninger osv.). </w:t>
      </w:r>
    </w:p>
    <w:p>
      <w:pPr>
        <w:pStyle w:val="Normal"/>
        <w:rPr/>
      </w:pPr>
      <w:r>
        <w:rPr/>
      </w:r>
    </w:p>
    <w:p>
      <w:pPr>
        <w:pStyle w:val="P68B1DB1Normal15"/>
        <w:rPr>
          <w:b/>
          <w:b/>
        </w:rPr>
      </w:pPr>
      <w:r>
        <w:rPr/>
        <w:t xml:space="preserve">31. Vi anbefaler skatteharmonisering i medlemsstaterne på EU-plan (for at undgå skattely i EU og bekæmpe udflytning inden for Europa) samt et skatteincitament til at modvirke flytning af arbejdspladser uden for Europa. </w:t>
      </w:r>
    </w:p>
    <w:p>
      <w:pPr>
        <w:pStyle w:val="Normal"/>
        <w:rPr/>
      </w:pPr>
      <w:r>
        <w:rPr/>
        <w:t xml:space="preserve"> </w:t>
      </w:r>
    </w:p>
    <w:p>
      <w:pPr>
        <w:pStyle w:val="Normal"/>
        <w:rPr/>
      </w:pPr>
      <w:r>
        <w:rPr/>
        <w:t xml:space="preserve">Vi fremsætter denne henstilling, fordi vi er bekymrede over virkningerne af udflytningen af arbejdspladser uden for Europa og mener, at det vil forhindre skattekonkurrence mellem EU's medlemsstater. </w:t>
      </w:r>
    </w:p>
    <w:p>
      <w:pPr>
        <w:pStyle w:val="Normal"/>
        <w:rPr/>
      </w:pPr>
      <w:r>
        <w:rPr/>
      </w:r>
    </w:p>
    <w:p>
      <w:pPr>
        <w:pStyle w:val="Titre3"/>
        <w:numPr>
          <w:ilvl w:val="2"/>
          <w:numId w:val="2"/>
        </w:numPr>
        <w:rPr/>
      </w:pPr>
      <w:bookmarkStart w:id="119" w:name="__RefHeading___Toc297173_1346298689"/>
      <w:bookmarkEnd w:id="119"/>
      <w:r>
        <w:rPr/>
        <w:t xml:space="preserve">Akse 4 Læring i Europa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Delakse 4.1 Europæisk identitet/Underakse 4.2 Digital uddannelse </w:t>
      </w:r>
      <w:commentRangeEnd w:id="2"/>
      <w:r>
        <w:commentReference w:id="2"/>
      </w:r>
      <w:r>
        <w:rPr/>
      </w:r>
    </w:p>
    <w:p>
      <w:pPr>
        <w:pStyle w:val="Normal"/>
        <w:rPr/>
      </w:pPr>
      <w:r>
        <w:rPr/>
        <w:t xml:space="preserve"> </w:t>
      </w:r>
    </w:p>
    <w:p>
      <w:pPr>
        <w:pStyle w:val="P68B1DB1Normal15"/>
        <w:rPr>
          <w:b/>
          <w:b/>
        </w:rPr>
      </w:pPr>
      <w:r>
        <w:rPr/>
        <w:t xml:space="preserve">32. Vi anbefaler at fremme flersprogethed fra en tidlig alder, for eksempel fra børnehave. Fra grundskolen bør det være obligatorisk for børn at nå op på C1-niveau på et aktivt EU-sprog, der ikke er deres eget. </w:t>
      </w:r>
    </w:p>
    <w:p>
      <w:pPr>
        <w:pStyle w:val="Normal"/>
        <w:rPr/>
      </w:pPr>
      <w:r>
        <w:rPr/>
        <w:t xml:space="preserve"> </w:t>
      </w:r>
    </w:p>
    <w:p>
      <w:pPr>
        <w:pStyle w:val="Normal"/>
        <w:rPr/>
      </w:pPr>
      <w:r>
        <w:rPr/>
        <w:t xml:space="preserve">Vi fremsætter denne anbefaling, fordi flersprogethed er et værktøj, der forbinder borgerne og en bro til andre kulturer, hvilket gør andre lande og deres kulturer mere tilgængelige. Det styrker den europæiske identitet og interkulturelle udvekslinger. Det er vigtigt at lære andre kulturer at kende inden for rammerne af Den Europæiske Union. At kunne tale på et godt niveau på to sprog ville derfor bidrage til at skabe en fælles europæisk identitet og forstå andre europæiske kulturer. EU er nødt til at arbejde tæt sammen med uddannelsesinstitutioner for at opnå gode resultater på uddannelsesområdet. Det er også nødvendigt at oprette et særprogram (f.eks. digitale platforme, udvidede Erasmus±programmer osv.) for udelukkende at fremme flersprogethed. De nuværende Europaskoler kan tjene som model i denne henseende. EU bør oprette og aktivt fremme sådanne skoler. </w:t>
      </w:r>
    </w:p>
    <w:p>
      <w:pPr>
        <w:pStyle w:val="Normal"/>
        <w:rPr/>
      </w:pPr>
      <w:r>
        <w:rPr/>
      </w:r>
    </w:p>
    <w:p>
      <w:pPr>
        <w:pStyle w:val="P68B1DB1Normal15"/>
        <w:rPr>
          <w:b/>
          <w:b/>
        </w:rPr>
      </w:pPr>
      <w:r>
        <w:rPr/>
        <w:t xml:space="preserve">33. Vi anbefaler, at EU øger bevidstheden blandt unge om farerne ved internettet og digitaliseringen ved at skabe et obligatorisk emne i grundskolen. EU bør udvikle værktøjer og skabe fælles uddannelsesrum for unge, så de kan lære sammen. </w:t>
      </w:r>
    </w:p>
    <w:p>
      <w:pPr>
        <w:pStyle w:val="Normal"/>
        <w:rPr/>
      </w:pPr>
      <w:r>
        <w:rPr/>
        <w:t xml:space="preserve"> </w:t>
      </w:r>
    </w:p>
    <w:p>
      <w:pPr>
        <w:pStyle w:val="Normal"/>
        <w:rPr/>
      </w:pPr>
      <w:r>
        <w:rPr/>
        <w:t xml:space="preserve">Vi fremsætter denne anbefaling, fordi de nuværende initiativer eller programmer på dette område ikke er tilstrækkelige. Desuden er mange EU-borgere ikke bekendt med eksisterende EU-initiativer på disse områder. Børn er ikke tilstrækkeligt bevidste om farerne ved internettet, hvilket er grunden til, at vi bør gøre meget mere for at øge bevidstheden blandt den yngre generation. </w:t>
      </w:r>
    </w:p>
    <w:p>
      <w:pPr>
        <w:pStyle w:val="Normal"/>
        <w:rPr/>
      </w:pPr>
      <w:r>
        <w:rPr/>
        <w:t xml:space="preserve"> </w:t>
      </w:r>
    </w:p>
    <w:p>
      <w:pPr>
        <w:pStyle w:val="P68B1DB1Normal15"/>
        <w:rPr>
          <w:b/>
          <w:b/>
        </w:rPr>
      </w:pPr>
      <w:r>
        <w:rPr/>
        <w:t xml:space="preserve">34. Vi anbefaler, at EU arbejder på at gøre teknologien mere tilgængelig for ældre ved at tilskynde til programmer og initiativer, f.eks. i form af kurser, der er skræddersyet til deres behov. EU bør garantere retten til at anvende digital teknologi for dem, der ønsker det, og foreslå alternativer for dem, der ikke ønsker det. </w:t>
      </w:r>
    </w:p>
    <w:p>
      <w:pPr>
        <w:pStyle w:val="Normal"/>
        <w:rPr/>
      </w:pPr>
      <w:r>
        <w:rPr/>
        <w:t xml:space="preserve"> </w:t>
      </w:r>
    </w:p>
    <w:p>
      <w:pPr>
        <w:pStyle w:val="Normal"/>
        <w:rPr/>
      </w:pPr>
      <w:r>
        <w:rPr/>
        <w:t xml:space="preserve">Vi fremsætter denne henstilling, fordi EU bør sikre, at ældre kan deltage i den digitale verden, og at ingen forskelsbehandles. Der bør indføres forenklede værktøjer i generationer, der er mindre erfarne i brugen af visse teknologier, med henblik på at integrere dem i dagens verden. Vi anbefaler, at eksisterende initiativer fremmes bedre, så borgerne er opmærksomme på dem. Ældre bør ikke diskrimineres i EU, når det drejer sig om anvendelse af IT-værktøjer. (Som en hændelse betyder det, at borgerne skal kunne leve deres liv uden at skulle gå gennem et internetnetværk). EU bør tilrettelægge og stille permanent gratis bistand til rådighed for ældre for at lette adgangen til digitale værktøjer. </w:t>
      </w:r>
    </w:p>
    <w:p>
      <w:pPr>
        <w:pStyle w:val="Normal"/>
        <w:rPr/>
      </w:pPr>
      <w:r>
        <w:rPr/>
      </w:r>
    </w:p>
    <w:p>
      <w:pPr>
        <w:pStyle w:val="Titre4"/>
        <w:numPr>
          <w:ilvl w:val="3"/>
          <w:numId w:val="2"/>
        </w:numPr>
        <w:rPr/>
      </w:pPr>
      <w:bookmarkStart w:id="121" w:name="__RefHeading___Toc297177_1346298689"/>
      <w:bookmarkEnd w:id="121"/>
      <w:r>
        <w:rPr/>
        <w:t xml:space="preserve">Delakse 4.3 Kulturel udveksling/Underakse 4.4 Miljøuddannelse </w:t>
      </w:r>
    </w:p>
    <w:p>
      <w:pPr>
        <w:pStyle w:val="Normal"/>
        <w:rPr/>
      </w:pPr>
      <w:r>
        <w:rPr/>
        <w:t xml:space="preserve"> </w:t>
      </w:r>
    </w:p>
    <w:p>
      <w:pPr>
        <w:pStyle w:val="P68B1DB1Normal15"/>
        <w:rPr>
          <w:b/>
          <w:b/>
        </w:rPr>
      </w:pPr>
      <w:r>
        <w:rPr/>
        <w:t xml:space="preserve">35. Vi anbefaler, at EU opretter en platform, hvor undervisningsmateriale om klimaændringer, bæredygtighed og miljøspørgsmål vil blive stillet til rådighed til uddannelsesmæssige formål. Sådanne oplysninger bør baseres på fakta, verificeres af eksperter og tilpasses de enkelte medlemsstater. Platformen: </w:t>
      </w:r>
    </w:p>
    <w:p>
      <w:pPr>
        <w:pStyle w:val="P68B1DB1Normal15"/>
        <w:rPr>
          <w:b/>
          <w:b/>
        </w:rPr>
      </w:pPr>
      <w:r>
        <w:rPr/>
        <w:t xml:space="preserve">● </w:t>
      </w:r>
      <w:r>
        <w:rPr/>
        <w:t xml:space="preserve">bør omfatte lektioner for forskellige målgrupper, f.eks. for personer, der bor i byområder eller landdistrikter, alle aldersgrupper og forudgående vidensniveauer; </w:t>
      </w:r>
    </w:p>
    <w:p>
      <w:pPr>
        <w:pStyle w:val="P68B1DB1Normal15"/>
        <w:rPr>
          <w:b/>
          <w:b/>
        </w:rPr>
      </w:pPr>
      <w:r>
        <w:rPr/>
        <w:t xml:space="preserve">● </w:t>
      </w:r>
      <w:r>
        <w:rPr/>
        <w:t xml:space="preserve">skal stilles til rådighed for alle medlemsstater og være let tilgængelige. </w:t>
      </w:r>
    </w:p>
    <w:p>
      <w:pPr>
        <w:pStyle w:val="P68B1DB1Normal15"/>
        <w:rPr>
          <w:b/>
          <w:b/>
        </w:rPr>
      </w:pPr>
      <w:r>
        <w:rPr/>
        <w:t xml:space="preserve">● </w:t>
      </w:r>
      <w:r>
        <w:rPr/>
        <w:t xml:space="preserve">bør ved gennemførelsen indeholde en plan for salgsfremstød, som bør omfatte de berørte virksomheder; </w:t>
      </w:r>
    </w:p>
    <w:p>
      <w:pPr>
        <w:pStyle w:val="P68B1DB1Normal15"/>
        <w:rPr>
          <w:b/>
          <w:b/>
        </w:rPr>
      </w:pPr>
      <w:r>
        <w:rPr/>
        <w:t xml:space="preserve">● </w:t>
      </w:r>
      <w:r>
        <w:rPr/>
        <w:t xml:space="preserve">kunne stilles til rådighed samtidig med et finansieringsprogram til støtte for anvendelsen og gennemførelsen af de oplysninger, der er tilgængelige på platformen. Denne finansiering bør også støtte besøg på stedet for at præsentere konkrete eksempler. </w:t>
      </w:r>
    </w:p>
    <w:p>
      <w:pPr>
        <w:pStyle w:val="Normal"/>
        <w:rPr/>
      </w:pPr>
      <w:r>
        <w:rPr/>
        <w:t xml:space="preserve"> </w:t>
      </w:r>
    </w:p>
    <w:p>
      <w:pPr>
        <w:pStyle w:val="Normal"/>
        <w:rPr/>
      </w:pPr>
      <w:r>
        <w:rPr/>
        <w:t xml:space="preserve">Vi fremsætter denne anbefaling, fordi folk i alle aldre har brug for adgang til faktuelle oplysninger om, hvordan man tackler klimaændringer, bæredygtighed og miljøspørgsmål. Vigtige begreber, såsom det økologiske fodaftryk, skal forstås af alle, især unge, fordi det, vi lærer børn, følger os gennem hele vores liv. Disse emner er komplekse, og desinformation er udbredt. Vi har brug for en pålidelig kilde, og EU har troværdigheden og ressourcerne til at påtage sig denne rolle. Dette er også vigtigt, fordi vidensniveauet og adgangen til troværdige oplysninger varierer fra medlemsstat til medlemsstat. </w:t>
      </w:r>
    </w:p>
    <w:p>
      <w:pPr>
        <w:pStyle w:val="Normal"/>
        <w:rPr/>
      </w:pPr>
      <w:r>
        <w:rPr/>
      </w:r>
    </w:p>
    <w:p>
      <w:pPr>
        <w:pStyle w:val="P68B1DB1Normal15"/>
        <w:rPr>
          <w:b/>
          <w:b/>
        </w:rPr>
      </w:pPr>
      <w:r>
        <w:rPr/>
        <w:t xml:space="preserve">36. Vi anbefaler, at EU prioriterer at sikre, at udvekslingsprogrammer er tilgængelige for alle (aldersgrupper, medlemsstater, uddannelsesniveauer og finansiel kapacitet) og at muliggøre praktikophold eller udvekslinger mellem sektorer, lande, uddannelsesinstitutioner, byer og virksomheder. EU bør være ansvarlig for at lancere, formidle og finansiere kulturelle og sociale udvekslinger i hele EU, både fysisk og digitalt. EU skal aktivt fremme disse initiativer og være rettet mod personer, der endnu ikke har kendskab til kulturelle og sociale udvekslingsprogrammer. Konferencen om Europas fremtid, som borgerne tilfældigt blev udvalgt til, er det perfekte eksempel på en europæisk udveksling. Vi ønsker flere initiativer af denne art, men vi ønsker også mindre initiativer samt udvekslinger inden for sport, musik, (sociale) praktikophold mv. </w:t>
      </w:r>
    </w:p>
    <w:p>
      <w:pPr>
        <w:pStyle w:val="P68B1DB1Normal15"/>
        <w:rPr>
          <w:b/>
          <w:b/>
        </w:rPr>
      </w:pPr>
      <w:r>
        <w:rPr/>
        <w:t xml:space="preserve"> </w:t>
      </w:r>
    </w:p>
    <w:p>
      <w:pPr>
        <w:pStyle w:val="Normal"/>
        <w:rPr/>
      </w:pPr>
      <w:r>
        <w:rPr/>
        <w:t xml:space="preserve">Vi fremsætter denne anbefaling, fordi det er vigtigt at skabe en følelse af tilhørsforhold og samhørighed og at fremme tolerance over for vores storslåede mangfoldighed og perspektiver samt udvikling af individuelle færdigheder. Denne proces vil udvikle venskaber, gensidig forståelse og kritisk tænkning. Vi vil gerne fremme engagementet hos alle medlemmer af vores samfund, selv dem, der ikke har deltaget i sådanne initiativer til dato. </w:t>
      </w:r>
    </w:p>
    <w:p>
      <w:pPr>
        <w:pStyle w:val="Normal"/>
        <w:rPr/>
      </w:pPr>
      <w:r>
        <w:rPr/>
      </w:r>
    </w:p>
    <w:p>
      <w:pPr>
        <w:pStyle w:val="Titre4"/>
        <w:numPr>
          <w:ilvl w:val="3"/>
          <w:numId w:val="2"/>
        </w:numPr>
        <w:rPr/>
      </w:pPr>
      <w:bookmarkStart w:id="122" w:name="__RefHeading___Toc297179_1346298689"/>
      <w:bookmarkEnd w:id="122"/>
      <w:r>
        <w:rPr/>
        <w:t xml:space="preserve">Delakse 4.5 Kvalitet, finansiering og adgang til uddannelse/underakse 4.6 Harmonisering af uddannelse </w:t>
      </w:r>
    </w:p>
    <w:p>
      <w:pPr>
        <w:pStyle w:val="Normal"/>
        <w:rPr/>
      </w:pPr>
      <w:r>
        <w:rPr/>
        <w:t xml:space="preserve"> </w:t>
      </w:r>
    </w:p>
    <w:p>
      <w:pPr>
        <w:pStyle w:val="P68B1DB1Normal15"/>
        <w:rPr>
          <w:b/>
          <w:b/>
        </w:rPr>
      </w:pPr>
      <w:r>
        <w:rPr/>
        <w:t xml:space="preserve">37. Vi anbefaler, at alle medlemsstater fastlægger og vedtager en minimumsstandard for certificeret uddannelse i vigtige fag fra grundskolen og fremefter. Målet er at sikre, at alle borgere har lige adgang til uddannelse af høj kvalitet, der garanterer lighed og lighed. </w:t>
      </w:r>
    </w:p>
    <w:p>
      <w:pPr>
        <w:pStyle w:val="Normal"/>
        <w:rPr/>
      </w:pPr>
      <w:r>
        <w:rPr/>
      </w:r>
    </w:p>
    <w:p>
      <w:pPr>
        <w:pStyle w:val="Normal"/>
        <w:rPr/>
      </w:pPr>
      <w:r>
        <w:rPr/>
        <w:t xml:space="preserve">Vi fremsætter denne anbefaling af følgende grunde: </w:t>
      </w:r>
    </w:p>
    <w:p>
      <w:pPr>
        <w:pStyle w:val="Normal"/>
        <w:rPr/>
      </w:pPr>
      <w:r>
        <w:rPr/>
        <w:t xml:space="preserve">● </w:t>
      </w:r>
      <w:r>
        <w:rPr/>
        <w:t xml:space="preserve">eksistensen af en minimumsstandard vil øge forældres, læreres og studerendes tillid til deres uddannelsessystemer, samtidig med at der bliver plads til initiativ og mangfoldighed. </w:t>
      </w:r>
    </w:p>
    <w:p>
      <w:pPr>
        <w:pStyle w:val="Normal"/>
        <w:rPr/>
      </w:pPr>
      <w:r>
        <w:rPr/>
        <w:t xml:space="preserve">Hvis den gennemføres, vil vores henstilling styrke og styrke den fælles europæiske identitet ved at fremme samhørighed, enhed og en følelse af tilhørsforhold. </w:t>
      </w:r>
    </w:p>
    <w:p>
      <w:pPr>
        <w:pStyle w:val="Normal"/>
        <w:rPr/>
      </w:pPr>
      <w:r>
        <w:rPr/>
        <w:t xml:space="preserve">● </w:t>
      </w:r>
      <w:r>
        <w:rPr/>
        <w:t xml:space="preserve">Gennemførelsen af denne henstilling vil styrke samarbejdet og udvekslingen mellem skoler i hele EU, hvilket vil forbedre forholdet mellem undervisere og elever og i høj grad lette udvekslingsprogrammer. </w:t>
      </w:r>
    </w:p>
    <w:p>
      <w:pPr>
        <w:pStyle w:val="Normal"/>
        <w:rPr/>
      </w:pPr>
      <w:r>
        <w:rPr/>
      </w:r>
    </w:p>
    <w:p>
      <w:pPr>
        <w:pStyle w:val="P68B1DB1Normal15"/>
        <w:rPr>
          <w:b/>
          <w:b/>
        </w:rPr>
      </w:pPr>
      <w:r>
        <w:rPr/>
        <w:t xml:space="preserve">38. Vi anbefaler, at engelsk undervises i henhold til en certificerbar standard som hovedfag i grundskolerne i alle EU's medlemsstater for at lette og styrke de europæiske borgeres evne til at kommunikere effektivt. </w:t>
      </w:r>
    </w:p>
    <w:p>
      <w:pPr>
        <w:pStyle w:val="Normal"/>
        <w:rPr/>
      </w:pPr>
      <w:r>
        <w:rPr/>
        <w:t xml:space="preserve"> </w:t>
      </w:r>
    </w:p>
    <w:p>
      <w:pPr>
        <w:pStyle w:val="Normal"/>
        <w:rPr/>
      </w:pPr>
      <w:r>
        <w:rPr/>
        <w:t xml:space="preserve">Vi fremsætter denne anbefaling af følgende grunde: </w:t>
      </w:r>
    </w:p>
    <w:p>
      <w:pPr>
        <w:pStyle w:val="Normal"/>
        <w:rPr/>
      </w:pPr>
      <w:r>
        <w:rPr/>
        <w:t xml:space="preserve">● </w:t>
      </w:r>
      <w:r>
        <w:rPr/>
        <w:t xml:space="preserve">dette vil give mulighed for større enhed og lighed ved at styrke borgernes evne til at kommunikere med hinanden og støtte en stærkere fælles europæisk identitet; </w:t>
      </w:r>
    </w:p>
    <w:p>
      <w:pPr>
        <w:pStyle w:val="Normal"/>
        <w:rPr/>
      </w:pPr>
      <w:r>
        <w:rPr/>
        <w:t xml:space="preserve">● </w:t>
      </w:r>
      <w:r>
        <w:rPr/>
        <w:t xml:space="preserve">dette vil udvide arbejdsmarkedet og gøre det mere fleksibelt og tilgængeligt, hvilket vil give borgerne tillid til at arbejde og kommunikere i alle andre medlemsstater, der giver mere personlige og faglige perspektiver. </w:t>
      </w:r>
    </w:p>
    <w:p>
      <w:pPr>
        <w:pStyle w:val="Normal"/>
        <w:rPr/>
      </w:pPr>
      <w:r>
        <w:rPr/>
        <w:t xml:space="preserve">● </w:t>
      </w:r>
      <w:r>
        <w:rPr/>
        <w:t xml:space="preserve">en sådan tilgang vil gøre det muligt at udbrede et fælles europæisk sprog inden for meget kort tid; </w:t>
      </w:r>
    </w:p>
    <w:p>
      <w:pPr>
        <w:pStyle w:val="Normal"/>
        <w:rPr/>
      </w:pPr>
      <w:r>
        <w:rPr/>
        <w:t xml:space="preserve">● </w:t>
      </w:r>
      <w:r>
        <w:rPr/>
        <w:t xml:space="preserve">brugen af et fælles sprog fremskynder udvekslingen af oplysninger til gavn for samarbejde, fælles kriseberedskab, humanitær bistand og tilnærmelse mellem Europa og europæerne. </w:t>
      </w:r>
    </w:p>
    <w:p>
      <w:pPr>
        <w:pStyle w:val="Normal"/>
        <w:rPr/>
      </w:pPr>
      <w:r>
        <w:rPr/>
      </w:r>
    </w:p>
    <w:p>
      <w:pPr>
        <w:pStyle w:val="Titre3"/>
        <w:numPr>
          <w:ilvl w:val="2"/>
          <w:numId w:val="2"/>
        </w:numPr>
        <w:rPr/>
      </w:pPr>
      <w:bookmarkStart w:id="123" w:name="__RefHeading___Toc297181_1346298689"/>
      <w:bookmarkEnd w:id="123"/>
      <w:r>
        <w:rPr/>
        <w:t xml:space="preserve">Akse 5 En etisk og sikker digital transformation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Delakse 5.1 Demokratisering af digital transformation/Underakse 5.2 Cybersikkerhed </w:t>
      </w:r>
      <w:commentRangeEnd w:id="3"/>
      <w:r>
        <w:commentReference w:id="3"/>
      </w:r>
      <w:r>
        <w:rPr/>
      </w:r>
    </w:p>
    <w:p>
      <w:pPr>
        <w:pStyle w:val="Normal"/>
        <w:rPr/>
      </w:pPr>
      <w:r>
        <w:rPr/>
        <w:t xml:space="preserve"> </w:t>
      </w:r>
    </w:p>
    <w:p>
      <w:pPr>
        <w:pStyle w:val="P68B1DB1Normal15"/>
        <w:rPr>
          <w:b/>
          <w:b/>
        </w:rPr>
      </w:pPr>
      <w:r>
        <w:rPr/>
        <w:t xml:space="preserve">39. Vi anbefaler, at EU har flere beføjelser til at bekæmpe ulovligt indhold og cyberkriminalitet. Vi anbefaler, at Europols/det europæiske center til bekæmpelse af it-kriminalitet styrkes, herunder: </w:t>
      </w:r>
    </w:p>
    <w:p>
      <w:pPr>
        <w:pStyle w:val="P68B1DB1Normal15"/>
        <w:rPr>
          <w:b/>
          <w:b/>
        </w:rPr>
      </w:pPr>
      <w:r>
        <w:rPr/>
        <w:t xml:space="preserve">● </w:t>
      </w:r>
      <w:r>
        <w:rPr/>
        <w:t xml:space="preserve">øgede finansielle ressourcer og bemanding </w:t>
      </w:r>
    </w:p>
    <w:p>
      <w:pPr>
        <w:pStyle w:val="P68B1DB1Normal15"/>
        <w:rPr>
          <w:b/>
          <w:b/>
        </w:rPr>
      </w:pPr>
      <w:r>
        <w:rPr/>
        <w:t xml:space="preserve">● </w:t>
      </w:r>
      <w:r>
        <w:rPr/>
        <w:t xml:space="preserve">sikring af lignende sanktioner i hvert land ● sikring af hurtig og effektiv legalitetskontrol </w:t>
      </w:r>
    </w:p>
    <w:p>
      <w:pPr>
        <w:pStyle w:val="Normal"/>
        <w:rPr/>
      </w:pPr>
      <w:r>
        <w:rPr/>
        <w:t xml:space="preserve"> </w:t>
      </w:r>
    </w:p>
    <w:p>
      <w:pPr>
        <w:pStyle w:val="Normal"/>
        <w:rPr/>
      </w:pPr>
      <w:r>
        <w:rPr/>
        <w:t xml:space="preserve">Vi fremsætter denne anbefaling for at sikre frihed på internettet, samtidig med at vi sikrer, at diskrimination, misbrug og chikane straffes. Vi støtter idéen om et europæisk offentligt organ, fordi vi ikke ønsker at overlade reguleringen af onlineplatforme til private virksomheder alene. Onlineplatforme skal tage ansvar for distribueret indhold, men vi ønsker at sikre, at det ikke er deres interesser, der har forrang. Indholdsregulering og retsforfølgning af gerningsmænd skal være rettidig og effektiv, så de også har en afskrækkende virkning på ondsindede personer. </w:t>
      </w:r>
    </w:p>
    <w:p>
      <w:pPr>
        <w:pStyle w:val="Normal"/>
        <w:rPr/>
      </w:pPr>
      <w:r>
        <w:rPr/>
      </w:r>
    </w:p>
    <w:p>
      <w:pPr>
        <w:pStyle w:val="P68B1DB1Normal15"/>
        <w:rPr>
          <w:b/>
          <w:b/>
        </w:rPr>
      </w:pPr>
      <w:r>
        <w:rPr/>
        <w:t xml:space="preserve">40. Vi anbefaler, at EU investerer i innovativ digital infrastruktur af høj kvalitet (som f.eks. udvikling af 5G i Europa) for at sikre Europas autonomi og forhindre afhængighed af tredjelande eller private virksomheder. EU bør også være særlig opmærksom på investeringer i sine tilbagestående regioner. </w:t>
      </w:r>
    </w:p>
    <w:p>
      <w:pPr>
        <w:pStyle w:val="Normal"/>
        <w:rPr/>
      </w:pPr>
      <w:r>
        <w:rPr/>
        <w:t xml:space="preserve"> </w:t>
      </w:r>
    </w:p>
    <w:p>
      <w:pPr>
        <w:pStyle w:val="Normal"/>
        <w:rPr/>
      </w:pPr>
      <w:r>
        <w:rPr/>
        <w:t xml:space="preserve">Vi fremsætter denne anbefaling, fordi digital infrastruktur spiller en central rolle i den europæiske økonomi og i europæernes dagligdag, hvilket de letter. Europa har derfor brug for digital infrastruktur af høj kvalitet. Hvis det afhænger af tredjeparter, kan Europa være sårbar over for negative påvirkninger fra private virksomheder eller udenlandske lande. Europa bør derfor investere i digital infrastruktur for at forbedre sin autonomi. Det er også vigtigt at sikre digital inklusion ved at sikre, at mindre digitalt udviklede regioner får gavn af investeringer. </w:t>
      </w:r>
    </w:p>
    <w:p>
      <w:pPr>
        <w:pStyle w:val="Normal"/>
        <w:rPr/>
      </w:pPr>
      <w:r>
        <w:rPr/>
      </w:r>
    </w:p>
    <w:p>
      <w:pPr>
        <w:pStyle w:val="P68B1DB1Normal15"/>
        <w:rPr>
          <w:b/>
          <w:b/>
        </w:rPr>
      </w:pPr>
      <w:r>
        <w:rPr/>
        <w:t xml:space="preserve">41. Vi anbefaler, at EU fremmer uddannelse i falske nyheder, desinformation og onlinesikkerhed i Europaskolerne. Den bør trække på eksempler på god praksis fra hele EU. EU bør oprette en organisation, der er specielt ansvarlig for at fremme dette arbejde og fremsætte anbefalinger til uddannelsessystemerne. Det bør også fremme ikkeformel uddannelse samt innovative og kreative undervisningsteknikker (f.eks. deltagelsesspil). </w:t>
      </w:r>
    </w:p>
    <w:p>
      <w:pPr>
        <w:pStyle w:val="Normal"/>
        <w:rPr/>
      </w:pPr>
      <w:r>
        <w:rPr/>
      </w:r>
    </w:p>
    <w:p>
      <w:pPr>
        <w:pStyle w:val="Normal"/>
        <w:rPr/>
      </w:pPr>
      <w:r>
        <w:rPr/>
        <w:t xml:space="preserve">Vi fremsætter denne anbefaling, fordi det er vigtigt at indføre kurser om onlinesikkerhed og digital sikkerhedskultur (bekæmpelse af onlinesvindel, falske nyheder osv.) i skolen for at give alle værktøjer til at beskytte sig mod onlinetrusler. Det er vigtigt at ramme unge, som er meget udsatte for sådanne trusler. Skolerne kan også kommunikere med forældrene for at fremme god praksis. Disse kurser kan baseres på eksempler på god praksis i Europa (f.eks. Finland), samtidig med at de tilpasses de enkelte landes behov. </w:t>
      </w:r>
    </w:p>
    <w:p>
      <w:pPr>
        <w:pStyle w:val="Normal"/>
        <w:rPr/>
      </w:pPr>
      <w:r>
        <w:rPr/>
        <w:t xml:space="preserve"> </w:t>
      </w:r>
    </w:p>
    <w:p>
      <w:pPr>
        <w:pStyle w:val="Titre4"/>
        <w:numPr>
          <w:ilvl w:val="3"/>
          <w:numId w:val="2"/>
        </w:numPr>
        <w:rPr/>
      </w:pPr>
      <w:bookmarkStart w:id="125" w:name="__RefHeading___Toc297185_1346298689"/>
      <w:bookmarkEnd w:id="125"/>
      <w:r>
        <w:rPr/>
        <w:t xml:space="preserve">Underakse 5.3 Databeskyttelse </w:t>
      </w:r>
    </w:p>
    <w:p>
      <w:pPr>
        <w:pStyle w:val="Normal"/>
        <w:rPr/>
      </w:pPr>
      <w:r>
        <w:rPr/>
        <w:t xml:space="preserve"> </w:t>
      </w:r>
    </w:p>
    <w:p>
      <w:pPr>
        <w:pStyle w:val="P68B1DB1Normal15"/>
        <w:rPr>
          <w:b/>
          <w:b/>
        </w:rPr>
      </w:pPr>
      <w:r>
        <w:rPr/>
        <w:t xml:space="preserve">42. Vi anbefaler yderligere at begrænse misbrug af data fra "datagiganter" ved at øge overholdelsen af GDPR (generel forordning om databeskyttelse), skabe mere standardiserede mekanismer i hele EU og sikre, at selv ikke-europæiske virksomheder, der opererer i EU, overholder denne forordning. Denne forbedring bør give en klar og kortfattet forklaring af betingelserne for anvendelse af dataene for at undgå tvetydighed og give yderligere oplysninger om, hvordan dataene vil blive anvendt og af hvem, og for at undgå samtykke til videreanvendelse og videresalg af dataene som standardmulighed. Den bør sikre, at oplysningerne slettes permanent, når en borger anmoder herom. Den bør også styrke konsekvensen i overvågningen af overholdelsen af reglerne for så vidt angår profilering af enkeltpersoner på grundlag af deres onlineaktiviteter. Vi foreslår to typer sanktioner: en bøde, der står i forhold til virksomhedens omsætning og begrænsninger i virksomhedens aktiviteter. </w:t>
      </w:r>
    </w:p>
    <w:p>
      <w:pPr>
        <w:pStyle w:val="Normal"/>
        <w:rPr/>
      </w:pPr>
      <w:r>
        <w:rPr/>
        <w:t xml:space="preserve"> </w:t>
      </w:r>
    </w:p>
    <w:p>
      <w:pPr>
        <w:pStyle w:val="Normal"/>
        <w:rPr/>
      </w:pPr>
      <w:r>
        <w:rPr/>
        <w:t xml:space="preserve">Vi fremsætter denne anbefaling, fordi gennemsigtigheden i øjeblikket er meget begrænset med hensyn til, hvilken type data der indsamles, hvordan de behandles, og hvem de sælges til. Vi er nødt til yderligere at begrænse datagiganternes magtmisbrug og sikre, at borgerne giver samtykke til, at deres data behandles bevidst. </w:t>
      </w:r>
    </w:p>
    <w:p>
      <w:pPr>
        <w:pStyle w:val="Normal"/>
        <w:rPr/>
      </w:pPr>
      <w:r>
        <w:rPr/>
        <w:t xml:space="preserve"> </w:t>
      </w:r>
    </w:p>
    <w:p>
      <w:pPr>
        <w:pStyle w:val="P68B1DB1Normal15"/>
        <w:rPr>
          <w:b/>
          <w:b/>
        </w:rPr>
      </w:pPr>
      <w:r>
        <w:rPr/>
        <w:t xml:space="preserve">43. Vi anbefaler, at der oprettes et uafhængigt paneuropæisk agentur, der klart bør definere påtrængende adfærd (f.eks. spam) og udarbejde retningslinjer for, hvordan borgerne kan modsætte sig behandlingen af deres data og få dem slettet, navnlig fra tredjeparter. Dette agentur skal have mandat til at identificere og sanktionere svindlere og organisationer, der ikke overholder reglerne. Den bør fokusere på at sikre, at enheder, der er etableret uden for EU, men opererer der, overholder EU-reglerne. Den vil blive finansieret af EU-institutionerne og bestå af et fælles udvalg af uafhængige organer (dvs. eksperter fra den akademiske verden og enheder, der repræsenterer fagfolk). Det skal have en roterende praesidium. Vi foreslår to typer sanktioner: en bøde, der står i forhold til virksomhedernes omsætning og begrænsningerne i virksomhedernes aktiviteter. </w:t>
      </w:r>
    </w:p>
    <w:p>
      <w:pPr>
        <w:pStyle w:val="Normal"/>
        <w:rPr/>
      </w:pPr>
      <w:r>
        <w:rPr/>
      </w:r>
    </w:p>
    <w:p>
      <w:pPr>
        <w:pStyle w:val="Normal"/>
        <w:rPr/>
      </w:pPr>
      <w:r>
        <w:rPr/>
        <w:t xml:space="preserve">Vi fremsætter denne anbefaling, fordi der ikke er noget centralt agentur med et stærkt mandat, der kan hjælpe borgerne, især når de har et problem og har brug for hjælp, rådgivning eller støtte. Der er ingen klare og bindende regler, som virksomhederne skal følge. Hvad angår sanktioner, anvendes de ikke eller har en ubetydelig indvirkning på virksomhederne. </w:t>
      </w:r>
    </w:p>
    <w:p>
      <w:pPr>
        <w:pStyle w:val="Normal"/>
        <w:rPr/>
      </w:pPr>
      <w:r>
        <w:rPr/>
        <w:t xml:space="preserve"> </w:t>
      </w:r>
    </w:p>
    <w:p>
      <w:pPr>
        <w:pStyle w:val="P68B1DB1Normal15"/>
        <w:rPr>
          <w:b/>
          <w:b/>
        </w:rPr>
      </w:pPr>
      <w:r>
        <w:rPr/>
        <w:t xml:space="preserve">44. Vi anbefaler, at der oprettes et EU-certificeringssystem, der demonstrerer overensstemmelse med GDPR (generel forordning om databeskyttelse) på en gennemsigtig måde, og som vil sikre, at databeskyttelsesoplysningerne præsenteres på en tilgængelig, klar og enkel måde. Dette certifikat vil være obligatorisk og synligt på websteder og platforme. Den bør udstedes af en uafhængig certifikator på europæisk plan, der eksisterer eller oprettes til dette formål, og som ikke vil være knyttet til nationale regeringer eller den private sektor. </w:t>
      </w:r>
    </w:p>
    <w:p>
      <w:pPr>
        <w:pStyle w:val="Normal"/>
        <w:rPr/>
      </w:pPr>
      <w:r>
        <w:rPr/>
        <w:t xml:space="preserve"> </w:t>
      </w:r>
    </w:p>
    <w:p>
      <w:pPr>
        <w:pStyle w:val="Normal"/>
        <w:rPr/>
      </w:pPr>
      <w:r>
        <w:rPr/>
        <w:t xml:space="preserve">Vi fremsætter denne anbefaling, fordi der i øjeblikket er ringe eller ingen gennemsigtighed om, hvordan data beskyttes af hver virksomhed, og brugere/kunder kan ikke træffe informerede valg. </w:t>
      </w:r>
    </w:p>
    <w:p>
      <w:pPr>
        <w:pStyle w:val="Normal"/>
        <w:rPr/>
      </w:pPr>
      <w:r>
        <w:rPr/>
      </w:r>
    </w:p>
    <w:p>
      <w:pPr>
        <w:pStyle w:val="P68B1DB1Normal15"/>
        <w:rPr>
          <w:b/>
          <w:b/>
        </w:rPr>
      </w:pPr>
      <w:r>
        <w:rPr/>
        <w:t xml:space="preserve">45. Vi anbefaler bedre at forklare GDPR (generel forordning om databeskyttelse) og forbedre kommunikationen om den ved at skabe en standardtekst om overholdelse, der bruger et enkelt og klart sprog, der er forståeligt for alle. Denne tekst bør indeholde et nøglebudskab og/eller grundlæggende principper. Samtykkeproceduren bør være mere visuel (f.eks. en anmodning om udtrykkelig tilladelse til telefonadgang via en ansøgning). Den bør ledsages af en oplysningskampagne (herunder tv) og systematisk obligatoriske kurser (i det mindste for dem, der arbejder med data) og rådgivning om hensigten hos dem, der har behov for bistand. </w:t>
      </w:r>
    </w:p>
    <w:p>
      <w:pPr>
        <w:pStyle w:val="Normal"/>
        <w:rPr/>
      </w:pPr>
      <w:r>
        <w:rPr/>
        <w:t xml:space="preserve"> </w:t>
      </w:r>
    </w:p>
    <w:p>
      <w:pPr>
        <w:pStyle w:val="Normal"/>
        <w:rPr/>
      </w:pPr>
      <w:r>
        <w:rPr/>
        <w:t xml:space="preserve">Vi fremsætter denne anbefaling, fordi ordlyden af GDPR i øjeblikket er for vag og for teknisk, og mængden af oplysninger er overvældende og ikke tilgængelig for alle. Kommunikationen er heller ikke ens på tværs af lande og udelukker ofte forskellige grupper, især ældre og mennesker, der er født før digital kommunikation. </w:t>
      </w:r>
    </w:p>
    <w:p>
      <w:pPr>
        <w:pStyle w:val="Normal"/>
        <w:rPr/>
      </w:pPr>
      <w:r>
        <w:rPr/>
      </w:r>
    </w:p>
    <w:p>
      <w:pPr>
        <w:pStyle w:val="Titre4"/>
        <w:numPr>
          <w:ilvl w:val="3"/>
          <w:numId w:val="2"/>
        </w:numPr>
        <w:rPr/>
      </w:pPr>
      <w:bookmarkStart w:id="126" w:name="__RefHeading___Toc297187_1346298689"/>
      <w:bookmarkEnd w:id="126"/>
      <w:r>
        <w:rPr/>
        <w:t xml:space="preserve">Delakse 5.4 Digital transformation og sundhed </w:t>
      </w:r>
    </w:p>
    <w:p>
      <w:pPr>
        <w:pStyle w:val="Normal"/>
        <w:rPr/>
      </w:pPr>
      <w:r>
        <w:rPr/>
        <w:t xml:space="preserve"> </w:t>
      </w:r>
    </w:p>
    <w:p>
      <w:pPr>
        <w:pStyle w:val="P68B1DB1Normal15"/>
        <w:rPr>
          <w:b/>
          <w:b/>
        </w:rPr>
      </w:pPr>
      <w:r>
        <w:rPr/>
        <w:t xml:space="preserve">46. Vi anbefaler, at EU tackler problemet med "falsk information" på to måder: </w:t>
      </w:r>
    </w:p>
    <w:p>
      <w:pPr>
        <w:pStyle w:val="P68B1DB1Normal15"/>
        <w:rPr>
          <w:b/>
          <w:b/>
        </w:rPr>
      </w:pPr>
      <w:r>
        <w:rPr/>
        <w:t xml:space="preserve">● </w:t>
      </w:r>
      <w:r>
        <w:rPr/>
        <w:t xml:space="preserve">lovgivning, der gør det muligt for virksomheder på sociale medier at implementere maskinlæringsalgoritmer, der kan fremhæve pålideligheden af oplysninger på sociale medier og nye medier og give brugeren verificerede informationskilder. Vi anbefaler, at algoritmer kontrolleres af eksperter for at sikre, at de fungerer korrekt; </w:t>
      </w:r>
    </w:p>
    <w:p>
      <w:pPr>
        <w:pStyle w:val="P68B1DB1Normal15"/>
        <w:rPr>
          <w:b/>
          <w:b/>
        </w:rPr>
      </w:pPr>
      <w:r>
        <w:rPr/>
        <w:t xml:space="preserve">● </w:t>
      </w:r>
      <w:r>
        <w:rPr/>
        <w:t xml:space="preserve">etablering af en digital platform til at tildele en score til oplysninger fra traditionelle medier (f.eks. tv, print, radio) uanset politiske og økonomiske interesser, og som informerer borgerne om kvaliteten af oplysningerne uden at anvende nogen form for censur. Denne platform bør være underlagt offentlig kontrol og overholde de højeste standarder for gennemsigtighed, og EU bør sikre, at de midler, der tildeles den, anvendes til det tilsigtede formål. </w:t>
      </w:r>
    </w:p>
    <w:p>
      <w:pPr>
        <w:pStyle w:val="Normal"/>
        <w:rPr/>
      </w:pPr>
      <w:r>
        <w:rPr/>
        <w:t xml:space="preserve"> </w:t>
      </w:r>
    </w:p>
    <w:p>
      <w:pPr>
        <w:pStyle w:val="Normal"/>
        <w:rPr/>
      </w:pPr>
      <w:r>
        <w:rPr/>
        <w:t xml:space="preserve">Vi fremsætter denne anbefaling, fordi forskellige typer medier er bekymrede, og vi mener, at sanktioner eller fjernelse af indhold kan føre til censur og underminere ytrings- og pressefriheden. Vi anbefaler, at eksperter kontrollerer og kontrollerer algoritmens korrekte funktion for at sikre, at den fungerer korrekt. Endelig anbefaler vi, at platformen er apolitisk og uafhængig for at sikre gennemsigtighed og ytringsfrihed. Da det desuden er umuligt helt at slippe af med falske oplysninger, vil det bidrage til at mindske virkningerne heraf i Europa at stille disse værktøjer til rådighed for borgerne. </w:t>
      </w:r>
    </w:p>
    <w:p>
      <w:pPr>
        <w:pStyle w:val="Normal"/>
        <w:rPr/>
      </w:pPr>
      <w:r>
        <w:rPr/>
        <w:t xml:space="preserve"> </w:t>
      </w:r>
    </w:p>
    <w:p>
      <w:pPr>
        <w:pStyle w:val="P68B1DB1Normal15"/>
        <w:rPr>
          <w:b/>
          <w:b/>
        </w:rPr>
      </w:pPr>
      <w:r>
        <w:rPr/>
        <w:t xml:space="preserve">47. Vi anbefaler, at EU gennemfører forskellige foranstaltninger for at sikre en sund brug af internettet: </w:t>
      </w:r>
    </w:p>
    <w:p>
      <w:pPr>
        <w:pStyle w:val="P68B1DB1Normal15"/>
        <w:rPr>
          <w:b/>
          <w:b/>
        </w:rPr>
      </w:pPr>
      <w:r>
        <w:rPr/>
        <w:t xml:space="preserve">● </w:t>
      </w:r>
      <w:r>
        <w:rPr/>
        <w:t xml:space="preserve">Først og fremmest skal EU afhjælpe manglen på infrastruktur og udstyr, der forhindrer borgerne i at få adgang til internettet; </w:t>
      </w:r>
    </w:p>
    <w:p>
      <w:pPr>
        <w:pStyle w:val="P68B1DB1Normal15"/>
        <w:rPr>
          <w:b/>
          <w:b/>
        </w:rPr>
      </w:pPr>
      <w:r>
        <w:rPr/>
        <w:t xml:space="preserve">● </w:t>
      </w:r>
      <w:r>
        <w:rPr/>
        <w:t xml:space="preserve">Dernæst anbefaler vi, at EU tilskynder medlemsstaterne til at indføre uddannelse på internettet og dens risici for alle aldersgrupper. Dette kan gøres ved at indføre kurser i skoler for børn og unge og ved at skabe forskellige læseplaner og læseplaner for at nå ud til voksne og ældre borgere. Indholdet af disse kurser bør fastlægges på europæisk plan af en gruppe uafhængige eksperter. </w:t>
      </w:r>
    </w:p>
    <w:p>
      <w:pPr>
        <w:pStyle w:val="P68B1DB1Normal15"/>
        <w:rPr>
          <w:b/>
          <w:b/>
        </w:rPr>
      </w:pPr>
      <w:r>
        <w:rPr/>
        <w:t xml:space="preserve">Endelig opfordrer vi EU til at træffe alle nødvendige foranstaltninger for at sikre, at digitaliseringen af samfundet ikke udelukker ældre, og til at sikre, at væsentlige tjenester også er tilgængelige personligt. </w:t>
      </w:r>
    </w:p>
    <w:p>
      <w:pPr>
        <w:pStyle w:val="Normal"/>
        <w:rPr/>
      </w:pPr>
      <w:r>
        <w:rPr/>
      </w:r>
    </w:p>
    <w:p>
      <w:pPr>
        <w:pStyle w:val="P68B1DB1Normal15"/>
        <w:rPr>
          <w:b/>
          <w:b/>
        </w:rPr>
      </w:pPr>
      <w:r>
        <w:rPr/>
        <w:t xml:space="preserve">● </w:t>
      </w:r>
      <w:r>
        <w:rPr/>
        <w:t xml:space="preserve">EU bør sikre, at de midler, der specifikt afsættes til disse aktiviteter, anvendes til det tilsigtede formål. </w:t>
      </w:r>
    </w:p>
    <w:p>
      <w:pPr>
        <w:pStyle w:val="Normal"/>
        <w:rPr/>
      </w:pPr>
      <w:r>
        <w:rPr/>
        <w:t xml:space="preserve"> </w:t>
      </w:r>
    </w:p>
    <w:p>
      <w:pPr>
        <w:pStyle w:val="Normal"/>
        <w:rPr/>
      </w:pPr>
      <w:r>
        <w:rPr/>
        <w:t xml:space="preserve">Vi fremsætter denne anbefaling på grund af manglen på infrastruktur og udstyr (f.eks. udstyr) nogle steder i Europa og behovet for at sikre forbindelsen, før vi uddanner borgerne, da vi ved, at internetadgang er begrænset i nogle regioner og for visse profiler. Vi anbefaler, at der tilrettelægges kurser for at hjælpe børn med at erhverve digitale færdigheder, tilbyde yderligere programmer til at hjælpe ældre med at digitalisere og tage de nødvendige skridt til at sikre, at den digitale omstilling ikke underminerer ældres rettigheder. </w:t>
      </w:r>
    </w:p>
    <w:p>
      <w:pPr>
        <w:pStyle w:val="Normal"/>
        <w:rPr/>
      </w:pPr>
      <w:r>
        <w:rPr/>
      </w:r>
    </w:p>
    <w:p>
      <w:pPr>
        <w:pStyle w:val="P68B1DB1Normal15"/>
        <w:rPr>
          <w:b/>
          <w:b/>
        </w:rPr>
      </w:pPr>
      <w:r>
        <w:rPr/>
        <w:t xml:space="preserve">48. Vi anbefaler, at EU fremmer borgernes uddannelse i de enkelte medlemsstater for at styrke kritisk tænkning, skepsis og faktatjek og lære dem at vurdere, om oplysningerne er pålidelige eller ej. Denne uddannelse bør omfatte tilrettelæggelse af specifikke kurser på grunduddannelsesniveau og bør tilbydes borgere i alle aldre, der ønsker at drage fordel af den, i andre offentlige rum. EU bør sikre, at de midler, der specifikt afsættes til disse aktiviteter, anvendes til det tilsigtede formål. </w:t>
      </w:r>
    </w:p>
    <w:p>
      <w:pPr>
        <w:pStyle w:val="Normal"/>
        <w:rPr/>
      </w:pPr>
      <w:r>
        <w:rPr/>
        <w:t xml:space="preserve"> </w:t>
      </w:r>
    </w:p>
    <w:p>
      <w:pPr>
        <w:pStyle w:val="Normal"/>
        <w:rPr/>
      </w:pPr>
      <w:r>
        <w:rPr/>
        <w:t xml:space="preserve">Vi fremsætter denne anbefaling, fordi vi mener, at det er umuligt helt at slippe af med falske oplysninger. Denne uddannelse vil hjælpe borgerne med at genkende dem selv. Som følge heraf vil konsekvenserne af falske oplysninger for samfundet og borgerne selv blive reduceret. Det vil også give borgerne større muligheder for handling i stedet for at forlade sig på, at institutionerne indhenter pålidelige oplysninger. </w:t>
      </w:r>
    </w:p>
    <w:p>
      <w:pPr>
        <w:pStyle w:val="Normal"/>
        <w:rPr/>
      </w:pPr>
      <w:r>
        <w:rPr/>
        <w:t xml:space="preserve"> </w:t>
      </w:r>
    </w:p>
    <w:p>
      <w:pPr>
        <w:pStyle w:val="Titre3"/>
        <w:numPr>
          <w:ilvl w:val="2"/>
          <w:numId w:val="2"/>
        </w:numPr>
        <w:rPr/>
      </w:pPr>
      <w:bookmarkStart w:id="127" w:name="__RefHeading___Toc297189_1346298689"/>
      <w:bookmarkEnd w:id="127"/>
      <w:r>
        <w:rPr/>
        <w:t xml:space="preserve">Bilag: ANDRE ANBEFALINGER BEHANDLET AF PANELET, DER IKKE BLEV VEDTAGET </w:t>
      </w:r>
    </w:p>
    <w:p>
      <w:pPr>
        <w:pStyle w:val="Normal"/>
        <w:rPr/>
      </w:pPr>
      <w:r>
        <w:rPr/>
        <w:t xml:space="preserve"> </w:t>
      </w:r>
    </w:p>
    <w:p>
      <w:pPr>
        <w:pStyle w:val="Titre4"/>
        <w:numPr>
          <w:ilvl w:val="3"/>
          <w:numId w:val="2"/>
        </w:numPr>
        <w:rPr/>
      </w:pPr>
      <w:bookmarkStart w:id="128" w:name="__RefHeading___Toc297191_1346298689"/>
      <w:bookmarkEnd w:id="128"/>
      <w:r>
        <w:rPr/>
        <w:t xml:space="preserve">Akse 3 Et retfærdigt samfund </w:t>
      </w:r>
    </w:p>
    <w:p>
      <w:pPr>
        <w:pStyle w:val="Normal"/>
        <w:rPr/>
      </w:pPr>
      <w:r>
        <w:rPr/>
        <w:t xml:space="preserve"> </w:t>
      </w:r>
    </w:p>
    <w:p>
      <w:pPr>
        <w:pStyle w:val="Normal"/>
        <w:rPr/>
      </w:pPr>
      <w:r>
        <w:rPr/>
        <w:t xml:space="preserve">Delakse 3.2 Ligestilling af rettigheder </w:t>
      </w:r>
    </w:p>
    <w:p>
      <w:pPr>
        <w:pStyle w:val="Normal"/>
        <w:rPr/>
      </w:pPr>
      <w:r>
        <w:rPr/>
        <w:t xml:space="preserve"> </w:t>
      </w:r>
    </w:p>
    <w:p>
      <w:pPr>
        <w:pStyle w:val="P68B1DB1Normal15"/>
        <w:rPr>
          <w:b/>
          <w:b/>
        </w:rPr>
      </w:pPr>
      <w:r>
        <w:rPr/>
        <w:t xml:space="preserve">Vi anbefaler, at EU opretter en mekanisme til at overvåge og respektere mindretals rettigheder (f.eks. en portal eller et kontor, hvor folk kan indgive klager). </w:t>
      </w:r>
    </w:p>
    <w:p>
      <w:pPr>
        <w:pStyle w:val="Normal"/>
        <w:rPr/>
      </w:pPr>
      <w:r>
        <w:rPr/>
        <w:t xml:space="preserve"> </w:t>
      </w:r>
    </w:p>
    <w:p>
      <w:pPr>
        <w:pStyle w:val="Normal"/>
        <w:rPr/>
      </w:pPr>
      <w:r>
        <w:rPr/>
        <w:t xml:space="preserve">Vi fremsætter denne anbefaling, fordi vi mener, at enhver person kan udtrykke sin mening og har ret til at søge og modtage hjælp. Et sådant kontor er nødvendigt for at mindske spændingerne mellem mindretal og flertallet. </w:t>
      </w:r>
    </w:p>
    <w:p>
      <w:pPr>
        <w:pStyle w:val="Normal"/>
        <w:rPr/>
      </w:pPr>
      <w:r>
        <w:rPr/>
      </w:r>
    </w:p>
    <w:p>
      <w:pPr>
        <w:pStyle w:val="Normal"/>
        <w:rPr/>
      </w:pPr>
      <w:r>
        <w:rPr/>
        <w:t xml:space="preserve">Sub-akse 3.3 Equity/sub-akse 3.4 Adgang til sport </w:t>
      </w:r>
    </w:p>
    <w:p>
      <w:pPr>
        <w:pStyle w:val="Normal"/>
        <w:rPr/>
      </w:pPr>
      <w:r>
        <w:rPr/>
        <w:t xml:space="preserve"> </w:t>
      </w:r>
    </w:p>
    <w:p>
      <w:pPr>
        <w:pStyle w:val="P68B1DB1Normal15"/>
        <w:rPr>
          <w:b/>
          <w:b/>
        </w:rPr>
      </w:pPr>
      <w:r>
        <w:rPr/>
        <w:t xml:space="preserve">Vi anbefaler, at EU øger bevidstheden om fysisk aktivitet gennem "rollemodellering", der inddrager offentlige personer (så arrangementer, der organiseres af Parlamentet, bør omfatte en form for fysisk aktivitet eller bevægelse i nogle få sekunder, f.eks. strækning, gang eller spring). </w:t>
      </w:r>
    </w:p>
    <w:p>
      <w:pPr>
        <w:pStyle w:val="Normal"/>
        <w:rPr/>
      </w:pPr>
      <w:r>
        <w:rPr/>
        <w:t xml:space="preserve"> </w:t>
      </w:r>
    </w:p>
    <w:p>
      <w:pPr>
        <w:pStyle w:val="Normal"/>
        <w:rPr/>
      </w:pPr>
      <w:r>
        <w:rPr/>
        <w:t xml:space="preserve">Vi fremsætter denne anbefaling, fordi mobiliseringen af offentlige personer til fysisk aktivitet vil øge offentlighedens bevidsthed. </w:t>
      </w:r>
    </w:p>
    <w:p>
      <w:pPr>
        <w:pStyle w:val="Normal"/>
        <w:rPr/>
      </w:pPr>
      <w:r>
        <w:rPr/>
      </w:r>
    </w:p>
    <w:p>
      <w:pPr>
        <w:pStyle w:val="Titre4"/>
        <w:numPr>
          <w:ilvl w:val="3"/>
          <w:numId w:val="2"/>
        </w:numPr>
        <w:rPr/>
      </w:pPr>
      <w:bookmarkStart w:id="129" w:name="__RefHeading___Toc297193_1346298689"/>
      <w:bookmarkEnd w:id="129"/>
      <w:r>
        <w:rPr/>
        <w:t xml:space="preserve">Akse 5 En etisk og sikker digital transformation </w:t>
      </w:r>
    </w:p>
    <w:p>
      <w:pPr>
        <w:pStyle w:val="Normal"/>
        <w:rPr/>
      </w:pPr>
      <w:r>
        <w:rPr/>
        <w:t xml:space="preserve"> </w:t>
      </w:r>
    </w:p>
    <w:p>
      <w:pPr>
        <w:pStyle w:val="Normal"/>
        <w:rPr/>
      </w:pPr>
      <w:r>
        <w:rPr/>
        <w:t xml:space="preserve">Underakse 5.3 Databeskyttelse </w:t>
      </w:r>
    </w:p>
    <w:p>
      <w:pPr>
        <w:pStyle w:val="Normal"/>
        <w:rPr/>
      </w:pPr>
      <w:r>
        <w:rPr/>
        <w:t xml:space="preserve"> </w:t>
      </w:r>
    </w:p>
    <w:p>
      <w:pPr>
        <w:pStyle w:val="P68B1DB1Normal15"/>
        <w:rPr>
          <w:b/>
          <w:b/>
        </w:rPr>
      </w:pPr>
      <w:r>
        <w:rPr/>
        <w:t xml:space="preserve">Vi anbefaler, at der oprettes et web-ID, der lagrer personlige og følsomme data, men kun gør det tilgængeligt for myndighederne og politiet. Onlineplatforme og sælgere vil anvende den onlinekode, der er knyttet til den pågældende webidentifikator, og de data, der er nødvendige for en given aktivitet. Standardindstillingen for datadeling ved hjælp af denne identifikator bør være ikke-samtykket. Oplysningerne bør kun videregives til de direkte berørte parter og ikke til tredjemand. Hvis oplysningerne videregives til en tredjepart, bør en borger let kunne gøre indsigelse mod dem Oplysningerne bør kun være tilgængelige i en begrænset periode eller for en bestemt transaktion. Tilladelsen til at anvende dataene bør være tidsbegrænset eller klart definere, hvad virksomhederne kan gøre med disse data. </w:t>
      </w:r>
    </w:p>
    <w:p>
      <w:pPr>
        <w:pStyle w:val="Normal"/>
        <w:rPr/>
      </w:pPr>
      <w:r>
        <w:rPr/>
        <w:t xml:space="preserve"> </w:t>
      </w:r>
    </w:p>
    <w:p>
      <w:pPr>
        <w:pStyle w:val="Normal"/>
        <w:rPr/>
      </w:pPr>
      <w:r>
        <w:rPr/>
        <w:t xml:space="preserve">Vi fremsætter denne anbefaling, fordi virksomheder på nuværende tidspunkt kan indsamle alle data, herunder personoplysninger og følsomme data, og bruge dem til mange formål uden at afsløre præcis hvordan og hvorfor. Så operatørerne får mere information, end de rent faktisk har brug for for at give os tjenester og kan derefter videresælge eller genbruge andre data uden vores samtykke. Samtidig vil dette sikre internetbrugernes ansvarlighed og samtidig bevare deres relative anonymitet. </w:t>
      </w:r>
      <w:r>
        <w:br w:type="page"/>
      </w:r>
    </w:p>
    <w:p>
      <w:pPr>
        <w:pStyle w:val="Titre2"/>
        <w:numPr>
          <w:ilvl w:val="1"/>
          <w:numId w:val="2"/>
        </w:numPr>
        <w:rPr/>
      </w:pPr>
      <w:bookmarkStart w:id="130" w:name="__RefHeading___Toc297195_1346298689"/>
      <w:bookmarkEnd w:id="130"/>
      <w:r>
        <w:rPr/>
        <w:t xml:space="preserve">Det europæiske borgerpanel 2: "Det europæiske demokrati, værdier og rettigheder, retsstatsprincippet, sikkerhed </w:t>
      </w:r>
    </w:p>
    <w:p>
      <w:pPr>
        <w:pStyle w:val="Normal"/>
        <w:rPr/>
      </w:pPr>
      <w:r>
        <w:rPr/>
      </w:r>
    </w:p>
    <w:p>
      <w:pPr>
        <w:pStyle w:val="Normal"/>
        <w:rPr/>
      </w:pPr>
      <w:r>
        <w:rPr/>
        <w:t xml:space="preserve">HENSTILLINGER VEDTAGET AF PANELET (SKAL FORELÆGGES FOR PLENARFORSAMLINGEN) </w:t>
      </w:r>
    </w:p>
    <w:p>
      <w:pPr>
        <w:pStyle w:val="Normal"/>
        <w:rPr/>
      </w:pPr>
      <w:r>
        <w:rPr/>
        <w:t xml:space="preserve"> </w:t>
      </w:r>
    </w:p>
    <w:p>
      <w:pPr>
        <w:pStyle w:val="Titre3"/>
        <w:numPr>
          <w:ilvl w:val="2"/>
          <w:numId w:val="2"/>
        </w:numPr>
        <w:rPr/>
      </w:pPr>
      <w:bookmarkStart w:id="131" w:name="__RefHeading___Toc297197_1346298689"/>
      <w:bookmarkEnd w:id="131"/>
      <w:r>
        <w:rPr/>
        <w:t xml:space="preserve">Akse 1: Sikring af rettigheder og ikke-forskelsbehandling </w:t>
      </w:r>
    </w:p>
    <w:p>
      <w:pPr>
        <w:pStyle w:val="Normal"/>
        <w:rPr/>
      </w:pPr>
      <w:r>
        <w:rPr/>
        <w:t xml:space="preserve"> </w:t>
      </w:r>
    </w:p>
    <w:p>
      <w:pPr>
        <w:pStyle w:val="Titre4"/>
        <w:numPr>
          <w:ilvl w:val="3"/>
          <w:numId w:val="2"/>
        </w:numPr>
        <w:rPr/>
      </w:pPr>
      <w:bookmarkStart w:id="132" w:name="__RefHeading___Toc297199_1346298689"/>
      <w:bookmarkEnd w:id="132"/>
      <w:r>
        <w:rPr/>
        <w:t xml:space="preserve">Delakse 1.1 Ikke-forskelsbehandling/underakse 1.2 Ligestilling mellem kønnene </w:t>
      </w:r>
    </w:p>
    <w:p>
      <w:pPr>
        <w:pStyle w:val="Normal"/>
        <w:rPr/>
      </w:pPr>
      <w:r>
        <w:rPr/>
        <w:t xml:space="preserve"> </w:t>
      </w:r>
    </w:p>
    <w:p>
      <w:pPr>
        <w:pStyle w:val="P68B1DB1Normal15"/>
        <w:rPr>
          <w:b/>
          <w:b/>
        </w:rPr>
      </w:pPr>
      <w:r>
        <w:rPr/>
        <w:t xml:space="preserve">1. "Vi anbefaler, at EU medtager kriterier til bekæmpelse af forskelsbehandling på arbejdsmarkedet (kvoter for unge, ældre, kvinder og mindretal). Hvis virksomhederne opfylder disse kriterier, vil de modtage subsidier eller skattelettelser." </w:t>
      </w:r>
    </w:p>
    <w:p>
      <w:pPr>
        <w:pStyle w:val="P68B1DB1Normal15"/>
        <w:rPr>
          <w:b/>
          <w:b/>
        </w:rPr>
      </w:pPr>
      <w:r>
        <w:rPr/>
        <w:t xml:space="preserve">Vi anbefaler at øge bevidstheden blandt medarbejderne om følgende spørgsmål: </w:t>
      </w:r>
    </w:p>
    <w:p>
      <w:pPr>
        <w:pStyle w:val="P68B1DB1Normal15"/>
        <w:rPr>
          <w:b/>
          <w:b/>
        </w:rPr>
      </w:pPr>
      <w:r>
        <w:rPr/>
        <w:t xml:space="preserve">● </w:t>
      </w:r>
      <w:r>
        <w:rPr/>
        <w:t xml:space="preserve">overnationale og nationale institutioner (f.eks. fagforeninger) </w:t>
      </w:r>
    </w:p>
    <w:p>
      <w:pPr>
        <w:pStyle w:val="P68B1DB1Normal15"/>
        <w:rPr>
          <w:b/>
          <w:b/>
        </w:rPr>
      </w:pPr>
      <w:r>
        <w:rPr/>
        <w:t xml:space="preserve">● </w:t>
      </w:r>
      <w:r>
        <w:rPr/>
        <w:t xml:space="preserve">mekanismer til at sikre, at virksomhederne overholder de gældende regler om ikke-forskelsbehandling på arbejdspladsen </w:t>
      </w:r>
    </w:p>
    <w:p>
      <w:pPr>
        <w:pStyle w:val="P68B1DB1Normal15"/>
        <w:rPr>
          <w:b/>
          <w:b/>
        </w:rPr>
      </w:pPr>
      <w:r>
        <w:rPr/>
        <w:t xml:space="preserve">● </w:t>
      </w:r>
      <w:r>
        <w:rPr/>
        <w:t xml:space="preserve">kvalifikationsprogrammer for sociale grupper, der udsættes for forskelsbehandling på arbejdsmarkedet (unge, ældre, kvinder, mindretal). </w:t>
      </w:r>
    </w:p>
    <w:p>
      <w:pPr>
        <w:pStyle w:val="Normal"/>
        <w:rPr/>
      </w:pPr>
      <w:r>
        <w:rPr/>
        <w:t xml:space="preserve"> </w:t>
      </w:r>
    </w:p>
    <w:p>
      <w:pPr>
        <w:pStyle w:val="P68B1DB1Normal15"/>
        <w:rPr>
          <w:b/>
          <w:b/>
        </w:rPr>
      </w:pPr>
      <w:r>
        <w:rPr/>
        <w:t xml:space="preserve">Vi anbefaler, at EU-lovgivningen vedtages i to faser. For det første bør der ydes tilskud til ansættelse af arbejdstagere fra visse kategorier, der kan blive diskrimineret. For det andet bør den lovgivningsmæssige retsakt pålægge arbejdsgiverne at ansætte disse grupper i en minimumsperiode. </w:t>
      </w:r>
    </w:p>
    <w:p>
      <w:pPr>
        <w:pStyle w:val="Normal"/>
        <w:rPr/>
      </w:pPr>
      <w:r>
        <w:rPr/>
        <w:t xml:space="preserve"> </w:t>
      </w:r>
    </w:p>
    <w:p>
      <w:pPr>
        <w:pStyle w:val="Normal"/>
        <w:rPr/>
      </w:pPr>
      <w:r>
        <w:rPr/>
        <w:t xml:space="preserve">EU er faktisk ansvarlig for at opretholde en balance mellem det frie markeds interesser og beskyttelsen af sårbare grupper, der skal beskyttes juridisk. Heterogene grupper er ønskelige for virksomhederne, da de tilbyder forskellige kvalifikationer. Subsidier er et yderligere incitament, der skal ydes til virksomhederne. </w:t>
      </w:r>
    </w:p>
    <w:p>
      <w:pPr>
        <w:pStyle w:val="Normal"/>
        <w:rPr/>
      </w:pPr>
      <w:r>
        <w:rPr/>
        <w:t xml:space="preserve"> </w:t>
      </w:r>
    </w:p>
    <w:p>
      <w:pPr>
        <w:pStyle w:val="P68B1DB1Normal15"/>
        <w:rPr>
          <w:b/>
          <w:b/>
        </w:rPr>
      </w:pPr>
      <w:r>
        <w:rPr/>
        <w:t xml:space="preserve">2. "Vi anbefaler, at EU opretter et incitamentsprogram, der gør det lettere at oprette børnehaver og legepladser til overkommelige priser i store og små virksomheder. Fælles faciliteter er også en levedygtig løsning for små virksomheder til at drage fordel af tilskuddet. </w:t>
      </w:r>
    </w:p>
    <w:p>
      <w:pPr>
        <w:pStyle w:val="P68B1DB1Normal15"/>
        <w:rPr>
          <w:b/>
          <w:b/>
        </w:rPr>
      </w:pPr>
      <w:r>
        <w:rPr/>
        <w:t xml:space="preserve">Vi anbefaler, at EU forpligter virksomheder til at oprette børnehaver i forhold til antallet af ansatte. </w:t>
      </w:r>
    </w:p>
    <w:p>
      <w:pPr>
        <w:pStyle w:val="Normal"/>
        <w:rPr/>
      </w:pPr>
      <w:r>
        <w:rPr/>
        <w:t xml:space="preserve"> </w:t>
      </w:r>
    </w:p>
    <w:p>
      <w:pPr>
        <w:pStyle w:val="Normal"/>
        <w:rPr/>
      </w:pPr>
      <w:r>
        <w:rPr/>
        <w:t xml:space="preserve">Vi anbefaler dette, fordi forening af familie- og arbejdsliv forbedrer arbejdsindsatsen, reducerer arbejdsløsheden og sætter forældre, især kvinder, i en position, der giver dem mulighed for at forfølge deres karriere. Med fokus på den sociale dimension sikrer den foreslåede løsning børns sikkerhed og mindsker forældrenes bekymringer. </w:t>
      </w:r>
    </w:p>
    <w:p>
      <w:pPr>
        <w:pStyle w:val="Normal"/>
        <w:rPr/>
      </w:pPr>
      <w:r>
        <w:rPr/>
      </w:r>
    </w:p>
    <w:p>
      <w:pPr>
        <w:pStyle w:val="Titre4"/>
        <w:numPr>
          <w:ilvl w:val="3"/>
          <w:numId w:val="2"/>
        </w:numPr>
        <w:rPr/>
      </w:pPr>
      <w:bookmarkStart w:id="133" w:name="__RefHeading___Toc297201_1346298689"/>
      <w:bookmarkEnd w:id="133"/>
      <w:r>
        <w:rPr/>
        <w:t xml:space="preserve">Delakse 1.3: Beskyttelse af menneskerettighederne og naturens og dyrs rettigheder </w:t>
      </w:r>
    </w:p>
    <w:p>
      <w:pPr>
        <w:pStyle w:val="Normal"/>
        <w:rPr/>
      </w:pPr>
      <w:r>
        <w:rPr/>
        <w:t xml:space="preserve"> </w:t>
      </w:r>
    </w:p>
    <w:p>
      <w:pPr>
        <w:pStyle w:val="P68B1DB1Normal15"/>
        <w:rPr>
          <w:b/>
          <w:b/>
        </w:rPr>
      </w:pPr>
      <w:r>
        <w:rPr/>
        <w:t xml:space="preserve">3. "Vi anbefaler, at dyrevelfærd og bæredygtighed bevares ved at ændre direktiv 98/58/EF om beskyttelse af dyr på bedrifter. Det er nødvendigt at fastlægge mere detaljerede minimumskriterier. De skal være nøjagtige, målelige og tidsbegrænsede. Minimumskriterierne skal fastsættes på en sådan måde, at de fører til højere standarder for dyrevelfærd og samtidig giver mulighed for en omstilling til et bæredygtigt klima, miljø og økologisk landbrug. </w:t>
      </w:r>
    </w:p>
    <w:p>
      <w:pPr>
        <w:pStyle w:val="Normal"/>
        <w:rPr/>
      </w:pPr>
      <w:r>
        <w:rPr/>
        <w:t xml:space="preserve"> </w:t>
      </w:r>
    </w:p>
    <w:p>
      <w:pPr>
        <w:pStyle w:val="Normal"/>
        <w:rPr/>
      </w:pPr>
      <w:r>
        <w:rPr/>
        <w:t xml:space="preserve">Som borgere mener vi, at det er vigtigt at have strengere minimumsstandarder, der skal harmoniseres i EU for husdyrbrug. Vi er klar over, at omstillingen kan skabe problemer i nogle landbrugssektorer, der modtager støtte, og for dem, der er i omstilling til økologisk og bæredygtigt landbrug. Ikke desto mindre mener vi, at det er meget vigtigt at sikre, at denne overgang finder sted. </w:t>
      </w:r>
    </w:p>
    <w:p>
      <w:pPr>
        <w:pStyle w:val="Normal"/>
        <w:rPr/>
      </w:pPr>
      <w:r>
        <w:rPr/>
        <w:t xml:space="preserve"> </w:t>
      </w:r>
    </w:p>
    <w:p>
      <w:pPr>
        <w:pStyle w:val="P68B1DB1Normal15"/>
        <w:rPr>
          <w:b/>
          <w:b/>
        </w:rPr>
      </w:pPr>
      <w:r>
        <w:rPr/>
        <w:t xml:space="preserve">4. Vi anbefaler at fremme et mere miljøvenligt og klimavenligt landbrug i Europa og rundt om i verden ved f.eks. at beskatte alle negative emissioner, pesticider og ekstremt vandforbrug afhængigt af deres indvirkning på miljøet. Told på alle landbrugsprodukter, der importeres til Unionen, skal fjerne konkurrencefordelene for tredjelande, der ikke opfylder de samme normer som Unionen. For at fremme dyrevenligt landbrug anbefaler vi at beskatte emissioner forårsaget af transport af dyr over lange afstande. </w:t>
      </w:r>
    </w:p>
    <w:p>
      <w:pPr>
        <w:pStyle w:val="Normal"/>
        <w:rPr/>
      </w:pPr>
      <w:r>
        <w:rPr/>
        <w:t xml:space="preserve"> </w:t>
      </w:r>
    </w:p>
    <w:p>
      <w:pPr>
        <w:pStyle w:val="Normal"/>
        <w:rPr/>
      </w:pPr>
      <w:r>
        <w:rPr/>
        <w:t xml:space="preserve">Ved at etablere et sådant system mener vi, at det er muligt at støtte omstillingen til et klimavenligt og miljøvenligt landbrug. </w:t>
      </w:r>
    </w:p>
    <w:p>
      <w:pPr>
        <w:pStyle w:val="Normal"/>
        <w:rPr/>
      </w:pPr>
      <w:r>
        <w:rPr/>
        <w:t xml:space="preserve"> </w:t>
      </w:r>
    </w:p>
    <w:p>
      <w:pPr>
        <w:pStyle w:val="P68B1DB1Normal15"/>
        <w:rPr>
          <w:b/>
          <w:b/>
        </w:rPr>
      </w:pPr>
      <w:r>
        <w:rPr/>
        <w:t xml:space="preserve">5. Mens en masse falske nyheder har cirkuleret på det seneste, anbefaler vi at fremme mere uafhængig, objektiv og afbalanceret mediedækning ved at tage følgende skridt: 1. udarbejde et EU-direktiv om fastsættelse af minimumsstandarder for medieuafhængighed 2. at fremme udviklingen af mediefærdigheder for alle borgere på EU-plan." </w:t>
      </w:r>
    </w:p>
    <w:p>
      <w:pPr>
        <w:pStyle w:val="Normal"/>
        <w:rPr/>
      </w:pPr>
      <w:r>
        <w:rPr/>
        <w:t xml:space="preserve"> </w:t>
      </w:r>
    </w:p>
    <w:p>
      <w:pPr>
        <w:pStyle w:val="Normal"/>
        <w:rPr/>
      </w:pPr>
      <w:r>
        <w:rPr/>
        <w:t xml:space="preserve">EU er nødt til at udarbejde et direktiv for at sikre mediernes uafhængighed og ytringsfriheden. </w:t>
      </w:r>
    </w:p>
    <w:p>
      <w:pPr>
        <w:pStyle w:val="Normal"/>
        <w:rPr/>
      </w:pPr>
      <w:r>
        <w:rPr/>
        <w:t xml:space="preserve"> </w:t>
      </w:r>
    </w:p>
    <w:p>
      <w:pPr>
        <w:pStyle w:val="Normal"/>
        <w:rPr/>
      </w:pPr>
      <w:r>
        <w:rPr>
          <w:b/>
        </w:rPr>
        <w:t>6. Vi anbefaler, at vi holder op med at subsidiere masselandbrugsproduktion, hvis det ikke fører til en omstilling til klima, økologisk og bæredygtigt landbrug. I stedet anbefaler vi at omdirigere tilskud for at støtte en bæredygtig omstilling.</w:t>
      </w:r>
      <w:r>
        <w:rPr/>
        <w:t xml:space="preserve"> </w:t>
      </w:r>
    </w:p>
    <w:p>
      <w:pPr>
        <w:pStyle w:val="Normal"/>
        <w:rPr/>
      </w:pPr>
      <w:r>
        <w:rPr/>
        <w:t xml:space="preserve"> </w:t>
      </w:r>
    </w:p>
    <w:p>
      <w:pPr>
        <w:pStyle w:val="Normal"/>
        <w:rPr/>
      </w:pPr>
      <w:r>
        <w:rPr/>
        <w:t xml:space="preserve">I stedet for at støtte landbrugssektoren med masseopdræt bør subsidierne omdirigeres til bedrifter, der er i omstilling for at opfylde de nye minimumsstandarder for dyrevelfærd. </w:t>
      </w:r>
    </w:p>
    <w:p>
      <w:pPr>
        <w:pStyle w:val="Normal"/>
        <w:rPr/>
      </w:pPr>
      <w:r>
        <w:rPr/>
        <w:t xml:space="preserve"> </w:t>
      </w:r>
    </w:p>
    <w:p>
      <w:pPr>
        <w:pStyle w:val="Titre4"/>
        <w:numPr>
          <w:ilvl w:val="3"/>
          <w:numId w:val="2"/>
        </w:numPr>
        <w:rPr/>
      </w:pPr>
      <w:bookmarkStart w:id="134" w:name="__RefHeading___Toc297203_1346298689"/>
      <w:bookmarkEnd w:id="134"/>
      <w:r>
        <w:rPr/>
        <w:t xml:space="preserve">Sub-akse 1.4 Ret til privatlivets fred </w:t>
      </w:r>
    </w:p>
    <w:p>
      <w:pPr>
        <w:pStyle w:val="Normal"/>
        <w:rPr/>
      </w:pPr>
      <w:r>
        <w:rPr/>
        <w:t xml:space="preserve"> </w:t>
      </w:r>
    </w:p>
    <w:p>
      <w:pPr>
        <w:pStyle w:val="P68B1DB1Normal15"/>
        <w:rPr>
          <w:b/>
          <w:b/>
        </w:rPr>
      </w:pPr>
      <w:r>
        <w:rPr/>
        <w:t xml:space="preserve">7. "Vi anbefaler, at enheder, der behandler personoplysninger, godkendes på EU-plan. Disse enheder skal også være underlagt en uafhængig, ekstern årlig revision af databeskyttelse. Disse enheder vil blive straffet for brud på databeskyttelsen i forhold til deres årlige omsætning på en strengere måde end i henhold til den nuværende forordning. Godkendelsen bør tilbagekaldes efter to på hinanden følgende overtrædelser og umiddelbart efter en alvorlig overtrædelse. </w:t>
      </w:r>
    </w:p>
    <w:p>
      <w:pPr>
        <w:pStyle w:val="Normal"/>
        <w:rPr/>
      </w:pPr>
      <w:r>
        <w:rPr/>
        <w:t xml:space="preserve"> </w:t>
      </w:r>
    </w:p>
    <w:p>
      <w:pPr>
        <w:pStyle w:val="Normal"/>
        <w:rPr/>
      </w:pPr>
      <w:r>
        <w:rPr/>
        <w:t xml:space="preserve">Vi anbefaler sådanne foranstaltninger, da den nuværende forordning (GDPR) ikke er tilstrækkelig, og enheder skal kontrolleres bedre og sanktioneres for at sikre, at de ikke krænker databeskyttelse og retten til privatlivets fred. </w:t>
      </w:r>
    </w:p>
    <w:p>
      <w:pPr>
        <w:pStyle w:val="Normal"/>
        <w:rPr/>
      </w:pPr>
      <w:r>
        <w:rPr/>
        <w:t xml:space="preserve"> </w:t>
      </w:r>
    </w:p>
    <w:p>
      <w:pPr>
        <w:pStyle w:val="P68B1DB1Normal15"/>
        <w:rPr>
          <w:b/>
          <w:b/>
        </w:rPr>
      </w:pPr>
      <w:r>
        <w:rPr/>
        <w:t xml:space="preserve">8. "Vi anbefaler, at EU's kompetencer styrkes på følgende områder: 1) databeskyttelsesuddannelse, 2) databeskyttelsesbevidsthed og 3) beskyttelse af mindreåriges personoplysninger. Vi anbefaler at tydeliggøre og styrke reglerne for behandling af mindreåriges data i GDPR, herunder reglerne om samtykke, aldersverificering og kontrol af værger. Vi anbefaler også, at der i GDPR indføres en særlig kategori for følsomme oplysninger om mindreårige (f.eks. straffeattest, helbredsoplysninger, nøgenhed), så mindreårige beskyttes mod enhver form for misbrug og diskrimination. </w:t>
      </w:r>
    </w:p>
    <w:p>
      <w:pPr>
        <w:pStyle w:val="Normal"/>
        <w:rPr/>
      </w:pPr>
      <w:r>
        <w:rPr/>
        <w:t xml:space="preserve"> </w:t>
      </w:r>
    </w:p>
    <w:p>
      <w:pPr>
        <w:pStyle w:val="Normal"/>
        <w:rPr/>
      </w:pPr>
      <w:r>
        <w:rPr/>
        <w:t xml:space="preserve">Denne henstilling er nødvendig, fordi mindreårige er særligt sårbare over for databeskyttelse og krænkelser af privatlivets fred, og fordi den almindelige befolkning (især mindreårige, lærere og værger) på nuværende tidspunkt ikke er tilstrækkeligt bekendt med databeskyttelsen. De har alle brug for at lære at bruge online og offline datatjenester og beskytte børns privatlivsrettigheder. Desuden kan værger ofte give samtykke til behandling af børns data uden at være fuldt bevidste eller informerede, og børn kan forfalske forældrenes samtykke. Endelig er denne henstilling nødvendig, fordi der ikke findes nogen egentlig EU-dækkende oplysningskampagne om databeskyttelse, der især er rettet mod mindreårige, værger og lærere, mens en sådan kampagne er nødvendig. </w:t>
      </w:r>
    </w:p>
    <w:p>
      <w:pPr>
        <w:pStyle w:val="Normal"/>
        <w:rPr/>
      </w:pPr>
      <w:r>
        <w:rPr/>
      </w:r>
    </w:p>
    <w:p>
      <w:pPr>
        <w:pStyle w:val="P68B1DB1Normal15"/>
        <w:rPr>
          <w:b/>
          <w:b/>
        </w:rPr>
      </w:pPr>
      <w:r>
        <w:rPr/>
        <w:t xml:space="preserve">9. Vi anbefaler, at der indføres standardiserede privatlivspolitikker og letforståelige, koncise og intuitive samtykkeformularer, som klart angiver, hvilken databehandling der er strengt nødvendig, og hvad der er valgfrit. Vi anbefaler, at tilbagetrækningen af samtykke er nem, hurtig og permanent. Vi anbefaler at forbyde enheder at begrænse deres tjenester mere end nødvendigt, hvis der ikke er givet samtykke til valgfri databehandling. </w:t>
      </w:r>
    </w:p>
    <w:p>
      <w:pPr>
        <w:pStyle w:val="Normal"/>
        <w:rPr/>
      </w:pPr>
      <w:r>
        <w:rPr/>
        <w:t xml:space="preserve"> </w:t>
      </w:r>
    </w:p>
    <w:p>
      <w:pPr>
        <w:pStyle w:val="Normal"/>
        <w:rPr/>
      </w:pPr>
      <w:r>
        <w:rPr/>
        <w:t xml:space="preserve">Vi anbefaler dette, fordi de nuværende EU-regler ikke er tilstrækkeligt præcise, tilbagetrækningen af samtykke er lang, midlertidig og kompleks, og enheder har ingen interesse i at tilbyde deres tjenester til borgere, der påberåber sig deres ret til databeskyttelse. </w:t>
      </w:r>
    </w:p>
    <w:p>
      <w:pPr>
        <w:pStyle w:val="Normal"/>
        <w:rPr/>
      </w:pPr>
      <w:r>
        <w:rPr/>
        <w:t xml:space="preserve"> </w:t>
      </w:r>
    </w:p>
    <w:p>
      <w:pPr>
        <w:pStyle w:val="Titre3"/>
        <w:numPr>
          <w:ilvl w:val="2"/>
          <w:numId w:val="2"/>
        </w:numPr>
        <w:rPr/>
      </w:pPr>
      <w:bookmarkStart w:id="135" w:name="__RefHeading___Toc297205_1346298689"/>
      <w:bookmarkEnd w:id="135"/>
      <w:r>
        <w:rPr/>
        <w:t xml:space="preserve">Akse 2: Beskyttelse af demokratiet og retsstatsprincippet </w:t>
      </w:r>
    </w:p>
    <w:p>
      <w:pPr>
        <w:pStyle w:val="Normal"/>
        <w:rPr/>
      </w:pPr>
      <w:r>
        <w:rPr/>
        <w:t xml:space="preserve"> </w:t>
      </w:r>
    </w:p>
    <w:p>
      <w:pPr>
        <w:pStyle w:val="Titre4"/>
        <w:numPr>
          <w:ilvl w:val="3"/>
          <w:numId w:val="2"/>
        </w:numPr>
        <w:rPr/>
      </w:pPr>
      <w:bookmarkStart w:id="136" w:name="__RefHeading___Toc297207_1346298689"/>
      <w:bookmarkEnd w:id="136"/>
      <w:r>
        <w:rPr/>
        <w:t xml:space="preserve">Delakse 2.1 Beskyttelse af retsstatsprincippet </w:t>
      </w:r>
    </w:p>
    <w:p>
      <w:pPr>
        <w:pStyle w:val="Normal"/>
        <w:rPr/>
      </w:pPr>
      <w:r>
        <w:rPr/>
        <w:t xml:space="preserve"> </w:t>
      </w:r>
    </w:p>
    <w:p>
      <w:pPr>
        <w:pStyle w:val="P68B1DB1Normal15"/>
        <w:rPr>
          <w:b/>
          <w:b/>
        </w:rPr>
      </w:pPr>
      <w:r>
        <w:rPr/>
        <w:t xml:space="preserve">10. "Vi anbefaler, at krydsoverensstemmelsesforordningen (2020/2092, der blev vedtaget den 16. december 2020) ændres, så den finder anvendelse på alle overtrædelser af retsstatsprincippet snarere end på overtrædelser, der har indvirkning på EU's budget." </w:t>
      </w:r>
    </w:p>
    <w:p>
      <w:pPr>
        <w:pStyle w:val="Normal"/>
        <w:rPr/>
      </w:pPr>
      <w:r>
        <w:rPr/>
        <w:t xml:space="preserve"> </w:t>
      </w:r>
    </w:p>
    <w:p>
      <w:pPr>
        <w:pStyle w:val="Normal"/>
        <w:rPr/>
      </w:pPr>
      <w:r>
        <w:rPr/>
        <w:t xml:space="preserve">Krydsoverensstemmelsesforordningen giver mulighed for at suspendere udbetalingen af EU-midler til medlemsstater, der overtræder retsstatsprincippet. I sin nuværende ordlyd finder den imidlertid kun anvendelse på overtrædelser, der har eller sandsynligvis vil få indvirkning på EU-budgettet. Desuden beskytter den nuværende ordlyd af krydsoverensstemmelsesforordningen EU-budgettet og EU-institutionerne snarere end borgerne i de berørte medlemsstater. Vi anbefaler derfor, at den nuværende tekst til forordningen ændres, så den dækker alle overtrædelser af retsstatsprincippet. </w:t>
      </w:r>
    </w:p>
    <w:p>
      <w:pPr>
        <w:pStyle w:val="Normal"/>
        <w:rPr/>
      </w:pPr>
      <w:r>
        <w:rPr/>
        <w:t xml:space="preserve"> </w:t>
      </w:r>
    </w:p>
    <w:p>
      <w:pPr>
        <w:pStyle w:val="P68B1DB1Normal15"/>
        <w:rPr>
          <w:b/>
          <w:b/>
        </w:rPr>
      </w:pPr>
      <w:r>
        <w:rPr/>
        <w:t xml:space="preserve">11. "Vi anbefaler, at EU arrangerer årlige retsstatskonferencer efter offentliggørelsen af den årlige retsstatsrapport (Kommissionens mekanisme til overvågning af medlemsstaternes overholdelse af retsstatsprincippet). Medlemsstaterne bør være forpligtet til at sende forskellige sociale nationale delegationer til konferencen, herunder både borgere og embedsmænd." </w:t>
      </w:r>
    </w:p>
    <w:p>
      <w:pPr>
        <w:pStyle w:val="Normal"/>
        <w:rPr/>
      </w:pPr>
      <w:r>
        <w:rPr/>
        <w:t xml:space="preserve"> </w:t>
      </w:r>
    </w:p>
    <w:p>
      <w:pPr>
        <w:pStyle w:val="Normal"/>
        <w:rPr/>
      </w:pPr>
      <w:r>
        <w:rPr/>
        <w:t xml:space="preserve">Denne konference vil fremme dialogen mellem EU-borgerne om retsstatsspørgsmål samt dialogen mellem borgere og eksperter, der udarbejder de årlige retsstatsrapporter. Vi mener, at deltagerne i et klima af gensidig anerkendelse og deling vil være i stand til at bringe bedste praksis og ideer tilbage til deres hjemlande. Desuden vil konferencen øge bevidstheden om og forståelsen af retsstatsprincippet og de konklusioner og processer, der ligger til grund for den årlige retsstatsrapport. Det vil også tiltrække mediernes opmærksomhed og give borgerne mulighed for at dele deres erfaringer og sammenligne dem med rapportens resultater. </w:t>
      </w:r>
    </w:p>
    <w:p>
      <w:pPr>
        <w:pStyle w:val="Normal"/>
        <w:rPr/>
      </w:pPr>
      <w:r>
        <w:rPr/>
      </w:r>
    </w:p>
    <w:p>
      <w:pPr>
        <w:pStyle w:val="Titre4"/>
        <w:numPr>
          <w:ilvl w:val="3"/>
          <w:numId w:val="2"/>
        </w:numPr>
        <w:rPr/>
      </w:pPr>
      <w:bookmarkStart w:id="137" w:name="__RefHeading___Toc297209_1346298689"/>
      <w:bookmarkEnd w:id="137"/>
      <w:r>
        <w:rPr/>
        <w:t xml:space="preserve">Delakse 2.2 Beskyttelse og styrkelse af demokrati/underakse 2.4 Medier og desinformation </w:t>
      </w:r>
    </w:p>
    <w:p>
      <w:pPr>
        <w:pStyle w:val="Normal"/>
        <w:rPr/>
      </w:pPr>
      <w:r>
        <w:rPr/>
        <w:t xml:space="preserve"> </w:t>
      </w:r>
    </w:p>
    <w:p>
      <w:pPr>
        <w:pStyle w:val="P68B1DB1Normal15"/>
        <w:rPr>
          <w:b/>
          <w:b/>
        </w:rPr>
      </w:pPr>
      <w:r>
        <w:rPr/>
        <w:t xml:space="preserve">12. "Vi anbefaler, at EU anvender sine konkurrenceregler mere stringent i mediesektoren for at sikre beskyttelsen af mediepluralismen i alle medlemsstater. EU bør forhindre store mediemonopoler og politiske udnævnelser i mediebestyrelser. Vi anbefaler også, at den fremtidige EU-lovgivning om mediefrihed indeholder regler, der skal forhindre politikere i at eje eller have en stærk indflydelse på deres indhold. </w:t>
      </w:r>
    </w:p>
    <w:p>
      <w:pPr>
        <w:pStyle w:val="Normal"/>
        <w:rPr/>
      </w:pPr>
      <w:r>
        <w:rPr/>
        <w:t xml:space="preserve"> </w:t>
      </w:r>
    </w:p>
    <w:p>
      <w:pPr>
        <w:pStyle w:val="Normal"/>
        <w:rPr/>
      </w:pPr>
      <w:r>
        <w:rPr/>
        <w:t xml:space="preserve">Vi anbefaler dette, fordi anvendelsen af EU's konkurrenceregler fremmer et pluralistisk medielandskab, hvor borgerne har et valg. Da Kommissionen i øjeblikket er ved at udarbejde en lovgivningsmæssig retsakt (om mediefrihed) for integriteten af EU's mediemarked, bør det også fastsættes, at medierne ikke må holdes inde med eller påvirkes af politikere. </w:t>
      </w:r>
    </w:p>
    <w:p>
      <w:pPr>
        <w:pStyle w:val="Normal"/>
        <w:rPr/>
      </w:pPr>
      <w:r>
        <w:rPr/>
        <w:t xml:space="preserve"> </w:t>
      </w:r>
    </w:p>
    <w:p>
      <w:pPr>
        <w:pStyle w:val="Titre4"/>
        <w:numPr>
          <w:ilvl w:val="3"/>
          <w:numId w:val="2"/>
        </w:numPr>
        <w:rPr/>
      </w:pPr>
      <w:bookmarkStart w:id="138" w:name="__RefHeading___Toc297211_1346298689"/>
      <w:bookmarkEnd w:id="138"/>
      <w:r>
        <w:rPr/>
        <w:t xml:space="preserve">Sub-akse 2.3 Sikkerhed </w:t>
      </w:r>
    </w:p>
    <w:p>
      <w:pPr>
        <w:pStyle w:val="Normal"/>
        <w:rPr/>
      </w:pPr>
      <w:r>
        <w:rPr/>
        <w:t xml:space="preserve"> </w:t>
      </w:r>
    </w:p>
    <w:p>
      <w:pPr>
        <w:pStyle w:val="P68B1DB1Normal15"/>
        <w:rPr>
          <w:b/>
          <w:b/>
        </w:rPr>
      </w:pPr>
      <w:r>
        <w:rPr/>
        <w:t xml:space="preserve">13. "Vi anbefaler, at EU-institutionerne spiller en vigtigere rolle med alle de værktøjer, de har til rådighed, herunder de nationale cybersikkerhedscentre og Den Europæiske Unions Agentur for Cybersikkerhed (ENISA), med henblik på at beskytte borgere, organisationer og institutioner mod nye trusler som følge af cybersikkerhedsbrud og anvendelse af kunstig intelligens til kriminelle formål. Vi anbefaler også, at direktiver fra Europa og dets agenturer gennemføres korrekt og formidles i alle medlemsstater." </w:t>
      </w:r>
    </w:p>
    <w:p>
      <w:pPr>
        <w:pStyle w:val="Normal"/>
        <w:rPr/>
      </w:pPr>
      <w:r>
        <w:rPr/>
        <w:t xml:space="preserve"> </w:t>
      </w:r>
    </w:p>
    <w:p>
      <w:pPr>
        <w:pStyle w:val="Normal"/>
        <w:rPr/>
      </w:pPr>
      <w:r>
        <w:rPr/>
        <w:t xml:space="preserve">Vi anbefaler dette, fordi borgerne føler sig magtesløse og ikke ved, hvad EU gør for at bekæmpe disse trusler. Vi anbefaler dette, fordi disse trusler udgør et alvorligt nationalt og europæisk sikkerhedsproblem. Vi anbefaler dette, fordi Europa bør være en sand drivkraft for innovation på dette område. </w:t>
      </w:r>
    </w:p>
    <w:p>
      <w:pPr>
        <w:pStyle w:val="Normal"/>
        <w:rPr/>
      </w:pPr>
      <w:r>
        <w:rPr/>
        <w:t xml:space="preserve"> </w:t>
      </w:r>
    </w:p>
    <w:p>
      <w:pPr>
        <w:pStyle w:val="P68B1DB1Normal15"/>
        <w:rPr>
          <w:b/>
          <w:b/>
        </w:rPr>
      </w:pPr>
      <w:r>
        <w:rPr/>
        <w:t xml:space="preserve">14. "Vi anbefaler, at Unionen i sine forbindelser med tredjelande først styrker de fælles demokratiske værdier ved sine grænser. Først efter at have nået dette mål anbefaler vi, at Unionen bliver ambassadør for vores demokratiske model i lande, der er villige til at anvende denne model og er villige til at gøre det gennem diplomati og dialog. </w:t>
      </w:r>
    </w:p>
    <w:p>
      <w:pPr>
        <w:pStyle w:val="Normal"/>
        <w:rPr/>
      </w:pPr>
      <w:r>
        <w:rPr/>
        <w:t xml:space="preserve"> </w:t>
      </w:r>
    </w:p>
    <w:p>
      <w:pPr>
        <w:pStyle w:val="Normal"/>
        <w:rPr/>
      </w:pPr>
      <w:r>
        <w:rPr/>
        <w:t xml:space="preserve">Vi anbefaler denne foranstaltning, fordi vi er nødt til at kigge indad, før vi ser udad. Fordi Europa kan og skal hjælpe medlemsstaterne med at styrke deres demokratier. For det er også ved at sætte et eksempel og støtte de eksterne landes indsats for demokrati, at vi beskytter os selv. </w:t>
      </w:r>
    </w:p>
    <w:p>
      <w:pPr>
        <w:pStyle w:val="Normal"/>
        <w:rPr/>
      </w:pPr>
      <w:r>
        <w:rPr/>
        <w:t xml:space="preserve"> </w:t>
      </w:r>
    </w:p>
    <w:p>
      <w:pPr>
        <w:pStyle w:val="Titre3"/>
        <w:numPr>
          <w:ilvl w:val="2"/>
          <w:numId w:val="2"/>
        </w:numPr>
        <w:rPr/>
      </w:pPr>
      <w:bookmarkStart w:id="139" w:name="__RefHeading___Toc297213_1346298689"/>
      <w:bookmarkEnd w:id="139"/>
      <w:r>
        <w:rPr/>
        <w:t xml:space="preserve">Akse 3: Reform af Den Europæiske Union </w:t>
      </w:r>
    </w:p>
    <w:p>
      <w:pPr>
        <w:pStyle w:val="Normal"/>
        <w:rPr/>
      </w:pPr>
      <w:r>
        <w:rPr/>
        <w:t xml:space="preserve"> </w:t>
      </w:r>
    </w:p>
    <w:p>
      <w:pPr>
        <w:pStyle w:val="Titre4"/>
        <w:numPr>
          <w:ilvl w:val="3"/>
          <w:numId w:val="2"/>
        </w:numPr>
        <w:rPr/>
      </w:pPr>
      <w:bookmarkStart w:id="140" w:name="__RefHeading___Toc297215_1346298689"/>
      <w:bookmarkEnd w:id="140"/>
      <w:r>
        <w:rPr/>
        <w:t>Delakse 3.1 Institutionelle reformer</w:t>
      </w:r>
    </w:p>
    <w:p>
      <w:pPr>
        <w:pStyle w:val="Normal"/>
        <w:rPr/>
      </w:pPr>
      <w:r>
        <w:rPr/>
        <w:t xml:space="preserve"> </w:t>
      </w:r>
    </w:p>
    <w:p>
      <w:pPr>
        <w:pStyle w:val="Normal"/>
        <w:rPr/>
      </w:pPr>
      <w:r>
        <w:rPr>
          <w:b/>
        </w:rPr>
        <w:t>15. "Vi anbefaler, at navnene på EU-institutionerne ændres for at præcisere deres funktioner. For eksempel kan Rådet for Den Europæiske Union kaldes Senatet for Den Europæiske Union. Europa-Kommissionen kan kaldes Den Europæiske Unions eksekutivkommission</w:t>
      </w:r>
      <w:r>
        <w:rPr/>
        <w:t xml:space="preserve">. </w:t>
      </w:r>
    </w:p>
    <w:p>
      <w:pPr>
        <w:pStyle w:val="Normal"/>
        <w:rPr/>
      </w:pPr>
      <w:r>
        <w:rPr/>
        <w:t xml:space="preserve"> </w:t>
      </w:r>
    </w:p>
    <w:p>
      <w:pPr>
        <w:pStyle w:val="Normal"/>
        <w:rPr/>
      </w:pPr>
      <w:r>
        <w:rPr/>
        <w:t xml:space="preserve">Vi anbefaler dette, da det i øjeblikket er vanskeligt for borgerne at forstå de enkelte EU-institutioners roller og funktioner. Deres navne afspejler ikke deres funktioner. Borgerne kan ikke forventes at skelne mellem Rådet for Den Europæiske Union, Det Europæiske Råd og Europarådet. Det er vigtigt at undgå overlapninger. </w:t>
      </w:r>
    </w:p>
    <w:p>
      <w:pPr>
        <w:pStyle w:val="Normal"/>
        <w:rPr/>
      </w:pPr>
      <w:r>
        <w:rPr/>
        <w:t xml:space="preserve"> </w:t>
      </w:r>
    </w:p>
    <w:p>
      <w:pPr>
        <w:pStyle w:val="P68B1DB1Normal15"/>
        <w:rPr>
          <w:b/>
          <w:b/>
        </w:rPr>
      </w:pPr>
      <w:r>
        <w:rPr/>
        <w:t xml:space="preserve">16. Vi anbefaler, at der vedtages en valglov for Europa-Parlamentet, som harmoniserer valgbetingelserne (valgrets alder, valgdato, krav til valgkredse, kandidater, politiske partier og deres finansiering). De europæiske borgere bør have ret til at stemme på forskellige partier på EU-plan, som hver består af kandidater fra flere medlemsstater. I en tilstrækkelig overgangsperiode kan borgerne stadig stemme på nationale og tværnationale partier. </w:t>
      </w:r>
    </w:p>
    <w:p>
      <w:pPr>
        <w:pStyle w:val="Normal"/>
        <w:rPr/>
      </w:pPr>
      <w:r>
        <w:rPr/>
        <w:t xml:space="preserve"> </w:t>
      </w:r>
    </w:p>
    <w:p>
      <w:pPr>
        <w:pStyle w:val="Normal"/>
        <w:rPr/>
      </w:pPr>
      <w:r>
        <w:rPr/>
        <w:t xml:space="preserve">Vi anbefaler dette, fordi Unionen er nødt til at udvikle en følelse af enhed, som kan opstå gennem et virkelig forenet valg til Europa-Parlamentet. Dette fælles valg vil gøre det muligt at styrke medlemmerne af Europa-Parlamentet og fokusere valgkampagnen på fælles europæiske temaer. </w:t>
      </w:r>
    </w:p>
    <w:p>
      <w:pPr>
        <w:pStyle w:val="Normal"/>
        <w:rPr/>
      </w:pPr>
      <w:r>
        <w:rPr/>
        <w:t xml:space="preserve"> </w:t>
      </w:r>
    </w:p>
    <w:p>
      <w:pPr>
        <w:pStyle w:val="Titre4"/>
        <w:numPr>
          <w:ilvl w:val="3"/>
          <w:numId w:val="2"/>
        </w:numPr>
        <w:rPr/>
      </w:pPr>
      <w:bookmarkStart w:id="141" w:name="__RefHeading___Toc297217_1346298689"/>
      <w:bookmarkEnd w:id="141"/>
      <w:r>
        <w:rPr/>
        <w:t xml:space="preserve">Delakse 3.2 Beslutningstagning </w:t>
      </w:r>
    </w:p>
    <w:p>
      <w:pPr>
        <w:pStyle w:val="Normal"/>
        <w:rPr/>
      </w:pPr>
      <w:r>
        <w:rPr/>
        <w:t xml:space="preserve"> </w:t>
      </w:r>
    </w:p>
    <w:p>
      <w:pPr>
        <w:pStyle w:val="P68B1DB1Normal15"/>
        <w:rPr>
          <w:b/>
          <w:b/>
        </w:rPr>
      </w:pPr>
      <w:r>
        <w:rPr/>
        <w:t xml:space="preserve">17. Vi anbefaler, at der oprettes en onlineplatform, hvor borgerne kan finde og anmode om faktuelt verificerede oplysninger. Platformen bør være klart forbundet med EU-institutionerne, være tematisk struktureret og let tilgængelig (f.eks. ved at stille en hotline til rådighed). Borgerne bør have mulighed for at stille kritiske spørgsmål til eksperter (f.eks. akademikere, journalister) og få faktuelle svar fra kilder. </w:t>
      </w:r>
    </w:p>
    <w:p>
      <w:pPr>
        <w:pStyle w:val="Normal"/>
        <w:rPr/>
      </w:pPr>
      <w:r>
        <w:rPr/>
        <w:t xml:space="preserve"> </w:t>
      </w:r>
    </w:p>
    <w:p>
      <w:pPr>
        <w:pStyle w:val="Normal"/>
        <w:rPr/>
      </w:pPr>
      <w:r>
        <w:rPr/>
        <w:t xml:space="preserve">Fri adgang til faktuelle oplysninger er af allerstørste betydning for vores samfund, så borgerne er velinformerede og beskyttet mod falske nyheder og desinformation. Vi har brug for en troværdig og uafhængig informationskilde, som ikke påvirkes af politiske, økonomiske og nationale interesser. Derudover kan platformen etablere en bro (dvs. et direkte forhold) mellem borgerne og EU. </w:t>
      </w:r>
    </w:p>
    <w:p>
      <w:pPr>
        <w:pStyle w:val="Normal"/>
        <w:rPr/>
      </w:pPr>
      <w:r>
        <w:rPr/>
      </w:r>
    </w:p>
    <w:p>
      <w:pPr>
        <w:pStyle w:val="P68B1DB1Normal15"/>
        <w:rPr>
          <w:b/>
          <w:b/>
        </w:rPr>
      </w:pPr>
      <w:r>
        <w:rPr/>
        <w:t xml:space="preserve">18. Vi anbefaler, at der i undtagelsestilfælde afholdes en EU-afstemning om spørgsmål af stor betydning for alle europæiske borgere. Folkeafstemningen bør iværksættes af Europa-Parlamentet og bør være juridisk bindende. </w:t>
      </w:r>
    </w:p>
    <w:p>
      <w:pPr>
        <w:pStyle w:val="Normal"/>
        <w:rPr/>
      </w:pPr>
      <w:r>
        <w:rPr/>
        <w:t xml:space="preserve"> </w:t>
      </w:r>
    </w:p>
    <w:p>
      <w:pPr>
        <w:pStyle w:val="Normal"/>
        <w:rPr/>
      </w:pPr>
      <w:r>
        <w:rPr/>
        <w:t xml:space="preserve">EU-borgerne bør have en mere direkte indflydelse på vigtige beslutninger om europæiske spørgsmål. Ikke desto mindre bør folkeafstemninger kun afholdes under ekstraordinære omstændigheder, da det på grund af deres høje omkostninger ikke ville være muligt at holde dem regelmæssigt. Vi er klar over, at denne henstilling kan kræve en ændring af traktaten og tilpasning af de nationale forfatninger. </w:t>
      </w:r>
    </w:p>
    <w:p>
      <w:pPr>
        <w:pStyle w:val="Normal"/>
        <w:rPr/>
      </w:pPr>
      <w:r>
        <w:rPr/>
        <w:t xml:space="preserve"> </w:t>
      </w:r>
    </w:p>
    <w:p>
      <w:pPr>
        <w:pStyle w:val="P68B1DB1Normal15"/>
        <w:rPr>
          <w:b/>
          <w:b/>
        </w:rPr>
      </w:pPr>
      <w:r>
        <w:rPr/>
        <w:t xml:space="preserve">19. Vi anbefaler, at der oprettes en multifunktionel digital platform, hvorigennem borgerne kan stemme ved onlinevalg og afstemninger. Borgerne bør have mulighed for at motivere deres stemme om vigtige spørgsmål og lovgivningsforslag fra EU-institutionerne. Denne platform bør være sikker, bredt tilgængelig og meget synlig for alle borgere. </w:t>
      </w:r>
    </w:p>
    <w:p>
      <w:pPr>
        <w:pStyle w:val="Normal"/>
        <w:rPr/>
      </w:pPr>
      <w:r>
        <w:rPr/>
        <w:t xml:space="preserve"> </w:t>
      </w:r>
    </w:p>
    <w:p>
      <w:pPr>
        <w:pStyle w:val="Normal"/>
        <w:rPr/>
      </w:pPr>
      <w:r>
        <w:rPr/>
        <w:t xml:space="preserve">Formålet med denne platform er at øge deltagelsen i EU's politik og lette borgernes adgang til høring og afstemning. Eksisterende værktøjer og processer er ikke synlige nok, og derfor har vi brug for et nyt integreret værktøj til disse forskellige funktioner. Større deltagelse fører til bedre beslutninger, større tillid blandt de europæiske borgere og en bedre funktion af Unionen generelt. </w:t>
      </w:r>
    </w:p>
    <w:p>
      <w:pPr>
        <w:pStyle w:val="Normal"/>
        <w:rPr/>
      </w:pPr>
      <w:r>
        <w:rPr/>
        <w:t xml:space="preserve"> </w:t>
      </w:r>
    </w:p>
    <w:p>
      <w:pPr>
        <w:pStyle w:val="P68B1DB1Normal15"/>
        <w:rPr>
          <w:b/>
          <w:b/>
        </w:rPr>
      </w:pPr>
      <w:r>
        <w:rPr/>
        <w:t xml:space="preserve">20. "Vi anbefaler, at afstemningssystemerne i EU-institutionerne revurderes ved at fokusere på spørgsmålet om enstemmighed. "Vægtningen" af stemmerne bør beregnes retfærdigt for at beskytte de små landes interesser. </w:t>
      </w:r>
    </w:p>
    <w:p>
      <w:pPr>
        <w:pStyle w:val="Normal"/>
        <w:rPr/>
      </w:pPr>
      <w:r>
        <w:rPr/>
        <w:t xml:space="preserve"> </w:t>
      </w:r>
    </w:p>
    <w:p>
      <w:pPr>
        <w:pStyle w:val="Normal"/>
        <w:rPr/>
      </w:pPr>
      <w:r>
        <w:rPr/>
        <w:t xml:space="preserve">Enstemmighed er en vigtig udfordring for beslutningstagningen i EU. I betragtning af det store antal medlemsstater er det meget vanskeligt at nå til enighed. Om nødvendigt bør de europæiske traktater ændres for at løse spørgsmålet om enstemmighed. </w:t>
      </w:r>
    </w:p>
    <w:p>
      <w:pPr>
        <w:pStyle w:val="Normal"/>
        <w:rPr/>
      </w:pPr>
      <w:r>
        <w:rPr/>
        <w:t xml:space="preserve"> </w:t>
      </w:r>
    </w:p>
    <w:p>
      <w:pPr>
        <w:pStyle w:val="Titre4"/>
        <w:numPr>
          <w:ilvl w:val="3"/>
          <w:numId w:val="2"/>
        </w:numPr>
        <w:rPr/>
      </w:pPr>
      <w:bookmarkStart w:id="142" w:name="__RefHeading___Toc297219_1346298689"/>
      <w:bookmarkEnd w:id="142"/>
      <w:r>
        <w:rPr/>
        <w:t xml:space="preserve">Sub-akse 3.3 Lukket integration </w:t>
      </w:r>
    </w:p>
    <w:p>
      <w:pPr>
        <w:pStyle w:val="Normal"/>
        <w:rPr/>
      </w:pPr>
      <w:r>
        <w:rPr/>
        <w:t xml:space="preserve"> </w:t>
      </w:r>
    </w:p>
    <w:p>
      <w:pPr>
        <w:pStyle w:val="P68B1DB1Normal15"/>
        <w:rPr>
          <w:b/>
          <w:b/>
        </w:rPr>
      </w:pPr>
      <w:r>
        <w:rPr/>
        <w:t xml:space="preserve">21. "Vi anbefaler, at Unionen foretager offentlige investeringer, der fører til skabelse af passende arbejdspladser og forbedring og harmonisering af livskvaliteten i hele Unionen, mellem medlemsstaterne og i medlemsstaterne (dvs. på regionalt plan). Der er behov for at sikre effektivt tilsyn, gennemsigtighed og kommunikation til borgerne i forbindelse med gennemførelsen af offentlige investeringer og give borgerne mulighed for at overvåge hele investeringsprocessen. For at sikre en bedre livskvalitet bør der investeres på områder som uddannelse, sundhed, bolig, fysisk infrastruktur, ældrepleje og personer med handicap under hensyntagen til de enkelte medlemsstaters behov. De supplerende investeringer bør sigte mod at skabe en god balance mellem et passende arbejds- og privatliv for at muliggøre en sund livsstil. </w:t>
      </w:r>
    </w:p>
    <w:p>
      <w:pPr>
        <w:pStyle w:val="Normal"/>
        <w:rPr/>
      </w:pPr>
      <w:r>
        <w:rPr/>
        <w:t xml:space="preserve"> </w:t>
      </w:r>
    </w:p>
    <w:p>
      <w:pPr>
        <w:pStyle w:val="Normal"/>
        <w:rPr/>
      </w:pPr>
      <w:r>
        <w:rPr/>
        <w:t xml:space="preserve">Vi anbefaler denne foranstaltning, fordi harmoniseringen af levestandarden i Unionen vil forbedre de økonomiske fremskridt i hele Unionen, hvilket vil føre til et forenet EU. Dette er en nøgleindikator for yderligere integration af Unionen. Selv om nogle af disse mekanismer allerede er på plads, mener vi, at de stadig kan forbedres. </w:t>
      </w:r>
    </w:p>
    <w:p>
      <w:pPr>
        <w:pStyle w:val="Normal"/>
        <w:rPr/>
      </w:pPr>
      <w:r>
        <w:rPr/>
        <w:t xml:space="preserve"> </w:t>
      </w:r>
    </w:p>
    <w:p>
      <w:pPr>
        <w:pStyle w:val="P68B1DB1Normal15"/>
        <w:rPr>
          <w:b/>
          <w:b/>
        </w:rPr>
      </w:pPr>
      <w:r>
        <w:rPr/>
        <w:t xml:space="preserve">22. "Vi anbefaler, at der etableres et fælles grundlag, der bygger på en række økonomiske indikatorer og indikatorer for livskvalitet, for alle medlemsstater med henblik på at tilbyde lige muligheder og sætte alle på lige fod for at opnå en fælles økonomisk struktur. Det er vigtigt, at dette fælles grundlag fastlægges efter en klar og realistisk tidsplan, som fastsættes af institutionerne efter indstilling fra eksperterne. Eksperter bør også høres om udformningen af en sådan fælles økonomisk struktur. Det er også vigtigt, at de indikatorer, som dette fælles grundlag er baseret på, defineres mere præcist ved hjælp af eksperter. </w:t>
      </w:r>
    </w:p>
    <w:p>
      <w:pPr>
        <w:pStyle w:val="Normal"/>
        <w:rPr/>
      </w:pPr>
      <w:r>
        <w:rPr/>
        <w:t xml:space="preserve"> </w:t>
      </w:r>
    </w:p>
    <w:p>
      <w:pPr>
        <w:pStyle w:val="Normal"/>
        <w:rPr/>
      </w:pPr>
      <w:r>
        <w:rPr/>
        <w:t xml:space="preserve">Vi anbefaler dette, for hvis vi har en retfærdig Union, vil vi have et mere forenet Europa. For at være fair skal vi tilbyde lige muligheder og et fælles grundlag for hele Unionen. Det vil først være muligt at opnå en fælles økonomisk struktur, når der er etableret et fælles grundlag. </w:t>
      </w:r>
    </w:p>
    <w:p>
      <w:pPr>
        <w:pStyle w:val="Normal"/>
        <w:rPr/>
      </w:pPr>
      <w:r>
        <w:rPr/>
        <w:t xml:space="preserve"> </w:t>
      </w:r>
    </w:p>
    <w:p>
      <w:pPr>
        <w:pStyle w:val="P68B1DB1Normal15"/>
        <w:rPr>
          <w:b/>
          <w:b/>
        </w:rPr>
      </w:pPr>
      <w:r>
        <w:rPr/>
        <w:t xml:space="preserve">23. Vi anbefaler at beskatte store virksomheder og virksomhedsindkomster for at bidrage til offentlige investeringer og bruge beskatning til at investere i uddannelse og udvikling i hvert land (F &amp; U, stipendier — Erasmus osv.). Det er også vigtigt at sikre, at skattely afskaffes i EU." </w:t>
      </w:r>
    </w:p>
    <w:p>
      <w:pPr>
        <w:pStyle w:val="Normal"/>
        <w:rPr/>
      </w:pPr>
      <w:r>
        <w:rPr/>
        <w:t xml:space="preserve"> </w:t>
      </w:r>
    </w:p>
    <w:p>
      <w:pPr>
        <w:pStyle w:val="Normal"/>
        <w:rPr/>
      </w:pPr>
      <w:r>
        <w:rPr/>
        <w:t xml:space="preserve">Vi anbefaler denne foranstaltning, da den vil bidrage til at forhindre skatteunddragelse og oprettelse af skattely og fremme overholdelsen af reglerne. </w:t>
      </w:r>
    </w:p>
    <w:p>
      <w:pPr>
        <w:pStyle w:val="Normal"/>
        <w:rPr/>
      </w:pPr>
      <w:r>
        <w:rPr/>
      </w:r>
    </w:p>
    <w:p>
      <w:pPr>
        <w:pStyle w:val="Titre3"/>
        <w:numPr>
          <w:ilvl w:val="2"/>
          <w:numId w:val="2"/>
        </w:numPr>
        <w:rPr/>
      </w:pPr>
      <w:bookmarkStart w:id="143" w:name="__RefHeading___Toc297221_1346298689"/>
      <w:bookmarkEnd w:id="143"/>
      <w:r>
        <w:rPr/>
        <w:t xml:space="preserve">Akse 4: Opbygning af en europæisk identitet </w:t>
      </w:r>
    </w:p>
    <w:p>
      <w:pPr>
        <w:pStyle w:val="Normal"/>
        <w:rPr/>
      </w:pPr>
      <w:r>
        <w:rPr/>
        <w:t xml:space="preserve"> </w:t>
      </w:r>
    </w:p>
    <w:p>
      <w:pPr>
        <w:pStyle w:val="Titre4"/>
        <w:numPr>
          <w:ilvl w:val="3"/>
          <w:numId w:val="2"/>
        </w:numPr>
        <w:rPr/>
      </w:pPr>
      <w:bookmarkStart w:id="144" w:name="__RefHeading___Toc297223_1346298689"/>
      <w:bookmarkEnd w:id="144"/>
      <w:r>
        <w:rPr/>
        <w:t xml:space="preserve">Delakse 4.1 Uddannelse for demokrati </w:t>
      </w:r>
    </w:p>
    <w:p>
      <w:pPr>
        <w:pStyle w:val="Normal"/>
        <w:rPr/>
      </w:pPr>
      <w:r>
        <w:rPr/>
        <w:t xml:space="preserve"> </w:t>
      </w:r>
    </w:p>
    <w:p>
      <w:pPr>
        <w:pStyle w:val="P68B1DB1Normal15"/>
        <w:rPr>
          <w:b/>
          <w:b/>
        </w:rPr>
      </w:pPr>
      <w:r>
        <w:rPr/>
        <w:t xml:space="preserve">24. Vi anbefaler, at uddannelse i demokrati i EU forbedrer og opnår et minimum af viden i alle medlemsstater. Denne uddannelse bør omfatte, men ikke begrænset til, demokratiske processer og generel information om Unionen, som bør undervises i alle EU's medlemsstater. Den bør beriges af en række forskellige begreber, der tager sigte på at undervise i den demokratiske proces, som bør være attraktiv og alderssvarende. </w:t>
      </w:r>
    </w:p>
    <w:p>
      <w:pPr>
        <w:pStyle w:val="Normal"/>
        <w:rPr/>
      </w:pPr>
      <w:r>
        <w:rPr/>
        <w:t xml:space="preserve"> </w:t>
      </w:r>
    </w:p>
    <w:p>
      <w:pPr>
        <w:pStyle w:val="Normal"/>
        <w:rPr/>
      </w:pPr>
      <w:r>
        <w:rPr/>
        <w:t xml:space="preserve">Denne henstilling og årsagerne hertil er vigtig, fordi den, hvis den gennemføres, vil føre til et mere harmonisk og demokratisk liv i Unionen. Begrundelserne er som følger: unge vil blive uddannet i demokratiske processer; denne uddannelse kan begrænse populisme og desinformation i den offentlige debat; det kan mindske forskelsbehandlingen; og endelig vil det gøre det muligt at uddanne og mobilisere borgerne til demokrati ud over deres simple stemmepligt. </w:t>
      </w:r>
    </w:p>
    <w:p>
      <w:pPr>
        <w:pStyle w:val="Normal"/>
        <w:rPr/>
      </w:pPr>
      <w:r>
        <w:rPr/>
        <w:t xml:space="preserve"> </w:t>
      </w:r>
    </w:p>
    <w:p>
      <w:pPr>
        <w:pStyle w:val="P68B1DB1Normal15"/>
        <w:rPr>
          <w:b/>
          <w:b/>
        </w:rPr>
      </w:pPr>
      <w:r>
        <w:rPr/>
        <w:t xml:space="preserve">25. "Vi anbefaler, at eksisterende og fremspirende oversættelsesteknologier såsom kunstig intelligens videreudvikles, forbedres og gøres mere tilgængelige for at mindske sprogbarriererne og styrke den fælles identitet og demokrati i EU." </w:t>
      </w:r>
    </w:p>
    <w:p>
      <w:pPr>
        <w:pStyle w:val="Normal"/>
        <w:rPr/>
      </w:pPr>
      <w:r>
        <w:rPr/>
        <w:t xml:space="preserve"> </w:t>
      </w:r>
    </w:p>
    <w:p>
      <w:pPr>
        <w:pStyle w:val="Normal"/>
        <w:rPr/>
      </w:pPr>
      <w:r>
        <w:rPr/>
        <w:t xml:space="preserve">Denne henstilling og årsagerne hertil er vigtig, fordi den, hvis den gennemføres, vil bidrage til at opbygge en fælles europæisk identitet ved at forbedre kommunikationen mellem borgerne i alle medlemsstater. </w:t>
      </w:r>
    </w:p>
    <w:p>
      <w:pPr>
        <w:pStyle w:val="Normal"/>
        <w:rPr/>
      </w:pPr>
      <w:r>
        <w:rPr/>
        <w:t xml:space="preserve"> </w:t>
      </w:r>
    </w:p>
    <w:p>
      <w:pPr>
        <w:pStyle w:val="P68B1DB1Normal15"/>
        <w:rPr>
          <w:b/>
          <w:b/>
        </w:rPr>
      </w:pPr>
      <w:r>
        <w:rPr/>
        <w:t xml:space="preserve">26. Vi anbefaler, at verificerbare oplysninger gøres let tilgængelige for borgerne i forståelige vendinger via en mobilapp for at forbedre gennemsigtigheden, den offentlige debat og demokratiet. Denne applikation kan bruges til at formidle oplysninger om f.eks. lovgivning, drøftelser inden for EU, traktatændringer osv. </w:t>
      </w:r>
    </w:p>
    <w:p>
      <w:pPr>
        <w:pStyle w:val="Normal"/>
        <w:rPr/>
      </w:pPr>
      <w:r>
        <w:rPr/>
        <w:t xml:space="preserve"> </w:t>
      </w:r>
    </w:p>
    <w:p>
      <w:pPr>
        <w:pStyle w:val="Normal"/>
        <w:rPr/>
      </w:pPr>
      <w:r>
        <w:rPr/>
        <w:t xml:space="preserve">Denne henstilling og årsagerne til den er vigtig, fordi den, hvis den gennemføres, vil lette kommunikationen i det omfang, den vil give mulighed for en mere informeret debat blandt borgerne i de forskellige medlemsstater gennem en applikation, der kan have mange forskellige funktioner. Denne ansøgning bør udformes på en sådan måde, at den sandsynligvis vil være af interesse for alle og i stand til yderligere at tiltrække nysgerrighed og gøre tekniske oplysninger mere tilgængelige og attraktive. Ansøgningen bør ses som en supplerende kilde, der formidler oplysninger, der officielt verificeres af Unionen, med henblik på at forbedre tilliden og gennemsigtigheden i den offentlige debat og bidrage til opbygningen af en fælles europæisk identitet. </w:t>
      </w:r>
    </w:p>
    <w:p>
      <w:pPr>
        <w:pStyle w:val="Normal"/>
        <w:rPr/>
      </w:pPr>
      <w:r>
        <w:rPr/>
      </w:r>
    </w:p>
    <w:p>
      <w:pPr>
        <w:pStyle w:val="Titre4"/>
        <w:numPr>
          <w:ilvl w:val="3"/>
          <w:numId w:val="2"/>
        </w:numPr>
        <w:rPr/>
      </w:pPr>
      <w:bookmarkStart w:id="145" w:name="__RefHeading___Toc297225_1346298689"/>
      <w:bookmarkEnd w:id="145"/>
      <w:r>
        <w:rPr/>
        <w:t xml:space="preserve">Underakse 4.2 Europæiske værdier og identitet </w:t>
      </w:r>
    </w:p>
    <w:p>
      <w:pPr>
        <w:pStyle w:val="Normal"/>
        <w:rPr/>
      </w:pPr>
      <w:r>
        <w:rPr/>
        <w:t xml:space="preserve"> </w:t>
      </w:r>
    </w:p>
    <w:p>
      <w:pPr>
        <w:pStyle w:val="P68B1DB1Normal15"/>
        <w:rPr>
          <w:b/>
          <w:b/>
        </w:rPr>
      </w:pPr>
      <w:r>
        <w:rPr/>
        <w:t xml:space="preserve">27. "Vi anbefaler, at EU opretter en særlig fond for online- og offlineinteraktioner (dvs. udvekslingsprogrammer, paneler, møder) af kort og lang varighed mellem EU-borgerne for at styrke den europæiske identitet. Deltagerne bør være repræsentative for samfundet i Unionen, herunder grupper, der udvælges på en målrettet måde på grundlag af forskellige kriterier, f.eks. demografiske, socioøkonomiske og erhvervsmæssige kriterier. Fondens mål skal klart angives for at fremme den europæiske identitet, og denne fond bør evalueres med jævne mellemrum. </w:t>
      </w:r>
    </w:p>
    <w:p>
      <w:pPr>
        <w:pStyle w:val="Normal"/>
        <w:rPr/>
      </w:pPr>
      <w:r>
        <w:rPr/>
        <w:t xml:space="preserve"> </w:t>
      </w:r>
    </w:p>
    <w:p>
      <w:pPr>
        <w:pStyle w:val="Normal"/>
        <w:rPr/>
      </w:pPr>
      <w:r>
        <w:rPr/>
        <w:t xml:space="preserve">Vi anbefaler dette, da denne form for interaktion giver borgerne mulighed for at dele ideer, og længere udvekslinger giver dem mulighed for at forstå forskellige kulturer og dele erfaringer, herunder professionel praksis. Der er behov for en EU-fond, da det er vigtigt, at alle kan deltage, også dem, der normalt ikke deltager. </w:t>
      </w:r>
    </w:p>
    <w:p>
      <w:pPr>
        <w:pStyle w:val="Normal"/>
        <w:rPr/>
      </w:pPr>
      <w:r>
        <w:rPr/>
        <w:t xml:space="preserve"> </w:t>
      </w:r>
    </w:p>
    <w:p>
      <w:pPr>
        <w:pStyle w:val="P68B1DB1Normal15"/>
        <w:rPr>
          <w:b/>
          <w:b/>
        </w:rPr>
      </w:pPr>
      <w:r>
        <w:rPr/>
        <w:t xml:space="preserve">28. "Vi anbefaler, at EU investerer hurtigt i bekæmpelsen af desinformation og støtter eksisterende organisationer og initiativer såsom adfærdskodeksen om desinformation og Det Europæiske Observatorium for digitale Medier samt lignende initiativer i medlemsstaterne. Der kan indføres forskellige modforanstaltninger: kontrol af fakta, kendskab til desinformation, udarbejdelse af lettilgængelige statistikker, indførelse af passende sanktioner inden for en retlig ramme over for dem, der udbreder desinformation, og bekæmpelse af kilder til desinformation. </w:t>
      </w:r>
    </w:p>
    <w:p>
      <w:pPr>
        <w:pStyle w:val="Normal"/>
        <w:rPr/>
      </w:pPr>
      <w:r>
        <w:rPr/>
        <w:t xml:space="preserve"> </w:t>
      </w:r>
    </w:p>
    <w:p>
      <w:pPr>
        <w:pStyle w:val="Normal"/>
        <w:rPr/>
      </w:pPr>
      <w:r>
        <w:rPr/>
        <w:t xml:space="preserve">Denne henstilling er vigtig, fordi misinformation og desinformation, både inden for og uden for EU, har den virkning, at der skabes konflikter mellem EU-borgerne, at samfundet polariseres, at demokratiet bringes i fare, og at økonomien skades. I betragtning af emnets kompleksitet er der behov for betydelige menneskelige og finansielle ressourcer. </w:t>
      </w:r>
    </w:p>
    <w:p>
      <w:pPr>
        <w:pStyle w:val="Normal"/>
        <w:rPr/>
      </w:pPr>
      <w:r>
        <w:rPr/>
        <w:t xml:space="preserve"> </w:t>
      </w:r>
    </w:p>
    <w:p>
      <w:pPr>
        <w:pStyle w:val="P68B1DB1Normal15"/>
        <w:rPr>
          <w:b/>
          <w:b/>
        </w:rPr>
      </w:pPr>
      <w:r>
        <w:rPr/>
        <w:t xml:space="preserve">29. "Vi anbefaler 1) at øge hyppigheden af online- og offlineinteraktioner mellem Unionen og dens borgere (dvs. ved direkte at interviewe borgerne om europæiske spørgsmål og skabe en brugervenlig platform for at sikre, at alle borgere kan interagere med EU-institutioner og embedsmænd), og 2) at sikre, at borgerne kan deltage i EU's politiske beslutningsproces, give udtryk for deres synspunkter og få feedback, og vi anbefaler, at der udarbejdes et charter eller en adfærdskodeks eller retningslinjer for EU-tjenestemænd. Der bør være forskellige måder at interagere på, så alle borgere kan deltage. </w:t>
      </w:r>
    </w:p>
    <w:p>
      <w:pPr>
        <w:pStyle w:val="Normal"/>
        <w:rPr/>
      </w:pPr>
      <w:r>
        <w:rPr/>
        <w:t xml:space="preserve"> </w:t>
      </w:r>
    </w:p>
    <w:p>
      <w:pPr>
        <w:pStyle w:val="Normal"/>
        <w:rPr/>
      </w:pPr>
      <w:r>
        <w:rPr/>
        <w:t xml:space="preserve">Vi anbefaler denne foranstaltning, fordi der er flere måder at komme i kontakt med EU-institutionerne (onlineplatforme, repræsentative organer), men de er ikke kendte, ikke effektive og ikke gennemsigtige. Tilgængeligheden varierer betydeligt fra land til land. Hyppigere og bedre interaktioner vil give anledning til en følelse af ejerskab af unionsborgerskabet. </w:t>
      </w:r>
    </w:p>
    <w:p>
      <w:pPr>
        <w:pStyle w:val="Normal"/>
        <w:rPr/>
      </w:pPr>
      <w:r>
        <w:rPr/>
        <w:t xml:space="preserve"> </w:t>
      </w:r>
    </w:p>
    <w:p>
      <w:pPr>
        <w:pStyle w:val="P68B1DB1Normal15"/>
        <w:rPr>
          <w:b/>
          <w:b/>
        </w:rPr>
      </w:pPr>
      <w:r>
        <w:rPr/>
        <w:t xml:space="preserve">30. Vi anbefaler, at europæisk identitet og europæiske værdier (dvs. retsstatsprincippet, demokrati og solidaritet) spiller en særlig rolle i integrationsprocessen for migranter. Der kan overvejes forskellige foranstaltninger, f.eks. oprettelse af programmer eller støtte til allerede eksisterende (lokale) programmer for at fremme det sociale samspil mellem migranter og EU-borgere eller virksomheders deltagelse i programmer til støtte for integration af migranter. Samtidig bør der iværksættes lignende programmer for at øge EU-borgernes bevidsthed om migrationsrelaterede spørgsmål. </w:t>
      </w:r>
    </w:p>
    <w:p>
      <w:pPr>
        <w:pStyle w:val="Normal"/>
        <w:rPr/>
      </w:pPr>
      <w:r>
        <w:rPr/>
        <w:t xml:space="preserve"> </w:t>
      </w:r>
    </w:p>
    <w:p>
      <w:pPr>
        <w:pStyle w:val="Normal"/>
        <w:rPr/>
      </w:pPr>
      <w:r>
        <w:rPr/>
        <w:t xml:space="preserve">Denne anbefaling er vigtig, da sociale interaktionsprogrammer kan hjælpe migranter i deres nye liv og sætte ikke-migranter i stand til bedre at forstå migranternes dagligdag. Hvis migranter bor i ghettoer, er der ingen mulighed for at integrere dem i samfundet på nationalt plan eller EU-plan. Det er nødvendigt med en fælles politik, for når migranterne kommer ind på Unionens område, kan de rejse til alle EU-lande. Lokale initiativer bør støttes, da de lokale myndigheder vil anvende midlerne mere effektivt end på nationalt plan. </w:t>
      </w:r>
    </w:p>
    <w:p>
      <w:pPr>
        <w:pStyle w:val="Normal"/>
        <w:rPr/>
      </w:pPr>
      <w:r>
        <w:rPr/>
        <w:t xml:space="preserve"> </w:t>
      </w:r>
    </w:p>
    <w:p>
      <w:pPr>
        <w:pStyle w:val="Titre4"/>
        <w:numPr>
          <w:ilvl w:val="3"/>
          <w:numId w:val="2"/>
        </w:numPr>
        <w:rPr/>
      </w:pPr>
      <w:bookmarkStart w:id="146" w:name="__RefHeading___Toc297227_1346298689"/>
      <w:bookmarkEnd w:id="146"/>
      <w:r>
        <w:rPr/>
        <w:t xml:space="preserve">Delakse 4.3 EU-oplysninger </w:t>
      </w:r>
    </w:p>
    <w:p>
      <w:pPr>
        <w:pStyle w:val="Normal"/>
        <w:rPr/>
      </w:pPr>
      <w:r>
        <w:rPr/>
        <w:t xml:space="preserve"> </w:t>
      </w:r>
    </w:p>
    <w:p>
      <w:pPr>
        <w:pStyle w:val="P68B1DB1Normal15"/>
        <w:rPr>
          <w:b/>
          <w:b/>
        </w:rPr>
      </w:pPr>
      <w:r>
        <w:rPr/>
        <w:t xml:space="preserve">31. "Vi anbefaler, at EU informerer de europæiske borgere bedre. Med henblik herpå bør Unionen anvende alle nødvendige midler, samtidig med at mediernes frihed og uafhængighed respekteres. Den bør give medierne generelle og pålidelige ressourcer og oplysninger om Unionens aktiviteter og politikker. Unionen bør sikre, at information formidles ligeligt i alle medlemsstater gennem nationale og europæiske medier, og sikre, at medlemsstaterne tilskynder offentlige radio- og tv-selskaber og offentlige nyhedsagenturer til at behandle europæiske spørgsmål." </w:t>
      </w:r>
    </w:p>
    <w:p>
      <w:pPr>
        <w:pStyle w:val="Normal"/>
        <w:rPr/>
      </w:pPr>
      <w:r>
        <w:rPr/>
      </w:r>
    </w:p>
    <w:p>
      <w:pPr>
        <w:pStyle w:val="Normal"/>
        <w:rPr/>
      </w:pPr>
      <w:r>
        <w:rPr/>
        <w:t xml:space="preserve">Vi anbefaler dette, fordi de fleste europæiske borgere i vores personlige erfaring og ifølge Eurobarometer-data informeres af de almindelige medier (presse, radio og tv), og disse kanaler giver i øjeblikket meget få oplysninger om EU. Medierne, herunder de offentlige medier, har en public service-funktion. Det er derfor vigtigt at behandle europæiske spørgsmål, der berører den europæiske befolkning, for at kunne opfylde denne funktion. Vi anbefaler, at de EU-oplysninger, der formidles i de forskellige medlemsstater, er de samme for at fremme integrationen, og vi anbefaler, at man undgår divergerende oplysninger om forskellige spørgsmål i de enkelte lande. Det er mere bekvemt og billigere at bruge eksisterende mediekanaler end at oprette en ny kanal for det samme resultat. De eksisterende kanaler har også den fordel, at de allerede er kendt af borgerne. Ingen borger bør være nødt til at vælge mellem forskellige kanaler for at få adgang til forskelligt indhold (nationalt eller europæisk). </w:t>
      </w:r>
    </w:p>
    <w:p>
      <w:pPr>
        <w:pStyle w:val="Normal"/>
        <w:rPr/>
      </w:pPr>
      <w:r>
        <w:rPr/>
        <w:t xml:space="preserve"> </w:t>
      </w:r>
    </w:p>
    <w:p>
      <w:pPr>
        <w:pStyle w:val="P68B1DB1Normal15"/>
        <w:rPr>
          <w:b/>
          <w:b/>
        </w:rPr>
      </w:pPr>
      <w:r>
        <w:rPr/>
        <w:t xml:space="preserve">32. "Vi anbefaler, at EU opretter og fremmer flersprogede onlinefora og offlinemøder, der giver borgerne mulighed for at deltage i en debat med EU's repræsentanter, uanset emnets emne og geografiske anvendelsesområde. Svarene på de spørgsmål, der rejses på disse onlinefora og offlinemøder, bør gives inden for en veldefineret kort tidsramme. Alle oplysninger vedrørende disse områder bør centraliseres på et integreret officielt websted med forskellige funktioner, f.eks. plads til ofte stillede spørgsmål, mulighed for at dele idéer, forslag eller bekymringer med andre borgere og en mekanisme til at angive, hvilke der får mest støtte. Under alle omstændigheder bør adgangen til dette websted være let og ubureaukratisk sprogbrug. </w:t>
      </w:r>
    </w:p>
    <w:p>
      <w:pPr>
        <w:pStyle w:val="Normal"/>
        <w:rPr/>
      </w:pPr>
      <w:r>
        <w:rPr/>
        <w:t xml:space="preserve"> </w:t>
      </w:r>
    </w:p>
    <w:p>
      <w:pPr>
        <w:pStyle w:val="Normal"/>
        <w:rPr/>
      </w:pPr>
      <w:r>
        <w:rPr/>
        <w:t xml:space="preserve">Vi anbefaler dette, fordi det er en måde at skabe en direkte bro mellem europæiske borgere og europæiske repræsentanter til at tale og engagere sig sammen, give borgerne let adgang til oplysninger om Unionen og informere dem bedre om de oplysninger, der allerede er tilgængelige. Dette vil skabe en mere gennemsigtig og åben Union og hjælpe borgerne med at dele deres problemer og overvejelser og modtage politiske reaktioner og løsninger og sætte borgerne i stand til at engagere sig og dele perspektiver og erfaringer med andre borgere. </w:t>
      </w:r>
    </w:p>
    <w:p>
      <w:pPr>
        <w:pStyle w:val="Normal"/>
        <w:rPr/>
      </w:pPr>
      <w:r>
        <w:rPr/>
        <w:t xml:space="preserve"> </w:t>
      </w:r>
    </w:p>
    <w:p>
      <w:pPr>
        <w:pStyle w:val="Normal"/>
        <w:rPr>
          <w:b/>
          <w:b/>
        </w:rPr>
      </w:pPr>
      <w:r>
        <w:rPr>
          <w:b/>
        </w:rPr>
        <w:t xml:space="preserve">33. </w:t>
      </w:r>
      <w:commentRangeStart w:id="4"/>
      <w:r>
        <w:rPr>
          <w:b/>
        </w:rPr>
        <w:t>"</w:t>
      </w:r>
      <w:r>
        <w:rPr>
          <w:b/>
          <w:i/>
        </w:rPr>
        <w:t>Vi anbefaler, at EU-institutionerne og repræsentanterne anvender et mere tilgængeligt sprog og undgår at anvende bureaukratiske udtryk i deres kommunikation, samtidig med at kvaliteten og det tekniske niveau af oplysningerne opretholdes.</w:t>
      </w:r>
      <w:r>
        <w:rPr>
          <w:b/>
        </w:rPr>
        <w:t xml:space="preserve"> </w:t>
      </w:r>
      <w:r>
        <w:rPr>
          <w:b/>
        </w:rPr>
      </w:r>
      <w:commentRangeEnd w:id="4"/>
      <w:r>
        <w:commentReference w:id="4"/>
      </w:r>
      <w:r>
        <w:rPr>
          <w:b/>
        </w:rPr>
        <w:t xml:space="preserve">Unionen bør også tilpasse de oplysninger, den giver borgerne, ved hjælp af forskellige kommunikationskanaler og forskellige målgrupper (f.eks. aviser, tv, sociale medier). EU bør gøre en særlig indsats for at tilpasse kommunikationen til de digitale medier for at øge sin evne til at nå ud til de unge." </w:t>
      </w:r>
    </w:p>
    <w:p>
      <w:pPr>
        <w:pStyle w:val="Normal"/>
        <w:rPr/>
      </w:pPr>
      <w:r>
        <w:rPr/>
        <w:t xml:space="preserve"> </w:t>
      </w:r>
    </w:p>
    <w:p>
      <w:pPr>
        <w:pStyle w:val="Normal"/>
        <w:rPr/>
      </w:pPr>
      <w:r>
        <w:rPr/>
        <w:t xml:space="preserve">Vi anbefaler denne foranstaltning, da forståelige oplysninger vil gøre det muligt for Unionen at nå ud til flere europæiske borgere og ikke kun dem, der er engageret. Med nye moderne værktøjer, der er rettet mod bestemte målgrupper, vil borgerne få en bedre forståelse af EU's aktiviteter og politikker, navnlig unge, der ikke føler sig tæt på eller ikke er knyttet til EU. </w:t>
      </w:r>
    </w:p>
    <w:p>
      <w:pPr>
        <w:pStyle w:val="Normal"/>
        <w:rPr/>
      </w:pPr>
      <w:r>
        <w:rPr/>
      </w:r>
    </w:p>
    <w:p>
      <w:pPr>
        <w:pStyle w:val="Titre3"/>
        <w:numPr>
          <w:ilvl w:val="2"/>
          <w:numId w:val="2"/>
        </w:numPr>
        <w:rPr/>
      </w:pPr>
      <w:bookmarkStart w:id="147" w:name="__RefHeading___Toc297229_1346298689"/>
      <w:bookmarkEnd w:id="147"/>
      <w:r>
        <w:rPr/>
        <w:t xml:space="preserve">Akse 5: Styrkelse af borgernes deltagelse </w:t>
      </w:r>
    </w:p>
    <w:p>
      <w:pPr>
        <w:pStyle w:val="Normal"/>
        <w:rPr/>
      </w:pPr>
      <w:r>
        <w:rPr/>
        <w:t xml:space="preserve"> </w:t>
      </w:r>
    </w:p>
    <w:p>
      <w:pPr>
        <w:pStyle w:val="Titre4"/>
        <w:numPr>
          <w:ilvl w:val="3"/>
          <w:numId w:val="2"/>
        </w:numPr>
        <w:rPr/>
      </w:pPr>
      <w:bookmarkStart w:id="148" w:name="__RefHeading___Toc297231_1346298689"/>
      <w:bookmarkEnd w:id="148"/>
      <w:r>
        <w:rPr/>
        <w:t xml:space="preserve">Delakse 5.1 Borgernes deltagelse </w:t>
      </w:r>
    </w:p>
    <w:p>
      <w:pPr>
        <w:pStyle w:val="Normal"/>
        <w:rPr/>
      </w:pPr>
      <w:r>
        <w:rPr/>
        <w:t xml:space="preserve"> </w:t>
      </w:r>
    </w:p>
    <w:p>
      <w:pPr>
        <w:pStyle w:val="P68B1DB1Normal15"/>
        <w:rPr>
          <w:b/>
          <w:b/>
        </w:rPr>
      </w:pPr>
      <w:r>
        <w:rPr/>
        <w:t xml:space="preserve">34. "Vi anbefaler, at uafhængige borgerobservatører er til stede i alle EU's beslutningsprocesser. Der bør være et permanent forum eller en permanent sammenslutning af borgerrepræsentanter, som vil være ansvarlig for at formidle relevante og vigtige oplysninger til alle EU-borgere, der defineres som sådanne. Disse borgere vil samarbejde med alle andre europæiske borgere i en top-down/bottom-up-tilgang, som vil videreudvikle dialogen mellem borgerne og EU-institutionerne." </w:t>
      </w:r>
    </w:p>
    <w:p>
      <w:pPr>
        <w:pStyle w:val="Normal"/>
        <w:rPr/>
      </w:pPr>
      <w:r>
        <w:rPr/>
        <w:t xml:space="preserve"> </w:t>
      </w:r>
    </w:p>
    <w:p>
      <w:pPr>
        <w:pStyle w:val="Normal"/>
        <w:rPr/>
      </w:pPr>
      <w:r>
        <w:rPr/>
        <w:t xml:space="preserve">Borgerne fortjener naturligvis at blive holdt orienteret om alle spørgsmål, og det er vigtigt at sikre, at politikerne ikke kan overse nogle af de spørgsmål, de foretrækker at ignorere. En sådan foranstaltning vil bygge bro over kløften mellem borgere og folkevalgte repræsentanter ved at etablere nye muligheder for tillid. </w:t>
      </w:r>
    </w:p>
    <w:p>
      <w:pPr>
        <w:pStyle w:val="Normal"/>
        <w:rPr/>
      </w:pPr>
      <w:r>
        <w:rPr/>
        <w:t xml:space="preserve"> </w:t>
      </w:r>
    </w:p>
    <w:p>
      <w:pPr>
        <w:pStyle w:val="P68B1DB1Normal15"/>
        <w:rPr>
          <w:b/>
          <w:b/>
        </w:rPr>
      </w:pPr>
      <w:r>
        <w:rPr/>
        <w:t xml:space="preserve"> </w:t>
      </w:r>
      <w:r>
        <w:rPr/>
        <w:t xml:space="preserve">35. "Vi anbefaler, at Unionen genåbner diskussionen om Europas forfatning med henblik på at udarbejde en forfatning, der er inspireret af unionsborgerne. Borgerne skal kunne stemme for en sådan forfatning. For at undgå enhver konflikt med medlemsstaterne bør menneskerettigheder og demokrati prioriteres højt i denne forfatning. Ved udarbejdelsen af en sådan forfatning skal der tages hensyn til tidligere bestræbelser, der aldrig har resulteret i en forfatning. </w:t>
      </w:r>
    </w:p>
    <w:p>
      <w:pPr>
        <w:pStyle w:val="Normal"/>
        <w:rPr/>
      </w:pPr>
      <w:r>
        <w:rPr/>
        <w:t xml:space="preserve"> </w:t>
      </w:r>
    </w:p>
    <w:p>
      <w:pPr>
        <w:pStyle w:val="Normal"/>
        <w:rPr/>
      </w:pPr>
      <w:r>
        <w:rPr/>
        <w:t xml:space="preserve">Fordi denne forfatning vil inddrage unge i politik på EU-plan og modvirke nationalismens kræfter, der vinder frem. Det ville give en fælles definition af, hvad demokrati i Europa er og vil blive gennemført på samme måde i alle medlemsstater. Fordi EU deler fælles værdier om demokrati og menneskerettigheder. Fordi borgerne vil have mulighed for at blive inddraget i beslutningsprocessen og identificere sig mere med Unionen ved at deltage i denne proces. </w:t>
      </w:r>
    </w:p>
    <w:p>
      <w:pPr>
        <w:pStyle w:val="Normal"/>
        <w:rPr/>
      </w:pPr>
      <w:r>
        <w:rPr/>
        <w:t xml:space="preserve"> </w:t>
      </w:r>
    </w:p>
    <w:p>
      <w:pPr>
        <w:pStyle w:val="P68B1DB1Normal15"/>
        <w:rPr>
          <w:b/>
          <w:b/>
        </w:rPr>
      </w:pPr>
      <w:r>
        <w:rPr/>
        <w:t xml:space="preserve">36. Vi anbefaler, at politikerne er mere ansvarlige for, hvordan de repræsenterer de borgere, der har valgt dem. Især unge mennesker er særligt adskilt fra politik og tages ikke alvorligt, når de deltager. Men uinteresse er et universelt problem, og folk i alle aldre bør være mere engagerede, end de er nu. </w:t>
      </w:r>
    </w:p>
    <w:p>
      <w:pPr>
        <w:pStyle w:val="Normal"/>
        <w:rPr/>
      </w:pPr>
      <w:r>
        <w:rPr/>
        <w:t xml:space="preserve"> </w:t>
      </w:r>
    </w:p>
    <w:p>
      <w:pPr>
        <w:pStyle w:val="Normal"/>
        <w:rPr/>
      </w:pPr>
      <w:r>
        <w:rPr/>
        <w:t xml:space="preserve">Definitionen af demokrati bør ajourføres. Vi skal huske på, hvad demokrati egentlig er. Fordi de unge har fået nok og er desillusionerede af de politikere, de ser som eliter, der ikke deler deres mening. Derfor skal borgerne være mere engagerede på en original og attraktiv måde. Uddannelsessystemet, de sociale medier og alle andre former for medier kan udfylde denne rolle i hele livscyklussen og på alle sprog. </w:t>
      </w:r>
    </w:p>
    <w:p>
      <w:pPr>
        <w:pStyle w:val="Normal"/>
        <w:rPr/>
      </w:pPr>
      <w:r>
        <w:rPr/>
        <w:t xml:space="preserve"> </w:t>
      </w:r>
    </w:p>
    <w:p>
      <w:pPr>
        <w:pStyle w:val="Titre4"/>
        <w:numPr>
          <w:ilvl w:val="3"/>
          <w:numId w:val="2"/>
        </w:numPr>
        <w:rPr/>
      </w:pPr>
      <w:bookmarkStart w:id="149" w:name="__RefHeading___Toc297233_1346298689"/>
      <w:bookmarkEnd w:id="149"/>
      <w:r>
        <w:rPr/>
        <w:t xml:space="preserve">Delakse 5.2 Borgernes deltagelse </w:t>
      </w:r>
    </w:p>
    <w:p>
      <w:pPr>
        <w:pStyle w:val="Normal"/>
        <w:rPr/>
      </w:pPr>
      <w:r>
        <w:rPr/>
        <w:t xml:space="preserve"> </w:t>
      </w:r>
    </w:p>
    <w:p>
      <w:pPr>
        <w:pStyle w:val="P68B1DB1Normal15"/>
        <w:rPr>
          <w:b/>
          <w:b/>
        </w:rPr>
      </w:pPr>
      <w:r>
        <w:rPr/>
        <w:t xml:space="preserve">37. "Vi anbefaler, at EU kommer tættere på borgerne på en mere selvsikker måde. For at opnå dette bør medlemsstaterne inddrages i at fremme borgernes deltagelse i Unionen. Unionen bør fremme anvendelsen af mekanismer for borgerdeltagelse ved at iværksætte kommercielle kampagner og reklamekampagner. Nationale og lokale myndigheder bør forpligtes til at deltage i denne proces. Unionen bør sikre effektiviteten af deltagelsesdemokratiplatforme." </w:t>
      </w:r>
    </w:p>
    <w:p>
      <w:pPr>
        <w:pStyle w:val="Normal"/>
        <w:rPr/>
      </w:pPr>
      <w:r>
        <w:rPr/>
        <w:t xml:space="preserve"> </w:t>
      </w:r>
    </w:p>
    <w:p>
      <w:pPr>
        <w:pStyle w:val="Normal"/>
        <w:rPr/>
      </w:pPr>
      <w:r>
        <w:rPr/>
        <w:t xml:space="preserve">Vi anbefaler dette, fordi den allerede eksisterende platform skal styrkes og gøres mere effektiv: der skal være mere feedback fra borgerne til EU og omvendt. Der er ikke nok debat i EU, både mellem borgerne og mellem regeringerne. Fordi borgerne ikke indgiver andragender, enten fordi de ikke ved, at mekanismen findes, eller fordi de ikke mener, at sådanne andragender kan lykkes. </w:t>
      </w:r>
    </w:p>
    <w:p>
      <w:pPr>
        <w:pStyle w:val="Normal"/>
        <w:rPr/>
      </w:pPr>
      <w:r>
        <w:rPr/>
        <w:t xml:space="preserve"> </w:t>
      </w:r>
    </w:p>
    <w:p>
      <w:pPr>
        <w:pStyle w:val="P68B1DB1Normal15"/>
        <w:rPr>
          <w:b/>
          <w:b/>
        </w:rPr>
      </w:pPr>
      <w:r>
        <w:rPr/>
        <w:t xml:space="preserve">38. "Vi anbefaler, at Unionen udarbejder og gennemfører læseplaner for skoler om, hvad der gøres i EU med hensyn til deltagelsesmekanismer. Sådanne programmer bør integreres i skolernes læseplaner om unionsborgerskab og etik med indhold, der er tilpasset elevernes alder. Der bør også være programmer for voksne. Programmerne for livslang læring bør stilles til rådighed for borgerne for at uddybe deres viden om mulighederne for borgernes deltagelse i Unionen." </w:t>
      </w:r>
    </w:p>
    <w:p>
      <w:pPr>
        <w:pStyle w:val="Normal"/>
        <w:rPr/>
      </w:pPr>
      <w:r>
        <w:rPr/>
        <w:t xml:space="preserve"> </w:t>
      </w:r>
    </w:p>
    <w:p>
      <w:pPr>
        <w:pStyle w:val="Normal"/>
        <w:rPr/>
      </w:pPr>
      <w:r>
        <w:rPr/>
        <w:t xml:space="preserve">Vi anbefaler denne foranstaltning, fordi det er vigtigt for vores børns fremtid. Borgerne ønsker at vide, hvordan de kan udtrykke deres stemme. Det er vigtigt, at de kender de nøjagtige mekanismer og hvordan de kan anvendes, så deres stemme bliver hørt af Unionen. Dette er vigtigt for alle europæiske borgere at blive stillet på lige fod. Som europæiske borgere skal vi vide, hvordan vi kan udnytte vores rettigheder. Som europæiske borgere har vi ret til at få kendskab til disse oplysninger. </w:t>
      </w:r>
    </w:p>
    <w:p>
      <w:pPr>
        <w:pStyle w:val="Normal"/>
        <w:rPr/>
      </w:pPr>
      <w:r>
        <w:rPr/>
        <w:t xml:space="preserve"> </w:t>
      </w:r>
    </w:p>
    <w:p>
      <w:pPr>
        <w:pStyle w:val="Titre4"/>
        <w:numPr>
          <w:ilvl w:val="3"/>
          <w:numId w:val="2"/>
        </w:numPr>
        <w:rPr/>
      </w:pPr>
      <w:bookmarkStart w:id="150" w:name="__RefHeading___Toc297235_1346298689"/>
      <w:bookmarkEnd w:id="150"/>
      <w:r>
        <w:rPr/>
        <w:t xml:space="preserve">Delakse 5.3 Borgernes deltagelse </w:t>
      </w:r>
    </w:p>
    <w:p>
      <w:pPr>
        <w:pStyle w:val="Normal"/>
        <w:rPr/>
      </w:pPr>
      <w:r>
        <w:rPr/>
        <w:t xml:space="preserve"> </w:t>
      </w:r>
    </w:p>
    <w:p>
      <w:pPr>
        <w:pStyle w:val="P68B1DB1Normal15"/>
        <w:rPr>
          <w:b/>
          <w:b/>
        </w:rPr>
      </w:pPr>
      <w:r>
        <w:rPr/>
        <w:t xml:space="preserve">39. Vi anbefaler, at EU organiserer borgerforsamlinger. Vi anbefaler kraftigt, at de indføres i henhold til en juridisk bindende og ufravigelig lov eller forordning. Disse borgerforsamlinger skal afholdes hver 12. til 18. måned. Borgernes deltagelse bør ikke være obligatorisk, men bør fremmes, samtidig med at den tilrettelægges på grundlag af begrænsede mandater. Deltagerne skal udvælges tilfældigt efter repræsentativitetskriterier. De må ikke repræsentere organisationer af nogen art og bør ikke opfordres til at deltage på grund af deres faglige funktion, når de er medlemmer af forsamlingen. Om nødvendigt vil der blive ydet støtte fra eksperter for at sikre, at forsamlingens medlemmer har tilstrækkelige oplysninger til at være bevidste. Beslutningsprocessen vil være i borgernes hænder. Unionen skal garantere politikernes engagement i de beslutninger, som borgerne træffer i borgerforsamlinger. Hvis borgernes forslag ignoreres eller udtrykkeligt afvises, skal EU-institutionerne rapportere om dem med angivelse af grundene til, at denne beslutning blev truffet. </w:t>
      </w:r>
    </w:p>
    <w:p>
      <w:pPr>
        <w:pStyle w:val="Normal"/>
        <w:rPr/>
      </w:pPr>
      <w:r>
        <w:rPr/>
        <w:t xml:space="preserve"> </w:t>
      </w:r>
    </w:p>
    <w:p>
      <w:pPr>
        <w:pStyle w:val="Normal"/>
        <w:rPr/>
      </w:pPr>
      <w:r>
        <w:rPr/>
        <w:t xml:space="preserve">Vi anbefaler, at der oprettes borgerforsamlinger, fordi vi ønsker, at borgerne skal føle sig tættere på de europæiske institutioner og bidrage direkte til beslutningstagningen, hånd i hånd med politikerne, for at styrke følelsen af tilhørsforhold og direkte effektivitet. Desuden ønsker vi, at de politiske partier holdes ansvarlige over for borgerne, herunder deres valgprogrammer. </w:t>
      </w:r>
    </w:p>
    <w:p>
      <w:pPr>
        <w:pStyle w:val="Normal"/>
        <w:rPr/>
      </w:pPr>
      <w:r>
        <w:rPr/>
        <w:t xml:space="preserve"> </w:t>
      </w:r>
    </w:p>
    <w:p>
      <w:pPr>
        <w:pStyle w:val="Titre3"/>
        <w:numPr>
          <w:ilvl w:val="2"/>
          <w:numId w:val="2"/>
        </w:numPr>
        <w:rPr/>
      </w:pPr>
      <w:bookmarkStart w:id="151" w:name="__RefHeading___Toc297237_1346298689"/>
      <w:bookmarkEnd w:id="151"/>
      <w:r>
        <w:rPr/>
        <w:t xml:space="preserve">Bilag: ANDRE ANBEFALINGER, SOM PANELET HAR TAGET STILLING TIL, MEN SOM IKKE ER VEDTAGET </w:t>
      </w:r>
    </w:p>
    <w:p>
      <w:pPr>
        <w:pStyle w:val="Normal"/>
        <w:rPr/>
      </w:pPr>
      <w:r>
        <w:rPr/>
        <w:t xml:space="preserve"> </w:t>
      </w:r>
    </w:p>
    <w:p>
      <w:pPr>
        <w:pStyle w:val="Titre4"/>
        <w:numPr>
          <w:ilvl w:val="3"/>
          <w:numId w:val="2"/>
        </w:numPr>
        <w:rPr/>
      </w:pPr>
      <w:bookmarkStart w:id="152" w:name="__RefHeading___Toc297239_1346298689"/>
      <w:bookmarkEnd w:id="152"/>
      <w:r>
        <w:rPr/>
        <w:t xml:space="preserve">Akse 1: Sikring af rettigheder og ikke-forskelsbehandling </w:t>
      </w:r>
    </w:p>
    <w:p>
      <w:pPr>
        <w:pStyle w:val="Normal"/>
        <w:rPr/>
      </w:pPr>
      <w:r>
        <w:rPr/>
        <w:t xml:space="preserve"> </w:t>
      </w:r>
    </w:p>
    <w:p>
      <w:pPr>
        <w:pStyle w:val="Normal"/>
        <w:rPr/>
      </w:pPr>
      <w:r>
        <w:rPr/>
        <w:t xml:space="preserve">Delakse 1.1 Ikke-forskelsbehandling/underakse 1.2 Ligestilling mellem kønnene </w:t>
      </w:r>
    </w:p>
    <w:p>
      <w:pPr>
        <w:pStyle w:val="Normal"/>
        <w:rPr/>
      </w:pPr>
      <w:r>
        <w:rPr/>
        <w:t xml:space="preserve"> </w:t>
      </w:r>
    </w:p>
    <w:p>
      <w:pPr>
        <w:pStyle w:val="P68B1DB1Normal15"/>
        <w:rPr>
          <w:b/>
          <w:b/>
        </w:rPr>
      </w:pPr>
      <w:r>
        <w:rPr/>
        <w:t xml:space="preserve">"Vi anbefaler, at EU aktivt inddrager mindretal i den politiske beslutningsproces om centrale aspekter af statslige institutioner (f.eks. politi og ngo'er). Vi anbefaler, at Unionen opretter et rådgivende råd, der vælges direkte af mindretal. Den bør hovedsagelig bestå af repræsentanter for mindretal, samtidig med at den også omfatter repræsentanter for ngo'er. Det bør spille en uddannelsesmæssig rolle med hensyn til at øge embedsmændenes bevidsthed om mindretallenes behov. Dette organ bør have veto mod mindretalsspørgsmål. </w:t>
      </w:r>
    </w:p>
    <w:p>
      <w:pPr>
        <w:pStyle w:val="Normal"/>
        <w:rPr/>
      </w:pPr>
      <w:r>
        <w:rPr/>
        <w:t xml:space="preserve">Vi anbefaler dette, fordi mindretallenes stemmer ikke høres tilstrækkeligt. De bør udtrykke sig på egne vegne, på en selvbestemt måde og på fagligt plan; det er grunden til, at vi kombinerede repræsentation gennem afstemning og ekspertise. </w:t>
      </w:r>
    </w:p>
    <w:p>
      <w:pPr>
        <w:pStyle w:val="Normal"/>
        <w:rPr/>
      </w:pPr>
      <w:r>
        <w:rPr/>
        <w:t xml:space="preserve"> </w:t>
      </w:r>
    </w:p>
    <w:p>
      <w:pPr>
        <w:pStyle w:val="Titre4"/>
        <w:numPr>
          <w:ilvl w:val="3"/>
          <w:numId w:val="2"/>
        </w:numPr>
        <w:rPr/>
      </w:pPr>
      <w:bookmarkStart w:id="153" w:name="__RefHeading___Toc297241_1346298689"/>
      <w:bookmarkEnd w:id="153"/>
      <w:r>
        <w:rPr/>
        <w:t xml:space="preserve">Akse 2: Beskyttelse af demokratiet og retsstatsprincippet </w:t>
      </w:r>
    </w:p>
    <w:p>
      <w:pPr>
        <w:pStyle w:val="Normal"/>
        <w:rPr/>
      </w:pPr>
      <w:r>
        <w:rPr/>
        <w:t xml:space="preserve"> </w:t>
      </w:r>
    </w:p>
    <w:p>
      <w:pPr>
        <w:pStyle w:val="Normal"/>
        <w:rPr/>
      </w:pPr>
      <w:r>
        <w:rPr/>
        <w:t xml:space="preserve">Delakse 2.2 Beskyttelse og styrkelse af demokrati/underakse 2.4 Medier og desinformation </w:t>
      </w:r>
    </w:p>
    <w:p>
      <w:pPr>
        <w:pStyle w:val="Normal"/>
        <w:rPr/>
      </w:pPr>
      <w:r>
        <w:rPr/>
        <w:t xml:space="preserve"> </w:t>
      </w:r>
    </w:p>
    <w:p>
      <w:pPr>
        <w:pStyle w:val="P68B1DB1Normal15"/>
        <w:rPr>
          <w:b/>
          <w:b/>
        </w:rPr>
      </w:pPr>
      <w:r>
        <w:rPr/>
        <w:t xml:space="preserve">"Vi anbefaler, at der oprettes et overvågningsagentur for audiovisuelle medier, trykte medier og digitale medier på europæisk plan. Agenturet bør kontrollere, at de nationale medier følger en upartisk og objektiv proces i produktionen af deres indhold. For at forhindre desinformation bør agenturet indføre et system til vurdering af de nationale mediers pålidelighed. Dette ratingsystem bør være let at forstå for borgerne. </w:t>
      </w:r>
    </w:p>
    <w:p>
      <w:pPr>
        <w:pStyle w:val="Normal"/>
        <w:rPr/>
      </w:pPr>
      <w:r>
        <w:rPr/>
        <w:t xml:space="preserve"> </w:t>
      </w:r>
    </w:p>
    <w:p>
      <w:pPr>
        <w:pStyle w:val="Normal"/>
        <w:rPr/>
      </w:pPr>
      <w:r>
        <w:rPr/>
        <w:t xml:space="preserve">Vi anbefaler dette, fordi vi har brug for en vurdering af medierne og deres pålidelighed, men også mediernes mangfoldighed i EU-landene. Et europæisk agentur ville være det mest objektive organ til at sikre en sådan mission. Desuden giver et sådant ratingsystem borgerne mulighed for at træffe informerede valg og tilskynder medierne til at levere pålidelige oplysninger. Hvis ratingsystemet viser sig at være utilstrækkeligt til at sikre mediernes pålidelighed, bør agenturet også have beføjelse til at pålægge sanktioner. </w:t>
      </w:r>
    </w:p>
    <w:p>
      <w:pPr>
        <w:pStyle w:val="Normal"/>
        <w:rPr/>
      </w:pPr>
      <w:r>
        <w:rPr/>
        <w:t xml:space="preserve"> </w:t>
      </w:r>
    </w:p>
    <w:p>
      <w:pPr>
        <w:pStyle w:val="Titre3"/>
        <w:numPr>
          <w:ilvl w:val="2"/>
          <w:numId w:val="2"/>
        </w:numPr>
        <w:rPr/>
      </w:pPr>
      <w:bookmarkStart w:id="154" w:name="__RefHeading___Toc297243_1346298689"/>
      <w:bookmarkEnd w:id="154"/>
      <w:r>
        <w:rPr/>
        <w:t xml:space="preserve">Akse 5: Styrkelse af borgernes deltagelse </w:t>
      </w:r>
    </w:p>
    <w:p>
      <w:pPr>
        <w:pStyle w:val="Normal"/>
        <w:rPr/>
      </w:pPr>
      <w:r>
        <w:rPr/>
        <w:t xml:space="preserve"> </w:t>
      </w:r>
    </w:p>
    <w:p>
      <w:pPr>
        <w:pStyle w:val="Titre4"/>
        <w:numPr>
          <w:ilvl w:val="3"/>
          <w:numId w:val="2"/>
        </w:numPr>
        <w:rPr/>
      </w:pPr>
      <w:r>
        <w:rPr/>
        <w:t xml:space="preserve">Delakse 5.1 Borgernes deltagelse </w:t>
      </w:r>
    </w:p>
    <w:p>
      <w:pPr>
        <w:pStyle w:val="Normal"/>
        <w:rPr/>
      </w:pPr>
      <w:r>
        <w:rPr/>
        <w:t xml:space="preserve"> </w:t>
      </w:r>
    </w:p>
    <w:p>
      <w:pPr>
        <w:pStyle w:val="P68B1DB1Normal15"/>
        <w:rPr>
          <w:b/>
          <w:b/>
        </w:rPr>
      </w:pPr>
      <w:r>
        <w:rPr/>
        <w:t xml:space="preserve">"Vi anbefaler, at der oprettes et borgerrepræsentationsorgan, der skal drøfte og bidrage væsentligt til beslutningsprocessen — når et centralt spørgsmål for de europæiske borgere afgøres på EU-plan (i henhold til borgernes beslutning — eventuelt gennem en undersøgelse). Dette bør være en heterogen gruppe på ca. 100 borgere fra alle EU-lande, hvor hvert land er lige repræsenteret. Det bør være en roterende gruppe, hvis medlemmer udskiftes regelmæssigt. </w:t>
      </w:r>
    </w:p>
    <w:p>
      <w:pPr>
        <w:pStyle w:val="Normal"/>
        <w:rPr/>
      </w:pPr>
      <w:r>
        <w:rPr/>
        <w:t xml:space="preserve"> </w:t>
      </w:r>
    </w:p>
    <w:p>
      <w:pPr>
        <w:pStyle w:val="Normal"/>
        <w:rPr/>
      </w:pPr>
      <w:r>
        <w:rPr/>
        <w:t xml:space="preserve">Fordi det er vigtigt at undgå problemer som korruption, der kan opstå som følge af et permanent repræsentativt organ, og det er afgørende, at et sådant organ har lige repræsentation af alle lande for at undgå urimelig beslutningskompetence. Fordi denne driftsform ville undgå problemer i forbindelse med installation eller konstant brug af fjernteknologier.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Det europæiske borgerpanel 3: Klimaændringer og miljø/sundhed </w:t>
      </w:r>
    </w:p>
    <w:p>
      <w:pPr>
        <w:pStyle w:val="Normal"/>
        <w:rPr/>
      </w:pPr>
      <w:r>
        <w:rPr/>
        <w:t xml:space="preserve"> </w:t>
      </w:r>
    </w:p>
    <w:p>
      <w:pPr>
        <w:pStyle w:val="Normal"/>
        <w:rPr/>
      </w:pPr>
      <w:r>
        <w:rPr/>
        <w:t xml:space="preserve">ANBEFALINGER VEDTAGET AF PANELET (FREMLÆGGES PÅ PLENARMØDET) </w:t>
      </w:r>
    </w:p>
    <w:p>
      <w:pPr>
        <w:pStyle w:val="Normal"/>
        <w:rPr/>
      </w:pPr>
      <w:r>
        <w:rPr/>
        <w:t xml:space="preserve"> </w:t>
      </w:r>
    </w:p>
    <w:p>
      <w:pPr>
        <w:pStyle w:val="Titre3"/>
        <w:numPr>
          <w:ilvl w:val="2"/>
          <w:numId w:val="2"/>
        </w:numPr>
        <w:rPr/>
      </w:pPr>
      <w:bookmarkStart w:id="156" w:name="__RefHeading___Toc297247_1346298689"/>
      <w:bookmarkEnd w:id="156"/>
      <w:r>
        <w:rPr/>
        <w:t xml:space="preserve">Akse 1: Bedre måder at leve på </w:t>
      </w:r>
    </w:p>
    <w:p>
      <w:pPr>
        <w:pStyle w:val="Normal"/>
        <w:rPr/>
      </w:pPr>
      <w:r>
        <w:rPr/>
        <w:t xml:space="preserve"> </w:t>
      </w:r>
    </w:p>
    <w:p>
      <w:pPr>
        <w:pStyle w:val="Titre4"/>
        <w:numPr>
          <w:ilvl w:val="3"/>
          <w:numId w:val="2"/>
        </w:numPr>
        <w:rPr/>
      </w:pPr>
      <w:bookmarkStart w:id="157" w:name="__RefHeading___Toc297249_1346298689"/>
      <w:bookmarkEnd w:id="157"/>
      <w:r>
        <w:rPr/>
        <w:t xml:space="preserve">Sub-akse 1.1 Sund livsstil </w:t>
      </w:r>
    </w:p>
    <w:p>
      <w:pPr>
        <w:pStyle w:val="P68B1DB1Normal15"/>
        <w:rPr>
          <w:b/>
          <w:b/>
        </w:rPr>
      </w:pPr>
      <w:r>
        <w:rPr/>
        <w:t xml:space="preserve">1. Vi anbefaler, at EU yder støtte til økologisk landbrug, herunder incitamenter til økologiske pesticider, for at gøre økologiske produkter mere overkommelige. Desuden skal EU støtte landbrugernes uddannelse i økologisk og bæredygtigt landbrug, og monokulturer bør undgås. Små økologiske bedrifter, ikkeintensive bedrifter og bedrifter med korte forsyningskæder bør nyde godt af støtte, der giver dem mulighed for at være mere konkurrencedygtige. </w:t>
      </w:r>
    </w:p>
    <w:p>
      <w:pPr>
        <w:pStyle w:val="Normal"/>
        <w:rPr/>
      </w:pPr>
      <w:r>
        <w:rPr/>
        <w:t xml:space="preserve"> </w:t>
      </w:r>
    </w:p>
    <w:p>
      <w:pPr>
        <w:pStyle w:val="Normal"/>
        <w:rPr/>
      </w:pPr>
      <w:r>
        <w:rPr/>
        <w:t xml:space="preserve">Støtte til økologiske produkter vil gøre dem mere overkommelige. Vi bør hjælpe supermarkeder med kortere forsyningskæder og små landbrugere ved at tilbyde dem muligheder for at sælge deres produkter. Dette gør det muligt at udvide adgangen til friskere produkter. Desuden afspejler de lave priser på ikke-økologiske produkter ikke den skade, de forårsager. </w:t>
      </w:r>
    </w:p>
    <w:p>
      <w:pPr>
        <w:pStyle w:val="Normal"/>
        <w:rPr/>
      </w:pPr>
      <w:r>
        <w:rPr/>
        <w:t xml:space="preserve"> </w:t>
      </w:r>
    </w:p>
    <w:p>
      <w:pPr>
        <w:pStyle w:val="P68B1DB1Normal15"/>
        <w:rPr>
          <w:b/>
          <w:b/>
        </w:rPr>
      </w:pPr>
      <w:r>
        <w:rPr/>
        <w:t xml:space="preserve">2. Vi anbefaler, at innovation inden for vertikalt landbrug finansieres af EU-investeringer. </w:t>
      </w:r>
    </w:p>
    <w:p>
      <w:pPr>
        <w:pStyle w:val="Normal"/>
        <w:rPr/>
      </w:pPr>
      <w:r>
        <w:rPr/>
        <w:t xml:space="preserve">Vertikalt landbrug giver os mulighed for at spare areal, der i stedet kan bruges til skovbrug. Det kræver heller ikke pesticider, så vi kan producere mere økologiske fødevarer. Desuden påvirkes den ikke af dårlige vejrforhold, som i stigende grad er almindelige på grund af klimaændringer, og som kan forkorte forsyningskæderne. </w:t>
      </w:r>
    </w:p>
    <w:p>
      <w:pPr>
        <w:pStyle w:val="Normal"/>
        <w:rPr/>
      </w:pPr>
      <w:r>
        <w:rPr/>
        <w:t xml:space="preserve"> </w:t>
      </w:r>
    </w:p>
    <w:p>
      <w:pPr>
        <w:pStyle w:val="P68B1DB1Normal15"/>
        <w:rPr>
          <w:b/>
          <w:b/>
        </w:rPr>
      </w:pPr>
      <w:r>
        <w:rPr/>
        <w:t xml:space="preserve">3. EU bør fastsætte minimumsstandarder for fødevarekvalitet, sporbarhed af fødevarer og forbrug af sæsonprodukter i skolekantiner. Sunde ingredienser til skolekantiner bør derfor støttes for at give eleverne mad af høj kvalitet til overkommelige priser. </w:t>
      </w:r>
    </w:p>
    <w:p>
      <w:pPr>
        <w:pStyle w:val="Normal"/>
        <w:rPr/>
      </w:pPr>
      <w:r>
        <w:rPr/>
        <w:t xml:space="preserve"> </w:t>
      </w:r>
    </w:p>
    <w:p>
      <w:pPr>
        <w:pStyle w:val="Normal"/>
        <w:rPr/>
      </w:pPr>
      <w:r>
        <w:rPr/>
        <w:t xml:space="preserve">Vi erhverver fra en tidlig alder vaner, der former vores holdning til sundhed; der bør tilskyndes til gode vaner i skolen, og eleverne kan gentage dem derhjemme. Det er også et spørgsmål om social retfærdighed: alle EU-studerende bør have ret til kvalitetsfødevarer i skolen. </w:t>
      </w:r>
    </w:p>
    <w:p>
      <w:pPr>
        <w:pStyle w:val="Normal"/>
        <w:rPr/>
      </w:pPr>
      <w:r>
        <w:rPr/>
        <w:t xml:space="preserve"> </w:t>
      </w:r>
    </w:p>
    <w:p>
      <w:pPr>
        <w:pStyle w:val="P68B1DB1Normal15"/>
        <w:rPr>
          <w:b/>
          <w:b/>
        </w:rPr>
      </w:pPr>
      <w:r>
        <w:rPr/>
        <w:t xml:space="preserve">4. Vi anbefaler at investere i nye cykelstier og forbedre eksisterende stier for at gøre cykling sikker og attraktiv, og for at sikre, at alle aldersgrupper kan drage fordel af uddannelse i færdselsregler i Europa, især for elcykelbrugere og personer uden kørekort. Producenter af elektriske cykler bør forpligtes til at give oplysninger om brugen af den elektriske cykel og de dermed forbundne risici. Der bør ydes retlig beskyttelse til cyklister i tilfælde af en ulykke, der involverer et køretøj (se hollandsk lovgivning). Vi går ind for bilfrie områder i byerne (uden at skade kommercielle områder). Mere generelt anbefaler vi, at cyklister og fodgængere prioriterer og giver ekstra rettigheder i forhold til motorkøretøjer, samtidig med at trafiksikkerheden og overholdelsen af færdselsreglerne sikres. </w:t>
      </w:r>
    </w:p>
    <w:p>
      <w:pPr>
        <w:pStyle w:val="Normal"/>
        <w:rPr/>
      </w:pPr>
      <w:r>
        <w:rPr/>
        <w:t xml:space="preserve"> </w:t>
      </w:r>
    </w:p>
    <w:p>
      <w:pPr>
        <w:pStyle w:val="Normal"/>
        <w:rPr/>
      </w:pPr>
      <w:r>
        <w:rPr/>
        <w:t xml:space="preserve">Disse anbefalinger er vigtige, fordi cykling giver fordele i form af individuel og folkesundhed, luftkvalitet, støjniveau, klima og trafik i bycentre. Cyklister og fodgængere skal føle sig trygge i betragtning af de risici, der er forbundet med øget brug af den elektriske cykel. Nogle gange mangler cykelstier eller er i dårlig stand. </w:t>
      </w:r>
    </w:p>
    <w:p>
      <w:pPr>
        <w:pStyle w:val="Normal"/>
        <w:rPr/>
      </w:pPr>
      <w:r>
        <w:rPr/>
        <w:t xml:space="preserve"> </w:t>
      </w:r>
    </w:p>
    <w:p>
      <w:pPr>
        <w:pStyle w:val="P68B1DB1Normal15"/>
        <w:rPr>
          <w:b/>
          <w:b/>
        </w:rPr>
      </w:pPr>
      <w:r>
        <w:rPr/>
        <w:t xml:space="preserve">5. Vi anbefaler, at fødevareproduktionen integreres i den offentlige uddannelse. Vi anbefaler at støtte og støtte oprettelsen af haver i skoler, hvis det er muligt, og bymæssige haveprojekter i offentlige og private rum. Byplanlægningsrammerne skal integrere behovet for rum-, vand- og støtteinfrastruktur. For eksempel kunne tidligere parkeringspladser anvendes til grønne projekter, vertikale haveprojekter kunne gennemføres på bygninger, eller opnåelse af byggetilladelser kunne være betinget af integration af grønne områder. Vi anbefaler, at der udveksles innovativ og god praksis i alle medlemsstater. </w:t>
      </w:r>
    </w:p>
    <w:p>
      <w:pPr>
        <w:pStyle w:val="Normal"/>
        <w:rPr/>
      </w:pPr>
      <w:r>
        <w:rPr/>
        <w:t xml:space="preserve"> </w:t>
      </w:r>
    </w:p>
    <w:p>
      <w:pPr>
        <w:pStyle w:val="Normal"/>
        <w:rPr/>
      </w:pPr>
      <w:r>
        <w:rPr/>
        <w:t xml:space="preserve">Haveprojekter fremmer byernes og deres indbyggeres modstandsdygtighed og samler mennesker i forskellige aldre og sociale grupper. Multiplikationen af grønne områder forbedrer livskvaliteten, luftkvaliteten, den mentale og fysiske sundhed og miljøet. </w:t>
      </w:r>
    </w:p>
    <w:p>
      <w:pPr>
        <w:pStyle w:val="Normal"/>
        <w:rPr/>
      </w:pPr>
      <w:r>
        <w:rPr/>
        <w:t xml:space="preserve"> </w:t>
      </w:r>
    </w:p>
    <w:p>
      <w:pPr>
        <w:pStyle w:val="Titre4"/>
        <w:numPr>
          <w:ilvl w:val="3"/>
          <w:numId w:val="2"/>
        </w:numPr>
        <w:rPr/>
      </w:pPr>
      <w:bookmarkStart w:id="158" w:name="__RefHeading___Toc297251_1346298689"/>
      <w:bookmarkEnd w:id="158"/>
      <w:r>
        <w:rPr/>
        <w:t xml:space="preserve">Sub-akse 1.2 Miljøuddannelse </w:t>
      </w:r>
    </w:p>
    <w:p>
      <w:pPr>
        <w:pStyle w:val="P68B1DB1Normal15"/>
        <w:rPr>
          <w:b/>
          <w:b/>
        </w:rPr>
      </w:pPr>
      <w:r>
        <w:rPr/>
        <w:t>6. Vi anbefaler, at EU vedtager et direktiv, der kræver, at byplanlægningsprogrammer overholder specifikke miljøkrav for at gøre byerne grønnere. Dette direktiv bør finde anvendelse på private og offentlige goder og rum, navnlig for nye bygninger, der er under udvikling. Den skal indføre minimumsstandarder for at sikre, at bygninger og rum er så grønne som muligt. Adjektivet "grøn" henviser her til brugen af vedvarende energikilder, reduceret energiforbrug, lave CO2-emissioner</w:t>
      </w:r>
      <w:r>
        <w:rPr>
          <w:vertAlign w:val="subscript"/>
        </w:rPr>
        <w:t>og</w:t>
      </w:r>
      <w:r>
        <w:rPr/>
        <w:t xml:space="preserve"> inddragelse af anlæg i arkitektoniske projekter. </w:t>
      </w:r>
    </w:p>
    <w:p>
      <w:pPr>
        <w:pStyle w:val="Normal"/>
        <w:rPr/>
      </w:pPr>
      <w:r>
        <w:rPr/>
        <w:t xml:space="preserve"> </w:t>
      </w:r>
    </w:p>
    <w:p>
      <w:pPr>
        <w:pStyle w:val="Normal"/>
        <w:rPr/>
      </w:pPr>
      <w:r>
        <w:rPr/>
        <w:t>Grønnere byer bidrager aktivt til at reducere virkningerne af klimaændringer og navnlig</w:t>
      </w:r>
      <w:r>
        <w:rPr>
          <w:vertAlign w:val="subscript"/>
        </w:rPr>
        <w:t>CO2-</w:t>
      </w:r>
      <w:r>
        <w:rPr/>
        <w:t xml:space="preserve"> og ozonemissioner, som har en negativ indvirkning på borgernes sundhed. Investering i grønnere byer bidrager til bæredygtig samfundsudvikling, der giver langsigtede økonomiske og sociale fordele. </w:t>
      </w:r>
    </w:p>
    <w:p>
      <w:pPr>
        <w:pStyle w:val="Normal"/>
        <w:rPr/>
      </w:pPr>
      <w:r>
        <w:rPr/>
        <w:t xml:space="preserve"> </w:t>
      </w:r>
    </w:p>
    <w:p>
      <w:pPr>
        <w:pStyle w:val="P68B1DB1Normal15"/>
        <w:rPr>
          <w:b/>
          <w:b/>
        </w:rPr>
      </w:pPr>
      <w:r>
        <w:rPr/>
        <w:t xml:space="preserve">7. Vi anbefaler, at EU med bistand fra medlemsstaterne udvikler, vedtager og gennemfører et fælles europæisk charter, der fokuserer på miljøspørgsmål i deres kompleksitet. Chartret vil give medlemsstaterne en ramme for regelmæssige informations- og uddannelseskampagner, der formidles via alle tilgængelige mediekanaler og på en ny informationsportal, der oprettes til dette formål. Disse kampagner bør tilrettelægges i hele EU og på alle niveauer for at øge bevidstheden om miljøet blandt alle borgere. </w:t>
      </w:r>
    </w:p>
    <w:p>
      <w:pPr>
        <w:pStyle w:val="Normal"/>
        <w:rPr/>
      </w:pPr>
      <w:r>
        <w:rPr/>
        <w:t xml:space="preserve"> </w:t>
      </w:r>
    </w:p>
    <w:p>
      <w:pPr>
        <w:pStyle w:val="Normal"/>
        <w:rPr/>
      </w:pPr>
      <w:r>
        <w:rPr/>
        <w:t xml:space="preserve">Den manglende koordinering mellem medlemsstaterne hæmmer effektiviteten af de eksisterende kampagner og bremser indsatsen for at tackle den globale udfordring i forbindelse med klimaændringer. Et fælles charter vil fremme synergier mellem medlemsstaternes handlingsplaner og sikre større effektivitet i indsatsen. Desuden vil det sikre, at der gives konsekvente og konsekvente oplysninger til borgerne om virkningen af deres daglige handlinger, f.eks. valget af transportform og behandlingen af deres affald. </w:t>
      </w:r>
    </w:p>
    <w:p>
      <w:pPr>
        <w:pStyle w:val="Normal"/>
        <w:rPr/>
      </w:pPr>
      <w:r>
        <w:rPr/>
        <w:t xml:space="preserve"> </w:t>
      </w:r>
    </w:p>
    <w:p>
      <w:pPr>
        <w:pStyle w:val="Titre3"/>
        <w:numPr>
          <w:ilvl w:val="2"/>
          <w:numId w:val="2"/>
        </w:numPr>
        <w:rPr/>
      </w:pPr>
      <w:bookmarkStart w:id="159" w:name="__RefHeading___Toc297253_1346298689"/>
      <w:bookmarkEnd w:id="159"/>
      <w:r>
        <w:rPr/>
        <w:t xml:space="preserve">Akse 2: Beskyttelse af vores miljø og sundhed </w:t>
      </w:r>
    </w:p>
    <w:p>
      <w:pPr>
        <w:pStyle w:val="Titre4"/>
        <w:numPr>
          <w:ilvl w:val="3"/>
          <w:numId w:val="2"/>
        </w:numPr>
        <w:rPr/>
      </w:pPr>
      <w:bookmarkStart w:id="160" w:name="__RefHeading___Toc297255_1346298689"/>
      <w:bookmarkEnd w:id="160"/>
      <w:r>
        <w:rPr/>
        <w:t xml:space="preserve">Sub-akse 2.1 Et sundt naturligt miljø </w:t>
      </w:r>
    </w:p>
    <w:p>
      <w:pPr>
        <w:pStyle w:val="P68B1DB1Normal15"/>
        <w:rPr>
          <w:b/>
          <w:b/>
        </w:rPr>
      </w:pPr>
      <w:r>
        <w:rPr/>
        <w:t xml:space="preserve">8. Vi anbefaler et ensartet øko-score-system, der viser det samlede miljøaftryk for hvert tilgængeligt produkt, der købes i EU. Produkter fra tredjelande skal respektere dette miljøscore-system på en gennemsigtig måde. Dette system bør være baseret på klare klassificeringskriterier, der gælder for selve produkterne, og anvende f.eks. en QR-kode, der giver mere detaljerede produktoplysninger. </w:t>
      </w:r>
    </w:p>
    <w:p>
      <w:pPr>
        <w:pStyle w:val="Normal"/>
        <w:rPr/>
      </w:pPr>
      <w:r>
        <w:rPr/>
        <w:t xml:space="preserve"> </w:t>
      </w:r>
    </w:p>
    <w:p>
      <w:pPr>
        <w:pStyle w:val="Normal"/>
        <w:rPr/>
      </w:pPr>
      <w:r>
        <w:rPr/>
        <w:t xml:space="preserve">Denne produktlivscyklusinformation er afgørende for alle EU-borgere for at styrke forbrugerne, når de handler. Dette vil gøre det muligt for EU-borgerne at træffe ansvarlige beslutninger, der vil bidrage til at beskytte deres miljø. </w:t>
      </w:r>
    </w:p>
    <w:p>
      <w:pPr>
        <w:pStyle w:val="Normal"/>
        <w:rPr/>
      </w:pPr>
      <w:r>
        <w:rPr/>
        <w:t xml:space="preserve"> </w:t>
      </w:r>
    </w:p>
    <w:p>
      <w:pPr>
        <w:pStyle w:val="P68B1DB1Normal15"/>
        <w:rPr>
          <w:b/>
          <w:b/>
        </w:rPr>
      </w:pPr>
      <w:r>
        <w:rPr/>
        <w:t xml:space="preserve">9. Vi anbefaler, at der foretages flere investeringer for at udforske nye miljøvenlige energikilder, og at der indtil indførelsen af disse nye kilder afsættes yderligere investeringer til eksisterende optimale energiproduktionsløsninger. Vi anbefaler også, at de europæiske borgere informeres og uddannes på en gennemsigtig måde om specifikke energikilder. Vi anbefaler kraftigt, at der tages hensyn til de samlede økologiske og sociale virkninger af energiproduktionsprocessen for nuværende og kommende generationer. </w:t>
      </w:r>
    </w:p>
    <w:p>
      <w:pPr>
        <w:pStyle w:val="Normal"/>
        <w:rPr/>
      </w:pPr>
      <w:r>
        <w:rPr/>
        <w:t xml:space="preserve"> </w:t>
      </w:r>
    </w:p>
    <w:p>
      <w:pPr>
        <w:pStyle w:val="Normal"/>
        <w:rPr/>
      </w:pPr>
      <w:r>
        <w:rPr/>
        <w:t xml:space="preserve">Vi står over for meget høje niveauer af kulstofemissioner og andre giftige stoffer fra energiproduktion, der nedbryder klima og luftkvalitet. For at overholde EU's retningslinjer, IPCC-rapporternes anbefalinger og målene i COP26 er vi nødt til at styrke forskningen og investeringerne for at opnå klimaneutral energiproduktion. </w:t>
      </w:r>
    </w:p>
    <w:p>
      <w:pPr>
        <w:pStyle w:val="Normal"/>
        <w:rPr/>
      </w:pPr>
      <w:r>
        <w:rPr/>
        <w:t xml:space="preserve"> </w:t>
      </w:r>
    </w:p>
    <w:p>
      <w:pPr>
        <w:pStyle w:val="Titre4"/>
        <w:numPr>
          <w:ilvl w:val="3"/>
          <w:numId w:val="2"/>
        </w:numPr>
        <w:rPr/>
      </w:pPr>
      <w:bookmarkStart w:id="161" w:name="__RefHeading___Toc297257_1346298689"/>
      <w:bookmarkEnd w:id="161"/>
      <w:r>
        <w:rPr/>
        <w:t xml:space="preserve">Delakse 2.2 Beskyttelse af vores biodiversitet </w:t>
      </w:r>
    </w:p>
    <w:p>
      <w:pPr>
        <w:pStyle w:val="P68B1DB1Normal15"/>
        <w:rPr>
          <w:b/>
          <w:b/>
        </w:rPr>
      </w:pPr>
      <w:r>
        <w:rPr/>
        <w:t xml:space="preserve">10. Vi anbefaler en drastisk reduktion af anvendelsen af kemiske pesticider og gødning i alle typer landbrug ved at sikre anvendelsen af strengere fælles standarder, fremskynde forskningen i naturlige alternativer og støtte vedtagelsen af nye løsninger, herunder uddannelse af landbrugere. </w:t>
      </w:r>
    </w:p>
    <w:p>
      <w:pPr>
        <w:pStyle w:val="Normal"/>
        <w:rPr/>
      </w:pPr>
      <w:r>
        <w:rPr/>
        <w:t xml:space="preserve"> </w:t>
      </w:r>
    </w:p>
    <w:p>
      <w:pPr>
        <w:pStyle w:val="Normal"/>
        <w:rPr/>
      </w:pPr>
      <w:r>
        <w:rPr/>
        <w:t xml:space="preserve">Selv om der er gjort fremskridt med hensyn til gødning og alternative pesticider, er de fleste af dem endnu ikke anvendelige af store bedrifter. Der er derfor behov for en mere vedvarende indsats for at udvikle nye løsninger. Der bør tilskyndes til forskning gennem offentlige udgifter og højere standarder for anvendelse af pesticider og gødning. Forskningsresultater skal hurtigt formidles på EU-plan. </w:t>
      </w:r>
    </w:p>
    <w:p>
      <w:pPr>
        <w:pStyle w:val="Normal"/>
        <w:rPr/>
      </w:pPr>
      <w:r>
        <w:rPr/>
        <w:t xml:space="preserve"> </w:t>
      </w:r>
    </w:p>
    <w:p>
      <w:pPr>
        <w:pStyle w:val="P68B1DB1Normal15"/>
        <w:rPr>
          <w:b/>
          <w:b/>
        </w:rPr>
      </w:pPr>
      <w:r>
        <w:rPr/>
        <w:t xml:space="preserve">11. Vi anbefaler at udvide beskyttede områder til beskyttelse af biodiversiteten (pattedyr, fugle, insekter og planter) og styrke retsstaten med hensyn til menneskelig indgriben i disse områder. Beskyttede områder vil ikke kun blive betragtet som øer, men også som et kontinuum med grønnere byområder i overensstemmelse med harmoniserede EU-standarder. </w:t>
      </w:r>
    </w:p>
    <w:p>
      <w:pPr>
        <w:pStyle w:val="Normal"/>
        <w:rPr/>
      </w:pPr>
      <w:r>
        <w:rPr/>
        <w:t xml:space="preserve"> </w:t>
      </w:r>
    </w:p>
    <w:p>
      <w:pPr>
        <w:pStyle w:val="Normal"/>
        <w:rPr/>
      </w:pPr>
      <w:r>
        <w:rPr/>
        <w:t xml:space="preserve">Biodiversiteten lider i høj grad af skovrydning. Oprettelsen af beskyttede områder er et af de vigtigste midler til beskyttelse af biodiversiteten på landjorden. Det er imidlertid vanskeligt at bevare beskyttede områder i nærheden af forurenede byer eller undgå menneskelig indblanding, når de omkringliggende områder efterlader lidt plads til naturen. Vi er nødt til at gøre boligområderne grønnere og integrere dem i deres omkringliggende natur. </w:t>
      </w:r>
    </w:p>
    <w:p>
      <w:pPr>
        <w:pStyle w:val="Normal"/>
        <w:rPr/>
      </w:pPr>
      <w:r>
        <w:rPr/>
        <w:t xml:space="preserve"> </w:t>
      </w:r>
    </w:p>
    <w:p>
      <w:pPr>
        <w:pStyle w:val="Normal"/>
        <w:rPr/>
      </w:pPr>
      <w:r>
        <w:rPr>
          <w:b/>
        </w:rPr>
        <w:t>12. Vi anbefaler, at generiske tilskud til landbruget omdirigeres til hovedsagelig projekter vedrørende udvikling af bæredygtigt landbrug, herunder respekt for naturen og arbejdstagerne. Støttemodtagerne bør overholde klare miljøstandarder og overvåges nøje.</w:t>
      </w:r>
      <w:r>
        <w:rPr/>
        <w:t xml:space="preserve"> </w:t>
      </w:r>
    </w:p>
    <w:p>
      <w:pPr>
        <w:pStyle w:val="Normal"/>
        <w:rPr/>
      </w:pPr>
      <w:r>
        <w:rPr/>
        <w:t xml:space="preserve"> </w:t>
      </w:r>
    </w:p>
    <w:p>
      <w:pPr>
        <w:pStyle w:val="Normal"/>
        <w:rPr/>
      </w:pPr>
      <w:r>
        <w:rPr/>
        <w:t xml:space="preserve">Vi mener, at der kun bør tilskyndes til bæredygtigt landbrug, hvilket indebærer en omfordeling af de midler, der i øjeblikket anvendes til generiske subsidier. Desuden er det muligt at øge effektiviteten af de anvendte midler ved at fokusere på transformative projekter og innovative løsninger snarere end på årlige betalinger. Der bør sikres en bedre overvågning af de økologiske virkninger af landbrugsaktiviteter og -projekter. Arbejdstagernes menneskerettigheder skal også ses som en integreret del af bæredygtigheden. </w:t>
      </w:r>
    </w:p>
    <w:p>
      <w:pPr>
        <w:pStyle w:val="Normal"/>
        <w:rPr/>
      </w:pPr>
      <w:r>
        <w:rPr/>
        <w:t xml:space="preserve"> </w:t>
      </w:r>
    </w:p>
    <w:p>
      <w:pPr>
        <w:pStyle w:val="Normal"/>
        <w:rPr/>
      </w:pPr>
      <w:r>
        <w:rPr>
          <w:b/>
        </w:rPr>
        <w:t>13. Vi anbefaler, at EU sikrer fair konkurrence om miljøvenlige landbrugsprodukter ved at fastsætte højere standarder for både EU og importerede produkter og sikre sporbarhed, mærkning og kvalitetskontrol.</w:t>
      </w:r>
      <w:r>
        <w:rPr/>
        <w:t xml:space="preserve"> </w:t>
      </w:r>
    </w:p>
    <w:p>
      <w:pPr>
        <w:pStyle w:val="Normal"/>
        <w:rPr/>
      </w:pPr>
      <w:r>
        <w:rPr/>
        <w:t xml:space="preserve"> </w:t>
      </w:r>
    </w:p>
    <w:p>
      <w:pPr>
        <w:pStyle w:val="Normal"/>
        <w:rPr/>
      </w:pPr>
      <w:r>
        <w:rPr/>
        <w:t xml:space="preserve">Den lavere produktivitet af bæredygtige landbrugsprodukter underminerer deres omkostningskonkurrenceevne. Importerede produkter skal opfylde de samme strenge standarder med hensyn til miljøbelastningen af deres produktion. Vores myndigheder bør være i stand til at sikre sporbarheden af importerede landbrugsprodukter. </w:t>
      </w:r>
    </w:p>
    <w:p>
      <w:pPr>
        <w:pStyle w:val="Normal"/>
        <w:rPr/>
      </w:pPr>
      <w:r>
        <w:rPr/>
        <w:t xml:space="preserve"> </w:t>
      </w:r>
    </w:p>
    <w:p>
      <w:pPr>
        <w:pStyle w:val="P68B1DB1Normal15"/>
        <w:rPr>
          <w:b/>
          <w:b/>
        </w:rPr>
      </w:pPr>
      <w:r>
        <w:rPr/>
        <w:t xml:space="preserve">14. Vi anbefaler hurtig og massiv genplantning og skovrejsning i EU takket være optimeret arealanvendelse. Der bør lægges særlig vægt på genplantning af udnyttede eller ødelagte skove og skovrejsning på områder med forringet jord. Nye og mere ansvarlige løsninger bør fremmes for bedre anvendelse af træ, f.eks. til at erstatte plast og andre kemikalier, opnå øget energieffektivitet fra biomasse og genanvende træprodukter. </w:t>
      </w:r>
    </w:p>
    <w:p>
      <w:pPr>
        <w:pStyle w:val="Normal"/>
        <w:rPr/>
      </w:pPr>
      <w:r>
        <w:rPr/>
        <w:t xml:space="preserve"> </w:t>
      </w:r>
    </w:p>
    <w:p>
      <w:pPr>
        <w:pStyle w:val="Normal"/>
        <w:rPr/>
      </w:pPr>
      <w:r>
        <w:rPr/>
        <w:t xml:space="preserve">Genplantning af skov har en klar positiv indvirkning på miljøet og biodiversiteten generelt. Samtidig er vi nødt til at bruge mindre træ til at opvarme os selv, men mere for at gøre dem til produkter med høj merværdi; for eksempel er brugen af ​​træ afgørende for at erstatte plast. </w:t>
      </w:r>
    </w:p>
    <w:p>
      <w:pPr>
        <w:pStyle w:val="Normal"/>
        <w:rPr/>
      </w:pPr>
      <w:r>
        <w:rPr/>
        <w:t xml:space="preserve"> </w:t>
      </w:r>
    </w:p>
    <w:p>
      <w:pPr>
        <w:pStyle w:val="Titre4"/>
        <w:numPr>
          <w:ilvl w:val="3"/>
          <w:numId w:val="2"/>
        </w:numPr>
        <w:rPr/>
      </w:pPr>
      <w:bookmarkStart w:id="162" w:name="__RefHeading___Toc297259_1346298689"/>
      <w:bookmarkEnd w:id="162"/>
      <w:r>
        <w:rPr/>
        <w:t xml:space="preserve">Delakse 2.3 Sikre og sunde fødevarer </w:t>
      </w:r>
    </w:p>
    <w:p>
      <w:pPr>
        <w:pStyle w:val="P68B1DB1Normal15"/>
        <w:rPr>
          <w:b/>
          <w:b/>
        </w:rPr>
      </w:pPr>
      <w:r>
        <w:rPr/>
        <w:t xml:space="preserve">15. Vi anbefaler hurtig og gradvis fjernelse af ubæredygtig emballage, der anvendes til fødevarer, herunder plastemballage og anden ikke-bionedbrydelig emballage. Med henblik herpå foreslår vi at tilbyde økonomiske incitamenter til virksomheder, der flytter til fuldt bionedbrydelige former for emballage, investere i at finde alternativer og pålægge virksomheder, der ikke bruger bionedbrydelig emballage, sanktioner. </w:t>
      </w:r>
    </w:p>
    <w:p>
      <w:pPr>
        <w:pStyle w:val="Normal"/>
        <w:rPr/>
      </w:pPr>
      <w:r>
        <w:rPr/>
        <w:t xml:space="preserve"> </w:t>
      </w:r>
    </w:p>
    <w:p>
      <w:pPr>
        <w:pStyle w:val="Normal"/>
        <w:rPr/>
      </w:pPr>
      <w:r>
        <w:rPr/>
        <w:t xml:space="preserve">Plastaffald, især mikroplast, bliver stadig mere udbredt og langsomt nedbrydende. Forbruget af plast undergraver fødevarernes kvalitet og sikkerhed og udgør samtidig en risiko for menneskers og dyrs sundhed. Desuden er den eksisterende EU-lovgivning om at reducere ikke-bionedbrydelig emballage utilstrækkelig. </w:t>
      </w:r>
    </w:p>
    <w:p>
      <w:pPr>
        <w:pStyle w:val="Normal"/>
        <w:rPr/>
      </w:pPr>
      <w:r>
        <w:rPr/>
        <w:t xml:space="preserve"> </w:t>
      </w:r>
    </w:p>
    <w:p>
      <w:pPr>
        <w:pStyle w:val="P68B1DB1Normal15"/>
        <w:rPr>
          <w:b/>
          <w:b/>
        </w:rPr>
      </w:pPr>
      <w:r>
        <w:rPr/>
        <w:t xml:space="preserve">16. Vi anbefaler gradvis opgivelse af intensivt landbrug, herunder afskaffelse af nedværdigende levevilkår for dyr. Vi foreslår, at der fastsættes fælles standarder for husdyrbrug (f.eks. maksimalt antal dyr, tilpasset udendørsareal) og at investere mere i ikkeintensive metoder (udvidende og bæredygtigt landbrug) ved at skabe finansielle incitamenter og uddannelse af landbrugerne for at støtte denne udvikling. </w:t>
      </w:r>
    </w:p>
    <w:p>
      <w:pPr>
        <w:pStyle w:val="Normal"/>
        <w:rPr/>
      </w:pPr>
      <w:r>
        <w:rPr/>
        <w:t xml:space="preserve"> </w:t>
      </w:r>
    </w:p>
    <w:p>
      <w:pPr>
        <w:pStyle w:val="Normal"/>
        <w:rPr/>
      </w:pPr>
      <w:r>
        <w:rPr/>
        <w:t xml:space="preserve">Udfasningen af intensivt landbrug vil reducere miljøforureningsniveauet og styrke beskyttelsen af naturen. Desuden vil udfasningen af intensivt husdyrbrug reducere mængden af lægemidler, der er nødvendige for at bekæmpe dyresygdomme og forbedre kvaliteten af vores kost. Intensivt landbrug respekterer heller ikke dyrevelfærden, men der findes mere bæredygtige former for landbrug såsom ekstensivt landbrug; det er nødvendigt at yde støtte til landbrugerne for at hjælpe dem med at gå denne vej. </w:t>
      </w:r>
    </w:p>
    <w:p>
      <w:pPr>
        <w:pStyle w:val="Normal"/>
        <w:rPr/>
      </w:pPr>
      <w:r>
        <w:rPr/>
        <w:t xml:space="preserve"> </w:t>
      </w:r>
    </w:p>
    <w:p>
      <w:pPr>
        <w:pStyle w:val="P68B1DB1Normal15"/>
        <w:rPr>
          <w:b/>
          <w:b/>
        </w:rPr>
      </w:pPr>
      <w:r>
        <w:rPr/>
        <w:t xml:space="preserve">17. Vi anbefaler at styrke kontrollen med forbuddet mod unødvendig brug af antibiotika og andre veterinærlægemidler i fodertilsætningsstoffer: lad os få dette initiativ til at ske! Vi foreslår, at brug af antibiotika i husdyrbrug kun bør tillades, når det er absolut nødvendigt, for at beskytte dyrs sundhed og velfærd snarere end på en forebyggende måde. Derudover er der behov for at investere mere i jagten på mere effektive antibiotika ved at udvikle alternativer, samtidig med at der bygges videre på den igangværende forskning på dette område. </w:t>
      </w:r>
    </w:p>
    <w:p>
      <w:pPr>
        <w:pStyle w:val="Normal"/>
        <w:rPr/>
      </w:pPr>
      <w:r>
        <w:rPr/>
        <w:t xml:space="preserve"> </w:t>
      </w:r>
    </w:p>
    <w:p>
      <w:pPr>
        <w:pStyle w:val="Normal"/>
        <w:rPr/>
      </w:pPr>
      <w:r>
        <w:rPr/>
        <w:t xml:space="preserve">Human resistens over for antibiotika reduceres på grund af indtagelse af fødevarer fra dyr, som antibiotika er blevet administreret til. Desuden tager det tid at udvikle passende løsninger til erstatning af eksisterende antibiotika og sikre, at landbrugerne informeres og er villige til at bruge dem. Vi anerkender, at der findes EU-antibiotikumdirektiver. disse er imidlertid ikke blevet gennemført på samme måde i alle medlemsstater. Endelig misbruges veterinærlægemidler til dopingformål. derfor vil strengere lovgivning på dette område forbedre dyrenes velfærd og forbedre deres livskvalitet. </w:t>
      </w:r>
    </w:p>
    <w:p>
      <w:pPr>
        <w:pStyle w:val="Normal"/>
        <w:rPr/>
      </w:pPr>
      <w:r>
        <w:rPr/>
        <w:t xml:space="preserve"> </w:t>
      </w:r>
    </w:p>
    <w:p>
      <w:pPr>
        <w:pStyle w:val="P68B1DB1Normal15"/>
        <w:rPr>
          <w:b/>
          <w:b/>
        </w:rPr>
      </w:pPr>
      <w:r>
        <w:rPr/>
        <w:t xml:space="preserve">18. Vi anbefaler, at EU-lovgivningen kræver indberetning af anvendelsen af hormonelle stoffer og hormonforstyrrende stoffer i fødevareproduktionen med henblik på at specificere typen, mængden og eksponeringen af det anvendte slutprodukt. Etiketter, der tydeligt angiver de tilstedeværende stoffer og årsagerne til deres anvendelse, skal være anført på emballagen for alle de pågældende fødevarer. Desuden bør forskningen i hormonstoffers og hormonforstyrrende stoffers indvirkning på menneskers sundhed fremskyndes. </w:t>
      </w:r>
    </w:p>
    <w:p>
      <w:pPr>
        <w:pStyle w:val="Normal"/>
        <w:rPr/>
      </w:pPr>
      <w:r>
        <w:rPr/>
        <w:t xml:space="preserve"> </w:t>
      </w:r>
    </w:p>
    <w:p>
      <w:pPr>
        <w:pStyle w:val="Normal"/>
        <w:rPr/>
      </w:pPr>
      <w:r>
        <w:rPr/>
        <w:t xml:space="preserve">I øjeblikket er sporbarheden af fødevarer utilstrækkelig, navnlig hvad angår hormonelle stoffer og hormonforstyrrende stoffer. Vi mener, at gennemsigtighed i fødevareproduktionen er nødvendig for at imødekomme ansvarlighed. Desuden bør forbrugerne være i stand til at kende sammensætningen i sin helhed af de fødevarer, de indtager, og være i stand til frit at vælge, hvad de spiser. Desuden er der utilstrækkelig forskning i indvirkningen på mennesker (og potentielle risici) i forbindelse med indtagelse af fødevarer, der indeholder hormonelle stoffer og hormonforstyrrende stoffer. </w:t>
      </w:r>
    </w:p>
    <w:p>
      <w:pPr>
        <w:pStyle w:val="Normal"/>
        <w:rPr/>
      </w:pPr>
      <w:r>
        <w:rPr/>
        <w:t xml:space="preserve"> </w:t>
      </w:r>
    </w:p>
    <w:p>
      <w:pPr>
        <w:pStyle w:val="P68B1DB1Normal15"/>
        <w:rPr>
          <w:b/>
          <w:b/>
        </w:rPr>
      </w:pPr>
      <w:r>
        <w:rPr/>
        <w:t xml:space="preserve">19. Vi anbefaler at modvirke forbruget af forarbejdede fødevarer ved at anvende skatter på fødevarer, der er sundhedsskadelige, og ved at investere midler i sunde fødevarer. Vi foreslår, at der etableres et EU-dækkende ratingsystem for sunde fødevarer baseret på bedste praksis i medlemsstaterne, og at der indføres mærkning på fødevarer for at informere forbrugerne om deres sundhedsmæssige virkninger. </w:t>
      </w:r>
    </w:p>
    <w:p>
      <w:pPr>
        <w:pStyle w:val="Normal"/>
        <w:rPr/>
      </w:pPr>
      <w:r>
        <w:rPr/>
        <w:t xml:space="preserve"> </w:t>
      </w:r>
    </w:p>
    <w:p>
      <w:pPr>
        <w:pStyle w:val="Normal"/>
        <w:rPr/>
      </w:pPr>
      <w:r>
        <w:rPr/>
        <w:t xml:space="preserve">På denne måde kan de indsamlede midler anvendes til at udvikle oplysningskampagner og reklamekampagner, prioritere sund kost i uddannelsessektoren og gøre usunde fødevarer mindre synlige i supermarkeder. Investeringer i sunde fødevarer bidrager også til at forbedre befolkningens generelle sundhed og dermed reducere de offentlige udgifter, der er nødvendige for at løse sundhedsproblemer som følge af dårlig ernæring. Derudover mener vi, at skatter og tilskud vil tilskynde virksomhederne til at producere sundere fødevarer. </w:t>
      </w:r>
    </w:p>
    <w:p>
      <w:pPr>
        <w:pStyle w:val="Normal"/>
        <w:rPr/>
      </w:pPr>
      <w:r>
        <w:rPr/>
        <w:t xml:space="preserve"> </w:t>
      </w:r>
    </w:p>
    <w:p>
      <w:pPr>
        <w:pStyle w:val="Titre3"/>
        <w:numPr>
          <w:ilvl w:val="2"/>
          <w:numId w:val="2"/>
        </w:numPr>
        <w:rPr/>
      </w:pPr>
      <w:bookmarkStart w:id="163" w:name="__RefHeading___Toc297261_1346298689"/>
      <w:bookmarkEnd w:id="163"/>
      <w:r>
        <w:rPr/>
        <w:t xml:space="preserve">Akse 3: reorientering af vores økonomi og forbrug </w:t>
      </w:r>
    </w:p>
    <w:p>
      <w:pPr>
        <w:pStyle w:val="Titre4"/>
        <w:numPr>
          <w:ilvl w:val="3"/>
          <w:numId w:val="2"/>
        </w:numPr>
        <w:rPr/>
      </w:pPr>
      <w:bookmarkStart w:id="164" w:name="__RefHeading___Toc297263_1346298689"/>
      <w:bookmarkEnd w:id="164"/>
      <w:r>
        <w:rPr/>
        <w:t xml:space="preserve">Sub-akse 3.1 Regulering af overproduktion og overforbrug </w:t>
      </w:r>
    </w:p>
    <w:p>
      <w:pPr>
        <w:pStyle w:val="P68B1DB1Normal15"/>
        <w:rPr>
          <w:b/>
          <w:b/>
        </w:rPr>
      </w:pPr>
      <w:r>
        <w:rPr/>
        <w:t xml:space="preserve">20. Vi anbefaler, at EU træffer flere foranstaltninger for at give forbrugerne mulighed for at bruge produkter længere og tilskynde dem til at gøre det. EU bør bekæmpe planlagt forældelse ved at forlænge produktgarantien og fastsætte en maksimumspris for reservedele efter garantiperiodens udløb. Alle medlemsstater bør indføre en afgiftslempelse for reparationsydelser, som det er tilfældet i Sverige. Fabrikanterne bør forpligtes til at angive deres produkters forventede levetid. EU bør give oplysninger om, hvordan man genbruger og reparerer produkter via et websted og gennem uddannelse. </w:t>
      </w:r>
    </w:p>
    <w:p>
      <w:pPr>
        <w:pStyle w:val="Normal"/>
        <w:rPr/>
      </w:pPr>
      <w:r>
        <w:rPr/>
        <w:t xml:space="preserve"> </w:t>
      </w:r>
    </w:p>
    <w:p>
      <w:pPr>
        <w:pStyle w:val="Normal"/>
        <w:rPr/>
      </w:pPr>
      <w:r>
        <w:rPr/>
        <w:t xml:space="preserve">Vores affaldssamfund er ikke levedygtigt, fordi det genererer for meget affald. Ved at anvende de foreslåede foranstaltninger vil vi udvikle os i retning af et samfund, hvor produkter vil blive genbrugt og repareret, hvis antal vil falde og dermed reducere overforbruget. </w:t>
      </w:r>
    </w:p>
    <w:p>
      <w:pPr>
        <w:pStyle w:val="Normal"/>
        <w:rPr/>
      </w:pPr>
      <w:r>
        <w:rPr/>
        <w:t xml:space="preserve"> </w:t>
      </w:r>
    </w:p>
    <w:p>
      <w:pPr>
        <w:pStyle w:val="P68B1DB1Normal15"/>
        <w:rPr>
          <w:b/>
          <w:b/>
        </w:rPr>
      </w:pPr>
      <w:r>
        <w:rPr/>
        <w:t xml:space="preserve">21. Vi anbefaler, at EU anvender strengere miljøstandarder og sikrer rimelige arbejdsvilkår i hele produktionskæden. EU's produktionsstandarder bør være mere bæredygtige og harmoniserede mellem medlemsstaterne og anvendes på importerede varer. Disse standarder skal også være af social karakter, herunder en anstændig indkomst for arbejdstagerne og tilfredsstillende arbejdsvilkår på fabrikkerne. Der bør være konsekvenser for varer, der ikke opfylder disse standarder. </w:t>
      </w:r>
    </w:p>
    <w:p>
      <w:pPr>
        <w:pStyle w:val="Normal"/>
        <w:rPr/>
      </w:pPr>
      <w:r>
        <w:rPr/>
        <w:t xml:space="preserve"> </w:t>
      </w:r>
    </w:p>
    <w:p>
      <w:pPr>
        <w:pStyle w:val="Normal"/>
        <w:rPr/>
      </w:pPr>
      <w:r>
        <w:rPr/>
        <w:t xml:space="preserve">Det er vigtigt at fastsætte miljømæssigt og socialt homogene fremstillingsstandarder i Europa for at sikre, at alle tilbudte produkter produceres på en bæredygtig måde. Disse foranstaltninger er afgørende for at omlægge vores økonomi og ændre virksomhedens produktionsmønstre. </w:t>
      </w:r>
    </w:p>
    <w:p>
      <w:pPr>
        <w:pStyle w:val="Normal"/>
        <w:rPr/>
      </w:pPr>
      <w:r>
        <w:rPr/>
        <w:t xml:space="preserve"> </w:t>
      </w:r>
    </w:p>
    <w:p>
      <w:pPr>
        <w:pStyle w:val="P68B1DB1Normal15"/>
        <w:rPr>
          <w:b/>
          <w:b/>
        </w:rPr>
      </w:pPr>
      <w:r>
        <w:rPr/>
        <w:t xml:space="preserve">22. Vi anbefaler, at EU og medlemsstaterne træffer foranstaltninger til at begrænse reklamer for produkter, der skader miljøet. Produkter med lav holdbarhed bør være omfattet af en obligatorisk klausul om ansvarsfraskrivelse i alle former for reklame, der viser, at de er skadelige for miljøet. EU bør forbyde reklamer for produkter, der slet ikke er bæredygtige. </w:t>
      </w:r>
    </w:p>
    <w:p>
      <w:pPr>
        <w:pStyle w:val="Normal"/>
        <w:rPr/>
      </w:pPr>
      <w:r>
        <w:rPr/>
        <w:t xml:space="preserve"> </w:t>
      </w:r>
    </w:p>
    <w:p>
      <w:pPr>
        <w:pStyle w:val="Normal"/>
        <w:rPr/>
      </w:pPr>
      <w:r>
        <w:rPr/>
        <w:t xml:space="preserve">Reklamer tilskynder til forbrug; produkter, der skader miljøet, bør ikke fremhæves. På denne måde vil forbrugerne være mindre tilbøjelige til at købe miljøskadelige produkter. </w:t>
      </w:r>
    </w:p>
    <w:p>
      <w:pPr>
        <w:pStyle w:val="Normal"/>
        <w:rPr/>
      </w:pPr>
      <w:r>
        <w:rPr/>
        <w:t xml:space="preserve"> </w:t>
      </w:r>
    </w:p>
    <w:p>
      <w:pPr>
        <w:pStyle w:val="P68B1DB1Normal15"/>
        <w:rPr>
          <w:b/>
          <w:b/>
        </w:rPr>
      </w:pPr>
      <w:r>
        <w:rPr/>
        <w:t xml:space="preserve">23. Vi anbefaler, at EU etablerer og udvikler infrastruktur for deponeringssystemer for alle primæremballager af glas, plast, aluminium osv. på ensartet vis i hele EU. Fabrikanterne bør så vidt muligt genbruge returemballagen ved at sterilisere dem i stedet for blot at genanvende materialerne. Ud over mad- og drikkevareemballage bør enheden også dække andre typer flasker og beholdere, såsom shampooflasker. </w:t>
      </w:r>
    </w:p>
    <w:p>
      <w:pPr>
        <w:pStyle w:val="Normal"/>
        <w:rPr/>
      </w:pPr>
      <w:r>
        <w:rPr/>
        <w:t xml:space="preserve"> </w:t>
      </w:r>
    </w:p>
    <w:p>
      <w:pPr>
        <w:pStyle w:val="Normal"/>
        <w:rPr/>
      </w:pPr>
      <w:r>
        <w:rPr/>
        <w:t xml:space="preserve">På nuværende tidspunkt smider forbrugerne for meget emballage, forurener og ødelægger vores økosystemer. Deponeringssystemer hjælper med at reducere affald ved at tilskynde borgerne til at bringe emballage tilbage i stedet for at smide det væk. Gennem udviklingen af dette system vil vi bruge færre ressourcer; mængden af affald vil blive reduceret. </w:t>
      </w:r>
    </w:p>
    <w:p>
      <w:pPr>
        <w:pStyle w:val="Normal"/>
        <w:rPr/>
      </w:pPr>
      <w:r>
        <w:rPr/>
        <w:t xml:space="preserve"> </w:t>
      </w:r>
    </w:p>
    <w:p>
      <w:pPr>
        <w:pStyle w:val="Titre4"/>
        <w:numPr>
          <w:ilvl w:val="3"/>
          <w:numId w:val="2"/>
        </w:numPr>
        <w:rPr/>
      </w:pPr>
      <w:bookmarkStart w:id="165" w:name="__RefHeading___Toc297265_1346298689"/>
      <w:bookmarkEnd w:id="165"/>
      <w:r>
        <w:rPr/>
        <w:t xml:space="preserve">Delakse 3.2 Reduktion af affald </w:t>
      </w:r>
    </w:p>
    <w:p>
      <w:pPr>
        <w:pStyle w:val="P68B1DB1Normal15"/>
        <w:rPr>
          <w:b/>
          <w:b/>
        </w:rPr>
      </w:pPr>
      <w:r>
        <w:rPr/>
        <w:t xml:space="preserve">24. Vi anbefaler at fremme en stærkere gennemførelse af politikkerne for den cirkulære økonomi på europæisk plan, der er rettet mod både virksomheder og borgere, i form af finansielle incitamenter for dem, der overholder dem. </w:t>
      </w:r>
    </w:p>
    <w:p>
      <w:pPr>
        <w:pStyle w:val="Normal"/>
        <w:rPr/>
      </w:pPr>
      <w:r>
        <w:rPr/>
        <w:t xml:space="preserve"> </w:t>
      </w:r>
    </w:p>
    <w:p>
      <w:pPr>
        <w:pStyle w:val="Normal"/>
        <w:rPr/>
      </w:pPr>
      <w:r>
        <w:rPr/>
        <w:t xml:space="preserve">Mange mennesker vil i sidste ende finde sig selv arbejdsløse, hvis produktionsvirksomheder reducerer deres arbejdsstyrke eller endda ender i en tilstand af ophør af betaling/ferment. Omskoling af arbejdsløse vil tilskynde til miljøvenlig praksis, samtidig med at arbejdsløsheden begrænses, og moderniseringen af en diversificeret økonomi fremmes. </w:t>
      </w:r>
    </w:p>
    <w:p>
      <w:pPr>
        <w:pStyle w:val="Normal"/>
        <w:rPr/>
      </w:pPr>
      <w:r>
        <w:rPr/>
        <w:t xml:space="preserve"> </w:t>
      </w:r>
    </w:p>
    <w:p>
      <w:pPr>
        <w:pStyle w:val="P68B1DB1Normal15"/>
        <w:rPr>
          <w:b/>
          <w:b/>
        </w:rPr>
      </w:pPr>
      <w:r>
        <w:rPr/>
        <w:t xml:space="preserve">25. Vi anbefaler, at EU regulerer brugen af miljøsikker emballage (dvs. emballage baseret på bionedbrydelige eller genanvendelige eller mere bæredygtige materialer, hvis det er muligt) og/eller brugen af mindre omfangsrig emballage, også med en QR-kode, der indeholder oplysninger, der er relevante for genanvendelse og/eller bortskaffelse af emballage efter brug. </w:t>
      </w:r>
    </w:p>
    <w:p>
      <w:pPr>
        <w:pStyle w:val="Normal"/>
        <w:rPr/>
      </w:pPr>
      <w:r>
        <w:rPr/>
        <w:t xml:space="preserve"> </w:t>
      </w:r>
    </w:p>
    <w:p>
      <w:pPr>
        <w:pStyle w:val="Normal"/>
        <w:rPr/>
      </w:pPr>
      <w:r>
        <w:rPr/>
        <w:t xml:space="preserve">Denne henstilling vil resultere i en reduktion af emballagen, en reduktion af affald og dermed forurening; miljøet vil derfor være renere, og i sidste ende vil CO2-fodaftrykket være mindre. Skattebyrden for producenterne vil også være lavere. </w:t>
      </w:r>
    </w:p>
    <w:p>
      <w:pPr>
        <w:pStyle w:val="Normal"/>
        <w:rPr/>
      </w:pPr>
      <w:r>
        <w:rPr/>
        <w:t xml:space="preserve"> </w:t>
      </w:r>
    </w:p>
    <w:p>
      <w:pPr>
        <w:pStyle w:val="Titre4"/>
        <w:numPr>
          <w:ilvl w:val="3"/>
          <w:numId w:val="2"/>
        </w:numPr>
        <w:rPr/>
      </w:pPr>
      <w:bookmarkStart w:id="166" w:name="__RefHeading___Toc297267_1346298689"/>
      <w:bookmarkEnd w:id="166"/>
      <w:r>
        <w:rPr/>
        <w:t xml:space="preserve">Sub-akse 3.3 Fair produkter, lige adgang og rimeligt forbrug </w:t>
      </w:r>
    </w:p>
    <w:p>
      <w:pPr>
        <w:pStyle w:val="P68B1DB1Normal15"/>
        <w:rPr>
          <w:b/>
          <w:b/>
        </w:rPr>
      </w:pPr>
      <w:r>
        <w:rPr/>
        <w:t xml:space="preserve">26. Vi anbefaler, at EU etablerer en retlig ramme for at sikre, at alle europæiske forbrugere har økonomisk overkommelige og bedre adgang til lokale fødevarer af høj kvalitet. </w:t>
      </w:r>
    </w:p>
    <w:p>
      <w:pPr>
        <w:pStyle w:val="Normal"/>
        <w:rPr/>
      </w:pPr>
      <w:r>
        <w:rPr/>
        <w:t xml:space="preserve"> </w:t>
      </w:r>
    </w:p>
    <w:p>
      <w:pPr>
        <w:pStyle w:val="Normal"/>
        <w:rPr/>
      </w:pPr>
      <w:r>
        <w:rPr/>
        <w:t xml:space="preserve">Der er i øjeblikket ingen fælles fortolkning på EU-plan af, hvad der bør betragtes som lokale fødevarer af høj kvalitet. Dette hul skal udfyldes. </w:t>
      </w:r>
    </w:p>
    <w:p>
      <w:pPr>
        <w:pStyle w:val="Normal"/>
        <w:rPr/>
      </w:pPr>
      <w:r>
        <w:rPr/>
        <w:t xml:space="preserve">Import af produkter af dårlig kvalitet har en direkte negativ indvirkning på miljøet. For at bekæmpe klimaændringerne skal vi tackle alle årsagerne hertil, herunder import af produkter af lav kvalitet: der er behov for at reducere transportafstanden og fremme sæsonprodukter. </w:t>
      </w:r>
    </w:p>
    <w:p>
      <w:pPr>
        <w:pStyle w:val="Normal"/>
        <w:rPr/>
      </w:pPr>
      <w:r>
        <w:rPr/>
        <w:t xml:space="preserve">Denne henstilling er lovende, da den også kan gælde for nonfoodprodukter. </w:t>
      </w:r>
    </w:p>
    <w:p>
      <w:pPr>
        <w:pStyle w:val="Normal"/>
        <w:rPr/>
      </w:pPr>
      <w:r>
        <w:rPr/>
        <w:t xml:space="preserve"> </w:t>
      </w:r>
    </w:p>
    <w:p>
      <w:pPr>
        <w:pStyle w:val="P68B1DB1Normal15"/>
        <w:rPr>
          <w:b/>
          <w:b/>
        </w:rPr>
      </w:pPr>
      <w:r>
        <w:rPr/>
        <w:t xml:space="preserve">27. Vi anbefaler, at Den Europæiske Union fremmer forskning og udvikling gennem finansieringsprogrammer for at sikre, at der findes mere bæredygtige og økonomisk overkommelige produkter på markedet på det europæiske marked. Den Europæiske Union skal også afholde høringer med borgerne på alle beslutningsniveauer, herunder på lokalt plan, for at fastlægge deres behov for bæredygtige produkter. </w:t>
      </w:r>
    </w:p>
    <w:p>
      <w:pPr>
        <w:pStyle w:val="Normal"/>
        <w:rPr/>
      </w:pPr>
      <w:r>
        <w:rPr/>
        <w:t xml:space="preserve"> </w:t>
      </w:r>
    </w:p>
    <w:p>
      <w:pPr>
        <w:pStyle w:val="Normal"/>
        <w:rPr/>
      </w:pPr>
      <w:r>
        <w:rPr/>
        <w:t xml:space="preserve">Vi mener, at forskningen i bæredygtige produkter er utilstrækkelig, og der er et presserende behov for at afsætte flere finansielle ressourcer til forskning, så europæerne kan få adgang til mere overkommelige bæredygtige produkter. </w:t>
      </w:r>
    </w:p>
    <w:p>
      <w:pPr>
        <w:pStyle w:val="Normal"/>
        <w:rPr/>
      </w:pPr>
      <w:r>
        <w:rPr/>
        <w:t xml:space="preserve">Borgerne skal deltage i beslutningsprocessen. Programmet for forsknings- og innovationsaktioner skal udarbejdes i fællesskab med borgerne. De bør underrettes om opfølgningen, og resultaterne bør meddeles dem. </w:t>
      </w:r>
    </w:p>
    <w:p>
      <w:pPr>
        <w:pStyle w:val="Normal"/>
        <w:rPr/>
      </w:pPr>
      <w:r>
        <w:rPr/>
      </w:r>
    </w:p>
    <w:p>
      <w:pPr>
        <w:pStyle w:val="P68B1DB1Normal15"/>
        <w:rPr>
          <w:b/>
          <w:b/>
        </w:rPr>
      </w:pPr>
      <w:r>
        <w:rPr/>
        <w:t xml:space="preserve">28. Vi anbefaler, at Den Europæiske Union indfører en reguleringsmekanisme for modeartikler, der indføres på det fælles marked. Formålet med denne mekanisme er at tilskynde til et bedre forbrug ved hjælp af en indikator, der sikrer, at produktet opfylder bæredygtighedskriterierne. </w:t>
      </w:r>
    </w:p>
    <w:p>
      <w:pPr>
        <w:pStyle w:val="Normal"/>
        <w:rPr/>
      </w:pPr>
      <w:r>
        <w:rPr/>
        <w:t xml:space="preserve"> </w:t>
      </w:r>
    </w:p>
    <w:p>
      <w:pPr>
        <w:pStyle w:val="Normal"/>
        <w:rPr/>
      </w:pPr>
      <w:r>
        <w:rPr/>
        <w:t xml:space="preserve">Modesektoren, som producerer for mange varer af dårlig kvalitet uden for de europæiske grænser, anvender ikke etiske standarder og udviser ikke bæredygtig adfærd. </w:t>
      </w:r>
    </w:p>
    <w:p>
      <w:pPr>
        <w:pStyle w:val="Normal"/>
        <w:rPr/>
      </w:pPr>
      <w:r>
        <w:rPr/>
        <w:t xml:space="preserve">Vi er nødt til at finde en retfærdig mekanisme, der vil gøre det muligt for forbrugerne at forbruge bedre. Det er imidlertid vigtigt ikke at forhøje skatterne, hvilket vil have negative konsekvenser for forbrugerne ved at reducere deres købekraft. </w:t>
      </w:r>
    </w:p>
    <w:p>
      <w:pPr>
        <w:pStyle w:val="Normal"/>
        <w:rPr/>
      </w:pPr>
      <w:r>
        <w:rPr/>
        <w:t xml:space="preserve">Forbrugerne bør vide, under hvilke betingelser de produkter, de køber, fremstilles, og om de opfylder bæredygtige kvalitetsstandarder. </w:t>
      </w:r>
    </w:p>
    <w:p>
      <w:pPr>
        <w:pStyle w:val="Normal"/>
        <w:rPr/>
      </w:pPr>
      <w:r>
        <w:rPr/>
        <w:t xml:space="preserve"> </w:t>
      </w:r>
    </w:p>
    <w:p>
      <w:pPr>
        <w:pStyle w:val="Titre3"/>
        <w:numPr>
          <w:ilvl w:val="2"/>
          <w:numId w:val="2"/>
        </w:numPr>
        <w:rPr/>
      </w:pPr>
      <w:bookmarkStart w:id="167" w:name="__RefHeading___Toc297269_1346298689"/>
      <w:bookmarkEnd w:id="167"/>
      <w:r>
        <w:rPr/>
        <w:t xml:space="preserve">Akse 4: på vej mod et bæredygtigt samfund </w:t>
      </w:r>
    </w:p>
    <w:p>
      <w:pPr>
        <w:pStyle w:val="Titre4"/>
        <w:numPr>
          <w:ilvl w:val="3"/>
          <w:numId w:val="2"/>
        </w:numPr>
        <w:rPr/>
      </w:pPr>
      <w:bookmarkStart w:id="168" w:name="__RefHeading___Toc297271_1346298689"/>
      <w:bookmarkEnd w:id="168"/>
      <w:r>
        <w:rPr/>
        <w:t xml:space="preserve">Sub-akse 4.1 Vedvarende energier, fra nu af </w:t>
      </w:r>
    </w:p>
    <w:p>
      <w:pPr>
        <w:pStyle w:val="P68B1DB1Normal15"/>
        <w:rPr>
          <w:b/>
          <w:b/>
        </w:rPr>
      </w:pPr>
      <w:r>
        <w:rPr/>
        <w:t xml:space="preserve">29. Vi anbefaler, at EU tager skridt til at gøre CO2-filtre obligatoriske, især for kulfyrede kraftværker, i en overgangsperiode, så længe vi fortsat er afhængige af konventionel energi. Desuden anbefaler vi, at EU yder finansiel bistand til medlemsstater, der ikke har finansielle ressourcer til at gennemføre CO2-filtre. Bistanden er betinget af, at EU's klimapolitikker i forbindelse med Parisaftalen, den grønne pagt og enhver ny klimalov overholdes. </w:t>
      </w:r>
    </w:p>
    <w:p>
      <w:pPr>
        <w:pStyle w:val="Normal"/>
        <w:rPr/>
      </w:pPr>
      <w:r>
        <w:rPr>
          <w:b/>
        </w:rPr>
        <w:t>Dette er et konkret skridt, der skal tages parallelt med de fortsatte investeringer i forskning i sikkerheden i forbindelse med energiproduktion, og som har til formål at hjælpe EU's medlemsstater med gradvist at nå de fælles CO2-reduktionsmål.</w:t>
      </w:r>
      <w:r>
        <w:rPr/>
        <w:t xml:space="preserve"> </w:t>
      </w:r>
    </w:p>
    <w:p>
      <w:pPr>
        <w:pStyle w:val="Normal"/>
        <w:rPr/>
      </w:pPr>
      <w:r>
        <w:rPr/>
        <w:t xml:space="preserve"> </w:t>
      </w:r>
    </w:p>
    <w:p>
      <w:pPr>
        <w:pStyle w:val="Normal"/>
        <w:rPr/>
      </w:pPr>
      <w:r>
        <w:rPr/>
        <w:t xml:space="preserve">Vi ved, at brugen af konventionelle brændstoffer fører til drivhusgasemissioner, og at EU's medlemsstater er nødt til at reducere brugen af konventionelle brændstoffer for at overholde Parisaftalen. Da det ikke er muligt straks at sætte en stopper for CO2-emissionerne, og vi stadig er afhængige af kul, er vi nødt til at træffe foranstaltninger på kort og mellemlang sigt. </w:t>
      </w:r>
    </w:p>
    <w:p>
      <w:pPr>
        <w:pStyle w:val="Normal"/>
        <w:rPr/>
      </w:pPr>
      <w:r>
        <w:rPr/>
        <w:t xml:space="preserve">Nedbringelse af CO2-emissionerne er af fælles interesse for alle borgere, både i og uden for EU; EU har som institution sit eget ansvar, og institutionen fremsætter henstillinger og leverer løsninger, fordi medlemsstaterne ikke selv kan nå målene. </w:t>
      </w:r>
    </w:p>
    <w:p>
      <w:pPr>
        <w:pStyle w:val="Normal"/>
        <w:rPr/>
      </w:pPr>
      <w:r>
        <w:rPr/>
      </w:r>
    </w:p>
    <w:p>
      <w:pPr>
        <w:pStyle w:val="P68B1DB1Normal15"/>
        <w:rPr>
          <w:b/>
          <w:b/>
        </w:rPr>
      </w:pPr>
      <w:r>
        <w:rPr/>
        <w:t xml:space="preserve">30. Vi anbefaler at reducere intensivt industrielt landbrug for at reducere metanproduktion og vandforurening. Med henblik herpå er EU ved at revidere sin fælles landbrugspolitik for at rette sin støtte mod bæredygtigt og lokalt landbrug, bl.a. gennem et mærkningssystem, der giver forbrugerne mulighed for at anerkende bæredygtige kødprodukter. Vi opfordrer også EU til at investere i metoder til genbrug af affald fra animalsk produktion og andre industrier. </w:t>
      </w:r>
    </w:p>
    <w:p>
      <w:pPr>
        <w:pStyle w:val="Normal"/>
        <w:rPr/>
      </w:pPr>
      <w:r>
        <w:rPr/>
        <w:t xml:space="preserve"> </w:t>
      </w:r>
    </w:p>
    <w:p>
      <w:pPr>
        <w:pStyle w:val="Normal"/>
        <w:rPr/>
      </w:pPr>
      <w:r>
        <w:rPr/>
        <w:t xml:space="preserve">Befolkningen vokser, hvilket vil resultere i øget efterspørgsel efter kød i fremtiden. Det er derfor, at kødforbruget skal reduceres. </w:t>
      </w:r>
    </w:p>
    <w:p>
      <w:pPr>
        <w:pStyle w:val="Normal"/>
        <w:rPr/>
      </w:pPr>
      <w:r>
        <w:rPr/>
        <w:t xml:space="preserve">Da metan producerer drivhusgasser, mener vi, at det er naturligt at starte med at reducere udledningen af husdyr. </w:t>
      </w:r>
    </w:p>
    <w:p>
      <w:pPr>
        <w:pStyle w:val="Normal"/>
        <w:rPr/>
      </w:pPr>
      <w:r>
        <w:rPr/>
        <w:t xml:space="preserve">Vi ved alle, at der skal forbruges mindre kød, og derfor bør antallet af kvæg reduceres tilsvarende. </w:t>
      </w:r>
    </w:p>
    <w:p>
      <w:pPr>
        <w:pStyle w:val="Normal"/>
        <w:rPr/>
      </w:pPr>
      <w:r>
        <w:rPr/>
        <w:t xml:space="preserve"> </w:t>
      </w:r>
    </w:p>
    <w:p>
      <w:pPr>
        <w:pStyle w:val="P68B1DB1Normal15"/>
        <w:rPr>
          <w:b/>
          <w:b/>
        </w:rPr>
      </w:pPr>
      <w:r>
        <w:rPr/>
        <w:t xml:space="preserve">31. Selv om produktionen af grøn brint er en dyr proces, da det tager 75 % af energien at opnå 25 % brint, har denne type energi mange positive aspekter. Den bedste løsning kan være at producere CO2-fri energi sammen med udviklingen af grøn brint. Vindenergi bør anvendes til produktion af grøn brint, og EU bør investere mere og øge vindenergiproduktionen og lagre den til fremtidige behov. </w:t>
      </w:r>
    </w:p>
    <w:p>
      <w:pPr>
        <w:pStyle w:val="Normal"/>
        <w:rPr/>
      </w:pPr>
      <w:r>
        <w:rPr/>
        <w:t xml:space="preserve"> </w:t>
      </w:r>
    </w:p>
    <w:p>
      <w:pPr>
        <w:pStyle w:val="Normal"/>
        <w:rPr/>
      </w:pPr>
      <w:r>
        <w:rPr/>
        <w:t xml:space="preserve">Grøn brint er fleksibel og kan opbevares til brug, når det er nødvendigt. Det forårsager ikke CO2-forurening. </w:t>
      </w:r>
    </w:p>
    <w:p>
      <w:pPr>
        <w:pStyle w:val="Normal"/>
        <w:rPr/>
      </w:pPr>
      <w:r>
        <w:rPr/>
        <w:t xml:space="preserve"> </w:t>
      </w:r>
    </w:p>
    <w:p>
      <w:pPr>
        <w:pStyle w:val="Titre4"/>
        <w:numPr>
          <w:ilvl w:val="3"/>
          <w:numId w:val="2"/>
        </w:numPr>
        <w:rPr/>
      </w:pPr>
      <w:bookmarkStart w:id="169" w:name="__RefHeading___Toc297273_1346298689"/>
      <w:bookmarkEnd w:id="169"/>
      <w:r>
        <w:rPr/>
        <w:t xml:space="preserve">Underakse 4.2 Understøttelse af ændringer </w:t>
      </w:r>
    </w:p>
    <w:p>
      <w:pPr>
        <w:pStyle w:val="P68B1DB1Normal15"/>
        <w:rPr>
          <w:b/>
          <w:b/>
        </w:rPr>
      </w:pPr>
      <w:r>
        <w:rPr/>
        <w:t xml:space="preserve">32. Vi anbefaler, at EU indfører et system med tvang og belønning for at bekæmpe forurening, herunder vand, jord, luft og stråling. Forurenere skal pålægges bøder kombineret med obligatorisk støtte fra en specialiseret organisation, der er specielt udformet med henblik på at hjælpe enheder med at eliminere forurening og genoprette økosystemet. Denne specialiserede organisation bør spille en ledende rolle med hensyn til at forebygge og kontrollere forureningsniveauet. </w:t>
      </w:r>
    </w:p>
    <w:p>
      <w:pPr>
        <w:pStyle w:val="Normal"/>
        <w:rPr/>
      </w:pPr>
      <w:r>
        <w:rPr/>
        <w:t xml:space="preserve"> </w:t>
      </w:r>
    </w:p>
    <w:p>
      <w:pPr>
        <w:pStyle w:val="Normal"/>
        <w:rPr/>
      </w:pPr>
      <w:r>
        <w:rPr/>
        <w:t xml:space="preserve">Fordi det er vigtigt at fokusere på forurenernes ansvar og tilskynde enheder til at reducere forureningen ved at fokusere på nulforurening. Det er vigtigt at have en sund planet, da den er direkte forbundet med vores trivsel og vores fremtidige eksistens. </w:t>
      </w:r>
    </w:p>
    <w:p>
      <w:pPr>
        <w:pStyle w:val="Normal"/>
        <w:rPr/>
      </w:pPr>
      <w:r>
        <w:rPr/>
        <w:t xml:space="preserve"> </w:t>
      </w:r>
    </w:p>
    <w:p>
      <w:pPr>
        <w:pStyle w:val="P68B1DB1Normal15"/>
        <w:rPr>
          <w:b/>
          <w:b/>
        </w:rPr>
      </w:pPr>
      <w:r>
        <w:rPr/>
        <w:t xml:space="preserve">33. Vi anbefaler, at EU opretter et specifikt websted/platform, der er verificeret af flere eksperter — med forskellige og regelmæssigt ajourførte miljøvidenskabelige oplysninger — som er let tilgængelige og gennemsigtige for alle borgere. Denne hjemmeside/platform vil blive tilknyttet et forum, hvor borgere og eksperter kan interagere. Vi anbefaler også kraftigt at lancere en mediekampagne for at fremme denne hjemmeside/platform (f.eks. via sociale medier som YouTube, TikTok og LinkedIn). </w:t>
      </w:r>
    </w:p>
    <w:p>
      <w:pPr>
        <w:pStyle w:val="Normal"/>
        <w:rPr/>
      </w:pPr>
      <w:r>
        <w:rPr/>
        <w:t xml:space="preserve"> </w:t>
      </w:r>
    </w:p>
    <w:p>
      <w:pPr>
        <w:pStyle w:val="Normal"/>
        <w:rPr/>
      </w:pPr>
      <w:r>
        <w:rPr/>
        <w:t xml:space="preserve">Alle borgere skal have uafhængige informationskilder baseret på videnskabelig dokumentation for at forstå udfordringerne i forbindelse med klimaændringerne (konsekvenserne og de foranstaltninger, der skal træffes for at vende dem) og håndtere falske nyheder. Mediekampagnen vil øge bevidstheden om eksistensen af denne platform/hjemmeside. Det er også vigtigt, at oplysningerne fra webstedet/platformen er forståelige for alle borgere med adgang til kildemateriale for dem, der ønsker at uddybe emnet. </w:t>
      </w:r>
    </w:p>
    <w:p>
      <w:pPr>
        <w:pStyle w:val="Normal"/>
        <w:rPr/>
      </w:pPr>
      <w:r>
        <w:rPr/>
        <w:t xml:space="preserve"> </w:t>
      </w:r>
    </w:p>
    <w:p>
      <w:pPr>
        <w:pStyle w:val="P68B1DB1Normal15"/>
        <w:rPr>
          <w:b/>
          <w:b/>
        </w:rPr>
      </w:pPr>
      <w:r>
        <w:rPr/>
        <w:t xml:space="preserve">34. Vi anbefaler, at EU reducerer mængden af importerede varer, der ikke opfylder EU's standarder for miljøaftryk. </w:t>
      </w:r>
    </w:p>
    <w:p>
      <w:pPr>
        <w:pStyle w:val="Normal"/>
        <w:rPr/>
      </w:pPr>
      <w:r>
        <w:rPr/>
        <w:t xml:space="preserve"> </w:t>
      </w:r>
    </w:p>
    <w:p>
      <w:pPr>
        <w:pStyle w:val="Normal"/>
        <w:rPr/>
      </w:pPr>
      <w:r>
        <w:rPr/>
        <w:t xml:space="preserve">I den forbindelse sikrer vi, at varer, der importeres til EU, får et grønnere fodaftryk. Målet er at reducere forureningen globalt. Det er også vigtigt at præsentere standarderne for lande, hvis de ønsker at eksportere varer til EU. </w:t>
      </w:r>
    </w:p>
    <w:p>
      <w:pPr>
        <w:pStyle w:val="Normal"/>
        <w:rPr/>
      </w:pPr>
      <w:r>
        <w:rPr/>
        <w:t xml:space="preserve"> </w:t>
      </w:r>
    </w:p>
    <w:p>
      <w:pPr>
        <w:pStyle w:val="P68B1DB1Normal15"/>
        <w:rPr>
          <w:b/>
          <w:b/>
        </w:rPr>
      </w:pPr>
      <w:r>
        <w:rPr/>
        <w:t xml:space="preserve">35. Vi anbefaler, at EU tilskynder til, fremmer og letter dialogen om klimaændringer mellem alle beslutningsniveauer, fra meget lokale (borgere) til globale (nationale, internationale og interkontinentale) for at imødekomme alle interessenters bekymringer. </w:t>
      </w:r>
    </w:p>
    <w:p>
      <w:pPr>
        <w:pStyle w:val="Normal"/>
        <w:rPr/>
      </w:pPr>
      <w:r>
        <w:rPr/>
        <w:t xml:space="preserve"> </w:t>
      </w:r>
    </w:p>
    <w:p>
      <w:pPr>
        <w:pStyle w:val="Normal"/>
        <w:rPr/>
      </w:pPr>
      <w:r>
        <w:rPr/>
        <w:t xml:space="preserve">Fordi dialog og konsensus er den bedste måde at tackle klimaændringsudfordringerne på: hvis parterne forstår hinanden, er der større vilje til at finde fælles fodslag. </w:t>
      </w:r>
    </w:p>
    <w:p>
      <w:pPr>
        <w:pStyle w:val="Normal"/>
        <w:rPr/>
      </w:pPr>
      <w:r>
        <w:rPr/>
        <w:t xml:space="preserve"> </w:t>
      </w:r>
    </w:p>
    <w:p>
      <w:pPr>
        <w:pStyle w:val="Titre4"/>
        <w:numPr>
          <w:ilvl w:val="3"/>
          <w:numId w:val="2"/>
        </w:numPr>
        <w:rPr/>
      </w:pPr>
      <w:bookmarkStart w:id="170" w:name="__RefHeading___Toc297275_1346298689"/>
      <w:bookmarkEnd w:id="170"/>
      <w:r>
        <w:rPr/>
        <w:t xml:space="preserve">Delakse 4.3 Miljøvenlig transport </w:t>
      </w:r>
    </w:p>
    <w:p>
      <w:pPr>
        <w:pStyle w:val="Normal"/>
        <w:rPr/>
      </w:pPr>
      <w:r>
        <w:rPr>
          <w:b/>
        </w:rPr>
        <w:t>36. Vi anbefaler, at EU yder finansiel støtte til de europæiske medlemsstater for at forbedre konnektiviteten i landdistrikterne. Dette kræver udvikling af et europæisk offentligt transportnet baseret på overkommelige priser (prioritering af jernbaner) og incitamenter til brug af offentlig transport. Med henblik herpå bør internetkonnektivitet også udvikles inden for en kort og realistisk tidsramme i landdistrikterne.</w:t>
      </w:r>
      <w:r>
        <w:rPr/>
        <w:t xml:space="preserve"> </w:t>
      </w:r>
    </w:p>
    <w:p>
      <w:pPr>
        <w:pStyle w:val="Normal"/>
        <w:rPr/>
      </w:pPr>
      <w:r>
        <w:rPr/>
        <w:t xml:space="preserve"> </w:t>
      </w:r>
    </w:p>
    <w:p>
      <w:pPr>
        <w:pStyle w:val="Normal"/>
        <w:rPr/>
      </w:pPr>
      <w:r>
        <w:rPr/>
        <w:t xml:space="preserve">Vi fremsætter denne henstilling, fordi der ikke er lige adgang til offentlig transport og internetforbindelser mellem land- og byområder. Et fælles europæisk projekt ville blive styrket, da alle borgere ville føle, at de havde de samme rettigheder. En styrkelse af det offentlige transportnet og internetforbindelserne vil tilskynde folk til at bosætte sig i landdistrikterne. Denne proces ville reducere forureningen, da færre mennesker ville bo i overfyldte byer. </w:t>
      </w:r>
    </w:p>
    <w:p>
      <w:pPr>
        <w:pStyle w:val="Normal"/>
        <w:rPr/>
      </w:pPr>
      <w:r>
        <w:rPr/>
        <w:t xml:space="preserve"> </w:t>
      </w:r>
    </w:p>
    <w:p>
      <w:pPr>
        <w:pStyle w:val="P68B1DB1Normal15"/>
        <w:rPr>
          <w:b/>
          <w:b/>
        </w:rPr>
      </w:pPr>
      <w:r>
        <w:rPr/>
        <w:t xml:space="preserve">37. Vi anbefaler at forbedre den eksisterende transportinfrastruktur, der er gået tabt eller kan forbedres yderligere ud fra et økologisk synspunkt (etablering af elektriske tog). Denne proces skal gennemføres, uden at det berører miljøbeskyttede områder. </w:t>
      </w:r>
    </w:p>
    <w:p>
      <w:pPr>
        <w:pStyle w:val="Normal"/>
        <w:rPr/>
      </w:pPr>
      <w:r>
        <w:rPr/>
        <w:t xml:space="preserve"> </w:t>
      </w:r>
    </w:p>
    <w:p>
      <w:pPr>
        <w:pStyle w:val="Normal"/>
        <w:rPr/>
      </w:pPr>
      <w:r>
        <w:rPr/>
        <w:t>En forbedring af den eksisterende infrastruktur ville undgå at bruge for mange ressourcer og skade vigtige beskyttede områder til bevarelse af biodiversiteten. En forøgelse af jernbaneinfrastrukturen vil reducere CO2-emissionerne og</w:t>
      </w:r>
      <w:r>
        <w:rPr>
          <w:vertAlign w:val="subscript"/>
        </w:rPr>
        <w:t>fremme</w:t>
      </w:r>
      <w:r>
        <w:rPr/>
        <w:t xml:space="preserve"> mobiliteten for mennesker fra by til landdistrikter. </w:t>
      </w:r>
    </w:p>
    <w:p>
      <w:pPr>
        <w:pStyle w:val="Normal"/>
        <w:rPr/>
      </w:pPr>
      <w:r>
        <w:rPr/>
        <w:t xml:space="preserve"> </w:t>
      </w:r>
    </w:p>
    <w:p>
      <w:pPr>
        <w:pStyle w:val="P68B1DB1Normal15"/>
        <w:rPr>
          <w:b/>
          <w:b/>
        </w:rPr>
      </w:pPr>
      <w:r>
        <w:rPr/>
        <w:t xml:space="preserve">38. Vi anbefaler, at EU tilskynder til køb af elektriske køretøjer, der lever op til høje standarder for batterilevetid. Med henblik herpå kan EU tage incitamenter for alle medlemsstater og forbedre elektricitetsinfrastrukturen. Samtidig bør EU investere i udviklingen af andre rene teknologier såsom biobrændstoffer og brint til køretøjer, hvis elektrificering er vanskelig at opnå, såsom både og lastbiler. </w:t>
      </w:r>
    </w:p>
    <w:p>
      <w:pPr>
        <w:pStyle w:val="Normal"/>
        <w:rPr/>
      </w:pPr>
      <w:r>
        <w:rPr/>
        <w:t xml:space="preserve"> </w:t>
      </w:r>
    </w:p>
    <w:p>
      <w:pPr>
        <w:pStyle w:val="Normal"/>
        <w:rPr/>
      </w:pPr>
      <w:r>
        <w:rPr/>
        <w:t xml:space="preserve">Vi fremsætter denne anbefaling, fordi elektricitet er den hurtigste måde at reducere emissioner fra køretøjer på med andre energikilder såsom brint og biobrændstoffer. Den hurtigste, økonomiske og gennemførlige løsning er faktisk elektricitet efterfulgt af biobrændstoffer. På længere sigt bør grøn brint spille en supplerende rolle med hensyn til at dække transportformer, der ikke kan elektrificeres. </w:t>
      </w:r>
    </w:p>
    <w:p>
      <w:pPr>
        <w:pStyle w:val="Normal"/>
        <w:rPr/>
      </w:pPr>
      <w:r>
        <w:rPr/>
        <w:t xml:space="preserve"> </w:t>
      </w:r>
    </w:p>
    <w:p>
      <w:pPr>
        <w:pStyle w:val="Titre3"/>
        <w:numPr>
          <w:ilvl w:val="2"/>
          <w:numId w:val="2"/>
        </w:numPr>
        <w:rPr/>
      </w:pPr>
      <w:bookmarkStart w:id="171" w:name="__RefHeading___Toc297277_1346298689"/>
      <w:bookmarkEnd w:id="171"/>
      <w:r>
        <w:rPr/>
        <w:t xml:space="preserve">Axis 5 Pleje til alle </w:t>
      </w:r>
    </w:p>
    <w:p>
      <w:pPr>
        <w:pStyle w:val="Titre4"/>
        <w:numPr>
          <w:ilvl w:val="3"/>
          <w:numId w:val="2"/>
        </w:numPr>
        <w:rPr/>
      </w:pPr>
      <w:bookmarkStart w:id="172" w:name="__RefHeading___Toc297279_1346298689"/>
      <w:bookmarkEnd w:id="172"/>
      <w:r>
        <w:rPr/>
        <w:t xml:space="preserve">Sub-akse 5.1 Styrk sundhedssystemet </w:t>
      </w:r>
    </w:p>
    <w:p>
      <w:pPr>
        <w:pStyle w:val="P68B1DB1Normal15"/>
        <w:rPr>
          <w:b/>
          <w:b/>
        </w:rPr>
      </w:pPr>
      <w:r>
        <w:rPr/>
        <w:t xml:space="preserve">39. Vi anbefaler, at Den Europæiske Union garanterer fælles sundhedsstandarder, men også går ind for anstændige mindstelønninger, maksimal arbejdstid og de samme uddannelsesstandarder for de samme kvalifikationer for sundhedspersonale i hele Den Europæiske Union. </w:t>
      </w:r>
    </w:p>
    <w:p>
      <w:pPr>
        <w:pStyle w:val="Normal"/>
        <w:rPr/>
      </w:pPr>
      <w:r>
        <w:rPr/>
        <w:t xml:space="preserve"> </w:t>
      </w:r>
    </w:p>
    <w:p>
      <w:pPr>
        <w:pStyle w:val="Normal"/>
        <w:rPr/>
      </w:pPr>
      <w:r>
        <w:rPr/>
        <w:t xml:space="preserve">Hvis vi ikke har fælles standarder for sundhedspleje, lønninger og fælles uddannelse for sundhedspersonale, kan forskelle mellem medlemsstaterne føre til ubalancerede situationer i hele EU. Standardisering af sundhedsydelser kan bidrage til et stærkere, mere effektivt og mere modstandsdygtigt system (f.eks. covid-19-krisen vedrørende stabiliteten i vores systemer). Det vil også lette udvekslingen af viden og information inden for sundhedssektoren. </w:t>
      </w:r>
    </w:p>
    <w:p>
      <w:pPr>
        <w:pStyle w:val="Normal"/>
        <w:rPr/>
      </w:pPr>
      <w:r>
        <w:rPr/>
        <w:t xml:space="preserve"> </w:t>
      </w:r>
    </w:p>
    <w:p>
      <w:pPr>
        <w:pStyle w:val="P68B1DB1Normal15"/>
        <w:rPr>
          <w:b/>
          <w:b/>
        </w:rPr>
      </w:pPr>
      <w:r>
        <w:rPr/>
        <w:t xml:space="preserve">40. Vi anbefaler, at EU sikrer, at behandlingerne i hele EU er af samme kvalitet og til rimelige lokale omkostninger. Dette kan sikres, f.eks. gennem en udvidelse af Det Europæiske Lægemiddelagenturs (EMA) beføjelser eller oprettelse af et nyt europæisk agentur for offentlige indkøb, som vil have kompetence til at forhandle og opnå mere hensigtsmæssige priser for lægemidler for alle medlemsstater. Risikoen for monopoler i medicinalindustrien skal minimeres. </w:t>
      </w:r>
    </w:p>
    <w:p>
      <w:pPr>
        <w:pStyle w:val="Normal"/>
        <w:rPr/>
      </w:pPr>
      <w:r>
        <w:rPr/>
        <w:t xml:space="preserve"> </w:t>
      </w:r>
    </w:p>
    <w:p>
      <w:pPr>
        <w:pStyle w:val="Normal"/>
        <w:rPr/>
      </w:pPr>
      <w:r>
        <w:rPr/>
        <w:t xml:space="preserve">Ligheden mellem lægelige bestemmelser og behandling i EU garanterer lige sundhedsrettigheder for alle europæiske borgere. Øget indkøbskapacitet sikrer bedre indkøbsbetingelser. Dette bør dog ikke føre til monopolstrukturer og farmaceutisk lobbyvirksomhed. Håndteringen af covid-19-krisen har været et godt eksempel på samarbejdende sundhedsforvaltning i Den Europæiske Union som helhed. </w:t>
      </w:r>
    </w:p>
    <w:p>
      <w:pPr>
        <w:pStyle w:val="Normal"/>
        <w:rPr/>
      </w:pPr>
      <w:r>
        <w:rPr/>
        <w:t xml:space="preserve"> </w:t>
      </w:r>
    </w:p>
    <w:p>
      <w:pPr>
        <w:pStyle w:val="P68B1DB1Normal15"/>
        <w:rPr>
          <w:b/>
          <w:b/>
        </w:rPr>
      </w:pPr>
      <w:r>
        <w:rPr/>
        <w:t xml:space="preserve">41. Vi anbefaler, at der oprettes en europæisk database for sundhedspleje, hvor der er adgang til patientjournaler i tilfælde af nødsituationer eller sygdomme. Deltagelse bør være frivillig, og der bør sikres beskyttelse af personoplysninger. </w:t>
      </w:r>
    </w:p>
    <w:p>
      <w:pPr>
        <w:pStyle w:val="Normal"/>
        <w:rPr/>
      </w:pPr>
      <w:r>
        <w:rPr/>
        <w:t xml:space="preserve"> </w:t>
      </w:r>
    </w:p>
    <w:p>
      <w:pPr>
        <w:pStyle w:val="Normal"/>
        <w:rPr/>
      </w:pPr>
      <w:r>
        <w:rPr/>
        <w:t xml:space="preserve">Adgang til data og brug af data gør det muligt at reagere hurtigt i tilfælde, hvor livet er i fare. Piratkopiering eller misbrug er store trusler mod et sådant europæisk sundhedsdatabasesystem, og derfor er det nødvendigt at sikre data, mens deltagelse fortsat er frivillig, og naturligvis for at forebygge sikkerhedsrelaterede trusler. </w:t>
      </w:r>
    </w:p>
    <w:p>
      <w:pPr>
        <w:pStyle w:val="Normal"/>
        <w:rPr/>
      </w:pPr>
      <w:r>
        <w:rPr/>
        <w:t xml:space="preserve"> </w:t>
      </w:r>
    </w:p>
    <w:p>
      <w:pPr>
        <w:pStyle w:val="P68B1DB1Normal15"/>
        <w:rPr>
          <w:b/>
          <w:b/>
        </w:rPr>
      </w:pPr>
      <w:r>
        <w:rPr/>
        <w:t xml:space="preserve">42. Vi anbefaler, at Den Europæiske Union fortsætter med at udvikle og synkronisere eksisterende sundhedsforsknings- og innovationsprogrammer, som det er tilfældet under det eksisterende Horisont Europa-program. Resultaterne af undersøgelserne bør være frit tilgængelige i alle medlemsstater. </w:t>
      </w:r>
    </w:p>
    <w:p>
      <w:pPr>
        <w:pStyle w:val="Normal"/>
        <w:rPr/>
      </w:pPr>
      <w:r>
        <w:rPr/>
        <w:t xml:space="preserve"> </w:t>
      </w:r>
    </w:p>
    <w:p>
      <w:pPr>
        <w:pStyle w:val="Normal"/>
        <w:rPr/>
      </w:pPr>
      <w:r>
        <w:rPr/>
        <w:t xml:space="preserve">Videnskabeligt samarbejde på EU-plan kan berige de enkelte forskeres videnskabelige kapacitet og viden. Udveksling af viden kan f.eks. føre til tidlig diagnosticering og bedre behandling for at mindske alvorlige og dødelige sygdomme i hele Europa. Det vil også fremme europæisk selvforsyning med lægemidler og udstyr. </w:t>
      </w:r>
    </w:p>
    <w:p>
      <w:pPr>
        <w:pStyle w:val="Normal"/>
        <w:rPr/>
      </w:pPr>
      <w:r>
        <w:rPr/>
        <w:t xml:space="preserve"> </w:t>
      </w:r>
    </w:p>
    <w:p>
      <w:pPr>
        <w:pStyle w:val="P68B1DB1Normal15"/>
        <w:rPr>
          <w:b/>
          <w:b/>
        </w:rPr>
      </w:pPr>
      <w:r>
        <w:rPr/>
        <w:t xml:space="preserve">43. Vi anbefaler, at EU øger sit budget til fælles sundhedsforsknings- og innovationsprojekter (uden budgetnedskæringer i andre EU-sundhedsrelaterede programmer). Dette vil også styrke de europæiske videnskabs- og forskningsinstitutioner som helhed. </w:t>
      </w:r>
    </w:p>
    <w:p>
      <w:pPr>
        <w:pStyle w:val="Normal"/>
        <w:rPr/>
      </w:pPr>
      <w:r>
        <w:rPr/>
        <w:t xml:space="preserve"> </w:t>
      </w:r>
    </w:p>
    <w:p>
      <w:pPr>
        <w:pStyle w:val="Normal"/>
        <w:rPr/>
      </w:pPr>
      <w:r>
        <w:rPr/>
        <w:t xml:space="preserve">Sundhedsforskning og -investeringer vil styrke forebyggende medicin på lang sigt og reducere sundhedsrelaterede omkostninger. Øget finansiering kan forhindre europæisk hjerneflugt til andre udviklede lande med højere F &amp; U-budgetter for sundhed. Denne finansiering bør ikke komme fra eksisterende finansielle midler til sundhedspleje. </w:t>
      </w:r>
    </w:p>
    <w:p>
      <w:pPr>
        <w:pStyle w:val="Normal"/>
        <w:rPr/>
      </w:pPr>
      <w:r>
        <w:rPr/>
        <w:t xml:space="preserve"> </w:t>
      </w:r>
    </w:p>
    <w:p>
      <w:pPr>
        <w:pStyle w:val="Titre4"/>
        <w:numPr>
          <w:ilvl w:val="3"/>
          <w:numId w:val="2"/>
        </w:numPr>
        <w:rPr/>
      </w:pPr>
      <w:bookmarkStart w:id="173" w:name="__RefHeading___Toc297281_1346298689"/>
      <w:bookmarkEnd w:id="173"/>
      <w:r>
        <w:rPr/>
        <w:t xml:space="preserve">Sub-akse 5.2 Et bredere syn på sundhed </w:t>
      </w:r>
    </w:p>
    <w:p>
      <w:pPr>
        <w:pStyle w:val="P68B1DB1Normal15"/>
        <w:rPr>
          <w:b/>
          <w:b/>
        </w:rPr>
      </w:pPr>
      <w:r>
        <w:rPr/>
        <w:t xml:space="preserve">44. Vi anbefaler, at der oprettes en sundhedsuge som et EU-initiativ i alle medlemsstater, samme uge, der er dedikeret til alle sundhedsspørgsmål, med fokus på mental sundhed. I løbet af denne uge vil alle vigtige emner vedrørende mental sundhed blive dækket og fremmet kollektivt samt andre allerede eksisterende initiativer, f.eks. inden for Mental Health Europe. </w:t>
      </w:r>
    </w:p>
    <w:p>
      <w:pPr>
        <w:pStyle w:val="Normal"/>
        <w:rPr/>
      </w:pPr>
      <w:r>
        <w:rPr/>
        <w:t xml:space="preserve"> </w:t>
      </w:r>
    </w:p>
    <w:p>
      <w:pPr>
        <w:pStyle w:val="Normal"/>
        <w:rPr/>
      </w:pPr>
      <w:r>
        <w:rPr/>
        <w:t xml:space="preserve">Vi fremsætter denne anbefaling, fordi alle europæiske borgere skal føle sig accepteret og inddraget, især hvis de lider af psykiske problemer. Derudover er der behov for at standardisere og forbedre bevidstheden om mentale sundhedsproblemer samt for at forebygge relaterede sociale problemer som f.eks. forskelsbehandling. Da mentale sundhedsproblemer er steget som følge af pandemien og sandsynligvis vil fortsætte, er dette initiativ så meget desto vigtigere. </w:t>
      </w:r>
    </w:p>
    <w:p>
      <w:pPr>
        <w:pStyle w:val="Normal"/>
        <w:rPr/>
      </w:pPr>
      <w:r>
        <w:rPr/>
        <w:t xml:space="preserve"> </w:t>
      </w:r>
    </w:p>
    <w:p>
      <w:pPr>
        <w:pStyle w:val="P68B1DB1Normal15"/>
        <w:rPr>
          <w:b/>
          <w:b/>
        </w:rPr>
      </w:pPr>
      <w:r>
        <w:rPr/>
        <w:t xml:space="preserve">45. Vi anbefaler, at hygiejneprodukter til kvinder ophører med at blive betragtet som luksusvarer med hensyn til beskatning, da de er vigtige produkter. Vi anbefaler også, at hormonelle præventionsprodukter, der anvendes af medicinske årsager, såsom fibromyalgi og endometriose, beskattes som regelmæssig medicinsk behandling. Vi anbefaler også, at Den Europæiske Union tilskynder til harmonisering af medicinsk assisteret reproduktiv behandling af alle kvinder (enkelt eller gift) i alle medlemsstater. </w:t>
      </w:r>
    </w:p>
    <w:p>
      <w:pPr>
        <w:pStyle w:val="Normal"/>
        <w:rPr/>
      </w:pPr>
      <w:r>
        <w:rPr/>
        <w:t xml:space="preserve"> </w:t>
      </w:r>
    </w:p>
    <w:p>
      <w:pPr>
        <w:pStyle w:val="Normal"/>
        <w:rPr/>
      </w:pPr>
      <w:r>
        <w:rPr/>
        <w:t xml:space="preserve">I nogle europæiske lande beskattes kvinders hygiejniske produkter som luksusvarer, hvilket er uretfærdigt. Nogle hormonelle præventionsmidler anvendes til medicinske formål og bør derfor beskattes i overensstemmelse hermed. Fordi reproduktive behandlinger for kvinder, f.eks. in vitro-befrugtning og ægfrysningsmetoder, har forskellige betingelser for støtteberettigelse i medlemsstaterne, og EU skal bestræbe sig på at harmonisere dem. </w:t>
      </w:r>
    </w:p>
    <w:p>
      <w:pPr>
        <w:pStyle w:val="Normal"/>
        <w:rPr/>
      </w:pPr>
      <w:r>
        <w:rPr/>
        <w:t xml:space="preserve"> </w:t>
      </w:r>
    </w:p>
    <w:p>
      <w:pPr>
        <w:pStyle w:val="P68B1DB1Normal15"/>
        <w:rPr>
          <w:b/>
          <w:b/>
        </w:rPr>
      </w:pPr>
      <w:r>
        <w:rPr/>
        <w:t xml:space="preserve">46. Vi anbefaler, at Den Europæiske Union indtager en fast holdning til at tilskynde alle medlemsstater til, hvor det er relevant, at medtage spørgsmål vedrørende mental sundhed og seksualundervisning i deres skoleplaner. For at hjælpe medlemsstaterne med at vedtage disse spørgsmål i skolernes læseplaner bør Den Europæiske Union udvikle og stille et standardprogram om mental sundhed og seksuelle spørgsmål til rådighed. </w:t>
      </w:r>
    </w:p>
    <w:p>
      <w:pPr>
        <w:pStyle w:val="Normal"/>
        <w:rPr/>
      </w:pPr>
      <w:r>
        <w:rPr/>
        <w:t xml:space="preserve"> </w:t>
      </w:r>
    </w:p>
    <w:p>
      <w:pPr>
        <w:pStyle w:val="Normal"/>
        <w:rPr/>
      </w:pPr>
      <w:r>
        <w:rPr/>
        <w:t xml:space="preserve">Der er behov for at mindske forskelsbehandling og tabuer i forbindelse med psykiske problemer. Desinformation og ikkevidenskabelige tilgange skal også undgås. Derudover er seksualundervisning afgørende for et sundt liv og samfund og forhindrer problemer som teenagegraviditeter. </w:t>
      </w:r>
    </w:p>
    <w:p>
      <w:pPr>
        <w:pStyle w:val="Normal"/>
        <w:rPr/>
      </w:pPr>
      <w:r>
        <w:rPr/>
        <w:t xml:space="preserve"> </w:t>
      </w:r>
    </w:p>
    <w:p>
      <w:pPr>
        <w:pStyle w:val="P68B1DB1Normal15"/>
        <w:rPr>
          <w:b/>
          <w:b/>
        </w:rPr>
      </w:pPr>
      <w:r>
        <w:rPr/>
        <w:t xml:space="preserve">47. Vi anbefaler, at Den Europæiske Union udvikler et bedre kommunikationssystem for alle sine initiativer vedrørende mental sundhed, nemlig folkesundhedsportalen om bedste praksis i medlemsstaterne og for alle borgere. MEP'erne kunne præsentere denne bedste praksis for hinanden for at gøre dem bedre kendt i alle medlemsstater. </w:t>
      </w:r>
    </w:p>
    <w:p>
      <w:pPr>
        <w:pStyle w:val="Normal"/>
        <w:rPr/>
      </w:pPr>
      <w:r>
        <w:rPr/>
        <w:t xml:space="preserve"> </w:t>
      </w:r>
    </w:p>
    <w:p>
      <w:pPr>
        <w:pStyle w:val="Normal"/>
        <w:rPr/>
      </w:pPr>
      <w:r>
        <w:rPr/>
        <w:t xml:space="preserve">Borgerne er ikke velinformerede om EU-initiativer, og udveksling af bedste praksis giver os mulighed for at lære af hinanden. </w:t>
      </w:r>
    </w:p>
    <w:p>
      <w:pPr>
        <w:pStyle w:val="Normal"/>
        <w:rPr/>
      </w:pPr>
      <w:r>
        <w:rPr/>
        <w:t xml:space="preserve"> </w:t>
      </w:r>
    </w:p>
    <w:p>
      <w:pPr>
        <w:pStyle w:val="Titre4"/>
        <w:numPr>
          <w:ilvl w:val="3"/>
          <w:numId w:val="2"/>
        </w:numPr>
        <w:rPr/>
      </w:pPr>
      <w:bookmarkStart w:id="174" w:name="__RefHeading___Toc297283_1346298689"/>
      <w:bookmarkEnd w:id="174"/>
      <w:r>
        <w:rPr/>
        <w:t xml:space="preserve">Sub-akse 5.3 Lige adgang til sundhed for alle </w:t>
      </w:r>
    </w:p>
    <w:p>
      <w:pPr>
        <w:pStyle w:val="P68B1DB1Normal15"/>
        <w:rPr>
          <w:b/>
          <w:b/>
        </w:rPr>
      </w:pPr>
      <w:r>
        <w:rPr/>
        <w:t xml:space="preserve">48. Vi anbefaler, at EU fastsætter og fremmer minimumsstandarder for tandpleje af høj kvalitet, herunder profylakse, for alle EU's medlemsstater. Børn, lavindkomstgrupper og andre sårbare grupper bør have gratis tandpleje. Inden for 15-20 år bør EU sikre, at alle har adgang til tandpleje til en overkommelig pris. </w:t>
      </w:r>
    </w:p>
    <w:p>
      <w:pPr>
        <w:pStyle w:val="Normal"/>
        <w:rPr/>
      </w:pPr>
      <w:r>
        <w:rPr/>
        <w:t xml:space="preserve"> </w:t>
      </w:r>
    </w:p>
    <w:p>
      <w:pPr>
        <w:pStyle w:val="Normal"/>
        <w:rPr/>
      </w:pPr>
      <w:r>
        <w:rPr/>
        <w:t xml:space="preserve">Vi fremsætter denne anbefaling, fordi tandpleje i øjeblikket ikke er økonomisk overkommelig for mange mennesker, der bor i EU. Fraværet af tandpleje og tandprofylakse er skadeligt for deres helbred og livsudsigter. EU bør starte med at fastsætte en minimumsstandard for tandpleje og kræve gratis tandpleje til børn og lavindkomstgrupper. Til sidst bør alle have ret til tandpleje af høj kvalitet. </w:t>
      </w:r>
    </w:p>
    <w:p>
      <w:pPr>
        <w:pStyle w:val="Normal"/>
        <w:rPr/>
      </w:pPr>
      <w:r>
        <w:rPr/>
        <w:t xml:space="preserve"> </w:t>
      </w:r>
    </w:p>
    <w:p>
      <w:pPr>
        <w:pStyle w:val="P68B1DB1Normal15"/>
        <w:rPr>
          <w:b/>
          <w:b/>
        </w:rPr>
      </w:pPr>
      <w:r>
        <w:rPr/>
        <w:t xml:space="preserve">49. Vi anbefaler, at sundhed og sundhedspleje medtages i de kompetencer, der deles mellem EU og dets medlemsstater. For at medtage denne nye delte kompetence er det nødvendigt at ændre artikel 4 i traktaten om Den Europæiske Unions funktionsmåde (TEUF). </w:t>
      </w:r>
    </w:p>
    <w:p>
      <w:pPr>
        <w:pStyle w:val="Normal"/>
        <w:rPr/>
      </w:pPr>
      <w:r>
        <w:rPr/>
        <w:t xml:space="preserve"> </w:t>
      </w:r>
    </w:p>
    <w:p>
      <w:pPr>
        <w:pStyle w:val="Normal"/>
        <w:rPr/>
      </w:pPr>
      <w:r>
        <w:rPr/>
        <w:t xml:space="preserve">Vi fremsætter denne henstilling, fordi EU i øjeblikket ikke har tilstrækkelige beføjelser til at lovgive på sundhedsområdet. Covid-19-pandemien har vist, at der er behov for en øget EU-tilstedeværelse i sundhedspolitikkerne. Denne traktatændring vil gøre det muligt for EU at gøre mere for at sikre sundhedspleje for alle EU-borgere og udstede bindende forordninger og afgørelser. </w:t>
      </w:r>
    </w:p>
    <w:p>
      <w:pPr>
        <w:pStyle w:val="Normal"/>
        <w:rPr/>
      </w:pPr>
      <w:r>
        <w:rPr/>
        <w:t xml:space="preserve"> </w:t>
      </w:r>
    </w:p>
    <w:p>
      <w:pPr>
        <w:pStyle w:val="P68B1DB1Normal15"/>
        <w:rPr>
          <w:b/>
          <w:b/>
        </w:rPr>
      </w:pPr>
      <w:r>
        <w:rPr/>
        <w:t xml:space="preserve">50. Vi anbefaler, at EU tilbyder gratis førstehjælpskurser til alle EU-borgere. EU kunne overveje at gøre disse kurser obligatoriske for studerende og på arbejdspladsen (både i den offentlige og den private sektor). Disse kurser skal også være praktiske, tilbagevendende og tilpasset de studerendes alder. Et minimum af defibrillatorer bør også være tilgængeligt på offentlige steder i alle EU's medlemsstater. </w:t>
      </w:r>
    </w:p>
    <w:p>
      <w:pPr>
        <w:pStyle w:val="Normal"/>
        <w:rPr/>
      </w:pPr>
      <w:r>
        <w:rPr/>
        <w:t xml:space="preserve"> </w:t>
      </w:r>
    </w:p>
    <w:p>
      <w:pPr>
        <w:pStyle w:val="Normal"/>
        <w:rPr/>
      </w:pPr>
      <w:r>
        <w:rPr/>
        <w:t xml:space="preserve">Vi anbefaler det, fordi mange mennesker i EU ikke er villige til at handle, når en person har brug for hjælp, og fordi de ikke kender førstehjælpsteknikker. Det er derfor, mange liv går tabt. På nogle offentlige steder er der ingen defibrillator til rådighed. </w:t>
      </w:r>
    </w:p>
    <w:p>
      <w:pPr>
        <w:pStyle w:val="Normal"/>
        <w:rPr/>
      </w:pPr>
      <w:r>
        <w:rPr/>
        <w:t xml:space="preserve"> </w:t>
      </w:r>
    </w:p>
    <w:p>
      <w:pPr>
        <w:pStyle w:val="P68B1DB1Normal15"/>
        <w:rPr>
          <w:b/>
          <w:b/>
        </w:rPr>
      </w:pPr>
      <w:r>
        <w:rPr/>
        <w:t xml:space="preserve">51. Vi anbefaler, at EU sikrer, at private sundhedstjenesteydere ikke uretmæssigt drager fordel af offentlige midler og ikke udnytter de offentlige sundhedssystemers ressourcer. Den Europæiske Union bør fremsætte faste henstillinger til medlemsstaterne om at øge finansieringen af den offentlige sundhedspleje. </w:t>
      </w:r>
    </w:p>
    <w:p>
      <w:pPr>
        <w:pStyle w:val="Normal"/>
        <w:rPr/>
      </w:pPr>
      <w:r>
        <w:rPr/>
        <w:t xml:space="preserve"> </w:t>
      </w:r>
    </w:p>
    <w:p>
      <w:pPr>
        <w:pStyle w:val="Normal"/>
        <w:rPr/>
      </w:pPr>
      <w:r>
        <w:rPr/>
        <w:t xml:space="preserve">Vi fremsætter denne henstilling, fordi Den Europæiske Union og dens medlemsstater har en forpligtelse til at sikre adgang til sundhedspleje for alle deres borgere. Desuden kræver et stærkere folkesundhedssystem også et bedre beredskab over for fremtidige pandemier. </w:t>
      </w:r>
    </w:p>
    <w:p>
      <w:pPr>
        <w:pStyle w:val="Normal"/>
        <w:rPr/>
      </w:pPr>
      <w:r>
        <w:rPr/>
        <w:t xml:space="preserve"> </w:t>
      </w:r>
    </w:p>
    <w:p>
      <w:pPr>
        <w:pStyle w:val="Titre3"/>
        <w:numPr>
          <w:ilvl w:val="2"/>
          <w:numId w:val="2"/>
        </w:numPr>
        <w:rPr/>
      </w:pPr>
      <w:bookmarkStart w:id="175" w:name="__RefHeading___Toc297285_1346298689"/>
      <w:bookmarkEnd w:id="175"/>
      <w:r>
        <w:rPr/>
        <w:t xml:space="preserve">Bilag: ANDRE ANBEFALINGER BEHANDLET AF PANELET, DER IKKE BLEV VEDTAGET </w:t>
      </w:r>
    </w:p>
    <w:p>
      <w:pPr>
        <w:pStyle w:val="Titre4"/>
        <w:numPr>
          <w:ilvl w:val="3"/>
          <w:numId w:val="2"/>
        </w:numPr>
        <w:rPr/>
      </w:pPr>
      <w:bookmarkStart w:id="176" w:name="__RefHeading___Toc297287_1346298689"/>
      <w:bookmarkEnd w:id="176"/>
      <w:r>
        <w:rPr/>
        <w:t xml:space="preserve">Akse 1: Bedre måder at leve på </w:t>
      </w:r>
    </w:p>
    <w:p>
      <w:pPr>
        <w:pStyle w:val="Normal"/>
        <w:rPr/>
      </w:pPr>
      <w:r>
        <w:rPr/>
        <w:t xml:space="preserve">Sub-akse 1.1 Sund livsstil </w:t>
      </w:r>
    </w:p>
    <w:p>
      <w:pPr>
        <w:pStyle w:val="P68B1DB1Normal15"/>
        <w:rPr>
          <w:b/>
          <w:b/>
        </w:rPr>
      </w:pPr>
      <w:r>
        <w:rPr/>
        <w:t xml:space="preserve">Vi anbefaler, at EU sender en henstilling til alle medlemsstater om bedste praksis for forbud mod eller begrænsning af alkohol- og tobaksreklamer i alle former for medier og for alle aldersgrupper, men med særlig vægt på unge. EU bør sikre håndhævelsen af love, der begrænser salget af disse produkter til mindreårige. Alle medlemsstater bør sikre gennemførelsen med sanktioner af de retlige bestemmelser om rygning i det offentlige rum, navnlig i skolerne, og skabe rum, der er forbeholdt rygere. </w:t>
      </w:r>
    </w:p>
    <w:p>
      <w:pPr>
        <w:pStyle w:val="Normal"/>
        <w:rPr/>
      </w:pPr>
      <w:r>
        <w:rPr/>
        <w:t xml:space="preserve"> </w:t>
      </w:r>
    </w:p>
    <w:p>
      <w:pPr>
        <w:pStyle w:val="Normal"/>
        <w:rPr/>
      </w:pPr>
      <w:r>
        <w:rPr/>
        <w:t xml:space="preserve">Sundhedsskadelig livsstil kan ikke vises i reklamer og bør være mindre synlig i det offentlige liv. Da alkohol og tobak er blandt de mest anvendte skadelige stoffer, vil denne henstilling desuden forhindre misbrug af alkohol og tobak. </w:t>
      </w:r>
    </w:p>
    <w:p>
      <w:pPr>
        <w:pStyle w:val="Normal"/>
        <w:rPr/>
      </w:pPr>
      <w:r>
        <w:rPr/>
        <w:t xml:space="preserve"> </w:t>
      </w:r>
    </w:p>
    <w:p>
      <w:pPr>
        <w:pStyle w:val="P68B1DB1Normal15"/>
        <w:rPr>
          <w:b/>
          <w:b/>
        </w:rPr>
      </w:pPr>
      <w:r>
        <w:rPr/>
        <w:t xml:space="preserve">Vi anbefaler, at EU tilskynder medlemsstaterne til at medtage kurser i nationale skoleplaner for at lære, hvordan man laver mad på en bæredygtig, sund og velsmagende måde. Med henblik herpå kan EU gøre sunde madlavningsvejledninger tilgængelige både online og på tryk. Unge bør nås ved aktivt at reklamere på traditionelle og sociale medier. Vi bør også uddanne forældre til at lære, hvordan man bedst bruger mad til at vedtage en sund livsstil. Forskning på dette område bør fremmes og beriges. </w:t>
      </w:r>
    </w:p>
    <w:p>
      <w:pPr>
        <w:pStyle w:val="Normal"/>
        <w:rPr/>
      </w:pPr>
      <w:r>
        <w:rPr/>
        <w:t xml:space="preserve"> </w:t>
      </w:r>
    </w:p>
    <w:p>
      <w:pPr>
        <w:pStyle w:val="Normal"/>
        <w:rPr/>
      </w:pPr>
      <w:r>
        <w:rPr/>
        <w:t xml:space="preserve">Organisering af madlavnings- og ernæringsklasser i skolen vil forbedre de unges sundhed og modvirke forbruget af fastfood. Uddannelse af unge vil give dem mulighed for at forklare deres forældre, hvad de har lært. Derudover vil uddannelse af forældre om sund livsstil give dem mulighed for at sætte et eksempel for deres børn. </w:t>
      </w:r>
    </w:p>
    <w:p>
      <w:pPr>
        <w:pStyle w:val="Normal"/>
        <w:rPr/>
      </w:pPr>
      <w:r>
        <w:rPr/>
      </w:r>
    </w:p>
    <w:p>
      <w:pPr>
        <w:pStyle w:val="P68B1DB1Normal15"/>
        <w:rPr>
          <w:b/>
          <w:b/>
        </w:rPr>
      </w:pPr>
      <w:r>
        <w:rPr/>
        <w:t xml:space="preserve">Vi anbefaler at styrke Kommissionens offentlige kampagne for sund livsstil, HealthyLifestyle4All, og den positive virkning af social aktivitet gennem konkrete eksempler og en omfattende strategi. Der bør fastlægges oplysningskampagner for velstrukturerede målgrupper, og der bør vælges passende kommunikationsmidler for hver af disse grupper. Desuden er det vigtigt at indføre belønnings- og incitamentsordninger for at fremme positiv adfærd. Kampagner bør involvere influencers, berømtheder eller myndigheder. De skal fremhæve de dobbelte sundhedsmæssige, miljømæssige og klimamæssige fordele. Desuden bør der være tilskud til rådighed i alle medlemsstater for at fremme gratis offentlig sportsinfrastruktur. </w:t>
      </w:r>
    </w:p>
    <w:p>
      <w:pPr>
        <w:pStyle w:val="Normal"/>
        <w:rPr/>
      </w:pPr>
      <w:r>
        <w:rPr/>
        <w:t xml:space="preserve"> </w:t>
      </w:r>
    </w:p>
    <w:p>
      <w:pPr>
        <w:pStyle w:val="Normal"/>
        <w:rPr/>
      </w:pPr>
      <w:r>
        <w:rPr/>
        <w:t xml:space="preserve">Sundere livsstil har en positiv effekt på sundhedssystemet, fordi de reducerer sundhedsproblemer. Fysisk sundhed påvirker mental sundhed og lykke. De nuværende kampagner er ikke tilstrækkeligt kendt. De er mere effektive og motiverende, når personligheder og influencers er forbundet med det. </w:t>
      </w:r>
    </w:p>
    <w:p>
      <w:pPr>
        <w:pStyle w:val="Normal"/>
        <w:rPr/>
      </w:pPr>
      <w:r>
        <w:rPr/>
        <w:t xml:space="preserve"> </w:t>
      </w:r>
    </w:p>
    <w:p>
      <w:pPr>
        <w:pStyle w:val="P68B1DB1Normal15"/>
        <w:rPr>
          <w:b/>
          <w:b/>
        </w:rPr>
      </w:pPr>
      <w:r>
        <w:rPr/>
        <w:t xml:space="preserve">Vi anbefaler en informationskampagne om sund kost og ernæring. EU bør tilskynde til højere beskatning af kød og sukker i medlemsstaterne. Den bør undersøge mulighederne for at skelne mellem sunde fødevarer og skadelige fødevarer og anvende differentieret moms på dem. Vi anbefaler, at der udsendes meget klare advarselssignaler på produkter, der er meget sundhedsskadelige (f.eks. tobaksvarer). Derudover anbefaler vi et europæisk ernæringsscoresystem, der giver relevant information og QR-kode, der giver forbrugerne mulighed for at træffe bedre informerede beslutninger. Udforsk mulighederne for at gøre sunde fødevarer billigere end junkfood og yderligere tilskynde landmænd til at producere sunde produkter. </w:t>
      </w:r>
    </w:p>
    <w:p>
      <w:pPr>
        <w:pStyle w:val="Normal"/>
        <w:rPr/>
      </w:pPr>
      <w:r>
        <w:rPr/>
        <w:t xml:space="preserve"> </w:t>
      </w:r>
    </w:p>
    <w:p>
      <w:pPr>
        <w:pStyle w:val="Normal"/>
        <w:rPr/>
      </w:pPr>
      <w:r>
        <w:rPr/>
        <w:t xml:space="preserve">En sund kost er grundlaget for et sundt liv. Det er nødvendigt at gribe ind både på producentsiden og på forbrugersiden. Produktionen af sunde produkter har også en positiv indvirkning på miljøet og kan være med til at støtte lokale landmænd. Hvis produktionen af sunde fødevarer stiger, falder priserne og efterspørgslen stiger. </w:t>
      </w:r>
    </w:p>
    <w:p>
      <w:pPr>
        <w:pStyle w:val="Normal"/>
        <w:rPr/>
      </w:pPr>
      <w:r>
        <w:rPr/>
        <w:t xml:space="preserve"> </w:t>
      </w:r>
    </w:p>
    <w:p>
      <w:pPr>
        <w:pStyle w:val="Normal"/>
        <w:rPr/>
      </w:pPr>
      <w:r>
        <w:rPr/>
        <w:t xml:space="preserve">Sub-akse 1.2 Miljøuddannelse </w:t>
      </w:r>
    </w:p>
    <w:p>
      <w:pPr>
        <w:pStyle w:val="P68B1DB1Normal15"/>
        <w:rPr>
          <w:b/>
          <w:b/>
        </w:rPr>
      </w:pPr>
      <w:r>
        <w:rPr/>
        <w:t xml:space="preserve">Vi anbefaler, at EU opretter en finansieringsmekanisme for at fremme inddragelsen af et langsigtet miljøuddannelsesprogram i de nationale uddannelsessystemer for børn i grundskolen og på sekundærtrinnet. Denne finansieringsmekanisme bør omfatte finansiering af forældre med behov for økonomisk bistand. </w:t>
      </w:r>
    </w:p>
    <w:p>
      <w:pPr>
        <w:pStyle w:val="Normal"/>
        <w:rPr/>
      </w:pPr>
      <w:r>
        <w:rPr/>
        <w:t xml:space="preserve"> </w:t>
      </w:r>
    </w:p>
    <w:p>
      <w:pPr>
        <w:pStyle w:val="Normal"/>
        <w:rPr/>
      </w:pPr>
      <w:r>
        <w:rPr/>
        <w:t xml:space="preserve">De nuværende uddannelsessystemer indeholder ikke nok praktiske elementer til at lette direkte og dybe interaktioner mellem børn og miljøet. De eksisterende programmer, der er udformet ud fra et kortsigtet perspektiv, er uensartede og fremmer ikke den nødvendige holdningsændring. Forældre bør støttes for at sikre, at alle børn kan drage samme fordel af programmet, og at ingen udelukkes af økonomiske årsager. </w:t>
      </w:r>
    </w:p>
    <w:p>
      <w:pPr>
        <w:pStyle w:val="Normal"/>
        <w:rPr/>
      </w:pPr>
      <w:r>
        <w:rPr/>
        <w:t xml:space="preserve"> </w:t>
      </w:r>
    </w:p>
    <w:p>
      <w:pPr>
        <w:pStyle w:val="Titre4"/>
        <w:numPr>
          <w:ilvl w:val="3"/>
          <w:numId w:val="2"/>
        </w:numPr>
        <w:rPr/>
      </w:pPr>
      <w:bookmarkStart w:id="177" w:name="__RefHeading___Toc297289_1346298689"/>
      <w:bookmarkEnd w:id="177"/>
      <w:r>
        <w:rPr/>
        <w:t xml:space="preserve">Akse 2: Beskyttelse af vores miljø og sundhed </w:t>
      </w:r>
    </w:p>
    <w:p>
      <w:pPr>
        <w:pStyle w:val="Normal"/>
        <w:rPr/>
      </w:pPr>
      <w:r>
        <w:rPr/>
        <w:t xml:space="preserve">Sub-akse 2.1 Et sundt naturligt miljø </w:t>
      </w:r>
    </w:p>
    <w:p>
      <w:pPr>
        <w:pStyle w:val="P68B1DB1Normal15"/>
        <w:rPr>
          <w:b/>
          <w:b/>
        </w:rPr>
      </w:pPr>
      <w:r>
        <w:rPr/>
        <w:t xml:space="preserve">Vi anbefaler straks at indføre den højest mulige vandkvalitetsstandard i hele EU. For at spare vand tilbyder vi et belønningssystem baseret på vandpriser for at tilskynde til og tilskynde til mindre forbrug, f.eks.: 1) ved at skabe et dynamisk system, der afskrækker forbrugerne fra at overskride det gennemsnitlige vandforbrug (f.eks. fører en 10 % stigning i vandforbruget til en stigning på 11 % i prisen), 2) ved at skabe et marked for kvoter for vand, der er forurenet af fremstillingsvirksomheder, hvilket svarer til markedet for allerede eksisterende CO2-tilladelser. </w:t>
      </w:r>
    </w:p>
    <w:p>
      <w:pPr>
        <w:pStyle w:val="Normal"/>
        <w:rPr/>
      </w:pPr>
      <w:r>
        <w:rPr/>
        <w:t xml:space="preserve"> </w:t>
      </w:r>
    </w:p>
    <w:p>
      <w:pPr>
        <w:pStyle w:val="Normal"/>
        <w:rPr/>
      </w:pPr>
      <w:r>
        <w:rPr/>
        <w:t xml:space="preserve">Denne anbefaling er begrundet i, at prisstigninger tilskynder alle brugere til at træffe bedre informerede beslutninger. I betragtning af de forskellige realiteter i EU-landene og for at opnå et socialt retfærdigt system kan vi støtte fattigere mennesker i deres vandforvaltning gennem fælles investeringer i vandforsyningsinfrastruktur og forskning. </w:t>
      </w:r>
    </w:p>
    <w:p>
      <w:pPr>
        <w:pStyle w:val="Normal"/>
        <w:rPr/>
      </w:pPr>
      <w:r>
        <w:rPr/>
        <w:t xml:space="preserve"> </w:t>
      </w:r>
    </w:p>
    <w:p>
      <w:pPr>
        <w:pStyle w:val="Titre4"/>
        <w:numPr>
          <w:ilvl w:val="3"/>
          <w:numId w:val="2"/>
        </w:numPr>
        <w:rPr/>
      </w:pPr>
      <w:bookmarkStart w:id="178" w:name="__RefHeading___Toc297291_1346298689"/>
      <w:bookmarkEnd w:id="178"/>
      <w:r>
        <w:rPr/>
        <w:t xml:space="preserve">Akse 3: reorientering af vores økonomi og forbrug </w:t>
      </w:r>
    </w:p>
    <w:p>
      <w:pPr>
        <w:pStyle w:val="Normal"/>
        <w:rPr/>
      </w:pPr>
      <w:r>
        <w:rPr/>
        <w:t xml:space="preserve">Sub-akse 3.1 Regulering af overproduktion og overforbrug </w:t>
      </w:r>
    </w:p>
    <w:p>
      <w:pPr>
        <w:pStyle w:val="P68B1DB1Normal15"/>
        <w:rPr>
          <w:b/>
          <w:b/>
        </w:rPr>
      </w:pPr>
      <w:r>
        <w:rPr/>
        <w:t xml:space="preserve">Vi anbefaler, at EU pålægger virksomheder, der eliminerer usolgte produkter produceret ved overproduktion, bøder. </w:t>
      </w:r>
    </w:p>
    <w:p>
      <w:pPr>
        <w:pStyle w:val="Normal"/>
        <w:rPr/>
      </w:pPr>
      <w:r>
        <w:rPr/>
        <w:t xml:space="preserve"> </w:t>
      </w:r>
    </w:p>
    <w:p>
      <w:pPr>
        <w:pStyle w:val="Normal"/>
        <w:rPr/>
      </w:pPr>
      <w:r>
        <w:rPr/>
        <w:t xml:space="preserve">I nogle tilfælde mener virksomhederne, at det er mere omkostningseffektivt at kassere usolgte varer i stedet for at genanvende eller genbruge dem. Det er derfor vigtigt at modvirke overproduktion ved at pålægge bøder, således at denne praksis ikke længere er rentabel for producenterne. </w:t>
      </w:r>
    </w:p>
    <w:p>
      <w:pPr>
        <w:pStyle w:val="Normal"/>
        <w:rPr/>
      </w:pPr>
      <w:r>
        <w:rPr/>
        <w:t xml:space="preserve"> </w:t>
      </w:r>
    </w:p>
    <w:p>
      <w:pPr>
        <w:pStyle w:val="Normal"/>
        <w:rPr/>
      </w:pPr>
      <w:r>
        <w:rPr/>
        <w:t xml:space="preserve">Delakse 3.2 Reduktion af affald </w:t>
      </w:r>
    </w:p>
    <w:p>
      <w:pPr>
        <w:pStyle w:val="P68B1DB1Normal15"/>
        <w:rPr>
          <w:b/>
          <w:b/>
        </w:rPr>
      </w:pPr>
      <w:r>
        <w:rPr/>
        <w:t xml:space="preserve">Vi anbefaler, at EU udformer og gennemfører en affaldshåndteringspolitik for husholdninger og borgere, idet der gøres opmærksom på den faktiske mængde affald, de producerer, og supplerer den med de nødvendige foranstaltninger til at øge borgernes bevidsthed om fordelene ved at reducere affaldsproduktion og selektiv affaldsindsamling. Der bør også gennemføres foranstaltninger rettet mod socialt dårligt stillede familier (f.eks. unge familier med børn, ældre osv.) under overholdelse af princippet om, at ingen må lades i stikken. </w:t>
      </w:r>
    </w:p>
    <w:p>
      <w:pPr>
        <w:pStyle w:val="Normal"/>
        <w:rPr/>
      </w:pPr>
      <w:r>
        <w:rPr/>
        <w:t xml:space="preserve"> </w:t>
      </w:r>
    </w:p>
    <w:p>
      <w:pPr>
        <w:pStyle w:val="Normal"/>
        <w:rPr/>
      </w:pPr>
      <w:r>
        <w:rPr/>
        <w:t xml:space="preserve">Formålet med en sådan politik er at udvikle en ensartet tilgang til affaldshåndtering i husholdningerne; det fremmer også miljøbeskyttelse gennem reduktion af affald, stimulerer den cirkulære økonomi yderligere og øger effektiviteten af affaldsindsamlingen. Endelig, hvilket ikke er ubetydeligt, øger det borgernes bevidsthed og styrker følelsen af miljøansvar. </w:t>
      </w:r>
    </w:p>
    <w:p>
      <w:pPr>
        <w:pStyle w:val="Normal"/>
        <w:rPr/>
      </w:pPr>
      <w:r>
        <w:rPr/>
        <w:t xml:space="preserve"> </w:t>
      </w:r>
    </w:p>
    <w:p>
      <w:pPr>
        <w:pStyle w:val="P68B1DB1Normal15"/>
        <w:rPr>
          <w:b/>
          <w:b/>
        </w:rPr>
      </w:pPr>
      <w:r>
        <w:rPr/>
        <w:t xml:space="preserve">Vi anbefaler, at EU tilskynder til fri konkurrence og tilskynder den private sektor til at bidrage mere aktivt til affaldsbehandling, herunder spildevand, og til genanvendelse og nyttiggørelse af affald. </w:t>
      </w:r>
    </w:p>
    <w:p>
      <w:pPr>
        <w:pStyle w:val="Normal"/>
        <w:rPr/>
      </w:pPr>
      <w:r>
        <w:rPr/>
        <w:t xml:space="preserve"> </w:t>
      </w:r>
    </w:p>
    <w:p>
      <w:pPr>
        <w:pStyle w:val="Normal"/>
        <w:rPr/>
      </w:pPr>
      <w:r>
        <w:rPr/>
        <w:t xml:space="preserve">EU er det rette niveau til at gennemføre denne henstilling, da den supplerer affaldsrammedirektivet og handlingsplanen for den cirkulære økonomi. Desuden vil gennemførelsen af henstillingen styrke innovative affaldshåndteringsløsninger, forbedre kvaliteten af affaldshåndteringen og øge mængden af behandlet affald, da flere virksomheder vil deltage i disse aktiviteter. </w:t>
      </w:r>
    </w:p>
    <w:p>
      <w:pPr>
        <w:pStyle w:val="Normal"/>
        <w:rPr/>
      </w:pPr>
      <w:r>
        <w:rPr/>
        <w:t xml:space="preserve"> </w:t>
      </w:r>
    </w:p>
    <w:p>
      <w:pPr>
        <w:pStyle w:val="Normal"/>
        <w:rPr/>
      </w:pPr>
      <w:r>
        <w:rPr/>
        <w:t xml:space="preserve">Sub-akse 3.3 Fair produkter, lige adgang og rimeligt forbrug </w:t>
      </w:r>
    </w:p>
    <w:p>
      <w:pPr>
        <w:pStyle w:val="P68B1DB1Normal15"/>
        <w:rPr>
          <w:b/>
          <w:b/>
        </w:rPr>
      </w:pPr>
      <w:r>
        <w:rPr/>
        <w:t xml:space="preserve">Vi anbefaler, at industrier flyttes til EU for at levere fair produkter af høj kvalitet og påvirke klimaspørgsmål. </w:t>
      </w:r>
    </w:p>
    <w:p>
      <w:pPr>
        <w:pStyle w:val="Normal"/>
        <w:rPr/>
      </w:pPr>
      <w:r>
        <w:rPr/>
        <w:t xml:space="preserve"> </w:t>
      </w:r>
    </w:p>
    <w:p>
      <w:pPr>
        <w:pStyle w:val="Normal"/>
        <w:rPr/>
      </w:pPr>
      <w:r>
        <w:rPr/>
        <w:t xml:space="preserve">Den Europæiske Union har knowhow, der skal fremmes på sit eget marked. </w:t>
      </w:r>
    </w:p>
    <w:p>
      <w:pPr>
        <w:pStyle w:val="Normal"/>
        <w:rPr/>
      </w:pPr>
      <w:r>
        <w:rPr/>
        <w:t xml:space="preserve">På grund af udflytningen af industrier til lande uden for EU, navnlig i Asien, flyttes også visse faglige kvalifikationer. Denne henstilling omfatter erhvervsuddannelse af europæiske arbejdstagere. Vi understreger behovet for at undgå udflytning mellem de forskellige medlemsstater for at undgå illoyal konkurrence. </w:t>
      </w:r>
    </w:p>
    <w:p>
      <w:pPr>
        <w:pStyle w:val="Normal"/>
        <w:rPr/>
      </w:pPr>
      <w:r>
        <w:rPr/>
        <w:t xml:space="preserve">Vi har bemærket, at den massive udflytning af industrier rundt om i verden har en indvirkning på de europæiske industrier. Derfor vil den lokale produktion forbedre borgernes sundhed og miljøet. </w:t>
      </w:r>
    </w:p>
    <w:p>
      <w:pPr>
        <w:pStyle w:val="Normal"/>
        <w:rPr/>
      </w:pPr>
      <w:r>
        <w:rPr/>
      </w:r>
    </w:p>
    <w:p>
      <w:pPr>
        <w:pStyle w:val="Titre4"/>
        <w:numPr>
          <w:ilvl w:val="3"/>
          <w:numId w:val="2"/>
        </w:numPr>
        <w:rPr/>
      </w:pPr>
      <w:bookmarkStart w:id="179" w:name="__RefHeading___Toc297293_1346298689"/>
      <w:bookmarkEnd w:id="179"/>
      <w:r>
        <w:rPr/>
        <w:t xml:space="preserve">Akse 4: på vej mod et bæredygtigt samfund </w:t>
      </w:r>
    </w:p>
    <w:p>
      <w:pPr>
        <w:pStyle w:val="Normal"/>
        <w:rPr/>
      </w:pPr>
      <w:r>
        <w:rPr/>
        <w:t xml:space="preserve">Delakse 4.3 Miljøvenlig transport </w:t>
      </w:r>
    </w:p>
    <w:p>
      <w:pPr>
        <w:pStyle w:val="P68B1DB1Normal15"/>
        <w:rPr>
          <w:b/>
          <w:b/>
        </w:rPr>
      </w:pPr>
      <w:r>
        <w:rPr/>
        <w:t xml:space="preserve">Vi anbefaler, at store byer pålægges bøder eller subsidieres i henhold til miljø- og forureningspræstationerne i deres offentlige transport (elektriske køretøjer, grøn offentlig transport, oprettelse af fodgængerområder, fremme af brugen af cykler osv.). Navnlig bør bøder eller tilskud til lokale myndigheder i en by fastsættes på grundlag af ændringer i den grønne transport i forhold til udgangssituationen i den pågældende by. Det er Den Europæiske Union, der gennem sin lovgivning bør fastlægge resultatindikatorer for forureningsrelaterede foranstaltninger og fastlægge den forholdsmæssige reduktion. I den forbindelse bør der tages hensyn til udgangspunktet for hver by. </w:t>
      </w:r>
    </w:p>
    <w:p>
      <w:pPr>
        <w:pStyle w:val="Normal"/>
        <w:rPr/>
      </w:pPr>
      <w:r>
        <w:rPr/>
        <w:t xml:space="preserve"> </w:t>
      </w:r>
    </w:p>
    <w:p>
      <w:pPr>
        <w:pStyle w:val="Normal"/>
        <w:rPr/>
      </w:pPr>
      <w:r>
        <w:rPr/>
        <w:t xml:space="preserve">Vi fremsætter denne anbefaling, fordi byerne er blevet ramt af luftforurening, hvilket har skabt sundhedsproblemer. Udvikling af grøn transport vil forbedre menneskers liv og sundhed og mindske drivhuseffekten. Subsidier og sanktioner er effektive foranstaltninger til at fremme forandringer og lette tilpasningen til forskellige situationer i forskellige byer. </w:t>
      </w:r>
    </w:p>
    <w:p>
      <w:pPr>
        <w:pStyle w:val="Normal"/>
        <w:rPr/>
      </w:pPr>
      <w:r>
        <w:rPr/>
        <w:t xml:space="preserve"> </w:t>
      </w:r>
    </w:p>
    <w:p>
      <w:pPr>
        <w:pStyle w:val="P68B1DB1Normal15"/>
        <w:rPr>
          <w:b/>
          <w:b/>
        </w:rPr>
      </w:pPr>
      <w:r>
        <w:rPr/>
        <w:t xml:space="preserve">Vi anbefaler, at EU-lovgivningen begrænser og regulerer brugen af kortdistanceflyvninger og krydstogtskibe. Borgerne bør tilbydes miljøvenlige transportalternativer. Et sådant alternativ bør være standardiseringen af jernbanerne for at forbinde de europæiske hovedstæder. Vi anbefaler også, at EU yder støtte til at gøre godstransporten mere miljøvenlig, herunder jernbane- og bådtransport (for korte rejser). </w:t>
      </w:r>
    </w:p>
    <w:p>
      <w:pPr>
        <w:pStyle w:val="Normal"/>
        <w:rPr/>
      </w:pPr>
      <w:r>
        <w:rPr/>
        <w:t xml:space="preserve"> </w:t>
      </w:r>
    </w:p>
    <w:p>
      <w:pPr>
        <w:pStyle w:val="Normal"/>
        <w:rPr/>
      </w:pPr>
      <w:r>
        <w:rPr/>
        <w:t xml:space="preserve">Vi fremsætter denne anbefaling, fordi korte ture er for hyppige, forurenende og nemme at udskifte. En begrænsning af krydstogtskibe vil reducere havforureningen (et stort miljøproblem) samt negative konsekvenser for kystbyer. Derfor er vi nødt til at indføre mere overkommelige alternativer til mere forurenende løsninger. En ensartet sporvidde vil forbedre jernbaneforbindelserne mellem de europæiske hovedstæder. </w:t>
      </w:r>
    </w:p>
    <w:p>
      <w:pPr>
        <w:pStyle w:val="Normal"/>
        <w:rPr/>
      </w:pPr>
      <w:r>
        <w:rPr/>
        <w:t xml:space="preserve"> </w:t>
      </w:r>
    </w:p>
    <w:p>
      <w:pPr>
        <w:pStyle w:val="Titre4"/>
        <w:numPr>
          <w:ilvl w:val="3"/>
          <w:numId w:val="2"/>
        </w:numPr>
        <w:rPr/>
      </w:pPr>
      <w:bookmarkStart w:id="180" w:name="__RefHeading___Toc297295_1346298689"/>
      <w:bookmarkEnd w:id="180"/>
      <w:r>
        <w:rPr/>
        <w:t xml:space="preserve">Akse 5: Pleje af alle </w:t>
      </w:r>
    </w:p>
    <w:p>
      <w:pPr>
        <w:pStyle w:val="Normal"/>
        <w:rPr/>
      </w:pPr>
      <w:r>
        <w:rPr/>
        <w:t xml:space="preserve">Sub-akse 5.2 Et bredere syn på sundhed </w:t>
      </w:r>
    </w:p>
    <w:p>
      <w:pPr>
        <w:pStyle w:val="Normal"/>
        <w:rPr>
          <w:b/>
          <w:b/>
        </w:rPr>
      </w:pPr>
      <w:r>
        <w:rPr>
          <w:b/>
        </w:rPr>
        <w:t>Vi anbefaler, at Den Europæiske Union i overensstemmelse med sin</w:t>
      </w:r>
      <w:r>
        <w:rPr>
          <w:b/>
        </w:rPr>
        <w:commentReference w:id="5"/>
      </w:r>
      <w:r>
        <w:rPr>
          <w:b/>
        </w:rPr>
        <w:t xml:space="preserve"> kampagne HealthyLife4All også tilskynder til initiativer såsom sociale sportsbegivenheder, skolesportsaktiviteter, OL hvert andet år, der er åbne for alle aldre og alle sportsgrene [ikke for fagfolk]. Vi anbefaler også, at der udvikles en gratis europæisk sportsapp for at fremme kollektive sportsaktiviteter. Denne app skal hjælpe folk mødes gennem sport. Desuden bør disse initiativer være almindeligt kendte og udbredes. </w:t>
      </w:r>
    </w:p>
    <w:p>
      <w:pPr>
        <w:pStyle w:val="Normal"/>
        <w:rPr/>
      </w:pPr>
      <w:r>
        <w:rPr/>
        <w:t xml:space="preserve"> </w:t>
      </w:r>
    </w:p>
    <w:p>
      <w:pPr>
        <w:pStyle w:val="Normal"/>
        <w:rPr/>
      </w:pPr>
      <w:r>
        <w:rPr/>
        <w:t xml:space="preserve">For at forbedre den europæiske befolknings sundhed skal EU fremme sport og sund livsstil. Desuden er befolkningen meget ofte uvidende om forholdet mellem sport og en sund livsstil. Appen er vigtig, fordi folk er mere villige til at dyrke sport, hvis de gør det sammen.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Det europæiske borgerpanel 4: "EU i verden/Migration" </w:t>
      </w:r>
    </w:p>
    <w:p>
      <w:pPr>
        <w:pStyle w:val="Normal"/>
        <w:rPr/>
      </w:pPr>
      <w:r>
        <w:rPr/>
        <w:t xml:space="preserve">HENSTILLINGER VEDTAGET AF PANELET (SKAL FORELÆGGES FOR PLENARFORSAMLINGEN) </w:t>
      </w:r>
    </w:p>
    <w:p>
      <w:pPr>
        <w:pStyle w:val="Normal"/>
        <w:rPr/>
      </w:pPr>
      <w:r>
        <w:rPr/>
      </w:r>
    </w:p>
    <w:p>
      <w:pPr>
        <w:pStyle w:val="Titre3"/>
        <w:numPr>
          <w:ilvl w:val="2"/>
          <w:numId w:val="2"/>
        </w:numPr>
        <w:rPr/>
      </w:pPr>
      <w:bookmarkStart w:id="182" w:name="__RefHeading___Toc297299_1346298689"/>
      <w:bookmarkEnd w:id="182"/>
      <w:r>
        <w:rPr/>
        <w:t xml:space="preserve">Akse 1: Selvforsyning og stabilitet </w:t>
      </w:r>
    </w:p>
    <w:p>
      <w:pPr>
        <w:pStyle w:val="Titre4"/>
        <w:numPr>
          <w:ilvl w:val="3"/>
          <w:numId w:val="2"/>
        </w:numPr>
        <w:rPr/>
      </w:pPr>
      <w:bookmarkStart w:id="183" w:name="__RefHeading___Toc297301_1346298689"/>
      <w:bookmarkEnd w:id="183"/>
      <w:r>
        <w:rPr/>
        <w:t xml:space="preserve">Delakse 1.1 — EU's autonomi </w:t>
      </w:r>
    </w:p>
    <w:p>
      <w:pPr>
        <w:pStyle w:val="Normal"/>
        <w:rPr>
          <w:b/>
          <w:b/>
        </w:rPr>
      </w:pPr>
      <w:r>
        <w:rPr>
          <w:b/>
        </w:rPr>
        <w:t>1. Vi anbefaler, at strategiske europæiske fremstillingsprodukter (såsom landbrugsprodukter, halvledere, medicinske produkter eller innovative digitale og miljømæssige teknologier) fremmes yderligere og støttes økonomisk for at være tilgængelige og tilgængelige for europæiske forbrugere og så vidt muligt mindske afhængigheden af ikke-europæiske leverandører. En sådan støtte kan omfatte strukturelle og regionale foranstaltninger, støtte til opretholdelse af industrier og forsyningskæder i Unionen,</w:t>
      </w:r>
      <w:r>
        <w:rPr>
          <w:b/>
        </w:rPr>
        <w:commentReference w:id="6"/>
      </w:r>
      <w:r>
        <w:rPr>
          <w:b/>
        </w:rPr>
        <w:t xml:space="preserve"> skattelettelser, subsidier, en aktiv SMV-politik eller uddannelsesprogrammer for at beskytte relevante færdigheder og job i Europa. Ikke desto mindre bør en aktiv industripolitik være selektiv og fokusere på innovative produkter eller produkter, der er afgørende for at garantere basale varer og tjenesteydelser. </w:t>
      </w:r>
    </w:p>
    <w:p>
      <w:pPr>
        <w:pStyle w:val="Normal"/>
        <w:rPr/>
      </w:pPr>
      <w:r>
        <w:rPr/>
        <w:t xml:space="preserve"> </w:t>
      </w:r>
    </w:p>
    <w:p>
      <w:pPr>
        <w:pStyle w:val="Normal"/>
        <w:rPr/>
      </w:pPr>
      <w:r>
        <w:rPr/>
        <w:t xml:space="preserve">Vi anbefaler disse foranstaltninger, fordi Europa er alt for afhængig </w:t>
      </w:r>
      <w:commentRangeStart w:id="7"/>
      <w:r>
        <w:rPr/>
        <w:t>af ikke-europæiske leverandører</w:t>
      </w:r>
      <w:r>
        <w:rPr/>
      </w:r>
      <w:commentRangeEnd w:id="7"/>
      <w:r>
        <w:commentReference w:id="7"/>
      </w:r>
      <w:r>
        <w:rPr/>
        <w:t xml:space="preserve"> på centrale områder, der risikerer at forårsage diplomatiske konflikter og føre til mangel på basisprodukter eller -tjenester eller af strategisk betydning. Da produktionsomkostningerne generelt er højere i EU end andre steder i verden, vil en politik med aktiv tilskyndelse og støtte til disse produkter gøre det muligt for europæerne at købe konkurrencedygtige europæiske produkter og tilskyndes til at gøre det. Denne politik vil også styrke den europæiske konkurrenceevne og bevare fremtidige industrier og arbejdspladser i Europa. Desuden vil en større regionalisering af produktionen reducere transportomkostningerne og undgå miljøforringelse. </w:t>
      </w:r>
    </w:p>
    <w:p>
      <w:pPr>
        <w:pStyle w:val="Normal"/>
        <w:rPr/>
      </w:pPr>
      <w:r>
        <w:rPr/>
        <w:t xml:space="preserve"> </w:t>
      </w:r>
    </w:p>
    <w:p>
      <w:pPr>
        <w:pStyle w:val="P68B1DB1Normal15"/>
        <w:rPr>
          <w:b/>
          <w:b/>
        </w:rPr>
      </w:pPr>
      <w:r>
        <w:rPr/>
        <w:t>2. Vi anbefaler, at EU mindsker sin afhængighed af olie- og gasimport. Dette vil kræve aktiv støtte til offentlige transport- og energieffektivitetsprojekter, et europæisk højhastighedsjernbanenet, udvidelse af ren og vedvarende energiforsyning (herunder sol- og vindenergi) og alternative teknologier (såsom brint eller energiudnyttelse af affald). Den Europæiske Union bør også tilskynde til en ændring af tankegangen og tilskynde til, at privatbiler opgives til fordel for offentlig transport, bildeling ved hjælp af elektriske køretøjer og cykler.</w:t>
      </w:r>
    </w:p>
    <w:p>
      <w:pPr>
        <w:pStyle w:val="Normal"/>
        <w:rPr/>
      </w:pPr>
      <w:r>
        <w:rPr/>
      </w:r>
    </w:p>
    <w:p>
      <w:pPr>
        <w:pStyle w:val="Normal"/>
        <w:rPr/>
      </w:pPr>
      <w:r>
        <w:rPr/>
        <w:t>Vi anbefaler disse foranstaltninger, fordi de skaber en situation, der fremmer både Europas autonomi ved at reducere dets eksterne afhængighed og opfyldelsen af ambitiøse klima- og CO2-</w:t>
      </w:r>
      <w:r>
        <w:rPr>
          <w:vertAlign w:val="subscript"/>
        </w:rPr>
        <w:t>emissionsreduktionsmål</w:t>
      </w:r>
      <w:r>
        <w:rPr/>
        <w:t xml:space="preserve">. De vil også gøre det muligt for Europa at blive en vigtig aktør inden for fremtidige teknologier, styrke sin økonomi og skabe arbejdspladser. </w:t>
      </w:r>
    </w:p>
    <w:p>
      <w:pPr>
        <w:pStyle w:val="Normal"/>
        <w:rPr/>
      </w:pPr>
      <w:r>
        <w:rPr/>
        <w:t xml:space="preserve"> </w:t>
      </w:r>
    </w:p>
    <w:p>
      <w:pPr>
        <w:pStyle w:val="P68B1DB1Normal15"/>
        <w:rPr>
          <w:b/>
          <w:b/>
        </w:rPr>
      </w:pPr>
      <w:r>
        <w:rPr/>
        <w:t xml:space="preserve">3. Vi anbefaler, at der vedtages en lov på EU-plan for at sikre, at alle EU's produktions- og leveringsprocesser og importerede varer overholder europæiske standarder for kvalitet, etik og bæredygtighed samt alle gældende europæiske menneskerettighedsstandarder, og at produkter, der opfylder disse kriterier, er certificeret. </w:t>
      </w:r>
    </w:p>
    <w:p>
      <w:pPr>
        <w:pStyle w:val="Normal"/>
        <w:rPr/>
      </w:pPr>
      <w:r>
        <w:rPr/>
        <w:t xml:space="preserve"> </w:t>
      </w:r>
    </w:p>
    <w:p>
      <w:pPr>
        <w:pStyle w:val="Normal"/>
        <w:rPr/>
      </w:pPr>
      <w:r>
        <w:rPr/>
        <w:t xml:space="preserve">Vi anbefaler disse foranstaltninger, fordi de giver forbrugere og erhvervsdrivende let adgang til oplysninger om de produkter, de køber eller sælger. For at gøre dette skal du blot konsultere certificeringssystemet. Certificering mindsker også kløften mellem billige og dyre produkter på markedet. Billige produkter vil ikke opfylde de krævede kriterier og vil derfor ikke være i stand til at præsentere sig selv som værende af god kvalitet. Ved at opfylde certificeringskriterierne vil miljøet blive beskyttet, spare ressourcer og tilskynde til ansvarligt forbrug. </w:t>
      </w:r>
    </w:p>
    <w:p>
      <w:pPr>
        <w:pStyle w:val="Normal"/>
        <w:rPr/>
      </w:pPr>
      <w:r>
        <w:rPr/>
        <w:t xml:space="preserve"> </w:t>
      </w:r>
    </w:p>
    <w:p>
      <w:pPr>
        <w:pStyle w:val="P68B1DB1Normal15"/>
        <w:rPr>
          <w:b/>
          <w:b/>
        </w:rPr>
      </w:pPr>
      <w:r>
        <w:rPr/>
        <w:t xml:space="preserve">4. Vi anbefaler, at der gennemføres et europæisk program til støtte for små lokale producenter i strategiske sektorer i alle medlemsstater. Disse producenter vil drage fordel af erhvervsuddannelse, finansiel støtte gennem subsidier og (hvis der er råvarer til rådighed i Unionen) et incitament til at producere mere støtteberettigede varer til skade for importen. </w:t>
      </w:r>
    </w:p>
    <w:p>
      <w:pPr>
        <w:pStyle w:val="Normal"/>
        <w:rPr/>
      </w:pPr>
      <w:r>
        <w:rPr/>
        <w:t xml:space="preserve"> </w:t>
      </w:r>
    </w:p>
    <w:p>
      <w:pPr>
        <w:pStyle w:val="Normal"/>
        <w:rPr/>
      </w:pPr>
      <w:r>
        <w:rPr/>
        <w:t xml:space="preserve">Vi anbefaler disse foranstaltninger, fordi Unionen ved at støtte producenter i strategiske sektorer i Unionen er i stand til at opnå økonomisk uafhængighed i disse sektorer. Dette kan kun tilskynde til en styrkelse af hele produktionsprocessen og dermed tilskynde til innovation. Dette vil resultere i en mere bæredygtig produktion af råstoffer i EU, som vil reducere transportomkostningerne og beskytte miljøet. </w:t>
      </w:r>
    </w:p>
    <w:p>
      <w:pPr>
        <w:pStyle w:val="Normal"/>
        <w:rPr/>
      </w:pPr>
      <w:r>
        <w:rPr/>
        <w:t xml:space="preserve"> </w:t>
      </w:r>
    </w:p>
    <w:p>
      <w:pPr>
        <w:pStyle w:val="P68B1DB1Normal15"/>
        <w:rPr>
          <w:b/>
          <w:b/>
        </w:rPr>
      </w:pPr>
      <w:r>
        <w:rPr/>
        <w:t xml:space="preserve">5. Vi anbefaler at forbedre gennemførelsen af menneskerettighederne på europæisk plan som følger: at øge bevidstheden blandt lande, der i det omfang, det er hensigtsmæssigt, ikke overholder den europæiske menneskerettighedskonvention (EMRK) eller konventionen til beskyttelse af menneskerettigheder og grundlæggende frihedsrettigheder sikre nøje overvågning, koordineret af Den Europæiske Union og resultattavlen for retsområdet, af, i hvilket omfang menneskerettighederne respekteres i de forskellige medlemsstater, og sikre, at de overholdes nøje gennem forskellige former for sanktioner. </w:t>
      </w:r>
    </w:p>
    <w:p>
      <w:pPr>
        <w:pStyle w:val="Normal"/>
        <w:rPr/>
      </w:pPr>
      <w:r>
        <w:rPr/>
        <w:t xml:space="preserve"> </w:t>
      </w:r>
    </w:p>
    <w:p>
      <w:pPr>
        <w:pStyle w:val="Normal"/>
        <w:rPr/>
      </w:pPr>
      <w:r>
        <w:rPr/>
        <w:t xml:space="preserve">Vi anbefaler disse foranstaltninger, fordi menneskerettighederne allerede er blevet accepteret af medlemsstaterne, da de ratificerede den europæiske menneskerettighedskonvention, men det er nu nødvendigt at forbedre deres accept i hver af medlemsstaterne, så menneskerettighederne kendes og gennemføres aktivt i disse medlemsstater. </w:t>
      </w:r>
    </w:p>
    <w:p>
      <w:pPr>
        <w:pStyle w:val="Normal"/>
        <w:rPr/>
      </w:pPr>
      <w:r>
        <w:rPr/>
        <w:t xml:space="preserve"> </w:t>
      </w:r>
    </w:p>
    <w:p>
      <w:pPr>
        <w:pStyle w:val="P68B1DB1Normal15"/>
        <w:rPr>
          <w:b/>
          <w:b/>
        </w:rPr>
      </w:pPr>
      <w:r>
        <w:rPr/>
        <w:t xml:space="preserve">6. Vi anbefaler, at der iværksættes en revision og en intensiv kommunikationskampagne på europæisk plan for at sikre, at Eures (det europæiske arbejdsformidlingsnetværk), EU's indvandringsportal og det europæiske værktøj for færdighedsprofiler for tredjelandsstatsborgere er bedre kendt af europæiske borgere og anvendes hyppigere af EU-virksomheder til at offentliggøre og reklamere for deres jobtilbud. </w:t>
      </w:r>
    </w:p>
    <w:p>
      <w:pPr>
        <w:pStyle w:val="Normal"/>
        <w:rPr/>
      </w:pPr>
      <w:r>
        <w:rPr/>
        <w:t xml:space="preserve"> </w:t>
      </w:r>
    </w:p>
    <w:p>
      <w:pPr>
        <w:pStyle w:val="Normal"/>
        <w:rPr/>
      </w:pPr>
      <w:r>
        <w:rPr/>
        <w:t xml:space="preserve">Vi anbefaler, at der ikke oprettes en ny onlineplatform til offentliggørelse af jobtilbud til unge europæere. Der er allerede mere end nok initiativer af denne art på europæisk plan. Vi mener, at det for at øge bevidstheden om den eksisterende arbejdsstyrke og beskæftigelsesmuligheder på europæisk plan er at foretrække at forbedre det, der allerede findes. </w:t>
      </w:r>
    </w:p>
    <w:p>
      <w:pPr>
        <w:pStyle w:val="Normal"/>
        <w:rPr/>
      </w:pPr>
      <w:r>
        <w:rPr/>
        <w:t xml:space="preserve"> </w:t>
      </w:r>
    </w:p>
    <w:p>
      <w:pPr>
        <w:pStyle w:val="Titre4"/>
        <w:numPr>
          <w:ilvl w:val="3"/>
          <w:numId w:val="2"/>
        </w:numPr>
        <w:rPr/>
      </w:pPr>
      <w:bookmarkStart w:id="184" w:name="__RefHeading___Toc297303_1346298689"/>
      <w:bookmarkEnd w:id="184"/>
      <w:r>
        <w:rPr/>
        <w:t xml:space="preserve">Underakse 1.2 — Grænser </w:t>
      </w:r>
    </w:p>
    <w:p>
      <w:pPr>
        <w:pStyle w:val="P68B1DB1Normal15"/>
        <w:rPr>
          <w:b/>
          <w:b/>
        </w:rPr>
      </w:pPr>
      <w:r>
        <w:rPr/>
        <w:t xml:space="preserve">7. Vi anbefaler, at der oprettes en mekanisme for arbejdskraftmigration i EU baseret på de europæiske arbejdsmarkeders reelle behov. Der bør være en fælles ordning for anerkendelse af erhvervsmæssige og akademiske eksamensbeviser, der findes i Den Europæiske Union og i tredjelande. Der bør være tilbud om faglige kvalifikationer samt tilbud om kulturel og sproglig integration til kvalificerede migranter. Asylansøgere med de rette kvalifikationer bør have adgang til arbejdsmarkedet. Der bør være et integreret agentur, som det europæiske arbejdsformidlingsnet kan danne grundlag for. </w:t>
      </w:r>
    </w:p>
    <w:p>
      <w:pPr>
        <w:pStyle w:val="Normal"/>
        <w:rPr/>
      </w:pPr>
      <w:r>
        <w:rPr/>
        <w:t xml:space="preserve"> </w:t>
      </w:r>
    </w:p>
    <w:p>
      <w:pPr>
        <w:pStyle w:val="Normal"/>
        <w:rPr/>
      </w:pPr>
      <w:r>
        <w:rPr/>
        <w:t xml:space="preserve">Vi anbefaler disse foranstaltninger, fordi Europa har brug for kvalificeret arbejdskraft i visse sektorer, hvor det ikke er muligt fuldt ud at dække efterspørgslen fra EU-arbejdstagere. Der er i øjeblikket ikke nok levedygtige måder at ansøge lovligt om en arbejdstilladelse i EU. Et europæisk system for anerkendelse af erhvervsmæssige og akademiske eksamensbeviser vil gøre det lettere at opfylde disse behov og forenkle arbejdsmigrationen inden for Unionen og arbejdsmigrationen fra lande uden for Unionen. Efterspørgslen efter arbejdskraft kunne således bedre imødekommes, og ulovlig indvandring ville blive bedre forvaltet. En åbning af mekanismen for arbejdskraftmigration for asylansøgere vil fremskynde deres integration i de europæiske økonomier og samfund. </w:t>
      </w:r>
    </w:p>
    <w:p>
      <w:pPr>
        <w:pStyle w:val="Normal"/>
        <w:rPr/>
      </w:pPr>
      <w:r>
        <w:rPr/>
        <w:t xml:space="preserve"> </w:t>
      </w:r>
    </w:p>
    <w:p>
      <w:pPr>
        <w:pStyle w:val="P68B1DB1Normal15"/>
        <w:rPr>
          <w:b/>
          <w:b/>
        </w:rPr>
      </w:pPr>
      <w:r>
        <w:rPr/>
        <w:t xml:space="preserve">8. Vi anbefaler, at Den Europæiske Union styrker sin lovgivning for at give Frontex mere magt og uafhængighed. Det vil således være i stand til at gribe ind i alle medlemsstater for at sikre beskyttelsen af alle Unionens ydre grænser. Unionen bør imidlertid foretage revisioner af Frontex' organisatoriske processer, da det skal fungere på en gennemsigtig måde for at undgå enhver form for misbrug. </w:t>
      </w:r>
    </w:p>
    <w:p>
      <w:pPr>
        <w:pStyle w:val="Normal"/>
        <w:rPr/>
      </w:pPr>
      <w:r>
        <w:rPr/>
        <w:t xml:space="preserve"> </w:t>
      </w:r>
    </w:p>
    <w:p>
      <w:pPr>
        <w:pStyle w:val="Normal"/>
        <w:rPr/>
      </w:pPr>
      <w:r>
        <w:rPr/>
        <w:t xml:space="preserve">Vi anbefaler disse foranstaltninger, fordi det efter vores opfattelse er uacceptabelt, at Frontex nægtes adgang til grænser, især når der er tale om en krænkelse af menneskerettighederne. Vi vil være sikre på, at Frontex anvender EU-lovgivningen. Frontex skal selv underkastes kontrol og verifikation for at undgå uhensigtsmæssig adfærd inden for Frontex. </w:t>
      </w:r>
    </w:p>
    <w:p>
      <w:pPr>
        <w:pStyle w:val="Normal"/>
        <w:rPr/>
      </w:pPr>
      <w:r>
        <w:rPr/>
        <w:t xml:space="preserve"> </w:t>
      </w:r>
    </w:p>
    <w:p>
      <w:pPr>
        <w:pStyle w:val="P68B1DB1Normal15"/>
        <w:rPr>
          <w:b/>
          <w:b/>
        </w:rPr>
      </w:pPr>
      <w:r>
        <w:rPr/>
        <w:t xml:space="preserve">9. Vi anbefaler, at Den Europæiske Union, navnlig for økonomiske migranter, tilrettelægger muligheden for at udvælge borgere i oprindelseslandet (baseret på deres dokumenterede kvalifikationer, baggrund osv.) for at afgøre, hvem der kan komme for at arbejde i EU i overensstemmelse med økonomiens behov og de ledige job i værtslandet. Disse udvælgelseskriterier skal være offentlige og tilgængelige for alle. Med henblik herpå bør der oprettes et europæisk indvandringsagentur (online). </w:t>
      </w:r>
    </w:p>
    <w:p>
      <w:pPr>
        <w:pStyle w:val="Normal"/>
        <w:rPr/>
      </w:pPr>
      <w:r>
        <w:rPr/>
        <w:t xml:space="preserve"> </w:t>
      </w:r>
    </w:p>
    <w:p>
      <w:pPr>
        <w:pStyle w:val="Normal"/>
        <w:rPr/>
      </w:pPr>
      <w:r>
        <w:rPr/>
        <w:t xml:space="preserve">Vi anbefaler disse foranstaltninger, fordi der på denne måde ikke længere vil være behov for at krydse grænserne ulovligt. Strømmen af mennesker, der kommer ind i EU, vil blive kontrolleret, hvilket vil mindske presset ved grænserne og samtidig gøre det lettere at opfylde værtslandets arbejdskraftbehov. </w:t>
      </w:r>
    </w:p>
    <w:p>
      <w:pPr>
        <w:pStyle w:val="Normal"/>
        <w:rPr/>
      </w:pPr>
      <w:r>
        <w:rPr/>
        <w:t xml:space="preserve"> </w:t>
      </w:r>
    </w:p>
    <w:p>
      <w:pPr>
        <w:pStyle w:val="P68B1DB1Normal15"/>
        <w:rPr>
          <w:b/>
          <w:b/>
        </w:rPr>
      </w:pPr>
      <w:r>
        <w:rPr/>
        <w:t xml:space="preserve">10. Vi anbefaler, at EU sikrer, at modtagelsespolitikken og -faciliteterne er identiske ved alle grænser, respekterer menneskerettighederne og sikrer sikkerheden og sundheden for alle migranter (herunder f.eks. gravide kvinder og børn). </w:t>
      </w:r>
    </w:p>
    <w:p>
      <w:pPr>
        <w:pStyle w:val="Normal"/>
        <w:rPr/>
      </w:pPr>
      <w:r>
        <w:rPr/>
        <w:t xml:space="preserve"> </w:t>
      </w:r>
    </w:p>
    <w:p>
      <w:pPr>
        <w:pStyle w:val="Normal"/>
        <w:rPr/>
      </w:pPr>
      <w:r>
        <w:rPr/>
        <w:t xml:space="preserve">Vi anbefaler disse foranstaltninger, fordi vi lægger stor vægt på ligebehandling af migranter ved alle grænser. Vi ønsker at sikre, at migranterne ikke bliver for længe ved grænserne, og at medlemsstaterne bliver overvældet af strømmen af migranter. Medlemsstaterne skal være veludstyrede til at rumme dem. </w:t>
      </w:r>
    </w:p>
    <w:p>
      <w:pPr>
        <w:pStyle w:val="Normal"/>
        <w:rPr/>
      </w:pPr>
      <w:r>
        <w:rPr/>
        <w:t xml:space="preserve"> </w:t>
      </w:r>
    </w:p>
    <w:p>
      <w:pPr>
        <w:pStyle w:val="Titre3"/>
        <w:numPr>
          <w:ilvl w:val="2"/>
          <w:numId w:val="2"/>
        </w:numPr>
        <w:rPr/>
      </w:pPr>
      <w:bookmarkStart w:id="185" w:name="__RefHeading___Toc297305_1346298689"/>
      <w:bookmarkEnd w:id="185"/>
      <w:r>
        <w:rPr/>
        <w:t xml:space="preserve">Akse 2: EU som international partner </w:t>
      </w:r>
    </w:p>
    <w:p>
      <w:pPr>
        <w:pStyle w:val="Titre4"/>
        <w:numPr>
          <w:ilvl w:val="3"/>
          <w:numId w:val="2"/>
        </w:numPr>
        <w:rPr/>
      </w:pPr>
      <w:bookmarkStart w:id="186" w:name="__RefHeading___Toc297307_1346298689"/>
      <w:bookmarkEnd w:id="186"/>
      <w:r>
        <w:rPr/>
        <w:t xml:space="preserve">Sub-akse 2.1 — Handel og relationer fra et etisk perspektiv </w:t>
      </w:r>
    </w:p>
    <w:p>
      <w:pPr>
        <w:pStyle w:val="P68B1DB1Normal15"/>
        <w:rPr>
          <w:b/>
          <w:b/>
        </w:rPr>
      </w:pPr>
      <w:r>
        <w:rPr/>
        <w:t xml:space="preserve">11. Vi anbefaler, at EU indfører restriktioner på import af produkter fra lande, der tillader børnearbejde. For at gøre dette bør der udarbejdes en sort liste over virksomheder, som regelmæssigt ajourføres i overensstemmelse med udviklingen. Vi anbefaler også at sikre gradvis adgang til uddannelse for børn, der holder op med at arbejde, samt at øge forbrugernes bevidsthed om børnearbejde gennem oplysninger, der officielt formidles af Den Europæiske Union, f.eks. gennem kampagner eller historiefortælling. </w:t>
      </w:r>
    </w:p>
    <w:p>
      <w:pPr>
        <w:pStyle w:val="Normal"/>
        <w:rPr/>
      </w:pPr>
      <w:r>
        <w:rPr/>
        <w:t xml:space="preserve"> </w:t>
      </w:r>
    </w:p>
    <w:p>
      <w:pPr>
        <w:pStyle w:val="Normal"/>
        <w:rPr/>
      </w:pPr>
      <w:r>
        <w:rPr/>
        <w:t xml:space="preserve">Vi anbefaler disse foranstaltninger, fordi vi mener, at der er en sammenhæng mellem manglende skolegang og børnearbejde. Med denne anbefaling ønsker vi at øge forbrugernes bevidsthed og mindske efterspørgslen efter produkter fra børn, så denne praksis ender med at forsvinde. </w:t>
      </w:r>
    </w:p>
    <w:p>
      <w:pPr>
        <w:pStyle w:val="Normal"/>
        <w:rPr/>
      </w:pPr>
      <w:r>
        <w:rPr/>
        <w:t xml:space="preserve"> </w:t>
      </w:r>
    </w:p>
    <w:p>
      <w:pPr>
        <w:pStyle w:val="P68B1DB1Normal15"/>
        <w:rPr>
          <w:b/>
          <w:b/>
        </w:rPr>
      </w:pPr>
      <w:r>
        <w:rPr/>
        <w:t xml:space="preserve">12. Vi anbefaler, at Den Europæiske Union udvikler partnerskaber med udviklingslande for at støtte deres infrastruktur og udveksle ekspertise til gengæld for gensidigt fordelagtige handelsaftaler, der kan ledsage dem i omstillingen til grønne energikilder. </w:t>
      </w:r>
    </w:p>
    <w:p>
      <w:pPr>
        <w:pStyle w:val="Normal"/>
        <w:rPr/>
      </w:pPr>
      <w:r>
        <w:rPr/>
        <w:t xml:space="preserve"> </w:t>
      </w:r>
    </w:p>
    <w:p>
      <w:pPr>
        <w:pStyle w:val="Normal"/>
        <w:rPr/>
      </w:pPr>
      <w:r>
        <w:rPr/>
        <w:t xml:space="preserve">Vi anbefaler disse foranstaltninger for at lette udviklingslandenes overgang til vedvarende energi gennem handelspartnerskaber og diplomatiske aftaler. Den Europæiske Union og udviklingslandene vil således udvikle gode langsigtede forbindelser, som kan bidrage til at bekæmpe klimaændringerne. </w:t>
      </w:r>
    </w:p>
    <w:p>
      <w:pPr>
        <w:pStyle w:val="Normal"/>
        <w:rPr/>
      </w:pPr>
      <w:r>
        <w:rPr/>
        <w:t xml:space="preserve"> </w:t>
      </w:r>
    </w:p>
    <w:p>
      <w:pPr>
        <w:pStyle w:val="P68B1DB1Normal15"/>
        <w:rPr>
          <w:b/>
          <w:b/>
        </w:rPr>
      </w:pPr>
      <w:r>
        <w:rPr/>
        <w:t xml:space="preserve">13. Vi anbefaler, at EU pålægger alle forbrugerprodukter en europæisk miljøvirkningsindikator (økoscore). Ecoscore beregnes på grundlag af emissioner fra produktion og transport samt indholdets skadelighed på grundlag af en liste over farlige produkter. Ecoscore bør forvaltes og kontrolleres af en europæisk myndighed. </w:t>
      </w:r>
    </w:p>
    <w:p>
      <w:pPr>
        <w:pStyle w:val="Normal"/>
        <w:rPr/>
      </w:pPr>
      <w:r>
        <w:rPr/>
        <w:t xml:space="preserve"> </w:t>
      </w:r>
    </w:p>
    <w:p>
      <w:pPr>
        <w:pStyle w:val="Normal"/>
        <w:rPr/>
      </w:pPr>
      <w:r>
        <w:rPr/>
        <w:t xml:space="preserve">Vi anbefaler disse foranstaltninger, således at de europæiske forbrugere bliver bedre bevidste om de produkters miljøaftryk, de køber. Ecoscore vil gøre det let at angive, i hvilket omfang et produkt respekterer miljøet gennem en fælles skala i hele Europa. Ecoscore bør have en QR-kode på bagsiden af produktet for at kunne konsultere yderligere oplysninger om dets miljøaftryk. </w:t>
      </w:r>
    </w:p>
    <w:p>
      <w:pPr>
        <w:pStyle w:val="Normal"/>
        <w:rPr/>
      </w:pPr>
      <w:r>
        <w:rPr/>
        <w:t xml:space="preserve"> </w:t>
      </w:r>
    </w:p>
    <w:p>
      <w:pPr>
        <w:pStyle w:val="Titre4"/>
        <w:numPr>
          <w:ilvl w:val="3"/>
          <w:numId w:val="2"/>
        </w:numPr>
        <w:rPr/>
      </w:pPr>
      <w:bookmarkStart w:id="187" w:name="__RefHeading___Toc297309_1346298689"/>
      <w:bookmarkEnd w:id="187"/>
      <w:r>
        <w:rPr/>
        <w:t xml:space="preserve">Delakse 2.2 — International klimaindsats </w:t>
      </w:r>
    </w:p>
    <w:p>
      <w:pPr>
        <w:pStyle w:val="P68B1DB1Normal15"/>
        <w:rPr>
          <w:b/>
          <w:b/>
        </w:rPr>
      </w:pPr>
      <w:r>
        <w:rPr/>
        <w:t xml:space="preserve">14. Vi anbefaler, at EU vedtager en strategi for at gøre den mere selvstændig i sin energiproduktion. Et europæisk organ, der samler de nuværende europæiske energiinstitutioner, bør koordinere udviklingen af vedvarende energi i overensstemmelse med medlemsstaternes behov, kapacitet og ressourcer, samtidig med at deres suverænitet respekteres. Institutionerne vil tilskynde til indbyrdes udveksling af viden med henblik på at gennemføre denne strategi. </w:t>
      </w:r>
    </w:p>
    <w:p>
      <w:pPr>
        <w:pStyle w:val="Normal"/>
        <w:rPr/>
      </w:pPr>
      <w:r>
        <w:rPr/>
        <w:t xml:space="preserve"> </w:t>
      </w:r>
    </w:p>
    <w:p>
      <w:pPr>
        <w:pStyle w:val="Normal"/>
        <w:rPr/>
      </w:pPr>
      <w:r>
        <w:rPr/>
        <w:t xml:space="preserve">Vi anbefaler disse foranstaltninger, fordi vores nuværende afhængighed gør os sårbare i tilfælde af politiske spændinger med de lande, vi importerer vores energi. Det ser vi nu med elkrisen. Ikke desto mindre bør en sådan koordinering respektere hvert lands suverænitet. </w:t>
      </w:r>
    </w:p>
    <w:p>
      <w:pPr>
        <w:pStyle w:val="Normal"/>
        <w:rPr/>
      </w:pPr>
      <w:r>
        <w:rPr/>
        <w:t xml:space="preserve"> </w:t>
      </w:r>
    </w:p>
    <w:p>
      <w:pPr>
        <w:pStyle w:val="P68B1DB1Normal15"/>
        <w:rPr>
          <w:b/>
          <w:b/>
        </w:rPr>
      </w:pPr>
      <w:r>
        <w:rPr/>
        <w:t xml:space="preserve">15. Vi anbefaler at styrke miljøstandarderne for eksport af affald inden for og uden for EU samt strengere kontrol og sanktioner for at stoppe ulovlig eksport. EU bør tilskynde medlemsstaterne til yderligere at genanvende deres eget affald og bruge det til at producere energi. </w:t>
      </w:r>
    </w:p>
    <w:p>
      <w:pPr>
        <w:pStyle w:val="Normal"/>
        <w:rPr/>
      </w:pPr>
      <w:r>
        <w:rPr/>
        <w:t xml:space="preserve"> </w:t>
      </w:r>
    </w:p>
    <w:p>
      <w:pPr>
        <w:pStyle w:val="Normal"/>
        <w:rPr/>
      </w:pPr>
      <w:r>
        <w:rPr/>
        <w:t xml:space="preserve">Vi anbefaler disse foranstaltninger for at sætte en stopper for miljøskader i lande, der bortskaffer deres affald til skade for andre lande, især når der er fuldstændig manglende overholdelse af miljøstandarderne. </w:t>
      </w:r>
    </w:p>
    <w:p>
      <w:pPr>
        <w:pStyle w:val="Normal"/>
        <w:rPr/>
      </w:pPr>
      <w:r>
        <w:rPr/>
        <w:t xml:space="preserve"> </w:t>
      </w:r>
    </w:p>
    <w:p>
      <w:pPr>
        <w:pStyle w:val="P68B1DB1Normal15"/>
        <w:rPr>
          <w:b/>
          <w:b/>
        </w:rPr>
      </w:pPr>
      <w:r>
        <w:rPr/>
        <w:t xml:space="preserve">16. Vi anbefaler, at EU mere beslutsomt tilskynder til den igangværende økologiske omstilling ved at sigte mod eliminering af forurenende emballager. Dette bør gøres ved at tilskynde til reduktion af emballagen eller fremme grønnere emballage. For at små virksomheder kan tilpasse sig, bør de modtage støtte og justeringer. </w:t>
      </w:r>
    </w:p>
    <w:p>
      <w:pPr>
        <w:pStyle w:val="Normal"/>
        <w:rPr/>
      </w:pPr>
      <w:r>
        <w:rPr/>
        <w:t xml:space="preserve"> </w:t>
      </w:r>
    </w:p>
    <w:p>
      <w:pPr>
        <w:pStyle w:val="Normal"/>
        <w:rPr/>
      </w:pPr>
      <w:r>
        <w:rPr/>
        <w:t xml:space="preserve">Vi anbefaler disse foranstaltninger, fordi vi er nødt til at reducere brugen af naturressourcer, herunder råvarer fra lande uden for EU. Vi skal også reducere europæernes skader på vores planet og dens klima. Det er vigtigt at støtte små virksomheder bedre, så de kan tilpasse sig uden at skulle hæve deres priser. </w:t>
      </w:r>
    </w:p>
    <w:p>
      <w:pPr>
        <w:pStyle w:val="Normal"/>
        <w:rPr/>
      </w:pPr>
      <w:r>
        <w:rPr/>
        <w:t xml:space="preserve"> </w:t>
      </w:r>
    </w:p>
    <w:p>
      <w:pPr>
        <w:pStyle w:val="P68B1DB1Normal15"/>
        <w:rPr>
          <w:b/>
          <w:b/>
        </w:rPr>
      </w:pPr>
      <w:r>
        <w:rPr/>
        <w:t xml:space="preserve">17. Vi anbefaler, at EU-landene ser mere seriøst på atomenergispørgsmålet sammen. Samarbejdet bør intensiveres for at vurdere anvendelsen af kerneenergi og dens rolle i Europas grønne energiomstilling. </w:t>
      </w:r>
    </w:p>
    <w:p>
      <w:pPr>
        <w:pStyle w:val="Normal"/>
        <w:rPr/>
      </w:pPr>
      <w:r>
        <w:rPr/>
        <w:t xml:space="preserve"> </w:t>
      </w:r>
    </w:p>
    <w:p>
      <w:pPr>
        <w:pStyle w:val="Normal"/>
        <w:rPr/>
      </w:pPr>
      <w:r>
        <w:rPr/>
        <w:t xml:space="preserve">Vi anbefaler disse foranstaltninger, fordi det nukleare problem ikke kan løses af et land isoleret. Der er nu mere end 100 reaktorer i halvdelen af medlemsstaterne, og nye reaktorer er under opførelse. Da vi deler et fælles elnet, gavner den kulstoffattige elektricitet, de producerer, alle europæere og øger vores kontinents energiautonomi. Desuden vil opgivelse af nukleart affald eller en ulykke påvirke flere lande. Uanset om det besluttes at anvende kerneenergi eller ej, skal europæerne drøfte den sammen og definere mere konvergerende strategier, samtidig med at den nationale suverænitet respekteres. </w:t>
      </w:r>
    </w:p>
    <w:p>
      <w:pPr>
        <w:pStyle w:val="Normal"/>
        <w:rPr/>
      </w:pPr>
      <w:r>
        <w:rPr/>
        <w:t xml:space="preserve"> </w:t>
      </w:r>
    </w:p>
    <w:p>
      <w:pPr>
        <w:pStyle w:val="Titre4"/>
        <w:numPr>
          <w:ilvl w:val="3"/>
          <w:numId w:val="2"/>
        </w:numPr>
        <w:rPr/>
      </w:pPr>
      <w:bookmarkStart w:id="188" w:name="__RefHeading___Toc297311_1346298689"/>
      <w:bookmarkEnd w:id="188"/>
      <w:r>
        <w:rPr/>
        <w:t xml:space="preserve">Delakse 2.3 — Fremme af europæiske værdier </w:t>
      </w:r>
    </w:p>
    <w:p>
      <w:pPr>
        <w:pStyle w:val="P68B1DB1Normal15"/>
        <w:rPr>
          <w:b/>
          <w:b/>
        </w:rPr>
      </w:pPr>
      <w:r>
        <w:rPr/>
        <w:t xml:space="preserve">18. EU bør være tættere på borgerne. Vi anbefaler, at EU etablerer og styrker forbindelserne med borgere og lokale institutioner såsom lokale myndigheder, skoler og kommuner. Målet er at forbedre gennemsigtigheden, nå ud til borgerne, informere dem bedre om konkrete EU-initiativer og formidle generelle EU-oplysninger bedre. </w:t>
      </w:r>
    </w:p>
    <w:p>
      <w:pPr>
        <w:pStyle w:val="Normal"/>
        <w:rPr/>
      </w:pPr>
      <w:r>
        <w:rPr/>
        <w:t xml:space="preserve"> </w:t>
      </w:r>
    </w:p>
    <w:p>
      <w:pPr>
        <w:pStyle w:val="Normal"/>
        <w:rPr/>
      </w:pPr>
      <w:r>
        <w:rPr/>
        <w:t xml:space="preserve">Vi anbefaler disse foranstaltninger, fordi de nuværende oplysninger om EU ikke er tilstrækkeligt tilgængelige for alle sociale grupper og ikke berører almindelige borgere. De er ofte kedelige, svære at forstå og uvenlige. Denne situation skal ændres, så borgerne får en klar vision for EU's handlinger og rolle. For at tiltrække offentlighedens interesse skal EU-relateret information være let at finde, motiverende, interessant og skrevet på fælles sprog. Her er vores forslag: tilrettelæggelse af europæiske politikeres besøg i skoler, radiokampagner i form af podcasts, breve, presseartikler, reklamebusser og sociale medier, lokale borgerforsamlinger og nedsættelse af en arbejdsgruppe, der specifikt skal forbedre EU's kommunikation. Disse foranstaltninger vil gøre det muligt for borgerne at få oplysninger om EU, som ikke filtreres af de nationale medier. </w:t>
      </w:r>
    </w:p>
    <w:p>
      <w:pPr>
        <w:pStyle w:val="Normal"/>
        <w:rPr/>
      </w:pPr>
      <w:r>
        <w:rPr/>
        <w:t xml:space="preserve"> </w:t>
      </w:r>
    </w:p>
    <w:p>
      <w:pPr>
        <w:pStyle w:val="P68B1DB1Normal15"/>
        <w:rPr>
          <w:b/>
          <w:b/>
        </w:rPr>
      </w:pPr>
      <w:r>
        <w:rPr/>
        <w:t xml:space="preserve">19. Vi anbefaler, at borgerne i højere grad deltager i EU's politikker. Vi foreslår, at der afholdes arrangementer med direkte deltagelse af borgerne efter modellen for konferencen om Europas fremtid. De bør organiseres på nationalt, lokalt og europæisk plan. EU bør fastlægge en sammenhængende strategi og centraliseret vejledning for disse arrangementer. </w:t>
      </w:r>
    </w:p>
    <w:p>
      <w:pPr>
        <w:pStyle w:val="Normal"/>
        <w:rPr/>
      </w:pPr>
      <w:r>
        <w:rPr/>
        <w:t xml:space="preserve"> </w:t>
      </w:r>
    </w:p>
    <w:p>
      <w:pPr>
        <w:pStyle w:val="Normal"/>
        <w:rPr/>
      </w:pPr>
      <w:r>
        <w:rPr/>
        <w:t xml:space="preserve">Vi anbefaler disse foranstaltninger, fordi disse deltagelsesdemokratiøvelser vil give korrekte oplysninger om EU og forbedre kvaliteten af EU's politikker. Arrangementerne bør tilrettelægges på en sådan måde, at EU's grundlæggende værdier — demokrati og borgernes deltagelse fremmes. Disse begivenheder vil give politikerne mulighed for at vise borgerne, at det er vigtigt for dem, at borgerne informeres om de aktuelle begivenheder og er forbundet med deres definition. Centraliseret vejledning vil sikre sammenhæng og konsekvens i nationale og lokale konferencer. </w:t>
      </w:r>
    </w:p>
    <w:p>
      <w:pPr>
        <w:pStyle w:val="Normal"/>
        <w:rPr/>
      </w:pPr>
      <w:r>
        <w:rPr/>
        <w:t xml:space="preserve"> </w:t>
      </w:r>
    </w:p>
    <w:p>
      <w:pPr>
        <w:pStyle w:val="Titre3"/>
        <w:numPr>
          <w:ilvl w:val="2"/>
          <w:numId w:val="2"/>
        </w:numPr>
        <w:rPr/>
      </w:pPr>
      <w:bookmarkStart w:id="189" w:name="__RefHeading___Toc297313_1346298689"/>
      <w:bookmarkEnd w:id="189"/>
      <w:r>
        <w:rPr/>
        <w:t xml:space="preserve">Akse 3: Et stærkt EU i en fredelig verden </w:t>
      </w:r>
    </w:p>
    <w:p>
      <w:pPr>
        <w:pStyle w:val="Titre4"/>
        <w:numPr>
          <w:ilvl w:val="3"/>
          <w:numId w:val="2"/>
        </w:numPr>
        <w:rPr/>
      </w:pPr>
      <w:bookmarkStart w:id="190" w:name="__RefHeading___Toc297315_1346298689"/>
      <w:bookmarkEnd w:id="190"/>
      <w:r>
        <w:rPr/>
        <w:t xml:space="preserve">Delakse 3.1 — Sikkerhed og forsvar </w:t>
      </w:r>
    </w:p>
    <w:p>
      <w:pPr>
        <w:pStyle w:val="P68B1DB1Normal15"/>
        <w:rPr>
          <w:b/>
          <w:b/>
        </w:rPr>
      </w:pPr>
      <w:r>
        <w:rPr/>
        <w:t xml:space="preserve">20. Vi anbefaler, at fremtidige "EU's fælles væbnede styrker" primært anvendes til forsvarsformål. Enhver aggressiv militær aktion, uanset dens art, er udelukket. I Europa vil dette give mulighed for at yde bistand i tilfælde af en krise, især i tilfælde af en naturkatastrofe. Uden for de europæiske grænser vil dette gøre det muligt at indsætte ressourcer til territorier under ekstraordinære omstændigheder, udelukkende inden for rammerne af et retligt mandat fra FN's Sikkerhedsråd og dermed i overensstemmelse med folkeretten. </w:t>
      </w:r>
    </w:p>
    <w:p>
      <w:pPr>
        <w:pStyle w:val="Normal"/>
        <w:rPr/>
      </w:pPr>
      <w:r>
        <w:rPr/>
        <w:t xml:space="preserve"> </w:t>
      </w:r>
    </w:p>
    <w:p>
      <w:pPr>
        <w:pStyle w:val="Normal"/>
        <w:rPr/>
      </w:pPr>
      <w:r>
        <w:rPr/>
        <w:t xml:space="preserve">Hvis den gennemføres, vil den gøre det muligt for Den Europæiske Union at blive betragtet som en troværdig, ansvarlig, stærk og fredelig partner på den internationale scene. Dens øgede evne til at reagere på krisesituationer i ind- og udland bør således beskytte sine kerneværdier. </w:t>
      </w:r>
    </w:p>
    <w:p>
      <w:pPr>
        <w:pStyle w:val="Normal"/>
        <w:rPr/>
      </w:pPr>
      <w:r>
        <w:rPr/>
        <w:t xml:space="preserve"> </w:t>
      </w:r>
    </w:p>
    <w:p>
      <w:pPr>
        <w:pStyle w:val="Titre4"/>
        <w:numPr>
          <w:ilvl w:val="3"/>
          <w:numId w:val="2"/>
        </w:numPr>
        <w:rPr/>
      </w:pPr>
      <w:bookmarkStart w:id="191" w:name="__RefHeading___Toc297317_1346298689"/>
      <w:bookmarkEnd w:id="191"/>
      <w:r>
        <w:rPr/>
        <w:t xml:space="preserve">Delakse 3.2 — Beslutningstagning og EU's udenrigspolitik </w:t>
      </w:r>
    </w:p>
    <w:p>
      <w:pPr>
        <w:pStyle w:val="P68B1DB1Normal15"/>
        <w:rPr>
          <w:b/>
          <w:b/>
        </w:rPr>
      </w:pPr>
      <w:r>
        <w:rPr/>
        <w:t xml:space="preserve">21. Vi anbefaler, at alle områder, hvor beslutningerne træffes med enstemmighed, nu træffes med kvalificeret flertal. De eneste undtagelser bør være optagelsen af nye medlemsstater i Unionen og ændringen af Unionens grundlæggende principper, der er nedfældet i artikel 2 i Lissabontraktaten og i Den Europæiske Unions charter om grundlæggende rettigheder. </w:t>
      </w:r>
    </w:p>
    <w:p>
      <w:pPr>
        <w:pStyle w:val="Normal"/>
        <w:rPr/>
      </w:pPr>
      <w:r>
        <w:rPr/>
        <w:t xml:space="preserve"> </w:t>
      </w:r>
    </w:p>
    <w:p>
      <w:pPr>
        <w:pStyle w:val="Normal"/>
        <w:rPr/>
      </w:pPr>
      <w:r>
        <w:rPr/>
        <w:t xml:space="preserve">Dette vil styrke EU's position i verden ved at præsentere en fælles front over for tredjelande og lette dets samlede indsatskapacitet, herunder kriserespons. </w:t>
      </w:r>
    </w:p>
    <w:p>
      <w:pPr>
        <w:pStyle w:val="Normal"/>
        <w:rPr/>
      </w:pPr>
      <w:r>
        <w:rPr/>
        <w:t xml:space="preserve"> </w:t>
      </w:r>
    </w:p>
    <w:p>
      <w:pPr>
        <w:pStyle w:val="P68B1DB1Normal15"/>
        <w:rPr>
          <w:b/>
          <w:b/>
        </w:rPr>
      </w:pPr>
      <w:r>
        <w:rPr/>
        <w:t xml:space="preserve">22. Vi anbefaler, at Den Europæiske Union styrker sin kapacitet til at pålægge sanktioner over for medlemsstater, regeringer, enheder, grupper eller organisationer og enkeltpersoner, der ikke overholder de grundlæggende principper, aftaler og love. Det er bydende nødvendigt, at de allerede eksisterende sanktioner gennemføres hurtigt og effektivt overholdes. Sanktioner, der pålægges tredjelande, bør stå i et rimeligt forhold til de foranstaltninger, der udløste dem, være effektive og anvendes rettidigt. </w:t>
      </w:r>
    </w:p>
    <w:p>
      <w:pPr>
        <w:pStyle w:val="Normal"/>
        <w:rPr/>
      </w:pPr>
      <w:r>
        <w:rPr/>
        <w:t xml:space="preserve"> </w:t>
      </w:r>
    </w:p>
    <w:p>
      <w:pPr>
        <w:pStyle w:val="Normal"/>
        <w:rPr/>
      </w:pPr>
      <w:r>
        <w:rPr/>
        <w:t xml:space="preserve">For at EU skal være troværdig og pålidelig, må det pålægge dem, der overtræder dets principper, sanktioner. Sådanne sanktioner bør anvendes effektivt og hurtigt og bør underkastes kontrol. </w:t>
      </w:r>
    </w:p>
    <w:p>
      <w:pPr>
        <w:pStyle w:val="Normal"/>
        <w:rPr/>
      </w:pPr>
      <w:r>
        <w:rPr/>
        <w:t xml:space="preserve"> </w:t>
      </w:r>
    </w:p>
    <w:p>
      <w:pPr>
        <w:pStyle w:val="Titre4"/>
        <w:numPr>
          <w:ilvl w:val="3"/>
          <w:numId w:val="2"/>
        </w:numPr>
        <w:rPr/>
      </w:pPr>
      <w:bookmarkStart w:id="192" w:name="__RefHeading___Toc297319_1346298689"/>
      <w:bookmarkEnd w:id="192"/>
      <w:r>
        <w:rPr/>
        <w:t xml:space="preserve">Delakse 3.3 — Nabolande og udvidelse </w:t>
      </w:r>
    </w:p>
    <w:p>
      <w:pPr>
        <w:pStyle w:val="P68B1DB1Normal15"/>
        <w:rPr>
          <w:b/>
          <w:b/>
        </w:rPr>
      </w:pPr>
      <w:r>
        <w:rPr/>
        <w:t xml:space="preserve">23. Vi anbefaler, at Den Europæiske Union afsætter et specifikt budget til udviklingen af uddannelsesprogrammer, der tager sigte på EU's funktionsmåde og dets værdier. Disse programmer vil derefter blive tilbudt medlemsstaterne, hvis de ønsker at integrere dem i deres læseplaner (primær- og sekundæruddannelse og universiteter). Desuden kan der tilbydes et specifikt kursus om EU og dets funktion til studerende, der ønsker at studere i et andet europæisk land gennem Erasmus-programmet. Studerende, der vælger dette kursus, vil få prioritet for at drage fordel af disse Erasmus-programmer. </w:t>
      </w:r>
    </w:p>
    <w:p>
      <w:pPr>
        <w:pStyle w:val="Normal"/>
        <w:rPr/>
      </w:pPr>
      <w:r>
        <w:rPr/>
        <w:t xml:space="preserve"> </w:t>
      </w:r>
    </w:p>
    <w:p>
      <w:pPr>
        <w:pStyle w:val="Normal"/>
        <w:rPr/>
      </w:pPr>
      <w:r>
        <w:rPr/>
        <w:t xml:space="preserve">Vi anbefaler disse foranstaltninger for at øge følelsen af at tilhøre EU. På denne måde vil borgerne bedre kunne identificere sig med Unionen og formidle dens værdier. Desuden vil disse foranstaltninger forbedre gennemsigtigheden om EU's funktionsmåde og fordelene ved at være en del af det samt kampen mod antieuropæiske bevægelser. Disse foranstaltninger bør afholde medlemsstaterne fra at forlade EU. </w:t>
      </w:r>
    </w:p>
    <w:p>
      <w:pPr>
        <w:pStyle w:val="Normal"/>
        <w:rPr/>
      </w:pPr>
      <w:r>
        <w:rPr/>
        <w:t xml:space="preserve"> </w:t>
      </w:r>
    </w:p>
    <w:p>
      <w:pPr>
        <w:pStyle w:val="P68B1DB1Normal15"/>
        <w:rPr>
          <w:b/>
          <w:b/>
        </w:rPr>
      </w:pPr>
      <w:r>
        <w:rPr/>
        <w:t xml:space="preserve">24. Vi anbefaler, at EU gør større brug af sin politiske og økonomiske vægt i sine forbindelser med andre lande for at forhindre, at visse medlemsstater udsættes for bilateralt økonomisk, politisk og socialt pres. </w:t>
      </w:r>
    </w:p>
    <w:p>
      <w:pPr>
        <w:pStyle w:val="Normal"/>
        <w:rPr/>
      </w:pPr>
      <w:r>
        <w:rPr/>
        <w:t xml:space="preserve"> </w:t>
      </w:r>
    </w:p>
    <w:p>
      <w:pPr>
        <w:pStyle w:val="Normal"/>
        <w:rPr/>
      </w:pPr>
      <w:r>
        <w:rPr/>
        <w:t xml:space="preserve">Vi anbefaler disse foranstaltninger af tre grunde. For det første vil de styrke følelsen af enhed i EU. For det andet vil en ensidig reaktion være en klar, stærk og hurtig reaktion for at undgå ethvert forsøg fra tredjelande på at mobbe eller slå ned på EU-medlemslandene. Endelig vil de styrke Unionens sikkerhed og sikre, at ingen medlemsstater føler sig forladt eller ignoreret. Bilaterale reaktioner deler EU og er en svaghed, som tredjelande bruger imod os. </w:t>
      </w:r>
    </w:p>
    <w:p>
      <w:pPr>
        <w:pStyle w:val="Normal"/>
        <w:rPr/>
      </w:pPr>
      <w:r>
        <w:rPr/>
        <w:t xml:space="preserve"> </w:t>
      </w:r>
    </w:p>
    <w:p>
      <w:pPr>
        <w:pStyle w:val="P68B1DB1Normal15"/>
        <w:rPr>
          <w:b/>
          <w:b/>
        </w:rPr>
      </w:pPr>
      <w:r>
        <w:rPr/>
        <w:t xml:space="preserve">25. "Vi anbefaler, at EU forbedrer sin kommunikationsstrategi". På den ene side bør EU øge sin synlighed på sociale netværk og aktivt fremme dets indhold. På den anden side bør det fortsat afholde konferencer som f.eks. konferencen om Europas fremtid hvert år. Vi anbefaler også, at den fortsætter med at fremme innovation ved at fremme et tilgængeligt europæisk socialt netværk. </w:t>
      </w:r>
    </w:p>
    <w:p>
      <w:pPr>
        <w:pStyle w:val="Normal"/>
        <w:rPr/>
      </w:pPr>
      <w:r>
        <w:rPr/>
        <w:t xml:space="preserve"> </w:t>
      </w:r>
    </w:p>
    <w:p>
      <w:pPr>
        <w:pStyle w:val="Normal"/>
        <w:rPr/>
      </w:pPr>
      <w:r>
        <w:rPr/>
        <w:t xml:space="preserve">Disse forslag vil ikke kun nå ud til de unge, men også øge de europæiske borgeres interesse og deltagelse gennem et mere attraktivt og effektivt kommunikationsredskab. Afholdelsen af arrangementer som f.eks. konferencen om Europas fremtid bør gøre det muligt for borgerne at blive mere involveret i beslutningsprocessen og sikre, at deres stemmer bliver hørt. </w:t>
      </w:r>
    </w:p>
    <w:p>
      <w:pPr>
        <w:pStyle w:val="Normal"/>
        <w:rPr/>
      </w:pPr>
      <w:r>
        <w:rPr/>
        <w:t xml:space="preserve"> </w:t>
      </w:r>
    </w:p>
    <w:p>
      <w:pPr>
        <w:pStyle w:val="P68B1DB1Normal15"/>
        <w:rPr>
          <w:b/>
          <w:b/>
        </w:rPr>
      </w:pPr>
      <w:r>
        <w:rPr/>
        <w:t xml:space="preserve">26. Vi anbefaler, at medlemsstaterne vedtager en stærk vision og en fælles strategi for harmonisering og konsolidering af den europæiske identitet og enhed, inden Unionen udvides yderligere. </w:t>
      </w:r>
    </w:p>
    <w:p>
      <w:pPr>
        <w:pStyle w:val="Normal"/>
        <w:rPr/>
      </w:pPr>
      <w:r>
        <w:rPr/>
        <w:t xml:space="preserve"> </w:t>
      </w:r>
    </w:p>
    <w:p>
      <w:pPr>
        <w:pStyle w:val="Normal"/>
        <w:rPr/>
      </w:pPr>
      <w:r>
        <w:rPr/>
        <w:t xml:space="preserve">Vi mener, at det er vigtigt at styrke EU og styrke forbindelserne mellem medlemsstaterne, inden integrationen af andre lande overvejes. Jo flere medlemsstater i EU, desto mere kompliceret er beslutningsprocessen; derfor er det vigtigt at revidere enstemmige afstemninger i beslutningsprocesserne. </w:t>
      </w:r>
    </w:p>
    <w:p>
      <w:pPr>
        <w:pStyle w:val="Normal"/>
        <w:rPr/>
      </w:pPr>
      <w:r>
        <w:rPr/>
        <w:t xml:space="preserve"> </w:t>
      </w:r>
    </w:p>
    <w:p>
      <w:pPr>
        <w:pStyle w:val="Titre3"/>
        <w:numPr>
          <w:ilvl w:val="2"/>
          <w:numId w:val="2"/>
        </w:numPr>
        <w:rPr/>
      </w:pPr>
      <w:bookmarkStart w:id="193" w:name="__RefHeading___Toc297321_1346298689"/>
      <w:bookmarkEnd w:id="193"/>
      <w:r>
        <w:rPr/>
        <w:t xml:space="preserve">Akse 4: Migration fra et menneskeligt synspunkt </w:t>
      </w:r>
    </w:p>
    <w:p>
      <w:pPr>
        <w:pStyle w:val="Titre4"/>
        <w:numPr>
          <w:ilvl w:val="3"/>
          <w:numId w:val="2"/>
        </w:numPr>
        <w:rPr/>
      </w:pPr>
      <w:bookmarkStart w:id="194" w:name="__RefHeading___Toc297323_1346298689"/>
      <w:bookmarkEnd w:id="194"/>
      <w:r>
        <w:rPr/>
        <w:t xml:space="preserve">Delakse 4.1 — Håndtering af årsagerne til udvandring </w:t>
      </w:r>
    </w:p>
    <w:p>
      <w:pPr>
        <w:pStyle w:val="P68B1DB1Normal15"/>
        <w:rPr>
          <w:b/>
          <w:b/>
        </w:rPr>
      </w:pPr>
      <w:r>
        <w:rPr/>
        <w:t xml:space="preserve">27. Vi anbefaler, at Den Europæiske Union deltager aktivt i den økonomiske udvikling i tredjelande og lande, hvorfra de største strømme af migranter stammer. Med hjælp fra relevante organer (lokale ngo'er og lokale politikere, eksperter i marken osv.) bør EU undersøge, hvordan man kan gribe fredeligt og effektivt ind i lande, hvor de største strømme af migranter stammer, og som har aftalt samarbejdsformer. Disse interventioner bør have håndgribelige og målbare virkninger, som bør fremhæves tydeligt, så de europæiske borgere kan forstå EU's udviklingsbistandspolitik. EU's udviklingsbistandsaktioner bør således blive mere synlige. </w:t>
      </w:r>
    </w:p>
    <w:p>
      <w:pPr>
        <w:pStyle w:val="Normal"/>
        <w:rPr/>
      </w:pPr>
      <w:r>
        <w:rPr/>
        <w:t xml:space="preserve"> </w:t>
      </w:r>
    </w:p>
    <w:p>
      <w:pPr>
        <w:pStyle w:val="Normal"/>
        <w:rPr/>
      </w:pPr>
      <w:r>
        <w:rPr/>
        <w:t xml:space="preserve">Selv om EU arbejder på international udvikling, skal det fortsætte sin indsats og investere i gennemsigtigheden og synligheden af sin politik på dette område. </w:t>
      </w:r>
    </w:p>
    <w:p>
      <w:pPr>
        <w:pStyle w:val="Normal"/>
        <w:rPr/>
      </w:pPr>
      <w:r>
        <w:rPr/>
        <w:t xml:space="preserve"> </w:t>
      </w:r>
    </w:p>
    <w:p>
      <w:pPr>
        <w:pStyle w:val="P68B1DB1Normal15"/>
        <w:rPr>
          <w:b/>
          <w:b/>
        </w:rPr>
      </w:pPr>
      <w:r>
        <w:rPr/>
        <w:t xml:space="preserve">28. Vi anbefaler, at der etableres en fælles europæisk ramme for harmonisering af arbejdsvilkårene i hele Unionen (mindsteløn, arbejdstid osv.). EU bør bestræbe sig på at skabe fælles grundlæggende arbejdsstandarder for at forhindre borgerne i at forlade deres land for at søge bedre arbejdsvilkår andre steder. Inden for rammerne af disse standarder bør EU styrke fagforeningernes rolle på tværnationalt plan og dermed anerkende, at intern økonomisk migration (migration af EU-borgere) er et alvorligt problem. </w:t>
      </w:r>
    </w:p>
    <w:p>
      <w:pPr>
        <w:pStyle w:val="Normal"/>
        <w:rPr/>
      </w:pPr>
      <w:r>
        <w:rPr/>
        <w:t xml:space="preserve"> </w:t>
      </w:r>
    </w:p>
    <w:p>
      <w:pPr>
        <w:pStyle w:val="Normal"/>
        <w:rPr/>
      </w:pPr>
      <w:r>
        <w:rPr/>
        <w:t xml:space="preserve">Denne henstilling stammer fra konstateringen af, at et stort antal mennesker i EU af økonomiske årsager migrerer på grund af forskellene i arbejdsvilkårene mellem medlemsstaterne. Det er nødvendigt at forhindre denne hjerneflugt, så medlemsstaterne bevarer deres talenter og deres arbejdsstyrke Vi støtter borgernes frie bevægelighed, men mener, at EU-borgernes migration mellem de forskellige medlemsstater, når det ikke er ønsket, skyldes økonomiske årsager. Derfor er det vigtigt at etablere en fælles ramme for arbejdet. </w:t>
      </w:r>
    </w:p>
    <w:p>
      <w:pPr>
        <w:pStyle w:val="Normal"/>
        <w:rPr/>
      </w:pPr>
      <w:r>
        <w:rPr/>
        <w:t xml:space="preserve"> </w:t>
      </w:r>
    </w:p>
    <w:p>
      <w:pPr>
        <w:pStyle w:val="Titre4"/>
        <w:numPr>
          <w:ilvl w:val="3"/>
          <w:numId w:val="2"/>
        </w:numPr>
        <w:rPr/>
      </w:pPr>
      <w:bookmarkStart w:id="195" w:name="__RefHeading___Toc297325_1346298689"/>
      <w:bookmarkEnd w:id="195"/>
      <w:r>
        <w:rPr/>
        <w:t xml:space="preserve">Sub-akse 4.2 — Menneskelige overvejelser </w:t>
      </w:r>
    </w:p>
    <w:p>
      <w:pPr>
        <w:pStyle w:val="P68B1DB1Normal15"/>
        <w:rPr>
          <w:b/>
          <w:b/>
        </w:rPr>
      </w:pPr>
      <w:r>
        <w:rPr/>
        <w:t xml:space="preserve">29. Vi anbefaler, at der gennemføres en fælles migrationspolitik baseret på solidaritetsprincippet. Vi vil gerne have fokus på flygtningeproblemet. En fælles procedure for alle EU's medlemsstater bør baseres på den mest effektive praksis i alle EU-lande. Denne procedure bør gennemføres proaktivt af de nationale myndigheder og af EU-administrationen. </w:t>
      </w:r>
    </w:p>
    <w:p>
      <w:pPr>
        <w:pStyle w:val="Normal"/>
        <w:rPr/>
      </w:pPr>
      <w:r>
        <w:rPr/>
        <w:t xml:space="preserve"> </w:t>
      </w:r>
    </w:p>
    <w:p>
      <w:pPr>
        <w:pStyle w:val="Normal"/>
        <w:rPr/>
      </w:pPr>
      <w:r>
        <w:rPr/>
        <w:t xml:space="preserve">Flygtningeproblemet berører alle medlemslande. På nuværende tidspunkt har disse stater for forskellige praksisser med negative konsekvenser for flygtninge og EU-borgere. Det er derfor nødvendigt at anlægge en sammenhængende og konsekvent tilgang. </w:t>
      </w:r>
    </w:p>
    <w:p>
      <w:pPr>
        <w:pStyle w:val="Normal"/>
        <w:rPr/>
      </w:pPr>
      <w:r>
        <w:rPr/>
        <w:t xml:space="preserve"> </w:t>
      </w:r>
    </w:p>
    <w:p>
      <w:pPr>
        <w:pStyle w:val="P68B1DB1Normal15"/>
        <w:rPr>
          <w:b/>
          <w:b/>
        </w:rPr>
      </w:pPr>
      <w:r>
        <w:rPr/>
        <w:t xml:space="preserve">30. Vi anbefaler, at EU intensiverer sine bestræbelser på at informere og uddanne medlemsstaternes borgere om migrationsrelaterede spørgsmål. Dette bør opnås ved at uddanne børn så tidligt som muligt fra begyndelsen af grundskolen om emner som migration og integration. Hvis vi kombinerer denne tidlige uddannelse med ngo'ers og ungdomsorganisationers aktiviteter samt med omfattende mediekampagner, kan vi fuldt ud nå vores mål. Derudover kan der anvendes mange kommunikationsmedier: brochurer, tv og sociale netværk blandt andre. </w:t>
      </w:r>
    </w:p>
    <w:p>
      <w:pPr>
        <w:pStyle w:val="Normal"/>
        <w:rPr/>
      </w:pPr>
      <w:r>
        <w:rPr/>
        <w:t xml:space="preserve"> </w:t>
      </w:r>
    </w:p>
    <w:p>
      <w:pPr>
        <w:pStyle w:val="Normal"/>
        <w:rPr/>
      </w:pPr>
      <w:r>
        <w:rPr/>
        <w:t xml:space="preserve">Det er vigtigt at vise, at migration også har mange positive aspekter, f.eks. den ekstra arbejdsstyrke. Vi vil gerne understrege betydningen af at øge bevidstheden om begge processer, så borgerne forstår årsagerne til og konsekvenserne af migration for at fjerne den stigmatisering, der opstår ved at blive opfattet som en migrant. </w:t>
      </w:r>
    </w:p>
    <w:p>
      <w:pPr>
        <w:pStyle w:val="Normal"/>
        <w:rPr/>
      </w:pPr>
      <w:r>
        <w:rPr/>
        <w:t xml:space="preserve"> </w:t>
      </w:r>
    </w:p>
    <w:p>
      <w:pPr>
        <w:pStyle w:val="Titre4"/>
        <w:numPr>
          <w:ilvl w:val="3"/>
          <w:numId w:val="2"/>
        </w:numPr>
        <w:rPr/>
      </w:pPr>
      <w:bookmarkStart w:id="196" w:name="__RefHeading___Toc297327_1346298689"/>
      <w:bookmarkEnd w:id="196"/>
      <w:r>
        <w:rPr/>
        <w:t xml:space="preserve">Underakse 4.3 — Grænser </w:t>
      </w:r>
    </w:p>
    <w:p>
      <w:pPr>
        <w:pStyle w:val="P68B1DB1Normal15"/>
        <w:rPr>
          <w:b/>
          <w:b/>
        </w:rPr>
      </w:pPr>
      <w:r>
        <w:rPr/>
        <w:t xml:space="preserve">31. Vi anbefaler, at direktiv 2013/33/EU om minimumsstandarder for modtagelse af asylansøgere i medlemsstaterne erstattes af en obligatorisk EU-forordning, som finder ensartet anvendelse i alle medlemsstater. Der bør lægges vægt på at forbedre modtagelses- og indkvarteringsfaciliteterne. Vi anbefaler, at der oprettes et specifikt EU-overvågningsorgan til gennemførelse af forordningen. </w:t>
      </w:r>
    </w:p>
    <w:p>
      <w:pPr>
        <w:pStyle w:val="Normal"/>
        <w:rPr/>
      </w:pPr>
      <w:r>
        <w:rPr/>
        <w:t xml:space="preserve"> </w:t>
      </w:r>
    </w:p>
    <w:p>
      <w:pPr>
        <w:pStyle w:val="Normal"/>
        <w:rPr/>
      </w:pPr>
      <w:r>
        <w:rPr/>
        <w:t xml:space="preserve">Direktivet gennemføres faktisk ikke ensartet i alle medlemsstater. Vi må undgå at gentage de forhold, der blev observeret i Moria-flygtningelejren. Den anbefalede forordning bør derfor gennemføres og omfatte obligatoriske sanktioner. Kontrolorganet bør være robust og pålideligt. </w:t>
      </w:r>
    </w:p>
    <w:p>
      <w:pPr>
        <w:pStyle w:val="Normal"/>
        <w:rPr/>
      </w:pPr>
      <w:r>
        <w:rPr/>
        <w:t xml:space="preserve"> </w:t>
      </w:r>
    </w:p>
    <w:p>
      <w:pPr>
        <w:pStyle w:val="P68B1DB1Normal15"/>
        <w:rPr>
          <w:b/>
          <w:b/>
        </w:rPr>
      </w:pPr>
      <w:r>
        <w:rPr/>
        <w:t xml:space="preserve">32. Vi anbefaler, at EU sikrer, at alle asylansøgere og flygtninge tager sprog- og integrationskurser, mens deres ansøgning om opholdstilladelse behandles. Kurserne bør være obligatoriske, gratis og omfatte personlig bistand til indledende integration. De skal påbegyndes inden for to uger efter ansøgningen om opholdstilladelse. Der bør også indføres incitaments- og sanktionsmekanismer. </w:t>
      </w:r>
    </w:p>
    <w:p>
      <w:pPr>
        <w:pStyle w:val="Normal"/>
        <w:rPr/>
      </w:pPr>
      <w:r>
        <w:rPr/>
        <w:t xml:space="preserve"> </w:t>
      </w:r>
    </w:p>
    <w:p>
      <w:pPr>
        <w:pStyle w:val="Normal"/>
        <w:rPr/>
      </w:pPr>
      <w:r>
        <w:rPr/>
        <w:t xml:space="preserve">At lære sproget og forstå ankomstlandets kultur, historie og etik er et vigtigt skridt i integrationen. Forsinkelsens varighed inden indledningen af den indledende integrationsproces har en negativ indvirkning på den sociale assimilering af migranter. Sanktionsmekanismer kan bidrage til at identificere migranternes vilje til at blive integreret. </w:t>
      </w:r>
    </w:p>
    <w:p>
      <w:pPr>
        <w:pStyle w:val="Normal"/>
        <w:rPr/>
      </w:pPr>
      <w:r>
        <w:rPr/>
        <w:t xml:space="preserve"> </w:t>
      </w:r>
    </w:p>
    <w:p>
      <w:pPr>
        <w:pStyle w:val="Titre3"/>
        <w:numPr>
          <w:ilvl w:val="2"/>
          <w:numId w:val="2"/>
        </w:numPr>
        <w:rPr/>
      </w:pPr>
      <w:bookmarkStart w:id="197" w:name="__RefHeading___Toc297329_1346298689"/>
      <w:bookmarkEnd w:id="197"/>
      <w:r>
        <w:rPr/>
        <w:t xml:space="preserve">Akse 5: Ansvar og solidaritet i EU </w:t>
      </w:r>
    </w:p>
    <w:p>
      <w:pPr>
        <w:pStyle w:val="Titre4"/>
        <w:numPr>
          <w:ilvl w:val="3"/>
          <w:numId w:val="2"/>
        </w:numPr>
        <w:rPr/>
      </w:pPr>
      <w:bookmarkStart w:id="198" w:name="__RefHeading___Toc297331_1346298689"/>
      <w:bookmarkEnd w:id="198"/>
      <w:r>
        <w:rPr/>
        <w:t xml:space="preserve">Delakse 5.1 — Fordeling af migranter </w:t>
      </w:r>
    </w:p>
    <w:p>
      <w:pPr>
        <w:pStyle w:val="P68B1DB1Normal15"/>
        <w:rPr>
          <w:b/>
          <w:b/>
        </w:rPr>
      </w:pPr>
      <w:r>
        <w:rPr/>
        <w:t xml:space="preserve">33. Vi anbefaler at erstatte Dublinsystemet med en juridisk bindende traktat for at sikre en retfærdig, afbalanceret og forholdsmæssig fordeling af asylansøgere i EU på grundlag af solidaritet og retfærdighed. I øjeblikket er flygtninge forpligtet til at ansøge om asyl i den første ankomstmedlemsstat. Denne systemændring skal være så hurtig som muligt. Europa-Kommissionens forslag til en ny EU-pagt om migration og asyl fra 2020 er en god start og bør have en retlig form, da den fastsætter kvoter for fordelingen af flygtninge mellem EU's medlemsstater. </w:t>
      </w:r>
    </w:p>
    <w:p>
      <w:pPr>
        <w:pStyle w:val="Normal"/>
        <w:rPr/>
      </w:pPr>
      <w:r>
        <w:rPr/>
        <w:t xml:space="preserve"> </w:t>
      </w:r>
    </w:p>
    <w:p>
      <w:pPr>
        <w:pStyle w:val="Normal"/>
        <w:rPr/>
      </w:pPr>
      <w:r>
        <w:rPr/>
        <w:t xml:space="preserve">Vi anbefaler dette, fordi det nuværende Dublinsystem ikke overholder principperne om solidaritet og retfærdighed. Det lægger en tung byrde på medlemsstaterne tæt på EU's ydre grænser, som asylansøgere krydser for at komme ind på dens område. Alle medlemsstater skal tage ansvaret for at forvalte flygtningestrømmene til EU. EU er et fællesskab af fælles værdier og skal handle i overensstemmelse hermed. </w:t>
      </w:r>
    </w:p>
    <w:p>
      <w:pPr>
        <w:pStyle w:val="Normal"/>
        <w:rPr/>
      </w:pPr>
      <w:r>
        <w:rPr/>
        <w:t xml:space="preserve"> </w:t>
      </w:r>
    </w:p>
    <w:p>
      <w:pPr>
        <w:pStyle w:val="P68B1DB1Normal15"/>
        <w:rPr>
          <w:b/>
          <w:b/>
        </w:rPr>
      </w:pPr>
      <w:r>
        <w:rPr/>
        <w:t xml:space="preserve">34. Vi anbefaler, at EU bistår sine medlemsstater med at behandle asylansøgninger i et hurtigere tempo og i overensstemmelse med fælles standarder. Desuden bør der stilles humanitære boliger til rådighed for flygtninge. For at losse ankomstlandene og kunne behandle deres asylansøgninger andre steder anbefaler vi, at flygtninge hurtigt og effektivt flyttes til de forskellige medlemsstater efter deres første ankomst til EU. Med henblik herpå er der behov for finansiel EU-støtte og organisatorisk støtte fra EU's Asylagentur. Personer, hvis asylansøgning er blevet afvist, skal reelt sendes tilbage til deres oprindelsesland, forudsat at deres oprindelsesland anses for sikkert. </w:t>
      </w:r>
    </w:p>
    <w:p>
      <w:pPr>
        <w:pStyle w:val="Normal"/>
        <w:rPr/>
      </w:pPr>
      <w:r>
        <w:rPr/>
        <w:t xml:space="preserve"> </w:t>
      </w:r>
    </w:p>
    <w:p>
      <w:pPr>
        <w:pStyle w:val="Normal"/>
        <w:rPr/>
      </w:pPr>
      <w:r>
        <w:rPr/>
        <w:t xml:space="preserve">Vi anbefaler dette, fordi asylprocedurerne i øjeblikket tager for lang tid og kan variere fra medlemsstat til medlemsstat. Ved at fremskynde asylprocedurerne bruger flygtninge mindre tid på at vente på en endelig afgørelse i midlertidige indkvarteringsfaciliteter. Asylansøgere kan integreres hurtigere. </w:t>
      </w:r>
    </w:p>
    <w:p>
      <w:pPr>
        <w:pStyle w:val="Normal"/>
        <w:rPr/>
      </w:pPr>
      <w:r>
        <w:rPr/>
        <w:t xml:space="preserve"> </w:t>
      </w:r>
    </w:p>
    <w:p>
      <w:pPr>
        <w:pStyle w:val="P68B1DB1Normal15"/>
        <w:rPr>
          <w:b/>
          <w:b/>
        </w:rPr>
      </w:pPr>
      <w:r>
        <w:rPr/>
        <w:t xml:space="preserve">35. Vi anbefaler en stærk finansiel, logistisk og operationel EU-støtte til forvaltningen af den første modtagelse, som muligvis fører til integration eller hjemsendelse af irregulære migranter. Modtagerne af denne støtte er EU's grænsestater, der bærer byrden af migrationstilstrømningen. </w:t>
      </w:r>
    </w:p>
    <w:p>
      <w:pPr>
        <w:pStyle w:val="Normal"/>
        <w:rPr/>
      </w:pPr>
      <w:r>
        <w:rPr/>
        <w:t xml:space="preserve"> </w:t>
      </w:r>
    </w:p>
    <w:p>
      <w:pPr>
        <w:pStyle w:val="Normal"/>
        <w:rPr/>
      </w:pPr>
      <w:r>
        <w:rPr/>
        <w:t xml:space="preserve">På grund af deres geografiske beliggenhed er nogle </w:t>
      </w:r>
      <w:r>
        <w:rPr/>
        <w:commentReference w:id="8"/>
      </w:r>
      <w:r>
        <w:rPr/>
        <w:t xml:space="preserve"> medlemsstater mest berørt af tilstrømningen af migranter. </w:t>
      </w:r>
    </w:p>
    <w:p>
      <w:pPr>
        <w:pStyle w:val="Normal"/>
        <w:rPr/>
      </w:pPr>
      <w:r>
        <w:rPr/>
        <w:t xml:space="preserve"> </w:t>
      </w:r>
    </w:p>
    <w:p>
      <w:pPr>
        <w:pStyle w:val="P68B1DB1Normal15"/>
        <w:rPr>
          <w:b/>
          <w:b/>
        </w:rPr>
      </w:pPr>
      <w:r>
        <w:rPr/>
        <w:t xml:space="preserve">36. Vi anbefaler, at mandatet for EU's Asylagentur styrkes for at opnå en retfærdig fordeling af asylansøgere i medlemsstaterne. For at opnå dette bør der tages hensyn til sådanne asylansøgeres behov samt til medlemsstaternes logistiske og økonomiske kapacitet og deres behov på arbejdsmarkedet. </w:t>
      </w:r>
    </w:p>
    <w:p>
      <w:pPr>
        <w:pStyle w:val="Normal"/>
        <w:rPr/>
      </w:pPr>
      <w:r>
        <w:rPr/>
        <w:t xml:space="preserve"> </w:t>
      </w:r>
    </w:p>
    <w:p>
      <w:pPr>
        <w:pStyle w:val="Normal"/>
        <w:rPr/>
      </w:pPr>
      <w:r>
        <w:rPr/>
        <w:t xml:space="preserve">En koordineret og centraliseret fordeling af asylansøgere, som medlemsstaterne og deres borgere anser for retfærdig, undgår kaotiske situationer og sociale spændinger og styrker solidariteten mellem medlemsstaterne. </w:t>
      </w:r>
    </w:p>
    <w:p>
      <w:pPr>
        <w:pStyle w:val="Normal"/>
        <w:rPr/>
      </w:pPr>
      <w:r>
        <w:rPr/>
        <w:t xml:space="preserve"> </w:t>
      </w:r>
    </w:p>
    <w:p>
      <w:pPr>
        <w:pStyle w:val="Titre4"/>
        <w:numPr>
          <w:ilvl w:val="3"/>
          <w:numId w:val="2"/>
        </w:numPr>
        <w:rPr/>
      </w:pPr>
      <w:bookmarkStart w:id="199" w:name="__RefHeading___Toc297333_1346298689"/>
      <w:bookmarkEnd w:id="199"/>
      <w:r>
        <w:rPr/>
        <w:t xml:space="preserve">Delakse 5.2 — Fælles tilgang til asyl </w:t>
      </w:r>
    </w:p>
    <w:p>
      <w:pPr>
        <w:pStyle w:val="P68B1DB1Normal15"/>
        <w:rPr>
          <w:b/>
          <w:b/>
        </w:rPr>
      </w:pPr>
      <w:r>
        <w:rPr/>
        <w:t xml:space="preserve">37. Vi anbefaler enten at oprette en omfattende europæisk institution eller at styrke EU's Asylagentur, så det kan behandle asylansøgninger for hele Den Europæiske Union og handle på grundlag af ensartede standarder. Agenturet bør også være ansvarligt for at fordele flygtninge på en retfærdig måde. Den bør også definere sikre og usikre oprindelseslande og være ansvarlig for tilbagesendelse af asylansøgere, hvis ansøgninger er blevet afvist. </w:t>
      </w:r>
    </w:p>
    <w:p>
      <w:pPr>
        <w:pStyle w:val="Normal"/>
        <w:rPr/>
      </w:pPr>
      <w:r>
        <w:rPr/>
        <w:t xml:space="preserve"> </w:t>
      </w:r>
    </w:p>
    <w:p>
      <w:pPr>
        <w:pStyle w:val="Normal"/>
        <w:rPr/>
      </w:pPr>
      <w:r>
        <w:rPr/>
        <w:t xml:space="preserve">Den nuværende asylpolitik er kendetegnet ved uklare ansvarsområder og forskellige standarder mellem EU-medlemsstaterne. Behandlingen af asylprocedurerne er derfor ikke den samme i de forskellige medlemsstater. Desuden har Den Europæiske Unions Asylagentur i øjeblikket kun en indflydelseskraft. Den kan kun rådgive medlemsstaterne om asylspørgsmål. </w:t>
      </w:r>
    </w:p>
    <w:p>
      <w:pPr>
        <w:pStyle w:val="Normal"/>
        <w:rPr/>
      </w:pPr>
      <w:r>
        <w:rPr/>
        <w:t xml:space="preserve"> </w:t>
      </w:r>
    </w:p>
    <w:p>
      <w:pPr>
        <w:pStyle w:val="P68B1DB1Normal15"/>
        <w:rPr>
          <w:b/>
          <w:b/>
        </w:rPr>
      </w:pPr>
      <w:r>
        <w:rPr/>
        <w:t xml:space="preserve">38. Vi anbefaler, at der hurtigst muligt oprettes specialiserede asylcentre for uledsagede mindreårige i alle EU's medlemsstater. Målet er at tage imod og tage sig af mindreårige i overensstemmelse med deres særlige behov og så hurtigt som muligt. </w:t>
      </w:r>
    </w:p>
    <w:p>
      <w:pPr>
        <w:pStyle w:val="Normal"/>
        <w:rPr/>
      </w:pPr>
      <w:r>
        <w:rPr/>
        <w:t xml:space="preserve"> </w:t>
      </w:r>
    </w:p>
    <w:p>
      <w:pPr>
        <w:pStyle w:val="Normal"/>
        <w:rPr/>
      </w:pPr>
      <w:r>
        <w:rPr/>
        <w:t xml:space="preserve">Vi fremsætter denne anbefaling, fordi: </w:t>
      </w:r>
    </w:p>
    <w:p>
      <w:pPr>
        <w:pStyle w:val="Normal"/>
        <w:rPr/>
      </w:pPr>
      <w:r>
        <w:rPr/>
        <w:t xml:space="preserve">1) Mange mindreårige er tilbøjelige til at blive traumatiseret (fordi de kommer fra konfliktområder); </w:t>
      </w:r>
    </w:p>
    <w:p>
      <w:pPr>
        <w:pStyle w:val="Normal"/>
        <w:rPr/>
      </w:pPr>
      <w:r>
        <w:rPr/>
        <w:t xml:space="preserve">2) Forskellige børn har forskellige behov (afhængigt af alder, sundhed osv.); </w:t>
      </w:r>
    </w:p>
    <w:p>
      <w:pPr>
        <w:pStyle w:val="Normal"/>
        <w:rPr/>
      </w:pPr>
      <w:r>
        <w:rPr/>
        <w:t xml:space="preserve">3) hvis det gennemføres, vil det sikre, at sårbare og traumatiserede mindreårige får al nødvendig omhu så hurtigt som muligt; </w:t>
      </w:r>
    </w:p>
    <w:p>
      <w:pPr>
        <w:pStyle w:val="Normal"/>
        <w:rPr/>
      </w:pPr>
      <w:r>
        <w:rPr/>
        <w:t xml:space="preserve">4) Disse mindreårige er fremtidige europæiske borgere og bør derfor, hvis de behandles ordentligt, bidrage positivt til Europas fremtid. </w:t>
      </w:r>
    </w:p>
    <w:p>
      <w:pPr>
        <w:pStyle w:val="Normal"/>
        <w:rPr/>
      </w:pPr>
      <w:r>
        <w:rPr/>
        <w:t xml:space="preserve"> </w:t>
      </w:r>
    </w:p>
    <w:p>
      <w:pPr>
        <w:pStyle w:val="P68B1DB1Normal15"/>
        <w:rPr>
          <w:b/>
          <w:b/>
        </w:rPr>
      </w:pPr>
      <w:r>
        <w:rPr/>
        <w:t xml:space="preserve">39. Vi anbefaler, at der etableres et fælles, hurtigt og gennemsigtigt system til behandling af asylansøgninger. Denne proces bør fastsætte minimumsstandarder og anvendes på samme måde i alle medlemsstater. </w:t>
      </w:r>
    </w:p>
    <w:p>
      <w:pPr>
        <w:pStyle w:val="Normal"/>
        <w:rPr/>
      </w:pPr>
      <w:r>
        <w:rPr/>
        <w:t xml:space="preserve"> </w:t>
      </w:r>
    </w:p>
    <w:p>
      <w:pPr>
        <w:pStyle w:val="Normal"/>
        <w:rPr/>
      </w:pPr>
      <w:r>
        <w:rPr/>
        <w:t xml:space="preserve">Vi fremsætter denne anbefaling, fordi: </w:t>
      </w:r>
    </w:p>
    <w:p>
      <w:pPr>
        <w:pStyle w:val="Normal"/>
        <w:rPr/>
      </w:pPr>
      <w:r>
        <w:rPr/>
        <w:t xml:space="preserve">(1) Hvis denne henstilling blev gennemført, ville behandlingen af asylansøgninger være hurtigere og mere gennemsigtig; </w:t>
      </w:r>
    </w:p>
    <w:p>
      <w:pPr>
        <w:pStyle w:val="Normal"/>
        <w:rPr/>
      </w:pPr>
      <w:r>
        <w:rPr/>
        <w:t xml:space="preserve">2) de nuværende procedurers langsommelighed fører til ulovlighed og kriminalitet; </w:t>
      </w:r>
    </w:p>
    <w:p>
      <w:pPr>
        <w:pStyle w:val="Normal"/>
        <w:rPr/>
      </w:pPr>
      <w:r>
        <w:rPr/>
        <w:t xml:space="preserve">3) De minimumsstandarder, der er fastsat i vores henstilling, bør omfatte respekt for menneskerettigheder, sundhed og uddannelsesbehov hos asylansøgere; </w:t>
      </w:r>
    </w:p>
    <w:p>
      <w:pPr>
        <w:pStyle w:val="Normal"/>
        <w:rPr/>
      </w:pPr>
      <w:r>
        <w:rPr/>
        <w:t xml:space="preserve">4) gennemførelsen af denne henstilling vil føre til bedre adgang til beskæftigelse og selvforsyning, hvilket vil give mulighed for et positivt bidrag til det europæiske samfund; asylansøgere, hvis erhvervsmæssige status er lovliggjort, er mindre tilbøjelige til at blive misbrugt i deres arbejdsmiljø; dette kunne kun fremme integrationen af alle berørte parter; </w:t>
      </w:r>
    </w:p>
    <w:p>
      <w:pPr>
        <w:pStyle w:val="Normal"/>
        <w:rPr/>
      </w:pPr>
      <w:r>
        <w:rPr/>
        <w:t xml:space="preserve">5) forlængede ophold i asylcentre har en negativ indvirkning på beboernes mentale sundhed og trivsel. </w:t>
      </w:r>
    </w:p>
    <w:p>
      <w:pPr>
        <w:pStyle w:val="Normal"/>
        <w:rPr/>
      </w:pPr>
      <w:r>
        <w:rPr/>
        <w:t xml:space="preserve"> </w:t>
      </w:r>
    </w:p>
    <w:p>
      <w:pPr>
        <w:pStyle w:val="P68B1DB1Normal15"/>
        <w:rPr>
          <w:b/>
          <w:b/>
        </w:rPr>
      </w:pPr>
      <w:r>
        <w:rPr/>
        <w:t xml:space="preserve">40. Vi anbefaler på det kraftigste en omfattende gennemgang af alle aftaler og lovgivning om asyl og indvandring i Europa. Vi anbefaler, at der anlægges en tilgang for hele Europa. </w:t>
      </w:r>
    </w:p>
    <w:p>
      <w:pPr>
        <w:pStyle w:val="Normal"/>
        <w:rPr/>
      </w:pPr>
      <w:r>
        <w:rPr/>
        <w:t xml:space="preserve"> </w:t>
      </w:r>
    </w:p>
    <w:p>
      <w:pPr>
        <w:pStyle w:val="Normal"/>
        <w:rPr/>
      </w:pPr>
      <w:r>
        <w:rPr/>
        <w:t xml:space="preserve">Vi fremsætter denne anbefaling, fordi: </w:t>
      </w:r>
    </w:p>
    <w:p>
      <w:pPr>
        <w:pStyle w:val="Normal"/>
        <w:rPr/>
      </w:pPr>
      <w:r>
        <w:rPr/>
        <w:t xml:space="preserve">1) siden 2015 har alle gældende aftaler været uanvendelige, upraktiske og uegnede; </w:t>
      </w:r>
    </w:p>
    <w:p>
      <w:pPr>
        <w:pStyle w:val="Normal"/>
        <w:rPr/>
      </w:pPr>
      <w:r>
        <w:rPr/>
        <w:t xml:space="preserve">2) EU bør betragtes som det vigtigste "agentur", der fører tilsyn med alle andre agenturer og ngo'er, hvis opgave er at behandle asylspørgsmål direkte; </w:t>
      </w:r>
    </w:p>
    <w:p>
      <w:pPr>
        <w:pStyle w:val="Normal"/>
        <w:rPr/>
      </w:pPr>
      <w:r>
        <w:rPr/>
        <w:t xml:space="preserve">(3) de medlemsstater, der lider mest under situationen, er dem, der i vid udstrækning er overladt til at kæmpe med problemet alene; nogle medlemsstaters "à la carte"-valg giver ikke et billede af enhed; </w:t>
      </w:r>
    </w:p>
    <w:p>
      <w:pPr>
        <w:pStyle w:val="Normal"/>
        <w:rPr/>
      </w:pPr>
      <w:r>
        <w:rPr/>
        <w:t xml:space="preserve">4) ny målrettet lovgivning vil forbedre alle asylansøgeres fremtid og styrke Europas enhed; </w:t>
      </w:r>
    </w:p>
    <w:p>
      <w:pPr>
        <w:pStyle w:val="Normal"/>
        <w:rPr/>
      </w:pPr>
      <w:r>
        <w:rPr/>
        <w:t xml:space="preserve">5) manglerne i den nuværende lovgivning giver anledning til konflikter og manglende harmonisering i hele Europa og fører til øget intolerance blandt europæiske borgere over for migranter. </w:t>
      </w:r>
    </w:p>
    <w:p>
      <w:pPr>
        <w:pStyle w:val="Normal"/>
        <w:rPr/>
      </w:pPr>
      <w:r>
        <w:rPr/>
        <w:t>6) strengere og relevant lovgivning vil mindske kriminaliteten og misbruget af det nuværende asylsystem.</w:t>
      </w:r>
    </w:p>
    <w:p>
      <w:pPr>
        <w:pStyle w:val="Normal"/>
        <w:rPr/>
      </w:pPr>
      <w:r>
        <w:rPr/>
        <w:t xml:space="preserve"> </w:t>
      </w:r>
    </w:p>
    <w:p>
      <w:pPr>
        <w:pStyle w:val="Titre3"/>
        <w:numPr>
          <w:ilvl w:val="2"/>
          <w:numId w:val="2"/>
        </w:numPr>
        <w:rPr/>
      </w:pPr>
      <w:bookmarkStart w:id="200" w:name="__RefHeading___Toc297335_1346298689"/>
      <w:bookmarkEnd w:id="200"/>
      <w:r>
        <w:rPr/>
        <w:t xml:space="preserve">Bilag: ANDRE ANBEFALINGER, SOM PANELET HAR TAGET STILLING TIL, MEN SOM IKKE ER VEDTAGET </w:t>
      </w:r>
    </w:p>
    <w:p>
      <w:pPr>
        <w:pStyle w:val="Titre4"/>
        <w:numPr>
          <w:ilvl w:val="3"/>
          <w:numId w:val="2"/>
        </w:numPr>
        <w:rPr/>
      </w:pPr>
      <w:bookmarkStart w:id="201" w:name="__RefHeading___Toc297337_1346298689"/>
      <w:bookmarkEnd w:id="201"/>
      <w:r>
        <w:rPr/>
        <w:t xml:space="preserve">Akse 1: Selvforsyning og stabilitet </w:t>
      </w:r>
    </w:p>
    <w:p>
      <w:pPr>
        <w:pStyle w:val="Normal"/>
        <w:rPr/>
      </w:pPr>
      <w:r>
        <w:rPr/>
        <w:t xml:space="preserve">Delakse 1.1 — EU's autonomi </w:t>
      </w:r>
    </w:p>
    <w:p>
      <w:pPr>
        <w:pStyle w:val="P68B1DB1Normal15"/>
        <w:rPr>
          <w:b/>
          <w:b/>
        </w:rPr>
      </w:pPr>
      <w:r>
        <w:rPr/>
        <w:t xml:space="preserve">Hvis udviklingslandene anmoder herom, anbefaler vi, at interventionsprogrammer for økonomisk udvikling udvikles på grundlag af partnerskaber, der er skræddersyet til de enkelte landes behov og/eller på grundlag af handelsaftaler. Dette kræver først at vurdere de pågældende landes økonomiske potentiale og derefter give dem den nødvendige økonomiske støtte og erhvervsuddannelse. </w:t>
      </w:r>
    </w:p>
    <w:p>
      <w:pPr>
        <w:pStyle w:val="Normal"/>
        <w:rPr/>
      </w:pPr>
      <w:r>
        <w:rPr/>
        <w:t xml:space="preserve">Dette vil føre til større industriel uafhængighed og forbedre den generelle migrationssituation ved at skabe arbejdspladser; det vil også føre til bedre handelsaftaler i udviklingslandene. </w:t>
      </w:r>
    </w:p>
    <w:p>
      <w:pPr>
        <w:pStyle w:val="Normal"/>
        <w:rPr/>
      </w:pPr>
      <w:r>
        <w:rPr/>
        <w:t xml:space="preserve"> </w:t>
      </w:r>
    </w:p>
    <w:p>
      <w:pPr>
        <w:pStyle w:val="Titre4"/>
        <w:numPr>
          <w:ilvl w:val="3"/>
          <w:numId w:val="2"/>
        </w:numPr>
        <w:rPr/>
      </w:pPr>
      <w:bookmarkStart w:id="202" w:name="__RefHeading___Toc297339_1346298689"/>
      <w:bookmarkEnd w:id="202"/>
      <w:r>
        <w:rPr/>
        <w:t xml:space="preserve">Akse 2: EU som international partner </w:t>
      </w:r>
    </w:p>
    <w:p>
      <w:pPr>
        <w:pStyle w:val="Normal"/>
        <w:rPr/>
      </w:pPr>
      <w:r>
        <w:rPr/>
        <w:t xml:space="preserve">Delakse 2.1 — Etiske perspektiver for handelsforbindelser </w:t>
      </w:r>
    </w:p>
    <w:p>
      <w:pPr>
        <w:pStyle w:val="P68B1DB1Normal15"/>
        <w:rPr>
          <w:b/>
          <w:b/>
        </w:rPr>
      </w:pPr>
      <w:r>
        <w:rPr/>
        <w:t xml:space="preserve">Vi anbefaler, at EU indfører regler om, at virksomheder skal revidere deres forsyningskæde og regelmæssigt indsende en omfattende revisionsrapport samt bestemmelser om at belønne eller begrænse import baseret på etiske kriterier. Virksomhederne skal fremlægge en intern og/eller ekstern revisionsrapport baseret på deres størrelse. </w:t>
      </w:r>
    </w:p>
    <w:p>
      <w:pPr>
        <w:pStyle w:val="Normal"/>
        <w:rPr/>
      </w:pPr>
      <w:r>
        <w:rPr/>
        <w:t xml:space="preserve"> </w:t>
      </w:r>
    </w:p>
    <w:p>
      <w:pPr>
        <w:pStyle w:val="Normal"/>
        <w:rPr/>
      </w:pPr>
      <w:r>
        <w:rPr/>
        <w:t xml:space="preserve">Det er nødvendigt at udvikle det etiske aspekt af handel med EU. Dette kan gøres ved at overvåge forretningsaktiviteter i internationale forsyningskæder og tilskynde virksomheder til at handle efter etiske kriterier, såsom farlige produkter, arbejdstagerrettigheder og arbejdsforhold, børnearbejde og miljøbeskyttelse. Denne anbefaling vil ikke gælde for onlineprodukter, der købes direkte af forbrugeren. </w:t>
      </w:r>
    </w:p>
    <w:p>
      <w:pPr>
        <w:pStyle w:val="Normal"/>
        <w:rPr/>
      </w:pPr>
      <w:r>
        <w:rPr/>
        <w:t xml:space="preserve"> </w:t>
      </w:r>
    </w:p>
    <w:p>
      <w:pPr>
        <w:pStyle w:val="Titre4"/>
        <w:numPr>
          <w:ilvl w:val="3"/>
          <w:numId w:val="2"/>
        </w:numPr>
        <w:rPr/>
      </w:pPr>
      <w:bookmarkStart w:id="203" w:name="__RefHeading___Toc297341_1346298689"/>
      <w:bookmarkEnd w:id="203"/>
      <w:r>
        <w:rPr/>
        <w:t xml:space="preserve">Akse 3: Et stærkt EU i en fredelig verden </w:t>
      </w:r>
    </w:p>
    <w:p>
      <w:pPr>
        <w:pStyle w:val="Normal"/>
        <w:rPr/>
      </w:pPr>
      <w:r>
        <w:rPr/>
        <w:t xml:space="preserve">Delakse 3.1 — Sikkerhed og forsvar </w:t>
      </w:r>
    </w:p>
    <w:p>
      <w:pPr>
        <w:pStyle w:val="P68B1DB1Normal15"/>
        <w:rPr>
          <w:b/>
          <w:b/>
        </w:rPr>
      </w:pPr>
      <w:r>
        <w:rPr/>
        <w:t xml:space="preserve">Vi anbefaler, at den nuværende europæiske sikkerhedsarkitektur genovervejes for at gøre den til en mere effektiv overnational struktur med øget kapacitet med henblik på oprettelse af en fælles EU-hær. Med henblik herpå bør de nationale væbnede styrker gradvist fusioneres og omdannes. Målet er, at denne sammenlægning af militære kapaciteter i hele EU også vil fremme den europæiske integration på lang sigt. Oprettelsen af en fælles EU-hær vil også kræve en ny samarbejdsaftale med EU's medlemsstater og ikke-europæiske NATO-medlemmer. </w:t>
      </w:r>
    </w:p>
    <w:p>
      <w:pPr>
        <w:pStyle w:val="Normal"/>
        <w:rPr/>
      </w:pPr>
      <w:r>
        <w:rPr/>
        <w:t xml:space="preserve"> </w:t>
      </w:r>
    </w:p>
    <w:p>
      <w:pPr>
        <w:pStyle w:val="Normal"/>
        <w:rPr/>
      </w:pPr>
      <w:r>
        <w:rPr/>
        <w:t xml:space="preserve">Hvis denne henstilling gennemføres, mener vi, at militære strukturer i EU vil blive mere omkostningseffektive og bedre i stand til at reagere og handle, når det er nødvendigt. Denne integrerede tilgang vil styrke EU's evne til at handle beslutsomt og koordineret i kritiske situationer. </w:t>
      </w:r>
    </w:p>
    <w:p>
      <w:pPr>
        <w:pStyle w:val="Normal"/>
        <w:rPr/>
      </w:pPr>
      <w:r>
        <w:rPr/>
        <w:t xml:space="preserve"> </w:t>
      </w:r>
    </w:p>
    <w:p>
      <w:pPr>
        <w:pStyle w:val="Titre4"/>
        <w:numPr>
          <w:ilvl w:val="3"/>
          <w:numId w:val="2"/>
        </w:numPr>
        <w:rPr/>
      </w:pPr>
      <w:bookmarkStart w:id="204" w:name="__RefHeading___Toc297343_1346298689"/>
      <w:bookmarkEnd w:id="204"/>
      <w:r>
        <w:rPr/>
        <w:t xml:space="preserve">Akse 4: Udvandring fra et menneskeligt synspunkt </w:t>
      </w:r>
    </w:p>
    <w:p>
      <w:pPr>
        <w:pStyle w:val="Normal"/>
        <w:rPr/>
      </w:pPr>
      <w:r>
        <w:rPr/>
        <w:t xml:space="preserve">Delakse 4.1 — Håndtering af årsagerne til udvandring </w:t>
      </w:r>
    </w:p>
    <w:p>
      <w:pPr>
        <w:pStyle w:val="P68B1DB1Normal15"/>
        <w:rPr>
          <w:b/>
          <w:b/>
        </w:rPr>
      </w:pPr>
      <w:r>
        <w:rPr/>
        <w:t xml:space="preserve">Vi anbefaler, at EU indfører en handlingsprotokol som forberedelse til den næste migrationskrise, nemlig klimaflygtninge. I henhold til denne protokol er EU nødt til at udvide definitionen af flygtninge og asylansøgere til også at omfatte dem, der er berørt af klimaændringerne. Da mange migranters oprindelsesland vil være blevet ubeboeligt, skal protokollen også sikre, at der findes nye anvendelser for områder, der er berørt af klimaændringer, med det formål at støtte dem, der har forladt disse områder. For eksempel kan oversvømmede områder bruges til at skabe vindmølleparker. </w:t>
      </w:r>
    </w:p>
    <w:p>
      <w:pPr>
        <w:pStyle w:val="Normal"/>
        <w:rPr/>
      </w:pPr>
      <w:r>
        <w:rPr/>
        <w:t xml:space="preserve"> </w:t>
      </w:r>
    </w:p>
    <w:p>
      <w:pPr>
        <w:pStyle w:val="Normal"/>
        <w:rPr/>
      </w:pPr>
      <w:r>
        <w:rPr/>
        <w:t xml:space="preserve">Vi fremsætter denne anbefaling, fordi vi alle er ansvarlige for klimakrisen. Så vi har et ansvar over for dem, der er mest berørt. Selv om vi hverken har prognoser eller konkrete data om fremtidige flygtninge, vil klimaændringerne uden tvivl påvirke millioner af mennesker. </w:t>
      </w:r>
    </w:p>
    <w:p>
      <w:pPr>
        <w:pStyle w:val="Normal"/>
        <w:rPr/>
      </w:pPr>
      <w:r>
        <w:rPr/>
        <w:t xml:space="preserve"> </w:t>
      </w:r>
    </w:p>
    <w:p>
      <w:pPr>
        <w:pStyle w:val="Normal"/>
        <w:rPr/>
      </w:pPr>
      <w:r>
        <w:rPr/>
        <w:t xml:space="preserve">Sub-akse 4.2 — Menneskelige overvejelser </w:t>
      </w:r>
    </w:p>
    <w:p>
      <w:pPr>
        <w:pStyle w:val="P68B1DB1Normal15"/>
        <w:rPr>
          <w:b/>
          <w:b/>
        </w:rPr>
      </w:pPr>
      <w:r>
        <w:rPr/>
        <w:t xml:space="preserve">Vi anbefaler, at lovlige og humanitære veje og transportmidler hurtigst muligt styrkes og finansieres, så flygtninge kan flytte fra kriseområder på en organiseret måde. Der bør oprettes og reguleres et særligt sikkerhedssystem for europæiske baner af det organ, der specifikt er oprettet til dette formål. Dette agentur skal oprettes efter lovgivningsproceduren og have særlige beføjelser, der er fastsat i dets forretningsorden. </w:t>
      </w:r>
    </w:p>
    <w:p>
      <w:pPr>
        <w:pStyle w:val="Normal"/>
        <w:rPr/>
      </w:pPr>
      <w:r>
        <w:rPr/>
        <w:t xml:space="preserve"> </w:t>
      </w:r>
    </w:p>
    <w:p>
      <w:pPr>
        <w:pStyle w:val="Normal"/>
        <w:rPr/>
      </w:pPr>
      <w:r>
        <w:rPr/>
        <w:t xml:space="preserve">Menneskehandel og smugling af migranter er alvorlige problemer, der skal løses. Vores anbefaling vil helt sikkert mindske disse bekymringer. </w:t>
      </w:r>
    </w:p>
    <w:p>
      <w:pPr>
        <w:pStyle w:val="Normal"/>
        <w:rPr/>
      </w:pPr>
      <w:r>
        <w:rPr/>
        <w:t xml:space="preserve"> </w:t>
      </w:r>
    </w:p>
    <w:p>
      <w:pPr>
        <w:pStyle w:val="Normal"/>
        <w:rPr/>
      </w:pPr>
      <w:r>
        <w:rPr/>
        <w:t xml:space="preserve">Underakse 4.3 — Grænser </w:t>
      </w:r>
    </w:p>
    <w:p>
      <w:pPr>
        <w:pStyle w:val="P68B1DB1Normal15"/>
        <w:rPr>
          <w:b/>
          <w:b/>
        </w:rPr>
      </w:pPr>
      <w:r>
        <w:rPr/>
        <w:t xml:space="preserve">Vi anbefaler, at et EU-direktiv sikrer, at alle boligområder i hver medlemsstat ikke har mere end 30 % indbyggere i tredjelande. Dette mål forventes at blive nået senest i 2030, og EU's medlemsstater skal modtage støtte til gennemførelsen af dette mål. </w:t>
      </w:r>
    </w:p>
    <w:p>
      <w:pPr>
        <w:pStyle w:val="Normal"/>
        <w:rPr/>
      </w:pPr>
      <w:r>
        <w:rPr/>
        <w:t xml:space="preserve"> </w:t>
      </w:r>
    </w:p>
    <w:p>
      <w:pPr>
        <w:pStyle w:val="Normal"/>
        <w:rPr/>
      </w:pPr>
      <w:r>
        <w:rPr/>
        <w:t xml:space="preserve">Vi fremsætter denne anbefaling, fordi en mere ligelig geografisk fordeling vil resultere i en bedre accept af migranter fra lokalbefolkningens side og dermed gøre det muligt for dem at integrere sig bedre. Denne procentdel er baseret på en nylig politisk aftale i Danmark. </w:t>
      </w:r>
      <w:r>
        <w:br w:type="page"/>
      </w:r>
    </w:p>
    <w:p>
      <w:pPr>
        <w:pStyle w:val="Titre1"/>
        <w:numPr>
          <w:ilvl w:val="0"/>
          <w:numId w:val="2"/>
        </w:numPr>
        <w:rPr/>
      </w:pPr>
      <w:bookmarkStart w:id="205" w:name="__RefHeading___Toc297345_1346298689"/>
      <w:bookmarkEnd w:id="205"/>
      <w:r>
        <w:rPr/>
        <w:t xml:space="preserve">II A — De nationale paneler: Belgien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Billeder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leder32" descr=""/>
                    <pic:cNvPicPr>
                      <a:picLocks noChangeAspect="1" noChangeArrowheads="1"/>
                    </pic:cNvPicPr>
                  </pic:nvPicPr>
                  <pic:blipFill>
                    <a:blip r:embed="rId85"/>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Her kan vi finde alle anbefalingerne fra de 50 borgere i borgerpanelet, der er organiseret under vicepremierminister og minister for eksterne og europæiske anliggender, Sophie Wilmès, som et bidrag fra den belgiske forbundsregering til konferencen om Europas fremtid. Temaet for dette panel var "Hvordan man i højere grad inddrager borgerne i det europæiske demokrati". Selv om den er klar over, at konferencen har et bredere anvendelsesområde end EU-anliggender alene, præciserer emnet for dette panel, hvorfor der er så mange udtrykkelige henvisninger til EU og dets institutioner. Der henvises i givet fald til Europa generelt.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For at afspejle alle borgernes bidrag indeholder denne betænkning alle henstillinger, herunder dem, der ikke opnåede et simpelt flertal på det endelige afstemningsmøde om alle henstillinger. De er tydeligt genkendelige på grund af procentdelen </w:t>
      </w:r>
      <w:r>
        <w:rPr>
          <w:b/>
          <w:color w:val="FF0000"/>
        </w:rPr>
        <w:t>i rød og fed.</w:t>
      </w:r>
      <w:r>
        <w:rPr>
          <w:color w:val="000000"/>
        </w:rPr>
        <w:t xml:space="preserve"> Desuden er nogle anbefalinger i modstrid med hinanden, og selv i de endelige drøftelser er borgerne forblevet inkonklusive om dem. Disse anbefalinger er genkendelige, fordi de er i </w:t>
      </w:r>
      <w:r>
        <w:rPr>
          <w:i/>
          <w:color w:val="000000"/>
        </w:rPr>
        <w:t>kursiv.</w:t>
      </w:r>
      <w:r>
        <w:rPr>
          <w:color w:val="000000"/>
        </w:rPr>
        <w:t xml:space="preserve"> For en enkelt anbefaling var opdelingen så klar, at afstemningen sluttede med en </w:t>
      </w:r>
      <w:r>
        <w:rPr>
          <w:i/>
          <w:color w:val="000000"/>
        </w:rPr>
        <w:t xml:space="preserve">ex-aequo, </w:t>
      </w:r>
      <w:r>
        <w:rPr>
          <w:color w:val="000000"/>
        </w:rPr>
        <w:t xml:space="preserve">dette er angivet med </w:t>
      </w:r>
      <w:r>
        <w:rPr>
          <w:b/>
          <w:color w:val="FF9900"/>
        </w:rPr>
        <w:t>orange og fed skrift</w:t>
      </w:r>
      <w:r>
        <w:rPr>
          <w:color w:val="000000"/>
        </w:rPr>
        <w:t xml:space="preserve">. Borgerne er enige om, at holdningerne til disse anbefalinger er forskellige. De foreslår derfor, at CoFE-organerne og EU-institutionerne er opmærksomme på gennemførelsen af disse henstillinger, da der er en form for opdeling baseret på afstemning. </w:t>
      </w:r>
    </w:p>
    <w:p>
      <w:pPr>
        <w:pStyle w:val="Normal"/>
        <w:rPr/>
      </w:pPr>
      <w:r>
        <w:rPr/>
      </w:r>
      <w:r>
        <w:br w:type="page"/>
      </w:r>
    </w:p>
    <w:p>
      <w:pPr>
        <w:pStyle w:val="Normal"/>
        <w:rPr/>
      </w:pPr>
      <w:r>
        <w:rPr/>
        <w:t>1. Kommunikation</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4" w:type="dxa"/>
          <w:bottom w:w="28" w:type="dxa"/>
          <w:right w:w="28" w:type="dxa"/>
        </w:tblCellMar>
      </w:tblPr>
      <w:tblGrid>
        <w:gridCol w:w="2003"/>
        <w:gridCol w:w="6469"/>
        <w:gridCol w:w="1166"/>
      </w:tblGrid>
      <w:tr>
        <w:trPr/>
        <w:tc>
          <w:tcPr>
            <w:tcW w:w="2003"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Problemer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Anbefalinger </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Understøttet af (%) </w:t>
            </w:r>
          </w:p>
        </w:tc>
      </w:tr>
      <w:tr>
        <w:trPr/>
        <w:tc>
          <w:tcPr>
            <w:tcW w:w="2003" w:type="dxa"/>
            <w:vMerge w:val="restart"/>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Meddelelsen om EU er utilfredsstillende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Vi foreslår at medtage kurser i Den Europæiske Union fra det tredje niveau i grundskolen. Målet er at nå ud til alle borgere og forbedre kendskabet til Den Europæiske Union. </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Den Europæiske Union og navnlig Kommissionen bør stille et undervisningsmateriale til rådighed for undervisningsministerierne i de forskellige medlemsstater om, hvordan Europa fungerer. Ud over at forklare institutionernes funktion, sammensætning og beføjelser bør disse sammensætninger også give et kort overblik over den europæiske integrations historie. Der bør lægges særlig vægt på brugen af et klart og forståeligt, tilgængeligt sprog samt uddannelsesværktøjer såsom dokumentarfilm, klip eller skole-tv-programmer på alle 24 sprog. </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3" w:type="dxa"/>
            <w:vMerge w:val="restart"/>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Det europæiske projekt forbliver fremmed for borgerne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Vi foreslår, at de europæiske institutioner i deres kommunikation sikrer, at de bedre forklarer, hvad der hører under EU's kompetenceområde, men også hvad der ikke hører under EU's kompetenceområde. </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Den Europæiske Union bør medtage velkendte eksempler fra europæernes dagligdag i sin meddelelse. Disse forklaringer bør formidles inden for medlemsstaterne gennem aftaler mellem de europæiske institutioner og nationale offentlige tv-kanaler for at nå ud til et bredt publikum. </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Desuden bør medlemsstaternes statsborgere regelmæssigt informeres — f.eks. via videoklip — om Den Europæiske Unions rolle i andre medlemsstater. Fordelene og ulemperne ved Europa vil således blive bedre sat i perspektiv i debatterne om Europas fremtid. </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For at styrke den europæiske identitet foreslår vi regelmæssigt at minde om og stille oplysninger til rådighed om, hvordan europæernes liv ville være uden EU og dets konkrete resultater.</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Vi foreslår også at gøre Europadagen (9. maj) til en europæisk helligdag for alle EU-borgere.</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Vi anbefaler, at EU-institutionerne lægger endnu større vægt på forenkling, forståelse og tilgængelighed af oplysninger om prioriterede emner, der behandles på europæisk plan</w:t>
            </w:r>
            <w:r>
              <w:rPr/>
              <w:commentReference w:id="9"/>
            </w:r>
            <w:r>
              <w:rPr/>
              <w:t>.</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Vi anbefaler, at Den Europæiske Union fremlægger en </w:t>
            </w:r>
            <w:commentRangeStart w:id="10"/>
            <w:r>
              <w:rPr/>
              <w:t>resultattavle</w:t>
            </w:r>
            <w:r>
              <w:rPr/>
            </w:r>
            <w:commentRangeEnd w:id="10"/>
            <w:r>
              <w:commentReference w:id="10"/>
            </w:r>
            <w:r>
              <w:rPr/>
              <w:t>, der for hvert land viser de midler, som EU har afsat til hvert prioriteret tema. Alle sådanne oplysninger bør være tilgængelige på Den Europæiske Unions websted.</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Vi anbefaler, at Den Europæiske Union giver en klar præsentation af det igangværende lovgivningsarbejde. Alle sådanne oplysninger bør være tilgængelige på Den Europæiske Unions websted.</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Vi ønsker, at de europæiske institutioner skal være mere tilgængelige for </w:t>
            </w:r>
            <w:commentRangeStart w:id="11"/>
            <w:r>
              <w:rPr/>
              <w:t>europæerne</w:t>
            </w:r>
            <w:r>
              <w:rPr/>
            </w:r>
            <w:commentRangeEnd w:id="11"/>
            <w:r>
              <w:commentReference w:id="11"/>
            </w:r>
            <w:r>
              <w:rPr/>
              <w:t>. Deres deltagelse i debatter på Europa-Parlamentets møder bør lettes.</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Vi anbefaler, at deltagelsen i Erasmus-programmet udvides til at omfatte alle studerende, uanset deres uddannelsesforløb (erhvervsteknologi, vekslen). Alle bør kunne deltage i europæiske udvekslinger.</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Vi anbefaler, at den erhvervsaktive befolkning får adgang til de europæiske udvekslingsprogrammer, uanset aktivitetssektor, også for lokale virksomheder. Alle bør kunne deltage i europæiske udvekslinger.</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Vi anbefaler, at der oprettes europæiske medborgerskabskurser for alle europæiske borgere.</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3"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EU-lovgivningen anvendes ikke på samme måde i medlemsstaterne.</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Vi anbefaler, at Den Europæiske Union gør mere brug af umiddelbart gældende lovgivning i medlemsstaterne. Dette vil mindske de nationale forskelle i gennemførelsen af EU-lovgivningen, hvilket svækker det europæiske projekt. Dette vil også forbedre de vigtigste europæiske resultater såsom det indre marked, euroen og Schengenområdet.</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3" w:type="dxa"/>
            <w:vMerge w:val="restart"/>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Det europæiske demokrati er truet.</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Vi anbefaler, at EU's meddelelse om europæisk demokrati ubarmhjertigt og utvetydigt minder om, hvad den betyder for europæerne i Europa.</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De værdier og principper i Den Europæiske Unions traktater, som medlemsstaterne har tilsluttet sig ved tiltrædelsen, er uoprettelige. Beskyttelsen af dem skal fortsat sikres.</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Beskyttelsen af traktaternes værdier og principper sikres</w:t>
            </w:r>
            <w:r>
              <w:rPr/>
              <w:commentReference w:id="12"/>
            </w:r>
            <w:r>
              <w:rPr/>
              <w:t xml:space="preserve"> af Domstolen og kan ikke drages i tvivl af medlemsstaterne.</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3"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Oplysninger om EU er ikke let tilgængelige og vanskelige at forstå</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Vi anbefaler at styrke kontrollen af oplysninger om europæiske spørgsmål. Disse oplysninger, der formidles og kontrolleres af institutionerne, skal være let tilgængelige for den europæiske offentlighed og for de nationale medier i hver medlemsstat.</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3"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Nationale medier giver ofte et negativt billede af EU</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EU skal også være mere til stede i europæernes hverdag ved at kommunikere mere proaktivt. (F.eks. ved at sponsorere kulturelle arrangementer, der bringer borgerne sammen og gør dem stolte af at være EU-borgere. Rapportering og teasers vil også gøre det muligt for europæerne at få adgang til</w:t>
            </w:r>
            <w:r>
              <w:rPr/>
              <w:commentReference w:id="13"/>
            </w:r>
            <w:r>
              <w:rPr/>
              <w:t xml:space="preserve"> kontekstualiserede oplysninger om EU).</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3" w:type="dxa"/>
            <w:vMerge w:val="restart"/>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Borgerne kender ikke dem, der repræsenterer dem i Europa-Parlamentet.</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Vi anbefaler, at parlamentarikere bliver bedre kendt i deres hjemlande, især uden for valgperioder. De skal være mere tilgængelige. Årsagerne til deres afstemninger i Europa-Parlamentet skal gøres lettere tilgængelige for de europæiske borgere via EU's websted.</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Vi anbefaler, at nationale politiske partier sikrer foryngelse af kandidater på de lister, der præsenteres ved valget til Europa-Parlamentet. Et sådant mandat bør ikke betragtes som en belønning for gode og loyale tjenester, der ydes i national politik.</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3" w:type="dxa"/>
            <w:vMerge w:val="restart"/>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EU's meddelelse er for ensartet. der tages ikke hensyn til mangfoldigheden i befolkningen</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For at nå ud til et tilstrækkeligt bredt og mangfoldigt publikum anbefaler vi, at EU ved hjælp af inklusiv kommunikation fra undfangelsesfasen tager hensyn til de berørte personers uddannelsesmæssige karakter og deres eventuelle handicap. Derudover anbefaler vi også, at enkeltpersoner og organisationer (gadepædagoger, lokale agenter, CPAS, civilsamfundet) inddrages i fremsendelsen af denne meddelelse.</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For at nå ud til arbejdsstyrken anbefaler vi, at der investeres mere i brugen af eksisterende kommunikationskanaler for regelmæssigt at give relevante oplysninger om EU, f.eks. gennem forklarende programmer. Derudover anbefaler vi, at man stoler på ambassadører (både enkeltpersoner og organisationer), der fremmer EU-projektet.</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For at nå ud til unge og studerende anbefaler vi, at der ud over eksisterende kanaler som uddannelse og relevante ungdomsbevægelser indkaldes ambassadører, især for influencers, der kan nå ud til unge gennem sociale medier. En anden anbefaling ville være at organisere en paneuropæisk konkurrence for at skabe en tegneseriefigur, der appellerer til unge og sender dem europæiske budskaber.</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For seniorer anbefaler vi at bruge de samme kanaler som dem, der tilbydes arbejdsstyrken. Derudover anbefaler vi, at vi søger den rette balance mellem digital og ikke-digital kommunikation (skriftlig presse, radio, ansigt-til-ansigt-begivenheder) for at imødekomme alles behov, herunder dem, der er mindre komfortable i et digitalt miljø, samt dem, der er mindre mobile i samfundet.</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Vi anbefaler, at EU gennem de integrationskurser, der allerede findes i mange medlemsstater, forpligter sig til at medtage "nye europæere" (personer, der gennem en eller anden lovlig indvandringsprocedure har bopæl i EU), og kan gøre dem opmærksomme på de andre traditionelle kanaler, som EU kommunikerer igennem. Endelig anbefaler vi også at give et sted til den lokale associative verden.</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Vi anbefaler også at tage EU på gaden med inklusiv kommunikation. F.eks. kan der anvendes (digitale) skilte, og det samme kan nye kommunikationsmidler såsom QR-koder og traditionelle midler.</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3" w:type="dxa"/>
            <w:vMerge w:val="continue"/>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Andre anbefalinger ville være at gøre EU mere visuel (gennem små film eller infografik), at skabe en europæisk sportsbevægelse for at skabe en forbindelse/en følelse af tilhørsforhold og gøre den europæiske hymne bedre kendt.</w:t>
            </w:r>
          </w:p>
        </w:tc>
        <w:tc>
          <w:tcPr>
            <w:tcW w:w="11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Desinformation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3"/>
        <w:gridCol w:w="5625"/>
        <w:gridCol w:w="1817"/>
      </w:tblGrid>
      <w:tr>
        <w:trPr/>
        <w:tc>
          <w:tcPr>
            <w:tcW w:w="2203"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Problemer</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Anbefalinger</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Understøttet af (%)</w:t>
            </w:r>
          </w:p>
        </w:tc>
      </w:tr>
      <w:tr>
        <w:trPr/>
        <w:tc>
          <w:tcPr>
            <w:tcW w:w="2203"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Risikoen for misinformation er i stigende grad til stede i medierne</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Vi anbefaler at revidere mediefinansieringsmodellen samt obligatorisk offentliggørelse af indtægtskilder på en klar og tilgængelig måde. Mediefinansieringsmodellen driver dem til sensationalisme og dermed til at offentliggøre oplysninger ud af kontekst og gøre dem til desinformation.</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3"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Vi anbefaler obligatorisk henvisning af kilder fra medierne ved at give links til at verificere dem. I modsat fald skal oplysningerne mærkes som uverificerede.</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3"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Vi anbefaler, at den europæiske tilsynsmyndighed for bekæmpelse af desinformation (se punkt 2) også er ansvarlig for akkreditering af informationsverifikationsorganisationer ("faktatjekkere").</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3"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Vi anbefaler, at der i hver medlemsstat oprettes en uafhængig myndighed med ansvar for kontrol af medieneutralitet. Denne myndighed bør finansieres og overvåges af Den Europæiske Union.</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3"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Vi anbefaler at udbrede oplysninger om webadresserne på officielle EU-websteder for at forsikre borgerne om oplysningernes oprindelse.</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3"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Mange borgere tvivler på mediernes neutralitet</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Vi anbefaler, at der oprettes en europæisk tilsynsmyndighed til bekæmpelse af desinformation. Denne tilsynsmyndigheds opgave vil navnlig være at fastlægge kriterierne for et neutralitetsmærke og, hvor det er relevant, at indføre et system med sanktioner eller incitamenter i forbindelse med overholdelse af neutralitetsstandarder. Alternativt kan det overvejes at overholde et etisk charter. Mærket tildeles af den uafhængige nationale myndighed og tager hensyn til de foranstaltninger, som medierne har truffet for at bekæmpe desinformation.</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3"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Vi anbefaler, at der oprettes en europæisk hotline, der giver borgerne mulighed for at fordømme desinformation om europæiske (politiske og økonomiske) kompetencer.</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3"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Borgerne er ikke klar over de risici for misinformation, som de udsættes for.</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Vi anbefaler, at platforme er forpligtet til at offentliggøre klare og forståelige oplysninger om de risici for desinformation, som deres brugere udsættes for. Disse oplysninger skal automatisk meddeles, så snart en konto åbnes.</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3"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Vi anbefaler obligatorisk uddannelse i brugen af medierne fra en tidlig alder og tilpasset de forskellige niveauer i uddannelsessystemet.</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3"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Vi anbefaler, at Den Europæiske Union iværksætter gentagne kampagner om desinformation. Disse kampagner kan identificeres ved hjælp af et logo eller maskot. Den Europæiske Union kan tvinge de sociale netværk til at viderebringe dem gennem udbredelse af pletter.</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3"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Midlerne til at bekæmpe desinformation er utilstrækkelige.</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Vi anbefaler at offentliggøre oplysninger på almindeligt og forståeligt sprog om algoritmer, der organiserer meddelelser, der modtages af platformbrugere.</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3"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Vi anbefaler, at brugerne kan deaktivere adfærdsmæssige bias-forbedrende algoritmer på en enkel måde. Forpligtelsen til at give brugerne adgang til andre kilder, der forsvarer forskellige holdninger til samme emne, kan også undersøges.</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3"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Vi anbefaler, at Den Europæiske Union støtter oprettelsen af en social medieplatform, der opfylder sine egne standarder med hensyn til neutralitet og bekæmpelse af desinformation. Alternativt kunne den flersprogede platform, der blev oprettet til støtte for konferencen om Europas fremtid, tilføjes med nye funktioner.</w:t>
            </w:r>
          </w:p>
        </w:tc>
        <w:tc>
          <w:tcPr>
            <w:tcW w:w="1817"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Borgerpaneler</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4" w:type="dxa"/>
          <w:bottom w:w="28" w:type="dxa"/>
          <w:right w:w="28" w:type="dxa"/>
        </w:tblCellMar>
      </w:tblPr>
      <w:tblGrid>
        <w:gridCol w:w="2203"/>
        <w:gridCol w:w="5790"/>
        <w:gridCol w:w="1652"/>
      </w:tblGrid>
      <w:tr>
        <w:trPr/>
        <w:tc>
          <w:tcPr>
            <w:tcW w:w="2203"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Problemer</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Anbefalinger</w:t>
            </w:r>
          </w:p>
        </w:tc>
        <w:tc>
          <w:tcPr>
            <w:tcW w:w="1652"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Understøttet af (%)</w:t>
            </w:r>
          </w:p>
        </w:tc>
      </w:tr>
      <w:tr>
        <w:trPr/>
        <w:tc>
          <w:tcPr>
            <w:tcW w:w="2203"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Vanskeligheder med at sikre et borgerpanels repræsentativitet. I sidste ende er kun en lille del af befolkningen involveret.</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Vi anbefaler at overvåge, hvad det seneste videnskabelige arbejde om debatdemokrati foreslår med hensyn til prøveudtagning, udvikling og videnskabelig validering af udvælgelsesmetoden for at sikre den bedst mulige repræsentativitet.</w:t>
            </w:r>
          </w:p>
        </w:tc>
        <w:tc>
          <w:tcPr>
            <w:tcW w:w="1652"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Vi anbefaler, at der er et tilstrækkeligt antal mennesker rundt om bordet til at sikre mangfoldigheden af meninger og profiler, herunder — men ikke kun — personer, der er direkte involveret i emnet.</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Vi anbefaler, at der i kriterierne for prøveudtagning tilføjes kriteriet om forældreskab (dvs. om personen har børn?) ud over mere traditionelle kriterier såsom køn, alder, bopæl eller uddannelsesniveau.</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Vi anbefaler, at der fastsættes kvoter for hvert geografisk område, dvs. at det fastsættes, at et europæisk borgerpanel skal bestå af X personer pr. europæisk geografisk område (skal fastlægges), således at dette panel virkelig kan kvalificeres som europæisk og meningsfuldt bevidst.</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Vi anbefaler, at folkeregistrene (eller tilsvarende, afhængigt af landet) anvendes som de primære databaser for lodtrækningen for at give alle samme chancer for at kunne vælges, og for at skabe interesse for et emne inden for befolkningen.</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Vi anbefaler, at deltagerne kompenseres for at værdsætte deres investering og tiltrække folk, der ikke ville deltage, hvis de ikke blev kompenseret.</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Vi anbefaler at informere — ganske minimalt: hverken for meget information eller for kompliceret information — første deltagere gennem præsentationer af eksperter for at sikre, at selv mennesker uden forudgående viden føler sig trygge ved at deltage i diskussionerne.</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Vi anbefaler, at emnet for Borgerpanelet formidles på forhånd, så folk kan vide, hvilket emne de forpligter sig til at debattere.</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3"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Vi anbefaler ikke at kræve, at borgerne deltager.</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3"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Vanskeligheder med at organisere et panel på europæisk plan.</w:t>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Vi anbefaler, at der afholdes møder i det europæiske borgerpanel i hybridformat (præsentiel/distancial). Personer, der ikke kan bevæge sig fysisk, kan også deltage.</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3"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Vi anbefaler, at Den Europæiske Union for at lette adgangen og organiseringen uddelegerer organiseringen af borgerpaneler (om europæiske temaer) til forskellige myndighedsniveauer på nationalt plan.</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3"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Vi anbefaler, at der vælges et enkelt emne pr. panel, der organiseres på europæisk plan. Dette vil gøre det muligt for alle deltagere at diskutere det samme emne, uanset hvor de kommer fra i Europa.</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3"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Undgå panelet </w:t>
              <w:br/>
              <w:t>borgerne må ikke omdirigeres til andre formål end dem, der er angivet.</w:t>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Vi anbefaler, at enhver borger kan indsende et emne til diskussion, og således at denne ret ikke er forbeholdt den politiske verden eller lobbyisternes verden.</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3"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Vi anbefaler, at Europa-Parlamentet tillægges initiativretten, således at Europa-Parlamentet definerer det emne, der skal drøftes, og derefter vedtager de tekster, der er nødvendige for at følge op på de henstillinger, der følger af drøftelserne.</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64,4 %</w:t>
            </w:r>
          </w:p>
        </w:tc>
      </w:tr>
      <w:tr>
        <w:trPr/>
        <w:tc>
          <w:tcPr>
            <w:tcW w:w="2203"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Vanskeligheder med at beslutte, hvordan man bedst organiserer processen for den bedste repræsentation af borgerne.</w:t>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Vi anbefaler, at der sammen med Folketinget nedsættes et permanent borgerpanel, som påtager sig specifikke opgaver. Det vil blive fornyet regelmæssigt. Dette ville gøre det muligt at bringe borgerne sammen på lang sigt og tage den nødvendige tid til debatter. Tid giver mulighed for nuancering af debatter og konsensus. Ved siden af dette permanente panel drøfter ad hoc-borgerpaneler emner, som det permanente panel har valgt. Vi foreslår at følge modellen for det tysktalende fællesskab.</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3"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Vi anbefaler, at der kun oprettes et eller flere ikke-permanente europæiske borgerpaneler, som kun skal mødes og drøfte et bestemt emne i en given periode.</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3"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Vi anbefaler, at der ikke arrangeres europæiske borgerpaneler om uopsættelige spørgsmål, da der er brug for tilstrækkelig tid til at sikre kvaliteten af debatterne.</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64,4 %</w:t>
            </w:r>
          </w:p>
        </w:tc>
      </w:tr>
      <w:tr>
        <w:trPr/>
        <w:tc>
          <w:tcPr>
            <w:tcW w:w="220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Alt for ofte får borgere, der deltager i deltagelsesdemokratiinitiativer såsom borgerpaneler, ikke feedback om opfølgningen på deres arbejde, hverken på kort eller lang sigt.</w:t>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Vi anbefaler at give borgerne feedback om opfølgningen (eller ej) på henstillinger, der er udstedt efter de europæiske borgerpaneler. Hvis henstillingerne ikke følges, skal de involverede EU-institutioner begrunde deres beslutning (f.eks. manglende kompetence). Til dette formål anbefaler vi, at der skrives regelmæssige resuméer under hele processen efter et panel.</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Vi anbefaler, at der arrangeres borgerpaneler, også med børn fra en tidlig alder (f.eks. 10-16 år) for at øge bevidstheden om deltagelse og debat. Dette kan organiseres i skolerne.</w:t>
            </w:r>
          </w:p>
        </w:tc>
        <w:tc>
          <w:tcPr>
            <w:tcW w:w="16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Folkeafstemninger</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Problemer</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Anbefalinger</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Understøttet af (%)</w:t>
            </w:r>
          </w:p>
        </w:tc>
      </w:tr>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Vi anbefaler, at der afholdes folkeafstemninger på europæisk plan om europæiske anliggender.</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Folkeafstemningens kultur varierer meget fra medlemsstat til medlemsstat</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Vi anbefaler, at man bestiller forskning i, hvordan man skaber en fælles folkeafstemningskultur i Europa.</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Vi anbefaler forskning (af uafhængige eksperter) om nødvendigheden af og muligheden for at afholde en folkeafstemning om et bestemt emne på europæisk plan</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Formuleringen af det spørgsmål, der stilles ved en folkeafstemning, kan have en negativ indvirkning, ligesom evnen til kun at svare med "ja" eller "nej", som ofte polariserer debatter og samfund.</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Vi anbefaler, at der nedsættes et videnskabeligt udvalg, der skal overveje, hvordan man kan stille spørgsmål, der vil blive genstand for en europæisk folkeafstemning på den mest objektive måde.</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Vi anbefaler at stille multiple choice-spørgsmål, der går ud over det enkle alternativ mellem "ja" og "nej" for at bringe nuancer eller endda knytte betingelser til "ja" og "nej" (dvs. "ja, hvis", "nej hvis").</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Vi anbefaler, at der ikke tages hensyn til hvide stemmer ved beregningen af et flertal (simpelt flertal eller absolut flertal). Der skal stadig være nok stemmer (flertallet skal respekteres).</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Valget af emne er også delikat.</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Vi anbefaler, at et spørgsmål, der rejses ved en europæisk folkeafstemning, falder ind under ethvert europæisk emne, der henhører under Den Europæiske Unions kompetence.</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Vi anbefaler, at emner, der kan være en kilde til konflikt mellem medlemsstaterne, udelukkes.</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Vi anbefaler, at der også stilles tekniske og vanskelige spørgsmål med en klar ordlyd, fordi folk har evnen til at blive tilstrækkeligt informeret.</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Folkeafstemningen er ikke et demokratisk redskab, hvis kun den politiske verden kan beslutte at organisere et.</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Vi anbefaler, at Europa-Parlamentet har initiativret til at afholde</w:t>
            </w:r>
            <w:r>
              <w:rPr/>
              <w:commentReference w:id="14"/>
            </w:r>
            <w:r>
              <w:rPr/>
              <w:t xml:space="preserve"> europæiske folkeafstemninger, og at det så bør være i stand til at gennemføre resultatet heraf (Europa-Kommissionen og Rådet bør følge uden mulighed for blokering).</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Vi anbefaler, at initiativet også kan komme fra borgerne selv (f.eks. ved at følge regler svarende til dem, der gælder for det europæiske borgerinitiativ).</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Vi anbefaler, at den praktiske tilrettelæggelse af en europæisk folkeafstemning skal være et neutralt organ.</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Det rådgivende eller bindende aspekt af folkeafstemningen skal være </w:t>
              <w:br/>
              <w:t>klart defineret.</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Vi anbefaler, at resultatet af en europæisk folkeafstemning kun er bindende, når visse betingelser med hensyn til valgdeltagelse er opfyldt.</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Vi anbefaler, at resultaterne af en folkeafstemning kun er bindende, hvis visse flertal er nået (51/49, 70/30). Disse betingelser er fastsat før hver folkeafstemning.</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Vi anbefaler, at resultatet af en europæisk folkeafstemning er bindende, hvis initiativet fra dens organisation blev taget af borgere (som ville have formået at samle en række underskrifter til dette formål), men vejledende, hvis initiativet blev taget af en politisk institution.</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Vi anbefaler, at resultatet af en europæisk folkeafstemning kun gøres bindende for visse emner, men ikke for dem, for hvilke konsekvenserne af afstemningen kunne være meget alvorlige.</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Befolkningen er ofte dårligt informeret, før de bliver indkaldt til at stemme ved en folkeafstemning. Samtidig er det afgørende at kontrollere de meddelte oplysninger for at undgå skadelige påvirkninger (interne eller udenlandske) på afstemninger.</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Vi anbefaler, at offentligheden inden enhver EU-afstemning informeres tydeligt om konsekvenserne af afstemningen for deres dagligdag, via brochurer, som det sker i Schweiz, og/eller informationsmøder.</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Vi anbefaler, at der for hver europæisk folkeafstemning nedsættes en videnskabelig komité, der garanterer neutraliteten af de meddelte oplysninger.</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Selv om en folkeafstemning opfordrer hele befolkningen til at stemme direkte (i modsætning til borgerpanelet), er der altid et vist fravær, mere eller mindre vigtigt.</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Vi anbefaler, at deltagelse i afstemningen i en europæisk folkeafstemning er obligatorisk.</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Vi anbefaler, at det er frivilligt at stemme ved en europæisk folkeafstemning.</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Vi anbefaler, for at reducere fraværet, at tillade elektronisk afstemning ud over papirafstemning (eller i tillæg til andre afstemningsmetoder, såsom postafstemning). Elektronisk afstemning er især interessant for folk, der går på ferie, og det tilskynder også folk, der er mindre interesserede i at stemme, fordi tvangen af ​​rejser ikke længere er der.</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Alt for ofte får borgere, der deltager i</w:t>
            </w:r>
            <w:r>
              <w:rPr/>
              <w:commentReference w:id="15"/>
            </w:r>
            <w:r>
              <w:rPr/>
              <w:t xml:space="preserve"> deltagelsesdemokratiinitiativer som folkeafstemninger, ikke en tilbagevenden til opfølgningen af deres stemme, hverken på kort sigt eller på lang sigt.</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Vi anbefaler at give borgerne feedback om opfølgningen (eller ej) på den beslutning, som borgerne træffer ved en europæisk folkeafstemning.</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Eksisterende værktøjer</w:t>
      </w:r>
    </w:p>
    <w:p>
      <w:pPr>
        <w:pStyle w:val="Normal"/>
        <w:rPr/>
      </w:pPr>
      <w:r>
        <w:rPr/>
        <w:t>5.1. Valg til Europa-Parlamentet.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1866"/>
        <w:gridCol w:w="6749"/>
        <w:gridCol w:w="1023"/>
      </w:tblGrid>
      <w:tr>
        <w:trPr>
          <w:trHeight w:val="596" w:hRule="atLeast"/>
        </w:trPr>
        <w:tc>
          <w:tcPr>
            <w:tcW w:w="18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Problemer</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Anbefalinger</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Understøttet af (%)</w:t>
            </w:r>
          </w:p>
        </w:tc>
      </w:tr>
      <w:tr>
        <w:trPr/>
        <w:tc>
          <w:tcPr>
            <w:tcW w:w="1866"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Der er forskel på forordningerne i de forskellige medlemsstater.</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Vi foreslår, at der skal være en obligatorisk stemmedeltagelse for Europa-Parlamentet, men med tilstrækkelige oplysninger til, at borgerne kan forstå årsagerne hertil.</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6"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Vores anbefaling er at gøre valgreglerne for Europa-Parlamentet så meget som muligt i alle lande, herunder minimumsalderen.</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6"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Der er ikke tilstrækkelig diversitet i parlamentsmedlemmernes alder, oprindelse og kønskriterier.</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Vi foreslår, at MEP'erne skal være af alle aldre og med alle baggrunde.</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6"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Vi foreslår, at MEP'erne bevidst vælger en europæisk karriere og ikke kun fordi de er ved slutningen af deres karriere.</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6"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Vi foreslår at vælge en afbalanceret kønsfordeling, f.eks. ved at skifte køn på valglisterne</w:t>
            </w:r>
            <w:r>
              <w:rPr/>
              <w:commentReference w:id="16"/>
            </w:r>
            <w:r>
              <w:rPr/>
              <w:t>. EU skal fastlægge disse kriterier og kontrollere, om de er opfyldt i kvotesammensætningen. Hvis en kandidat nægter sin embedsperiode, vil den næste kandidat i prioriteret rækkefølge og med samme køn træde i stedet for ham.</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6"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Vi anbefaler, at kandidaterne på de europæiske lister udøver deres mandat, hvis de vælges.</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6"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Vi stemmer for Europa-Parlamentet og har ingen indflydelse på udvalgets sammensætning.</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Vi foreslår, at der indføres en traktatændring, hvorved det største parti i Europa-Parlamentet kan udnævne formanden for Europa-Kommissionen.</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6"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Vi anbefaler at gøre Europa-Kommissionens sammensætning mere gennemsigtig i henhold til nogle grundlæggende grundlæggende regler, således at sammensætningen afspejler borgernes stemme, og at borgeren ved, hvordan udvælgelsen fandt sted.</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Der er ikke mange oplysninger om kandidaterne, vi ved ikke meget om dem og deres program samt den politiske brøkdel, de vil repræsentere i Europa-Parlamentet.</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Vi foreslår, at europæiske kandidater præsenterer sig lokalt på en mere konkret måde med deres mål og programmer gennem forskellige kanaler (meddelelse).</w:t>
            </w:r>
          </w:p>
        </w:tc>
        <w:tc>
          <w:tcPr>
            <w:tcW w:w="10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Den Europæiske Ombudsmand</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8"/>
        <w:gridCol w:w="5432"/>
        <w:gridCol w:w="1035"/>
      </w:tblGrid>
      <w:tr>
        <w:trPr/>
        <w:tc>
          <w:tcPr>
            <w:tcW w:w="317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Problemer</w:t>
            </w:r>
          </w:p>
        </w:tc>
        <w:tc>
          <w:tcPr>
            <w:tcW w:w="5432"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Anbefalinger</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Understøttet af (%)</w:t>
            </w:r>
          </w:p>
        </w:tc>
      </w:tr>
      <w:tr>
        <w:trPr/>
        <w:tc>
          <w:tcPr>
            <w:tcW w:w="317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Webstedet på andre sprog end engelsk indeholder kun oplysninger på engelsk på de første to sider. Dette skaber en barriere for borgere, der ikke behersker engelsk.</w:t>
            </w:r>
          </w:p>
        </w:tc>
        <w:tc>
          <w:tcPr>
            <w:tcW w:w="5432"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Vi foreslår at sætte oplysningerne på hjemmesiden på hver borgers sprog og sende, hvis det ikke er muligt at oversætte det, nyhederne på engelsk andetsteds på webstedet.</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Ombudsmanden er ikke part i sanktionen og erstatning til klageren.</w:t>
            </w:r>
          </w:p>
        </w:tc>
        <w:tc>
          <w:tcPr>
            <w:tcW w:w="5432"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Vi foreslår, at Ombudsmanden deltager i processen med at finde og gennemføre løsningen/sanktionen/kompensationen og have en stemme i sagen.</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Fristen er nogle gange meget lang for validering af registrering på webstedet (validering e-mail) Det tager nogle gange 24 timer og demotive borgeren, der går videre til noget andet.</w:t>
            </w:r>
          </w:p>
        </w:tc>
        <w:tc>
          <w:tcPr>
            <w:tcW w:w="5432"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Vi foreslår at indføre et øjeblikkeligt valideringssystem.</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Når vi indgiver en klage, stilles spørgsmålet: har du brugt alle mulige procedurer? Borgerne kender ikke altid alle procedurer og kan ikke besvare spørgsmålet.</w:t>
            </w:r>
          </w:p>
        </w:tc>
        <w:tc>
          <w:tcPr>
            <w:tcW w:w="5432"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Vi foreslår at inkludere et link til en simpel præsentation/forklaring af andre procedurer</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Ombudsmandens websted er godt gået, men har ikke et klart europæisk image, så det fører til spørgsmål til borgeren (er jeg på det rigtige websted, er det troværdigt? ...).</w:t>
            </w:r>
          </w:p>
        </w:tc>
        <w:tc>
          <w:tcPr>
            <w:tcW w:w="5432"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Vi foreslår at revidere webstedets grafiske charter og bringe det mere i overensstemmelse med EU's (første råd: løft det europæiske flag til toppen af siden). Det skal være klart ved det første "klik", at borgeren er på institutionens ombudsmands websted.</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Offentlig høring</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0"/>
        <w:gridCol w:w="5399"/>
        <w:gridCol w:w="1036"/>
      </w:tblGrid>
      <w:tr>
        <w:trPr/>
        <w:tc>
          <w:tcPr>
            <w:tcW w:w="32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Problemer</w:t>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Anbefalinger</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Understøttet af (%)</w:t>
            </w:r>
          </w:p>
        </w:tc>
      </w:tr>
      <w:tr>
        <w:trPr/>
        <w:tc>
          <w:tcPr>
            <w:tcW w:w="32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Høringswebstedet er ændret, og borgeren sendes i første instans til et forældet websted. Du er nødt til at søge for at finde adressen på det nye websted.</w:t>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Vi foreslår at slette det gamle websted og henvise til det nye websted først.</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0"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Køreplanen (engelsk) og udtalelserne (sproget på borgerredaktøren) for en høring oversættes ikke til borgerlæserens sprog</w:t>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Vi anbefaler kraftigt, at køreplanen oversættes til borgernes sprog. Køreplanen på engelsk blokerer enhver borger, der ikke behersker</w:t>
            </w:r>
            <w:commentRangeStart w:id="19"/>
            <w:r>
              <w:rPr/>
              <w:t>engelsk</w:t>
            </w:r>
            <w:r>
              <w:rPr/>
            </w:r>
            <w:commentRangeEnd w:id="19"/>
            <w:r>
              <w:commentReference w:id="19"/>
            </w:r>
            <w:r>
              <w:rPr/>
              <w:t xml:space="preserve"> i sin deltagelse.</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Vi foreslår at sætte en fane/ikon "automatiseret oversættelse" ved hver anmeldelse, som forbinder til en open source oversættelse motor som </w:t>
            </w:r>
            <w:commentRangeStart w:id="20"/>
            <w:r>
              <w:rPr/>
              <w:t>Google Translate eller DeepL.</w:t>
            </w:r>
            <w:commentRangeEnd w:id="20"/>
            <w:r>
              <w:commentReference w:id="20"/>
            </w:r>
            <w:r>
              <w:rPr/>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Du skal tilmelde dig for at få opfølgning på høringen</w:t>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Vi foreslår at sende processen sporing automatisk til alle, der har reageret, med mulighed for at afmelde.</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0" w:type="dxa"/>
            <w:vMerge w:val="restart"/>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Vi ved ikke, om antallet af udtalelser i en vis forstand påvirker underudvalget, eller om lignende udtalelser tages som en enkelt udtalelse (vægtning eller ej). Hvis antallet af udtalelser i en vis forstand tæller, er vi bekymrede over lobbyisters/aktivisters/store virksomheders vægt i høringerne og de faktiske foranstaltninger, som EU har truffet over for borgerne og den associative verden.</w:t>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Vi anbefaler at sætte klar information på hjemmesiden om dette.</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Hvis antallet af udtalelser i én retning har en effekt, anbefaler vi, at der etableres et system, der kan filtrere lobbyister/aktivister/store virksomheder osv. for ikke at give dem en uforholdsmæssig stor vægt.</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Vi anbefaler at oprette kunstig intelligens software, der rangerer forskellige anmeldelser og tæller modsatte eller gunstige anmeldelser.</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0" w:type="dxa"/>
            <w:vMerge w:val="continue"/>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Vi foreslår at organisere relæer mellem borgere og foreninger (militære): har steder, hvor borgerne kan komme og give deres mening i form af "Europahuse", der kan bidrage til at udbrede borgernes holdninger til europæisk plan. Disse steder bør etableres forskellige steder på lokalt plan og flyttes.</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Meddelelsesformularen er ikke klar: der er et åbent spørgsmål og et spørgeskema. Hvilken rolle spiller hvert dokument, hvad skal udfyldes?</w:t>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Klargør disse oplysninger på webstedet.</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Der er for mange færdigheder, når det kommer til værktøjer</w:t>
            </w:r>
          </w:p>
        </w:tc>
        <w:tc>
          <w:tcPr>
            <w:tcW w:w="539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Vi foreslår at oprette et ekspeditionscenter, der gør det muligt at sende anmodninger til det kompetente myndighedsniveau.</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Det europæiske borgerinitiativ</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Problemer</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Anbefalinger</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Understøttet af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Borgere, der ikke har internettet, er sværere at nå ud til.</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Vi foreslår, at lokale myndigheder eller biblioteker, som er uafhængige af regeringen, kan være involveret i at udbrede dette initiativ og indsamle underskrifter. Både elektronisk og på papir. EU bør gøre status over dette netværk efter land og stille det til rådighed for initiativtagerne.</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Antallet af lande, der skal deltage, er for lille til at have tilstrækkelig støtte.</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Vi foreslår at øge antallet af lande, hvorfra der indsamles underskrifter, til 13 lande for at få større støtte til forslaget. Antallet af underskrifter skal respekteres i forhold til antallet af indbyggere.</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Omkostningerne og indsatsen for at indsamle underskrifter er høje</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Vi foreslår, at der ydes EU-midler til støtte for disse initiativer.</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Vi foreslår, at der oprettes et organ, der skal lette koordineringen mellem de forskellige lande.</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Proceduren er kompleks for borgerne.</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Vi foreslår at oprette en helpdesk for at hjælpe borgerne med at fuldføre processen.</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Resultatet af borgerinitiativet er uklart.</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Vi foreslår at forpligte Europa-Kommissionen til at drøfte og arbejde med opfølgningen af forslaget og ikke blot at svare og anerkende modtagelsen. Hvis Kommissionen beslutter ikke at efterkomme forslaget, skal den begrunde det.</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Vi foreslår at afholde en høring af borgerne, når de modtager et europæisk borgerinitiativ, for at anmode dem om deres udtalelse herom, inden udvalget overvåger det. På den måde undgår man kun at have ekstreme meninger/stemmer om initiativet og at få mening fra personer, der ikke har underskrevet. Hvis alle borgere afgiver deres mening, vil forslaget desuden have større vægt på EU-plan og opfølgning heraf.</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Ret til at indgive andragender</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Problemer</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Anbefalinger</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Understøttet af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Europa-Kommissionen har den endelige beslutning, der er ingen sikkerhed for resultatet</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Vi foreslår, at Europa-Parlamentets henstilling følges af udvalget.</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Der er ringe gennemsigtighed omkring processen og motivationen for beslutningen.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Vi foreslår at holde den person, der indgiver andragendet, orienteret om fremskridt og beslutninger med regelmæssige mellemrum. Den endelige konklusion skal også begrundes.</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Det er vanskeligt for borgerne at påvise behovet for ny lovgivning.</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Vores anbefaling er, at et andragende også skal bruges som et redskab til at påvise behovet for ny lovgivning.</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De nationale paneler: Frankrig</w:t>
      </w:r>
    </w:p>
    <w:p>
      <w:pPr>
        <w:pStyle w:val="Normal"/>
        <w:spacing w:before="15881"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3455" cy="1021080"/>
                <wp:effectExtent l="0" t="0" r="0" b="0"/>
                <wp:wrapTopAndBottom/>
                <wp:docPr id="75" name="Rammer14"/>
                <a:graphic xmlns:a="http://schemas.openxmlformats.org/drawingml/2006/main">
                  <a:graphicData uri="http://schemas.microsoft.com/office/word/2010/wordprocessingShape">
                    <wps:wsp>
                      <wps:cNvSpPr/>
                      <wps:spPr>
                        <a:xfrm>
                          <a:off x="0" y="0"/>
                          <a:ext cx="4782960" cy="102060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Dette dokument er et sammendrag af rapporten om "Borgernes bidrag til konferencen om Europas fremtid" arrangeret af Frankrig. Den fuldstændige udgave af rapporten på fransk findes på følgende link: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Rammer14" fillcolor="#eeeeee" stroked="f" style="position:absolute;margin-left:72pt;margin-top:416.4pt;width:376.55pt;height:80.3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Dette dokument er et sammendrag af rapporten om "Borgernes bidrag til konferencen om Europas fremtid" arrangeret af Frankrig. Den fuldstændige udgave af rapporten på fransk findes på følgende link: </w:t>
                      </w:r>
                    </w:p>
                    <w:p>
                      <w:pPr>
                        <w:pStyle w:val="Contenudecadre"/>
                        <w:spacing w:before="57" w:after="57"/>
                        <w:rPr/>
                      </w:pPr>
                      <w:hyperlink r:id="rId87">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posOffset>1290955</wp:posOffset>
            </wp:positionH>
            <wp:positionV relativeFrom="paragraph">
              <wp:posOffset>6459220</wp:posOffset>
            </wp:positionV>
            <wp:extent cx="1554480" cy="240030"/>
            <wp:effectExtent l="0" t="0" r="0" b="0"/>
            <wp:wrapSquare wrapText="largest"/>
            <wp:docPr id="77" name="Billed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lede34" descr=""/>
                    <pic:cNvPicPr>
                      <a:picLocks noChangeAspect="1" noChangeArrowheads="1"/>
                    </pic:cNvPicPr>
                  </pic:nvPicPr>
                  <pic:blipFill>
                    <a:blip r:embed="rId88"/>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2844800</wp:posOffset>
            </wp:positionH>
            <wp:positionV relativeFrom="paragraph">
              <wp:posOffset>6459220</wp:posOffset>
            </wp:positionV>
            <wp:extent cx="1007745" cy="490855"/>
            <wp:effectExtent l="0" t="0" r="0" b="0"/>
            <wp:wrapSquare wrapText="largest"/>
            <wp:docPr id="78" name="Billed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lede36" descr=""/>
                    <pic:cNvPicPr>
                      <a:picLocks noChangeAspect="1" noChangeArrowheads="1"/>
                    </pic:cNvPicPr>
                  </pic:nvPicPr>
                  <pic:blipFill>
                    <a:blip r:embed="rId89"/>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Billed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lede37" descr=""/>
                    <pic:cNvPicPr>
                      <a:picLocks noChangeAspect="1" noChangeArrowheads="1"/>
                    </pic:cNvPicPr>
                  </pic:nvPicPr>
                  <pic:blipFill>
                    <a:blip r:embed="rId90"/>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5186680</wp:posOffset>
            </wp:positionH>
            <wp:positionV relativeFrom="paragraph">
              <wp:posOffset>6484620</wp:posOffset>
            </wp:positionV>
            <wp:extent cx="838200" cy="485775"/>
            <wp:effectExtent l="0" t="0" r="0" b="0"/>
            <wp:wrapSquare wrapText="largest"/>
            <wp:docPr id="80" name="Billeder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leder38" descr=""/>
                    <pic:cNvPicPr>
                      <a:picLocks noChangeAspect="1" noChangeArrowheads="1"/>
                    </pic:cNvPicPr>
                  </pic:nvPicPr>
                  <pic:blipFill>
                    <a:blip r:embed="rId91"/>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8">
            <wp:simplePos x="0" y="0"/>
            <wp:positionH relativeFrom="column">
              <wp:align>center</wp:align>
            </wp:positionH>
            <wp:positionV relativeFrom="paragraph">
              <wp:posOffset>635</wp:posOffset>
            </wp:positionV>
            <wp:extent cx="5443855" cy="6813550"/>
            <wp:effectExtent l="0" t="0" r="0" b="0"/>
            <wp:wrapTopAndBottom/>
            <wp:docPr id="81" name="Billed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lede33" descr=""/>
                    <pic:cNvPicPr>
                      <a:picLocks noChangeAspect="1" noChangeArrowheads="1"/>
                    </pic:cNvPicPr>
                  </pic:nvPicPr>
                  <pic:blipFill>
                    <a:blip r:embed="rId92"/>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51">
            <wp:simplePos x="0" y="0"/>
            <wp:positionH relativeFrom="column">
              <wp:posOffset>-47625</wp:posOffset>
            </wp:positionH>
            <wp:positionV relativeFrom="paragraph">
              <wp:posOffset>6496050</wp:posOffset>
            </wp:positionV>
            <wp:extent cx="1281430" cy="614680"/>
            <wp:effectExtent l="0" t="0" r="0" b="0"/>
            <wp:wrapSquare wrapText="largest"/>
            <wp:docPr id="82" name="Billed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lede35" descr=""/>
                    <pic:cNvPicPr>
                      <a:picLocks noChangeAspect="1" noChangeArrowheads="1"/>
                    </pic:cNvPicPr>
                  </pic:nvPicPr>
                  <pic:blipFill>
                    <a:blip r:embed="rId93"/>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Opsummering</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355" w:leader="dot"/>
              <w:tab w:val="right" w:pos="9638" w:leader="dot"/>
            </w:tabs>
            <w:rPr/>
          </w:pPr>
          <w:hyperlink w:anchor="__RefHeading___Toc300448_1346298689">
            <w:r>
              <w:rPr>
                <w:rStyle w:val="Sautdindex"/>
              </w:rPr>
              <w:t>Introduction</w:t>
              <w:tab/>
              <w:t>194</w:t>
            </w:r>
          </w:hyperlink>
        </w:p>
        <w:p>
          <w:pPr>
            <w:pStyle w:val="Tabledesmatiresniveau2"/>
            <w:tabs>
              <w:tab w:val="right" w:pos="9355" w:leader="dot"/>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355" w:leader="dot"/>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355" w:leader="dot"/>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355" w:leader="dot"/>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355" w:leader="dot"/>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355" w:leader="dot"/>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Introduktion </w:t>
      </w:r>
    </w:p>
    <w:p>
      <w:pPr>
        <w:pStyle w:val="P68B1DB1Normal19"/>
        <w:widowControl w:val="false"/>
        <w:spacing w:lineRule="auto" w:line="240" w:before="156" w:after="0"/>
        <w:ind w:left="0" w:right="0" w:hanging="0"/>
        <w:jc w:val="both"/>
        <w:rPr/>
      </w:pPr>
      <w:r>
        <w:rPr/>
        <w:t xml:space="preserve">Konferencen om Europas fremtid er en hidtil uset borgerdeltagelse for at høre borgerne i de 27 EU-medlemsstater for at sætte dem i centrum for de beslutninger, der vil blive truffet i de kommende årtier. EU-borgerne opfordres derfor til at udtale sig og foreslå ændringer og konkrete tiltag, der vil sætte Europa i stand til at sætte en ny ambition og tackle de globale udfordringer, det står over for i dag. </w:t>
      </w:r>
    </w:p>
    <w:p>
      <w:pPr>
        <w:pStyle w:val="P68B1DB1Normal19"/>
        <w:widowControl w:val="false"/>
        <w:spacing w:lineRule="auto" w:line="240" w:before="156" w:after="0"/>
        <w:ind w:left="0" w:right="0" w:hanging="0"/>
        <w:jc w:val="both"/>
        <w:rPr/>
      </w:pPr>
      <w:r>
        <w:rPr/>
        <w:t xml:space="preserve">Den franske regering støtter initiativerne fra formandskabstrioen for konferencen om Europas fremtid, navnlig ved at tilskynde borgerne til at yde et væsentligt bidrag til onlineplatformen og til at afholde arrangementer i hele landet. </w:t>
      </w:r>
    </w:p>
    <w:p>
      <w:pPr>
        <w:pStyle w:val="P68B1DB1Normal19"/>
        <w:widowControl w:val="false"/>
        <w:spacing w:lineRule="auto" w:line="240" w:before="156" w:after="0"/>
        <w:ind w:left="0" w:right="0" w:hanging="0"/>
        <w:jc w:val="left"/>
        <w:rPr/>
      </w:pPr>
      <w:r>
        <w:rPr/>
        <w:t xml:space="preserve">Parallelt med disse europæiske initiativer ønskede regeringen at gennemføre en deltagelsesbaseret indsats på nationalt plan. </w:t>
      </w:r>
    </w:p>
    <w:p>
      <w:pPr>
        <w:pStyle w:val="P68B1DB1Normal19"/>
        <w:widowControl w:val="false"/>
        <w:spacing w:lineRule="auto" w:line="240" w:before="156" w:after="0"/>
        <w:ind w:left="0" w:right="0" w:hanging="0"/>
        <w:jc w:val="both"/>
        <w:rPr/>
      </w:pPr>
      <w:r>
        <w:rPr/>
        <w:t xml:space="preserve">Med støtte fra Ministeriet for Forbindelser med Parlamentet og Borgernes Deltagelse (MRPCC) og ekspertisen i det tværministerielle center for borgerdeltagelse (ICPC) organiserede ministeriet for Europa og udenrigsanliggender (MEAE) en borgerøvelse baseret på stærke metodologiske fordomme (se nedenfor "Metodeologiske forpligtelser og biaser"). MEAE påberåbte sig et leverandørkonsortium bestående af Roland Berger, Wavestone, Missions Publiques og Harris Interactive. Regionale præfekturer har endelig spillet en central rolle i tilrettelæggelsen af de 18 konferencer i hele landet. </w:t>
      </w:r>
    </w:p>
    <w:p>
      <w:pPr>
        <w:pStyle w:val="P68B1DB1Normal19"/>
        <w:widowControl w:val="false"/>
        <w:spacing w:lineRule="auto" w:line="240" w:before="156" w:after="0"/>
        <w:ind w:left="0" w:right="0" w:hanging="0"/>
        <w:jc w:val="both"/>
        <w:rPr/>
      </w:pPr>
      <w:r>
        <w:rPr/>
        <w:t xml:space="preserve">Som led i denne høring blev der stillet et enkelt spørgsmål til deltagerne: </w:t>
      </w:r>
      <w:r>
        <w:rPr>
          <w:b/>
          <w:i/>
        </w:rPr>
        <w:t>Hvilke ændringer ønsker De som fransk statsborger for Europa?</w:t>
      </w:r>
      <w:r>
        <w:rPr/>
        <w:t xml:space="preserve"> (Se bilag IV "Meddelelsesmand"). </w:t>
      </w:r>
    </w:p>
    <w:p>
      <w:pPr>
        <w:pStyle w:val="P68B1DB1Normal19"/>
        <w:widowControl w:val="false"/>
        <w:spacing w:lineRule="auto" w:line="240" w:before="156" w:after="0"/>
        <w:ind w:left="0" w:right="0" w:hanging="0"/>
        <w:jc w:val="both"/>
        <w:rPr/>
      </w:pPr>
      <w:r>
        <w:rPr/>
        <w:t xml:space="preserve">Denne nationale øvelse tog form af 18 regionale konferencer i de 13 storbyregioner og de 5 franske ultramarine regioner, der fandt sted over tre weekender i september og oktober 2021, og som hver samlede mellem 30 og 50 borgere trukket efter lodtrækning (746 i alt). Syntesen af disse 18 regionale paneler blev derefter gennemført på en national konference, der blev afholdt den 15.-17. oktober 2021 i Det Økonomiske, Sociale og Miljøråd (EØSU i Paris), og som samlede 98 frivillige borgere blandt deltagerne i de regionale konferencer. </w:t>
      </w:r>
    </w:p>
    <w:p>
      <w:pPr>
        <w:pStyle w:val="P68B1DB1Normal19"/>
        <w:widowControl w:val="false"/>
        <w:spacing w:lineRule="auto" w:line="240" w:before="156" w:after="0"/>
        <w:ind w:left="0" w:right="0" w:hanging="0"/>
        <w:jc w:val="both"/>
        <w:rPr/>
      </w:pPr>
      <w:r>
        <w:rPr/>
        <w:t xml:space="preserve">For at fremhæve de unge franske menneskers ord forud for det europæiske ungdomsår i 2022 blev der desuden arrangeret en onlinehøring med titlen " </w:t>
      </w:r>
      <w:r>
        <w:rPr>
          <w:i/>
        </w:rPr>
        <w:t>Speak to Youth"</w:t>
      </w:r>
      <w:r>
        <w:rPr/>
        <w:t xml:space="preserve">af ministeriet for Europa og udenrigsanliggender i samarbejde med Make.org. Mere end 50 000 unge mellem 15 og 35 år gav udtryk for deres idéer og prioriteter for Europa i 2035.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Denne rapport indeholder de vigtigste resultater af de to høringer, som regeringen har gennemført.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Høringsmetodologi </w:t>
      </w:r>
    </w:p>
    <w:p>
      <w:pPr>
        <w:pStyle w:val="P68B1DB1Normal19"/>
        <w:widowControl w:val="false"/>
        <w:spacing w:lineRule="auto" w:line="240" w:before="156" w:after="0"/>
        <w:ind w:left="0" w:right="0" w:hanging="0"/>
        <w:jc w:val="both"/>
        <w:rPr/>
      </w:pPr>
      <w:r>
        <w:rPr/>
        <w:t xml:space="preserve">Rekrutteringen af borgere, der deltager i regionale konferencer, kombinerede en tilfældig udvælgelse af deltagere ved tilfældig lodtrækning af deres telefonnumre og en målrettet udvælgelse af profiler med henblik på at nå frem til et panel som repræsentativt for de enkelte områders mangfoldighed som muligt. </w:t>
      </w:r>
    </w:p>
    <w:p>
      <w:pPr>
        <w:pStyle w:val="P68B1DB1Normal19"/>
        <w:widowControl w:val="false"/>
        <w:spacing w:lineRule="auto" w:line="240" w:before="156" w:after="0"/>
        <w:ind w:left="0" w:right="0" w:hanging="0"/>
        <w:jc w:val="both"/>
        <w:rPr/>
      </w:pPr>
      <w:r>
        <w:rPr/>
        <w:t xml:space="preserve">Under de regionale paneler talte deltagerne med skiftevis arbejdstid i grupper, pr. tabel på 6-8 borgere ledsaget af en facilitator og præsentationstider på plenarmødet. Eksperter var til stede under refleksionstiden for at besvare borgernes spørgsmål og kaste lys, samtidig med at de bevarede en neutral holdning. </w:t>
      </w:r>
    </w:p>
    <w:p>
      <w:pPr>
        <w:pStyle w:val="P68B1DB1Normal19"/>
        <w:widowControl w:val="false"/>
        <w:spacing w:lineRule="auto" w:line="240" w:before="156" w:after="0"/>
        <w:ind w:left="0" w:right="0" w:hanging="0"/>
        <w:jc w:val="both"/>
        <w:rPr/>
      </w:pPr>
      <w:r>
        <w:rPr/>
        <w:t xml:space="preserve">Borgerne blev først inviteret til at drøfte deres nuværende opfattelse af Europa. De gav derefter udtryk </w:t>
      </w:r>
      <w:r>
        <w:rPr>
          <w:b/>
        </w:rPr>
        <w:t>for deres ønsker for Europa i 2035</w:t>
      </w:r>
      <w:r>
        <w:rPr/>
        <w:t xml:space="preserve">, som gruppe og derefter i plenum. Disse drøftelser gjorde det muligt at identificere mellem 3 og 8 ønsker pr. region. For hvert af disse ønsker formulerede borgerne derefter de </w:t>
      </w:r>
      <w:r>
        <w:rPr>
          <w:b/>
        </w:rPr>
        <w:t>ændringer, de anså</w:t>
      </w:r>
      <w:r>
        <w:rPr/>
        <w:t xml:space="preserve"> for nødvendige for at nå det ønskede Europa, og illustrerede dem derefter med konkrete forslag, der skulle gennemføres. Denne proces resulterede i i alt 515 ændringer og 1.301 konkrete forslag på nationalt plan. </w:t>
      </w:r>
    </w:p>
    <w:p>
      <w:pPr>
        <w:pStyle w:val="P68B1DB1Normal19"/>
        <w:widowControl w:val="false"/>
        <w:spacing w:lineRule="auto" w:line="240" w:before="156" w:after="0"/>
        <w:ind w:left="0" w:right="0" w:hanging="0"/>
        <w:jc w:val="left"/>
        <w:rPr/>
      </w:pPr>
      <w:r>
        <w:rPr/>
        <w:t xml:space="preserve">Hver regional konference resulterede i udarbejdelsen af en regional sammenfattende rapport til alle deltagere forud for den nationale konference. </w:t>
      </w:r>
    </w:p>
    <w:p>
      <w:pPr>
        <w:pStyle w:val="P68B1DB1Normal19"/>
        <w:widowControl w:val="false"/>
        <w:spacing w:lineRule="auto" w:line="240" w:before="156" w:after="0"/>
        <w:ind w:left="0" w:right="0" w:hanging="0"/>
        <w:jc w:val="both"/>
        <w:rPr/>
      </w:pPr>
      <w:r>
        <w:rPr/>
        <w:t xml:space="preserve">Den nationale syntesekonference samlede 98 tilfældigt udvalgte borgere blandt deltagerne i de 18 regionale konferencer. For at sikre en forskelligartethed i det nationale panel blev 6 borgere ved lodtrækning blandt de frivillige fra de regionale konferencer i Frankrig og Réunion og 4 borgere til ultramarine konferencer under hensyntagen til paritet og aldersforskel i hver regional lodtrækning (se bilag II). </w:t>
      </w:r>
    </w:p>
    <w:p>
      <w:pPr>
        <w:pStyle w:val="Normal"/>
        <w:widowControl w:val="false"/>
        <w:spacing w:lineRule="auto" w:line="240" w:before="156" w:after="0"/>
        <w:ind w:left="0" w:right="0" w:hanging="0"/>
        <w:jc w:val="both"/>
        <w:rPr/>
      </w:pPr>
      <w:r>
        <w:rPr>
          <w:rFonts w:ascii="Times New Roman" w:hAnsi="Times New Roman"/>
          <w:color w:val="000000"/>
          <w:sz w:val="24"/>
        </w:rPr>
        <w:t>Som forberedelse til den nationale konference blev de 515 ændringer, der blev identificeret på de regionale konferencer, analyseret og afstemt, når de tilgrundliggende hensigter lignede eller nærmede sig, således at de udgjorde 14 grupper</w:t>
      </w:r>
      <w:r>
        <w:rPr>
          <w:rFonts w:ascii="Times New Roman" w:hAnsi="Times New Roman"/>
          <w:b/>
          <w:color w:val="000000"/>
          <w:sz w:val="24"/>
        </w:rPr>
        <w:t xml:space="preserve"> </w:t>
      </w:r>
      <w:r>
        <w:rPr>
          <w:rFonts w:ascii="Times New Roman" w:hAnsi="Times New Roman"/>
          <w:color w:val="000000"/>
          <w:sz w:val="24"/>
        </w:rPr>
        <w:t>af ændringer, der afspejler et fælles ønske for Europa (se del 6). Disse 14 europæiske ønsker dannede grundlag for arbejdet hos de 98 deltagere i den nationale konference, hvis opgave var at berige arbejdet i regionerne og imødekomme Europas ønsker, ændringerne og forslagene med hjælp fra tyve eksperter for at nå frem til en liste over prioriterede ændringer. Hver gruppe valgte endelig 3 vigtige ændringer,</w:t>
      </w:r>
      <w:r>
        <w:rPr>
          <w:rFonts w:ascii="Times New Roman" w:hAnsi="Times New Roman"/>
          <w:b/>
          <w:color w:val="000000"/>
          <w:sz w:val="24"/>
        </w:rPr>
        <w:t xml:space="preserve"> </w:t>
      </w:r>
      <w:r>
        <w:rPr>
          <w:rFonts w:ascii="Times New Roman" w:hAnsi="Times New Roman"/>
          <w:color w:val="000000"/>
          <w:sz w:val="24"/>
        </w:rPr>
        <w:t xml:space="preserve">hvoraf den første blev stemt om af alle 98 borgere, og der blev fastsat en endelig rangordning af de 14 prioriterede ændringer. En sammenfattende rapport konsoliderer alt arbejdet i denne konference. </w:t>
      </w:r>
      <w:r>
        <w:br w:type="page"/>
      </w:r>
    </w:p>
    <w:p>
      <w:pPr>
        <w:pStyle w:val="P68B1DB1Normal19"/>
        <w:spacing w:lineRule="auto" w:line="240" w:before="156" w:after="0"/>
        <w:ind w:left="0" w:right="0" w:hanging="0"/>
        <w:rPr/>
      </w:pPr>
      <w:r>
        <w:rPr/>
        <w:t xml:space="preserve">Onlinehøringen "Parole aux Jeunes", der blev gennemført i samarbejde med Make.org, fandt sted fra maj til juli 2021. Mere end 50 000 deltagere deltog og indsendte næsten 3 000 forslag til Europa. På grundlag af alle de unge borgeres reaktioner blev 35 hovedidéer identificeret, hvoraf 22 var bredt anerkendte, og 13 var genstand for kontroverser blandt deltagerne (se del 11). </w:t>
      </w:r>
    </w:p>
    <w:p>
      <w:pPr>
        <w:pStyle w:val="P68B1DB1Normal19"/>
        <w:widowControl w:val="false"/>
        <w:spacing w:lineRule="auto" w:line="240" w:before="156" w:after="0"/>
        <w:ind w:left="0" w:right="0" w:hanging="0"/>
        <w:jc w:val="left"/>
        <w:rPr/>
      </w:pPr>
      <w:r>
        <w:rPr>
          <w:u w:val="single"/>
        </w:rPr>
        <w:t>Udgangssted og tjeneste med det samme</w:t>
      </w:r>
      <w:r>
        <w:rPr/>
        <w:t xml:space="preserve"> </w:t>
      </w:r>
    </w:p>
    <w:p>
      <w:pPr>
        <w:pStyle w:val="P68B1DB1Normal19"/>
        <w:widowControl w:val="false"/>
        <w:spacing w:lineRule="auto" w:line="240" w:before="156" w:after="0"/>
        <w:ind w:left="0" w:right="0" w:hanging="0"/>
        <w:jc w:val="both"/>
        <w:rPr/>
      </w:pPr>
      <w:r>
        <w:rPr/>
        <w:t xml:space="preserve">Denne rapport vil blive forelagt regeringen af borgerne den 29. november 2021 med deltagelse af franske valgte medlemmer af plenarforsamlingen for konferencen om Europas fremtid. Den vil blive forelagt for konferencens formandskabstrio under det franske formandskab for Rådet for Den Europæiske Union (PFUE). </w:t>
      </w:r>
    </w:p>
    <w:p>
      <w:pPr>
        <w:pStyle w:val="P68B1DB1Normal19"/>
        <w:widowControl w:val="false"/>
        <w:spacing w:lineRule="auto" w:line="240" w:before="156" w:after="0"/>
        <w:ind w:left="0" w:right="0" w:hanging="0"/>
        <w:jc w:val="both"/>
        <w:rPr/>
      </w:pPr>
      <w:r>
        <w:rPr/>
        <w:t xml:space="preserve">Ved afslutningen af den nationale sammenfattende konference i EØSU og for at imødekomme borgernes høje forventninger blev der nedsat et borgeropfølgningsudvalg, der omfatter deltagernes ret til opfølgning. Dette udvalg, der består af 15 medlemmer — 14 repræsentanter for regionale konferencer og en repræsentant for høringen "Parole aux Jeunes" — vil få til opgave at informere borgerne om deres forslags fremtid. På hvert møde i konferencens plenarforsamling deltager et eller et af Overvågningsudvalgets medlemmer som repræsentant for den franske øvelse for at fremhæve forslagene i denne betænkning, samtidig med at der opbygges en fælles holdning med alle de europæiske borgere, der er repræsenteret. </w:t>
      </w:r>
    </w:p>
    <w:p>
      <w:pPr>
        <w:pStyle w:val="P68B1DB1Normal19"/>
        <w:widowControl w:val="false"/>
        <w:spacing w:lineRule="auto" w:line="240" w:before="156" w:after="0"/>
        <w:ind w:left="0" w:right="0" w:hanging="0"/>
        <w:jc w:val="both"/>
        <w:rPr/>
      </w:pPr>
      <w:r>
        <w:rPr/>
        <w:t xml:space="preserve">Alle dokumenter fra den franske høring vil være offentlige og tilgængelige for alle på den franske stats borgerdeltagelsesplatform: deltagelsesmandat, regionale resuméer, national syntese, garantrapport og endelig rapport.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7295" cy="6927850"/>
                <wp:effectExtent l="0" t="0" r="0" b="0"/>
                <wp:wrapSquare wrapText="bothSides"/>
                <wp:docPr id="83" name="Rammen21"/>
                <a:graphic xmlns:a="http://schemas.openxmlformats.org/drawingml/2006/main">
                  <a:graphicData uri="http://schemas.microsoft.com/office/word/2010/wordprocessingShape">
                    <wps:wsp>
                      <wps:cNvSpPr/>
                      <wps:spPr>
                        <a:xfrm>
                          <a:off x="0" y="0"/>
                          <a:ext cx="2486520" cy="69271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00000A"/>
                              </w:rPr>
                            </w:pPr>
                            <w:r>
                              <w:rPr>
                                <w:color w:val="00000A"/>
                              </w:rPr>
                              <w:t>Oversigt over det franske bidrag til konferencen om Europas fremtid</w:t>
                            </w:r>
                          </w:p>
                          <w:p>
                            <w:pPr>
                              <w:pStyle w:val="Contenudecadre"/>
                              <w:rPr>
                                <w:color w:val="00000A"/>
                              </w:rPr>
                            </w:pPr>
                            <w:r>
                              <w:rPr>
                                <w:color w:val="00000A"/>
                              </w:rPr>
                            </w:r>
                          </w:p>
                          <w:p>
                            <w:pPr>
                              <w:pStyle w:val="Contenudecadre"/>
                              <w:rPr>
                                <w:color w:val="00000A"/>
                              </w:rPr>
                            </w:pPr>
                            <w:r>
                              <w:rPr>
                                <w:color w:val="00000A"/>
                              </w:rPr>
                              <w:t>Borgere, der blev trukket ved lodtrækning, skulle besvare spørgsmålet: "Som franske borgere, hvilke ændringer ønsker du for Europa?"</w:t>
                            </w:r>
                          </w:p>
                          <w:p>
                            <w:pPr>
                              <w:pStyle w:val="Contenudecadre"/>
                              <w:rPr>
                                <w:color w:val="00000A"/>
                              </w:rPr>
                            </w:pPr>
                            <w:r>
                              <w:rPr>
                                <w:color w:val="00000A"/>
                              </w:rPr>
                            </w:r>
                          </w:p>
                          <w:p>
                            <w:pPr>
                              <w:pStyle w:val="Contenudecadre"/>
                              <w:rPr>
                                <w:color w:val="00000A"/>
                              </w:rPr>
                            </w:pPr>
                            <w:r>
                              <w:rPr>
                                <w:color w:val="00000A"/>
                              </w:rPr>
                              <w:t xml:space="preserve">Top 10 prioriterede ændringer for Europa i 2035 </w:t>
                            </w:r>
                          </w:p>
                          <w:p>
                            <w:pPr>
                              <w:pStyle w:val="Contenudecadre"/>
                              <w:rPr>
                                <w:color w:val="00000A"/>
                              </w:rPr>
                            </w:pPr>
                            <w:r>
                              <w:rPr>
                                <w:color w:val="00000A"/>
                              </w:rPr>
                            </w:r>
                          </w:p>
                          <w:p>
                            <w:pPr>
                              <w:pStyle w:val="Contenudecadre"/>
                              <w:rPr>
                                <w:color w:val="00000A"/>
                              </w:rPr>
                            </w:pPr>
                            <w:r>
                              <w:rPr>
                                <w:color w:val="00000A"/>
                              </w:rPr>
                              <w:t xml:space="preserve">1. Udvikle </w:t>
                            </w:r>
                            <w:r>
                              <w:rPr>
                                <w:b/>
                                <w:color w:val="00000A"/>
                              </w:rPr>
                              <w:t>energi ædruelighed</w:t>
                            </w:r>
                            <w:r>
                              <w:rPr>
                                <w:color w:val="00000A"/>
                              </w:rPr>
                              <w:t xml:space="preserve"> at forbruge mindre ved at stoppe det overflødige</w:t>
                            </w:r>
                          </w:p>
                          <w:p>
                            <w:pPr>
                              <w:pStyle w:val="Contenudecadre"/>
                              <w:rPr>
                                <w:b w:val="false"/>
                                <w:b w:val="false"/>
                                <w:color w:val="00000A"/>
                              </w:rPr>
                            </w:pPr>
                            <w:r>
                              <w:rPr>
                                <w:b w:val="false"/>
                                <w:color w:val="00000A"/>
                              </w:rPr>
                            </w:r>
                          </w:p>
                          <w:p>
                            <w:pPr>
                              <w:pStyle w:val="Contenudecadre"/>
                              <w:rPr>
                                <w:color w:val="00000A"/>
                              </w:rPr>
                            </w:pPr>
                            <w:r>
                              <w:rPr>
                                <w:color w:val="00000A"/>
                              </w:rPr>
                              <w:t>2. Styrkelse af Den</w:t>
                            </w:r>
                            <w:r>
                              <w:rPr>
                                <w:b/>
                                <w:color w:val="00000A"/>
                              </w:rPr>
                              <w:t>Europæiske Unions fælles forsvar og sikkerhed</w:t>
                            </w:r>
                          </w:p>
                          <w:p>
                            <w:pPr>
                              <w:pStyle w:val="Contenudecadre"/>
                              <w:rPr>
                                <w:b w:val="false"/>
                                <w:b w:val="false"/>
                                <w:color w:val="00000A"/>
                              </w:rPr>
                            </w:pPr>
                            <w:r>
                              <w:rPr>
                                <w:b w:val="false"/>
                                <w:color w:val="00000A"/>
                              </w:rPr>
                            </w:r>
                          </w:p>
                          <w:p>
                            <w:pPr>
                              <w:pStyle w:val="Contenudecadre"/>
                              <w:rPr>
                                <w:color w:val="00000A"/>
                              </w:rPr>
                            </w:pPr>
                            <w:r>
                              <w:rPr>
                                <w:color w:val="00000A"/>
                              </w:rPr>
                              <w:t xml:space="preserve">3. Fremme af </w:t>
                            </w:r>
                            <w:r>
                              <w:rPr>
                                <w:b/>
                                <w:color w:val="00000A"/>
                              </w:rPr>
                              <w:t>kollektive økonomiske resultater</w:t>
                            </w:r>
                            <w:r>
                              <w:rPr>
                                <w:color w:val="00000A"/>
                              </w:rPr>
                              <w:t xml:space="preserve"> gennem en selvstændig, konkurrencedygtig og værdsat industri i EU</w:t>
                            </w:r>
                          </w:p>
                          <w:p>
                            <w:pPr>
                              <w:pStyle w:val="Contenudecadre"/>
                              <w:rPr>
                                <w:b w:val="false"/>
                                <w:b w:val="false"/>
                                <w:color w:val="00000A"/>
                              </w:rPr>
                            </w:pPr>
                            <w:r>
                              <w:rPr>
                                <w:b w:val="false"/>
                                <w:color w:val="00000A"/>
                              </w:rPr>
                            </w:r>
                          </w:p>
                          <w:p>
                            <w:pPr>
                              <w:pStyle w:val="Contenudecadre"/>
                              <w:rPr>
                                <w:color w:val="00000A"/>
                              </w:rPr>
                            </w:pPr>
                            <w:r>
                              <w:rPr>
                                <w:color w:val="00000A"/>
                              </w:rPr>
                              <w:t xml:space="preserve">4. </w:t>
                            </w:r>
                            <w:r>
                              <w:rPr>
                                <w:b/>
                                <w:color w:val="00000A"/>
                              </w:rPr>
                              <w:t>Styrkelse af borgerne</w:t>
                            </w:r>
                            <w:r>
                              <w:rPr>
                                <w:color w:val="00000A"/>
                              </w:rPr>
                              <w:t xml:space="preserve"> på flere niveauer: deltagelse, beslutning, kontrol</w:t>
                            </w:r>
                          </w:p>
                          <w:p>
                            <w:pPr>
                              <w:pStyle w:val="Contenudecadre"/>
                              <w:rPr>
                                <w:b w:val="false"/>
                                <w:b w:val="false"/>
                                <w:color w:val="00000A"/>
                              </w:rPr>
                            </w:pPr>
                            <w:r>
                              <w:rPr>
                                <w:b w:val="false"/>
                                <w:color w:val="00000A"/>
                              </w:rPr>
                            </w:r>
                          </w:p>
                          <w:p>
                            <w:pPr>
                              <w:pStyle w:val="Contenudecadre"/>
                              <w:rPr>
                                <w:color w:val="00000A"/>
                              </w:rPr>
                            </w:pPr>
                            <w:r>
                              <w:rPr>
                                <w:color w:val="00000A"/>
                              </w:rPr>
                              <w:t xml:space="preserve">5. På vej mod en </w:t>
                            </w:r>
                            <w:r>
                              <w:rPr>
                                <w:b/>
                                <w:color w:val="00000A"/>
                              </w:rPr>
                              <w:t>føderation af europæiske stater</w:t>
                            </w:r>
                            <w:r>
                              <w:rPr>
                                <w:color w:val="00000A"/>
                              </w:rPr>
                              <w:t xml:space="preserve"> med stærke kompetencer på områder af fælles interesse</w:t>
                            </w:r>
                          </w:p>
                          <w:p>
                            <w:pPr>
                              <w:pStyle w:val="Contenudecadre"/>
                              <w:rPr>
                                <w:b w:val="false"/>
                                <w:b w:val="false"/>
                                <w:color w:val="00000A"/>
                              </w:rPr>
                            </w:pPr>
                            <w:r>
                              <w:rPr>
                                <w:b w:val="false"/>
                                <w:color w:val="00000A"/>
                              </w:rPr>
                            </w:r>
                          </w:p>
                          <w:p>
                            <w:pPr>
                              <w:pStyle w:val="Contenudecadre"/>
                              <w:spacing w:before="57" w:after="57"/>
                              <w:rPr/>
                            </w:pPr>
                            <w:r>
                              <w:rPr>
                                <w:color w:val="00000A"/>
                              </w:rPr>
                              <w:t xml:space="preserve">6. Tilbyde livslang </w:t>
                            </w:r>
                            <w:r>
                              <w:rPr>
                                <w:b/>
                                <w:color w:val="00000A"/>
                              </w:rPr>
                              <w:t>udvekslingsprogrammer</w:t>
                            </w:r>
                          </w:p>
                        </w:txbxContent>
                      </wps:txbx>
                      <wps:bodyPr lIns="54000" rIns="54000" tIns="54000" bIns="54000">
                        <a:noAutofit/>
                      </wps:bodyPr>
                    </wps:wsp>
                  </a:graphicData>
                </a:graphic>
              </wp:anchor>
            </w:drawing>
          </mc:Choice>
          <mc:Fallback>
            <w:pict>
              <v:rect id="shape_0" ID="Rammen21" fillcolor="white" stroked="t" style="position:absolute;margin-left:283.1pt;margin-top:8.55pt;width:195.75pt;height:545.4pt">
                <w10:wrap type="square"/>
                <v:fill o:detectmouseclick="t" type="solid" color2="black"/>
                <v:stroke color="black" weight="720" joinstyle="round" endcap="flat"/>
                <v:textbox>
                  <w:txbxContent>
                    <w:p>
                      <w:pPr>
                        <w:pStyle w:val="Contenudecadre"/>
                        <w:spacing w:before="57" w:after="57"/>
                        <w:rPr>
                          <w:color w:val="00000A"/>
                        </w:rPr>
                      </w:pPr>
                      <w:r>
                        <w:rPr>
                          <w:color w:val="00000A"/>
                        </w:rPr>
                        <w:t>Oversigt over det franske bidrag til konferencen om Europas fremtid</w:t>
                      </w:r>
                    </w:p>
                    <w:p>
                      <w:pPr>
                        <w:pStyle w:val="Contenudecadre"/>
                        <w:rPr>
                          <w:color w:val="00000A"/>
                        </w:rPr>
                      </w:pPr>
                      <w:r>
                        <w:rPr>
                          <w:color w:val="00000A"/>
                        </w:rPr>
                      </w:r>
                    </w:p>
                    <w:p>
                      <w:pPr>
                        <w:pStyle w:val="Contenudecadre"/>
                        <w:rPr>
                          <w:color w:val="00000A"/>
                        </w:rPr>
                      </w:pPr>
                      <w:r>
                        <w:rPr>
                          <w:color w:val="00000A"/>
                        </w:rPr>
                        <w:t>Borgere, der blev trukket ved lodtrækning, skulle besvare spørgsmålet: "Som franske borgere, hvilke ændringer ønsker du for Europa?"</w:t>
                      </w:r>
                    </w:p>
                    <w:p>
                      <w:pPr>
                        <w:pStyle w:val="Contenudecadre"/>
                        <w:rPr>
                          <w:color w:val="00000A"/>
                        </w:rPr>
                      </w:pPr>
                      <w:r>
                        <w:rPr>
                          <w:color w:val="00000A"/>
                        </w:rPr>
                      </w:r>
                    </w:p>
                    <w:p>
                      <w:pPr>
                        <w:pStyle w:val="Contenudecadre"/>
                        <w:rPr>
                          <w:color w:val="00000A"/>
                        </w:rPr>
                      </w:pPr>
                      <w:r>
                        <w:rPr>
                          <w:color w:val="00000A"/>
                        </w:rPr>
                        <w:t xml:space="preserve">Top 10 prioriterede ændringer for Europa i 2035 </w:t>
                      </w:r>
                    </w:p>
                    <w:p>
                      <w:pPr>
                        <w:pStyle w:val="Contenudecadre"/>
                        <w:rPr>
                          <w:color w:val="00000A"/>
                        </w:rPr>
                      </w:pPr>
                      <w:r>
                        <w:rPr>
                          <w:color w:val="00000A"/>
                        </w:rPr>
                      </w:r>
                    </w:p>
                    <w:p>
                      <w:pPr>
                        <w:pStyle w:val="Contenudecadre"/>
                        <w:rPr>
                          <w:color w:val="00000A"/>
                        </w:rPr>
                      </w:pPr>
                      <w:r>
                        <w:rPr>
                          <w:color w:val="00000A"/>
                        </w:rPr>
                        <w:t xml:space="preserve">1. Udvikle </w:t>
                      </w:r>
                      <w:r>
                        <w:rPr>
                          <w:b/>
                          <w:color w:val="00000A"/>
                        </w:rPr>
                        <w:t>energi ædruelighed</w:t>
                      </w:r>
                      <w:r>
                        <w:rPr>
                          <w:color w:val="00000A"/>
                        </w:rPr>
                        <w:t xml:space="preserve"> at forbruge mindre ved at stoppe det overflødige</w:t>
                      </w:r>
                    </w:p>
                    <w:p>
                      <w:pPr>
                        <w:pStyle w:val="Contenudecadre"/>
                        <w:rPr>
                          <w:b w:val="false"/>
                          <w:b w:val="false"/>
                          <w:color w:val="00000A"/>
                        </w:rPr>
                      </w:pPr>
                      <w:r>
                        <w:rPr>
                          <w:b w:val="false"/>
                          <w:color w:val="00000A"/>
                        </w:rPr>
                      </w:r>
                    </w:p>
                    <w:p>
                      <w:pPr>
                        <w:pStyle w:val="Contenudecadre"/>
                        <w:rPr>
                          <w:color w:val="00000A"/>
                        </w:rPr>
                      </w:pPr>
                      <w:r>
                        <w:rPr>
                          <w:color w:val="00000A"/>
                        </w:rPr>
                        <w:t>2. Styrkelse af Den</w:t>
                      </w:r>
                      <w:r>
                        <w:rPr>
                          <w:b/>
                          <w:color w:val="00000A"/>
                        </w:rPr>
                        <w:t>Europæiske Unions fælles forsvar og sikkerhed</w:t>
                      </w:r>
                    </w:p>
                    <w:p>
                      <w:pPr>
                        <w:pStyle w:val="Contenudecadre"/>
                        <w:rPr>
                          <w:b w:val="false"/>
                          <w:b w:val="false"/>
                          <w:color w:val="00000A"/>
                        </w:rPr>
                      </w:pPr>
                      <w:r>
                        <w:rPr>
                          <w:b w:val="false"/>
                          <w:color w:val="00000A"/>
                        </w:rPr>
                      </w:r>
                    </w:p>
                    <w:p>
                      <w:pPr>
                        <w:pStyle w:val="Contenudecadre"/>
                        <w:rPr>
                          <w:color w:val="00000A"/>
                        </w:rPr>
                      </w:pPr>
                      <w:r>
                        <w:rPr>
                          <w:color w:val="00000A"/>
                        </w:rPr>
                        <w:t xml:space="preserve">3. Fremme af </w:t>
                      </w:r>
                      <w:r>
                        <w:rPr>
                          <w:b/>
                          <w:color w:val="00000A"/>
                        </w:rPr>
                        <w:t>kollektive økonomiske resultater</w:t>
                      </w:r>
                      <w:r>
                        <w:rPr>
                          <w:color w:val="00000A"/>
                        </w:rPr>
                        <w:t xml:space="preserve"> gennem en selvstændig, konkurrencedygtig og værdsat industri i EU</w:t>
                      </w:r>
                    </w:p>
                    <w:p>
                      <w:pPr>
                        <w:pStyle w:val="Contenudecadre"/>
                        <w:rPr>
                          <w:b w:val="false"/>
                          <w:b w:val="false"/>
                          <w:color w:val="00000A"/>
                        </w:rPr>
                      </w:pPr>
                      <w:r>
                        <w:rPr>
                          <w:b w:val="false"/>
                          <w:color w:val="00000A"/>
                        </w:rPr>
                      </w:r>
                    </w:p>
                    <w:p>
                      <w:pPr>
                        <w:pStyle w:val="Contenudecadre"/>
                        <w:rPr>
                          <w:color w:val="00000A"/>
                        </w:rPr>
                      </w:pPr>
                      <w:r>
                        <w:rPr>
                          <w:color w:val="00000A"/>
                        </w:rPr>
                        <w:t xml:space="preserve">4. </w:t>
                      </w:r>
                      <w:r>
                        <w:rPr>
                          <w:b/>
                          <w:color w:val="00000A"/>
                        </w:rPr>
                        <w:t>Styrkelse af borgerne</w:t>
                      </w:r>
                      <w:r>
                        <w:rPr>
                          <w:color w:val="00000A"/>
                        </w:rPr>
                        <w:t xml:space="preserve"> på flere niveauer: deltagelse, beslutning, kontrol</w:t>
                      </w:r>
                    </w:p>
                    <w:p>
                      <w:pPr>
                        <w:pStyle w:val="Contenudecadre"/>
                        <w:rPr>
                          <w:b w:val="false"/>
                          <w:b w:val="false"/>
                          <w:color w:val="00000A"/>
                        </w:rPr>
                      </w:pPr>
                      <w:r>
                        <w:rPr>
                          <w:b w:val="false"/>
                          <w:color w:val="00000A"/>
                        </w:rPr>
                      </w:r>
                    </w:p>
                    <w:p>
                      <w:pPr>
                        <w:pStyle w:val="Contenudecadre"/>
                        <w:rPr>
                          <w:color w:val="00000A"/>
                        </w:rPr>
                      </w:pPr>
                      <w:r>
                        <w:rPr>
                          <w:color w:val="00000A"/>
                        </w:rPr>
                        <w:t xml:space="preserve">5. På vej mod en </w:t>
                      </w:r>
                      <w:r>
                        <w:rPr>
                          <w:b/>
                          <w:color w:val="00000A"/>
                        </w:rPr>
                        <w:t>føderation af europæiske stater</w:t>
                      </w:r>
                      <w:r>
                        <w:rPr>
                          <w:color w:val="00000A"/>
                        </w:rPr>
                        <w:t xml:space="preserve"> med stærke kompetencer på områder af fælles interesse</w:t>
                      </w:r>
                    </w:p>
                    <w:p>
                      <w:pPr>
                        <w:pStyle w:val="Contenudecadre"/>
                        <w:rPr>
                          <w:b w:val="false"/>
                          <w:b w:val="false"/>
                          <w:color w:val="00000A"/>
                        </w:rPr>
                      </w:pPr>
                      <w:r>
                        <w:rPr>
                          <w:b w:val="false"/>
                          <w:color w:val="00000A"/>
                        </w:rPr>
                      </w:r>
                    </w:p>
                    <w:p>
                      <w:pPr>
                        <w:pStyle w:val="Contenudecadre"/>
                        <w:spacing w:before="57" w:after="57"/>
                        <w:rPr/>
                      </w:pPr>
                      <w:r>
                        <w:rPr>
                          <w:color w:val="00000A"/>
                        </w:rPr>
                        <w:t xml:space="preserve">6. Tilbyde livslang </w:t>
                      </w:r>
                      <w:r>
                        <w:rPr>
                          <w:b/>
                          <w:color w:val="00000A"/>
                        </w:rPr>
                        <w:t>udvekslingsprogrammer</w:t>
                      </w:r>
                    </w:p>
                  </w:txbxContent>
                </v:textbox>
              </v:rect>
            </w:pict>
          </mc:Fallback>
        </mc:AlternateContent>
      </w:r>
      <w:r>
        <w:rPr/>
        <w:t>Præsentation af de vigtigste resultater</w:t>
      </w:r>
    </w:p>
    <w:p>
      <w:pPr>
        <w:pStyle w:val="P68B1DB1Normal24"/>
        <w:rPr>
          <w:b w:val="false"/>
          <w:b w:val="false"/>
          <w:sz w:val="22"/>
        </w:rPr>
      </w:pPr>
      <w:r>
        <w:rPr/>
        <w:t xml:space="preserve"> </w:t>
      </w:r>
      <w:r>
        <w:rPr/>
        <w:t>(originalen var i form af en illustration)</w:t>
      </w:r>
    </w:p>
    <w:p>
      <w:pPr>
        <w:pStyle w:val="Normal"/>
        <w:rPr/>
      </w:pPr>
      <w:r>
        <w:rPr/>
        <w:drawing>
          <wp:anchor behindDoc="0" distT="0" distB="0" distL="0" distR="0" simplePos="0" locked="0" layoutInCell="1" allowOverlap="1" relativeHeight="45">
            <wp:simplePos x="0" y="0"/>
            <wp:positionH relativeFrom="column">
              <wp:posOffset>39370</wp:posOffset>
            </wp:positionH>
            <wp:positionV relativeFrom="paragraph">
              <wp:posOffset>95250</wp:posOffset>
            </wp:positionV>
            <wp:extent cx="3488690" cy="5027930"/>
            <wp:effectExtent l="0" t="0" r="0" b="0"/>
            <wp:wrapSquare wrapText="largest"/>
            <wp:docPr id="85" name="Billed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lede39" descr=""/>
                    <pic:cNvPicPr>
                      <a:picLocks noChangeAspect="1" noChangeArrowheads="1"/>
                    </pic:cNvPicPr>
                  </pic:nvPicPr>
                  <pic:blipFill>
                    <a:blip r:embed="rId94"/>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Kilde: Ændringer, der vandt flest stemmer på den nationale konference om Europas fremtid (15.-17. oktober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Billed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lede40" descr=""/>
                    <pic:cNvPicPr>
                      <a:picLocks noChangeAspect="1" noChangeArrowheads="1"/>
                    </pic:cNvPicPr>
                  </pic:nvPicPr>
                  <pic:blipFill>
                    <a:blip r:embed="rId95"/>
                    <a:stretch>
                      <a:fillRect/>
                    </a:stretch>
                  </pic:blipFill>
                  <pic:spPr bwMode="auto">
                    <a:xfrm>
                      <a:off x="0" y="0"/>
                      <a:ext cx="3395345" cy="4848225"/>
                    </a:xfrm>
                    <a:prstGeom prst="rect">
                      <a:avLst/>
                    </a:prstGeom>
                  </pic:spPr>
                </pic:pic>
              </a:graphicData>
            </a:graphic>
          </wp:anchor>
        </w:drawing>
      </w:r>
      <w:r>
        <w:br w:type="page"/>
      </w:r>
    </w:p>
    <w:p>
      <w:pPr>
        <w:pStyle w:val="Normal"/>
        <w:spacing w:before="7558"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5345" cy="1649095"/>
                <wp:effectExtent l="0" t="0" r="0" b="0"/>
                <wp:wrapSquare wrapText="bothSides"/>
                <wp:docPr id="87" name="Framework41"/>
                <a:graphic xmlns:a="http://schemas.openxmlformats.org/drawingml/2006/main">
                  <a:graphicData uri="http://schemas.microsoft.com/office/word/2010/wordprocessingShape">
                    <wps:wsp>
                      <wps:cNvSpPr/>
                      <wps:spPr>
                        <a:xfrm>
                          <a:off x="0" y="0"/>
                          <a:ext cx="5934600" cy="164844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00000A"/>
                              </w:rPr>
                            </w:pPr>
                            <w:r>
                              <w:rPr>
                                <w:color w:val="00000A"/>
                              </w:rPr>
                              <w:t>Onlinehøring "Words to young people"</w:t>
                            </w:r>
                          </w:p>
                          <w:p>
                            <w:pPr>
                              <w:pStyle w:val="Contenudecadre"/>
                              <w:rPr>
                                <w:color w:val="00000A"/>
                              </w:rPr>
                            </w:pPr>
                            <w:r>
                              <w:rPr>
                                <w:color w:val="00000A"/>
                              </w:rPr>
                              <w:t>Den 9. maj 2021 iværksatte ministeren for europæiske anliggender en høring om "ord til unge", som Make.org gennemførte mellem maj og juli 2021.</w:t>
                            </w:r>
                          </w:p>
                          <w:p>
                            <w:pPr>
                              <w:pStyle w:val="Contenudecadre"/>
                              <w:rPr>
                                <w:color w:val="00000A"/>
                              </w:rPr>
                            </w:pPr>
                            <w:r>
                              <w:rPr>
                                <w:color w:val="00000A"/>
                              </w:rPr>
                              <w:t>50 000 unge mellem 15 og 30 år besvarede spørgsmålet: "Hvad er jeres prioriteter for morgendagens Europa?" med 2918 forslag.</w:t>
                            </w:r>
                          </w:p>
                          <w:p>
                            <w:pPr>
                              <w:pStyle w:val="Contenudecadre"/>
                              <w:spacing w:before="57" w:after="57"/>
                              <w:rPr/>
                            </w:pPr>
                            <w:r>
                              <w:rPr>
                                <w:color w:val="00000A"/>
                              </w:rPr>
                              <w:t>De idéer, som franske unge går ind for i forbindelse med denne onlinehøring, er en del af borgernes bidrag til konferencen om Europas fremtid (se nærmere i del 2 i denne rapport).</w:t>
                            </w:r>
                          </w:p>
                        </w:txbxContent>
                      </wps:txbx>
                      <wps:bodyPr lIns="54000" rIns="54000" tIns="54000" bIns="54000">
                        <a:noAutofit/>
                      </wps:bodyPr>
                    </wps:wsp>
                  </a:graphicData>
                </a:graphic>
              </wp:anchor>
            </w:drawing>
          </mc:Choice>
          <mc:Fallback>
            <w:pict>
              <v:rect id="shape_0" ID="Framework41" fillcolor="white" stroked="t" style="position:absolute;margin-left:9.35pt;margin-top:396.7pt;width:467.25pt;height:129.75pt">
                <w10:wrap type="square"/>
                <v:fill o:detectmouseclick="t" type="solid" color2="black"/>
                <v:stroke color="black" weight="720" joinstyle="round" endcap="flat"/>
                <v:textbox>
                  <w:txbxContent>
                    <w:p>
                      <w:pPr>
                        <w:pStyle w:val="Contenudecadre"/>
                        <w:spacing w:before="57" w:after="57"/>
                        <w:rPr>
                          <w:color w:val="00000A"/>
                        </w:rPr>
                      </w:pPr>
                      <w:r>
                        <w:rPr>
                          <w:color w:val="00000A"/>
                        </w:rPr>
                        <w:t>Onlinehøring "Words to young people"</w:t>
                      </w:r>
                    </w:p>
                    <w:p>
                      <w:pPr>
                        <w:pStyle w:val="Contenudecadre"/>
                        <w:rPr>
                          <w:color w:val="00000A"/>
                        </w:rPr>
                      </w:pPr>
                      <w:r>
                        <w:rPr>
                          <w:color w:val="00000A"/>
                        </w:rPr>
                        <w:t>Den 9. maj 2021 iværksatte ministeren for europæiske anliggender en høring om "ord til unge", som Make.org gennemførte mellem maj og juli 2021.</w:t>
                      </w:r>
                    </w:p>
                    <w:p>
                      <w:pPr>
                        <w:pStyle w:val="Contenudecadre"/>
                        <w:rPr>
                          <w:color w:val="00000A"/>
                        </w:rPr>
                      </w:pPr>
                      <w:r>
                        <w:rPr>
                          <w:color w:val="00000A"/>
                        </w:rPr>
                        <w:t>50 000 unge mellem 15 og 30 år besvarede spørgsmålet: "Hvad er jeres prioriteter for morgendagens Europa?" med 2918 forslag.</w:t>
                      </w:r>
                    </w:p>
                    <w:p>
                      <w:pPr>
                        <w:pStyle w:val="Contenudecadre"/>
                        <w:spacing w:before="57" w:after="57"/>
                        <w:rPr/>
                      </w:pPr>
                      <w:r>
                        <w:rPr>
                          <w:color w:val="00000A"/>
                        </w:rPr>
                        <w:t>De idéer, som franske unge går ind for i forbindelse med denne onlinehøring, er en del af borgernes bidrag til konferencen om Europas fremtid (se nærmere i del 2 i denne rapport).</w:t>
                      </w:r>
                    </w:p>
                  </w:txbxContent>
                </v:textbox>
              </v:rect>
            </w:pict>
          </mc:Fallback>
        </mc:AlternateContent>
        <mc:AlternateContent>
          <mc:Choice Requires="wps">
            <w:drawing>
              <wp:anchor behindDoc="0" distT="72390" distB="72390" distL="72390" distR="72390" simplePos="0" locked="0" layoutInCell="1" allowOverlap="1" relativeHeight="44">
                <wp:simplePos x="0" y="0"/>
                <wp:positionH relativeFrom="column">
                  <wp:posOffset>3481070</wp:posOffset>
                </wp:positionH>
                <wp:positionV relativeFrom="paragraph">
                  <wp:posOffset>94615</wp:posOffset>
                </wp:positionV>
                <wp:extent cx="2611120" cy="3151505"/>
                <wp:effectExtent l="0" t="0" r="0" b="0"/>
                <wp:wrapSquare wrapText="bothSides"/>
                <wp:docPr id="89" name="Rammen31"/>
                <a:graphic xmlns:a="http://schemas.openxmlformats.org/drawingml/2006/main">
                  <a:graphicData uri="http://schemas.microsoft.com/office/word/2010/wordprocessingShape">
                    <wps:wsp>
                      <wps:cNvSpPr/>
                      <wps:spPr>
                        <a:xfrm>
                          <a:off x="0" y="0"/>
                          <a:ext cx="2610360" cy="3150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00000A"/>
                              </w:rPr>
                            </w:pPr>
                            <w:r>
                              <w:rPr>
                                <w:color w:val="00000A"/>
                              </w:rPr>
                              <w:t xml:space="preserve">7. Deling af europæiske kulturer gennem </w:t>
                            </w:r>
                            <w:r>
                              <w:rPr>
                                <w:b/>
                                <w:color w:val="00000A"/>
                              </w:rPr>
                              <w:t>fælles arrangementer og arrangementer</w:t>
                            </w:r>
                          </w:p>
                          <w:p>
                            <w:pPr>
                              <w:pStyle w:val="Contenudecadre"/>
                              <w:rPr>
                                <w:b w:val="false"/>
                                <w:b w:val="false"/>
                                <w:color w:val="00000A"/>
                              </w:rPr>
                            </w:pPr>
                            <w:r>
                              <w:rPr>
                                <w:b w:val="false"/>
                                <w:color w:val="00000A"/>
                              </w:rPr>
                            </w:r>
                          </w:p>
                          <w:p>
                            <w:pPr>
                              <w:pStyle w:val="Contenudecadre"/>
                              <w:rPr>
                                <w:color w:val="00000A"/>
                              </w:rPr>
                            </w:pPr>
                            <w:r>
                              <w:rPr>
                                <w:color w:val="00000A"/>
                              </w:rPr>
                              <w:t xml:space="preserve">8. Harmonisering af </w:t>
                            </w:r>
                            <w:r>
                              <w:rPr>
                                <w:b/>
                                <w:color w:val="00000A"/>
                              </w:rPr>
                              <w:t>sundheden</w:t>
                            </w:r>
                            <w:r>
                              <w:rPr>
                                <w:color w:val="00000A"/>
                              </w:rPr>
                              <w:t xml:space="preserve"> og tilgængeliggørelse for alle europæere gennem en fælles sundhedspolitik</w:t>
                            </w:r>
                          </w:p>
                          <w:p>
                            <w:pPr>
                              <w:pStyle w:val="Contenudecadre"/>
                              <w:rPr>
                                <w:b w:val="false"/>
                                <w:b w:val="false"/>
                                <w:color w:val="00000A"/>
                              </w:rPr>
                            </w:pPr>
                            <w:r>
                              <w:rPr>
                                <w:b w:val="false"/>
                                <w:color w:val="00000A"/>
                              </w:rPr>
                            </w:r>
                          </w:p>
                          <w:p>
                            <w:pPr>
                              <w:pStyle w:val="Contenudecadre"/>
                              <w:rPr>
                                <w:color w:val="00000A"/>
                              </w:rPr>
                            </w:pPr>
                            <w:r>
                              <w:rPr>
                                <w:color w:val="00000A"/>
                              </w:rPr>
                              <w:t xml:space="preserve">9. Udvikle og styre </w:t>
                            </w:r>
                            <w:r>
                              <w:rPr>
                                <w:b/>
                                <w:color w:val="00000A"/>
                              </w:rPr>
                              <w:t>strategiske kanaler</w:t>
                            </w:r>
                            <w:r>
                              <w:rPr>
                                <w:color w:val="00000A"/>
                              </w:rPr>
                              <w:t xml:space="preserve"> på europæisk plan for at sikre vores suverænitet</w:t>
                            </w:r>
                          </w:p>
                          <w:p>
                            <w:pPr>
                              <w:pStyle w:val="Contenudecadre"/>
                              <w:rPr>
                                <w:b w:val="false"/>
                                <w:b w:val="false"/>
                                <w:color w:val="00000A"/>
                              </w:rPr>
                            </w:pPr>
                            <w:r>
                              <w:rPr>
                                <w:b w:val="false"/>
                                <w:color w:val="00000A"/>
                              </w:rPr>
                            </w:r>
                          </w:p>
                          <w:p>
                            <w:pPr>
                              <w:pStyle w:val="Contenudecadre"/>
                              <w:spacing w:before="57" w:after="57"/>
                              <w:rPr/>
                            </w:pPr>
                            <w:r>
                              <w:rPr>
                                <w:color w:val="00000A"/>
                              </w:rPr>
                              <w:t xml:space="preserve">10. Forbedre </w:t>
                            </w:r>
                            <w:r>
                              <w:rPr>
                                <w:b/>
                                <w:color w:val="00000A"/>
                              </w:rPr>
                              <w:t>beskyttelsen af miljøer og økosystemer</w:t>
                            </w:r>
                            <w:r>
                              <w:rPr>
                                <w:color w:val="00000A"/>
                              </w:rPr>
                              <w:t xml:space="preserve"> og skabe </w:t>
                            </w:r>
                            <w:r>
                              <w:rPr>
                                <w:b/>
                                <w:color w:val="00000A"/>
                              </w:rPr>
                              <w:t>beskyttede områder</w:t>
                            </w:r>
                            <w:r>
                              <w:rPr>
                                <w:color w:val="00000A"/>
                              </w:rPr>
                              <w:t xml:space="preserve"> i centrum af byområder, bynære områder og landdistrikter</w:t>
                            </w:r>
                          </w:p>
                        </w:txbxContent>
                      </wps:txbx>
                      <wps:bodyPr lIns="54000" rIns="54000" tIns="54000" bIns="54000">
                        <a:noAutofit/>
                      </wps:bodyPr>
                    </wps:wsp>
                  </a:graphicData>
                </a:graphic>
              </wp:anchor>
            </w:drawing>
          </mc:Choice>
          <mc:Fallback>
            <w:pict>
              <v:rect id="shape_0" ID="Rammen31" fillcolor="white" stroked="t" style="position:absolute;margin-left:274.1pt;margin-top:7.45pt;width:205.5pt;height:248.05pt">
                <w10:wrap type="square"/>
                <v:fill o:detectmouseclick="t" type="solid" color2="black"/>
                <v:stroke color="black" weight="720" joinstyle="round" endcap="flat"/>
                <v:textbox>
                  <w:txbxContent>
                    <w:p>
                      <w:pPr>
                        <w:pStyle w:val="Contenudecadre"/>
                        <w:spacing w:before="57" w:after="57"/>
                        <w:rPr>
                          <w:color w:val="00000A"/>
                        </w:rPr>
                      </w:pPr>
                      <w:r>
                        <w:rPr>
                          <w:color w:val="00000A"/>
                        </w:rPr>
                        <w:t xml:space="preserve">7. Deling af europæiske kulturer gennem </w:t>
                      </w:r>
                      <w:r>
                        <w:rPr>
                          <w:b/>
                          <w:color w:val="00000A"/>
                        </w:rPr>
                        <w:t>fælles arrangementer og arrangementer</w:t>
                      </w:r>
                    </w:p>
                    <w:p>
                      <w:pPr>
                        <w:pStyle w:val="Contenudecadre"/>
                        <w:rPr>
                          <w:b w:val="false"/>
                          <w:b w:val="false"/>
                          <w:color w:val="00000A"/>
                        </w:rPr>
                      </w:pPr>
                      <w:r>
                        <w:rPr>
                          <w:b w:val="false"/>
                          <w:color w:val="00000A"/>
                        </w:rPr>
                      </w:r>
                    </w:p>
                    <w:p>
                      <w:pPr>
                        <w:pStyle w:val="Contenudecadre"/>
                        <w:rPr>
                          <w:color w:val="00000A"/>
                        </w:rPr>
                      </w:pPr>
                      <w:r>
                        <w:rPr>
                          <w:color w:val="00000A"/>
                        </w:rPr>
                        <w:t xml:space="preserve">8. Harmonisering af </w:t>
                      </w:r>
                      <w:r>
                        <w:rPr>
                          <w:b/>
                          <w:color w:val="00000A"/>
                        </w:rPr>
                        <w:t>sundheden</w:t>
                      </w:r>
                      <w:r>
                        <w:rPr>
                          <w:color w:val="00000A"/>
                        </w:rPr>
                        <w:t xml:space="preserve"> og tilgængeliggørelse for alle europæere gennem en fælles sundhedspolitik</w:t>
                      </w:r>
                    </w:p>
                    <w:p>
                      <w:pPr>
                        <w:pStyle w:val="Contenudecadre"/>
                        <w:rPr>
                          <w:b w:val="false"/>
                          <w:b w:val="false"/>
                          <w:color w:val="00000A"/>
                        </w:rPr>
                      </w:pPr>
                      <w:r>
                        <w:rPr>
                          <w:b w:val="false"/>
                          <w:color w:val="00000A"/>
                        </w:rPr>
                      </w:r>
                    </w:p>
                    <w:p>
                      <w:pPr>
                        <w:pStyle w:val="Contenudecadre"/>
                        <w:rPr>
                          <w:color w:val="00000A"/>
                        </w:rPr>
                      </w:pPr>
                      <w:r>
                        <w:rPr>
                          <w:color w:val="00000A"/>
                        </w:rPr>
                        <w:t xml:space="preserve">9. Udvikle og styre </w:t>
                      </w:r>
                      <w:r>
                        <w:rPr>
                          <w:b/>
                          <w:color w:val="00000A"/>
                        </w:rPr>
                        <w:t>strategiske kanaler</w:t>
                      </w:r>
                      <w:r>
                        <w:rPr>
                          <w:color w:val="00000A"/>
                        </w:rPr>
                        <w:t xml:space="preserve"> på europæisk plan for at sikre vores suverænitet</w:t>
                      </w:r>
                    </w:p>
                    <w:p>
                      <w:pPr>
                        <w:pStyle w:val="Contenudecadre"/>
                        <w:rPr>
                          <w:b w:val="false"/>
                          <w:b w:val="false"/>
                          <w:color w:val="00000A"/>
                        </w:rPr>
                      </w:pPr>
                      <w:r>
                        <w:rPr>
                          <w:b w:val="false"/>
                          <w:color w:val="00000A"/>
                        </w:rPr>
                      </w:r>
                    </w:p>
                    <w:p>
                      <w:pPr>
                        <w:pStyle w:val="Contenudecadre"/>
                        <w:spacing w:before="57" w:after="57"/>
                        <w:rPr/>
                      </w:pPr>
                      <w:r>
                        <w:rPr>
                          <w:color w:val="00000A"/>
                        </w:rPr>
                        <w:t xml:space="preserve">10. Forbedre </w:t>
                      </w:r>
                      <w:r>
                        <w:rPr>
                          <w:b/>
                          <w:color w:val="00000A"/>
                        </w:rPr>
                        <w:t>beskyttelsen af miljøer og økosystemer</w:t>
                      </w:r>
                      <w:r>
                        <w:rPr>
                          <w:color w:val="00000A"/>
                        </w:rPr>
                        <w:t xml:space="preserve"> og skabe </w:t>
                      </w:r>
                      <w:r>
                        <w:rPr>
                          <w:b/>
                          <w:color w:val="00000A"/>
                        </w:rPr>
                        <w:t>beskyttede områder</w:t>
                      </w:r>
                      <w:r>
                        <w:rPr>
                          <w:color w:val="00000A"/>
                        </w:rPr>
                        <w:t xml:space="preserve"> i centrum af byområder, bynære områder og landdistrikter</w:t>
                      </w:r>
                    </w:p>
                  </w:txbxContent>
                </v:textbox>
              </v:rect>
            </w:pict>
          </mc:Fallback>
        </mc:AlternateContent>
      </w:r>
    </w:p>
    <w:p>
      <w:pPr>
        <w:pStyle w:val="Titre2"/>
        <w:numPr>
          <w:ilvl w:val="1"/>
          <w:numId w:val="2"/>
        </w:numPr>
        <w:rPr/>
      </w:pPr>
      <w:bookmarkStart w:id="209" w:name="__RefHeading___Toc300452_1346298689"/>
      <w:bookmarkEnd w:id="209"/>
      <w:r>
        <w:rPr/>
        <w:t>Præsentation af panelerne på regionale konferencer</w:t>
      </w:r>
    </w:p>
    <w:p>
      <w:pPr>
        <w:pStyle w:val="Normal"/>
        <w:rPr/>
      </w:pPr>
      <w:r>
        <w:rPr/>
        <mc:AlternateContent>
          <mc:Choice Requires="wpg">
            <w:drawing>
              <wp:anchor behindDoc="0" distT="0" distB="0" distL="0" distR="0" simplePos="0" locked="0" layoutInCell="1" allowOverlap="1" relativeHeight="49">
                <wp:simplePos x="0" y="0"/>
                <wp:positionH relativeFrom="column">
                  <wp:posOffset>635</wp:posOffset>
                </wp:positionH>
                <wp:positionV relativeFrom="paragraph">
                  <wp:posOffset>25400</wp:posOffset>
                </wp:positionV>
                <wp:extent cx="5972175" cy="8288655"/>
                <wp:effectExtent l="0" t="0" r="0" b="0"/>
                <wp:wrapNone/>
                <wp:docPr id="91" name="Formular 1"/>
                <a:graphic xmlns:a="http://schemas.openxmlformats.org/drawingml/2006/main">
                  <a:graphicData uri="http://schemas.microsoft.com/office/word/2010/wordprocessingGroup">
                    <wpg:wgp>
                      <wpg:cNvGrpSpPr/>
                      <wpg:grpSpPr>
                        <a:xfrm>
                          <a:off x="0" y="0"/>
                          <a:ext cx="5971680" cy="8287920"/>
                        </a:xfrm>
                      </wpg:grpSpPr>
                      <pic:pic xmlns:pic="http://schemas.openxmlformats.org/drawingml/2006/picture">
                        <pic:nvPicPr>
                          <pic:cNvPr id="0" name="" descr=""/>
                          <pic:cNvPicPr/>
                        </pic:nvPicPr>
                        <pic:blipFill>
                          <a:blip r:embed="rId96"/>
                          <a:stretch/>
                        </pic:blipFill>
                        <pic:spPr>
                          <a:xfrm>
                            <a:off x="93960" y="771480"/>
                            <a:ext cx="5877720" cy="7516440"/>
                          </a:xfrm>
                          <a:prstGeom prst="rect">
                            <a:avLst/>
                          </a:prstGeom>
                          <a:ln>
                            <a:noFill/>
                          </a:ln>
                        </pic:spPr>
                      </pic:pic>
                      <wps:wsp>
                        <wps:cNvSpPr/>
                        <wps:spPr>
                          <a:xfrm>
                            <a:off x="144720" y="0"/>
                            <a:ext cx="5650920" cy="12578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Et mangfoldigt panel af 746 borgere</w:t>
                              </w:r>
                            </w:p>
                            <w:p>
                              <w:pPr>
                                <w:overflowPunct w:val="false"/>
                                <w:spacing w:before="0" w:after="0" w:lineRule="auto" w:line="240"/>
                                <w:ind w:hanging="0"/>
                                <w:jc w:val="left"/>
                                <w:rPr/>
                              </w:pPr>
                              <w:r>
                                <w:rPr>
                                  <w:sz w:val="24"/>
                                  <w:rFonts w:ascii="Times New Roman" w:hAnsi="Times New Roman"/>
                                  <w:color w:val="auto"/>
                                </w:rPr>
                              </w:r>
                            </w:p>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Oversigt over deltagerne i de 18 regionale konferencer</w:t>
                              </w:r>
                            </w:p>
                          </w:txbxContent>
                        </wps:txbx>
                        <wps:bodyPr lIns="90000" rIns="90000" tIns="45000" bIns="45000">
                          <a:noAutofit/>
                        </wps:bodyPr>
                      </wps:wsp>
                      <wps:wsp>
                        <wps:cNvSpPr/>
                        <wps:spPr>
                          <a:xfrm>
                            <a:off x="0" y="6247800"/>
                            <a:ext cx="2611800" cy="2040120"/>
                          </a:xfrm>
                          <a:prstGeom prst="rect">
                            <a:avLst/>
                          </a:prstGeom>
                          <a:noFill/>
                          <a:ln>
                            <a:noFill/>
                          </a:ln>
                        </wps:spPr>
                        <wps:style>
                          <a:lnRef idx="0"/>
                          <a:fillRef idx="0"/>
                          <a:effectRef idx="0"/>
                          <a:fontRef idx="minor"/>
                        </wps:style>
                        <wps:txbx>
                          <w:txbxContent>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Landmænd</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Håndværkere — Erhvervsdrivende — Virksomhedsledere</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Ledende medarbejdere — liberale erhverv</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Mellemliggende erhverv</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Medarbejdere</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Arbejdere</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Pensionister</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Andre inaktive</w:t>
                              </w:r>
                            </w:p>
                          </w:txbxContent>
                        </wps:txbx>
                        <wps:bodyPr lIns="90000" rIns="90000" tIns="45000" bIns="45000">
                          <a:noAutofit/>
                        </wps:bodyPr>
                      </wps:wsp>
                    </wpg:wgp>
                  </a:graphicData>
                </a:graphic>
              </wp:anchor>
            </w:drawing>
          </mc:Choice>
          <mc:Fallback>
            <w:pict>
              <v:group id="shape_0" alt="Formular 1" style="position:absolute;margin-left:0.05pt;margin-top:2pt;width:470.2pt;height:652.65pt" coordorigin="1,40" coordsize="9404,13053">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5;height:11836" type="shapetype_75">
                  <v:imagedata r:id="rId96" o:detectmouseclick="t"/>
                  <w10:wrap type="none"/>
                  <v:stroke color="#3465a4" joinstyle="round" endcap="flat"/>
                </v:shape>
                <v:rect id="shape_0" stroked="f" style="position:absolute;left:229;top:40;width:8898;height:198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Et mangfoldigt panel af 746 borgere</w:t>
                        </w:r>
                      </w:p>
                      <w:p>
                        <w:pPr>
                          <w:overflowPunct w:val="false"/>
                          <w:spacing w:before="0" w:after="0" w:lineRule="auto" w:line="240"/>
                          <w:ind w:hanging="0"/>
                          <w:jc w:val="left"/>
                          <w:rPr/>
                        </w:pPr>
                        <w:r>
                          <w:rPr>
                            <w:sz w:val="24"/>
                            <w:rFonts w:ascii="Times New Roman" w:hAnsi="Times New Roman"/>
                            <w:color w:val="auto"/>
                          </w:rPr>
                        </w:r>
                      </w:p>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Oversigt over deltagerne i de 18 regionale konferencer</w:t>
                        </w:r>
                      </w:p>
                    </w:txbxContent>
                  </v:textbox>
                  <w10:wrap type="square"/>
                  <v:fill o:detectmouseclick="t" on="false"/>
                  <v:stroke color="#3465a4" joinstyle="round" endcap="flat"/>
                </v:rect>
                <v:rect id="shape_0" stroked="f" style="position:absolute;left:1;top:9879;width:4112;height:3212">
                  <v:textbox>
                    <w:txbxContent>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Landmænd</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Håndværkere — Erhvervsdrivende — Virksomhedsledere</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Ledende medarbejdere — liberale erhverv</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Mellemliggende erhverv</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Medarbejdere</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Arbejdere</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Pensionister</w:t>
                        </w:r>
                      </w:p>
                      <w:p>
                        <w:pPr>
                          <w:overflowPunct w:val="false"/>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Andre inaktive</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2">
                <wp:simplePos x="0" y="0"/>
                <wp:positionH relativeFrom="column">
                  <wp:posOffset>0</wp:posOffset>
                </wp:positionH>
                <wp:positionV relativeFrom="paragraph">
                  <wp:posOffset>36195</wp:posOffset>
                </wp:positionV>
                <wp:extent cx="5874385" cy="8265795"/>
                <wp:effectExtent l="0" t="0" r="0" b="0"/>
                <wp:wrapNone/>
                <wp:docPr id="92" name="Formular2"/>
                <a:graphic xmlns:a="http://schemas.openxmlformats.org/drawingml/2006/main">
                  <a:graphicData uri="http://schemas.microsoft.com/office/word/2010/wordprocessingGroup">
                    <wpg:wgp>
                      <wpg:cNvGrpSpPr/>
                      <wpg:grpSpPr>
                        <a:xfrm>
                          <a:off x="0" y="0"/>
                          <a:ext cx="5873760" cy="8265240"/>
                        </a:xfrm>
                      </wpg:grpSpPr>
                      <pic:pic xmlns:pic="http://schemas.openxmlformats.org/drawingml/2006/picture">
                        <pic:nvPicPr>
                          <pic:cNvPr id="1" name="" descr=""/>
                          <pic:cNvPicPr/>
                        </pic:nvPicPr>
                        <pic:blipFill>
                          <a:blip r:embed="rId97"/>
                          <a:stretch/>
                        </pic:blipFill>
                        <pic:spPr>
                          <a:xfrm>
                            <a:off x="720" y="1012680"/>
                            <a:ext cx="5873040" cy="7252200"/>
                          </a:xfrm>
                          <a:prstGeom prst="rect">
                            <a:avLst/>
                          </a:prstGeom>
                          <a:ln>
                            <a:noFill/>
                          </a:ln>
                        </pic:spPr>
                      </pic:pic>
                      <wps:wsp>
                        <wps:cNvSpPr/>
                        <wps:spPr>
                          <a:xfrm>
                            <a:off x="0" y="0"/>
                            <a:ext cx="5873760" cy="15804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Konferencer om Europas fremtid i hele Frankrig</w:t>
                              </w:r>
                            </w:p>
                            <w:p>
                              <w:pPr>
                                <w:overflowPunct w:val="false"/>
                                <w:spacing w:before="0" w:after="0" w:lineRule="auto" w:line="240"/>
                                <w:ind w:hanging="0"/>
                                <w:jc w:val="left"/>
                                <w:rPr/>
                              </w:pPr>
                              <w:r>
                                <w:rPr>
                                  <w:sz w:val="24"/>
                                  <w:rFonts w:ascii="Times New Roman" w:hAnsi="Times New Roman"/>
                                  <w:color w:val="auto"/>
                                </w:rPr>
                              </w:r>
                            </w:p>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18 regionale konferencer, 13 i metropol og 5 i udlandet</w:t>
                              </w:r>
                            </w:p>
                          </w:txbxContent>
                        </wps:txbx>
                        <wps:bodyPr lIns="90000" rIns="90000" tIns="45000" bIns="45000">
                          <a:noAutofit/>
                        </wps:bodyPr>
                      </wps:wsp>
                    </wpg:wgp>
                  </a:graphicData>
                </a:graphic>
              </wp:anchor>
            </w:drawing>
          </mc:Choice>
          <mc:Fallback>
            <w:pict>
              <v:group id="shape_0" alt="Formular2" style="position:absolute;margin-left:0pt;margin-top:2.85pt;width:462.5pt;height:650.8pt" coordorigin="0,57" coordsize="9250,13016">
                <v:shape id="shape_0" stroked="f" style="position:absolute;left:1;top:1652;width:9248;height:11420" type="shapetype_75">
                  <v:imagedata r:id="rId97" o:detectmouseclick="t"/>
                  <w10:wrap type="none"/>
                  <v:stroke color="#3465a4" joinstyle="round" endcap="flat"/>
                </v:shape>
                <v:rect id="shape_0" stroked="f" style="position:absolute;left:0;top:57;width:9249;height:2488">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Konferencer om Europas fremtid i hele Frankrig</w:t>
                        </w:r>
                      </w:p>
                      <w:p>
                        <w:pPr>
                          <w:overflowPunct w:val="false"/>
                          <w:spacing w:before="0" w:after="0" w:lineRule="auto" w:line="240"/>
                          <w:ind w:hanging="0"/>
                          <w:jc w:val="left"/>
                          <w:rPr/>
                        </w:pPr>
                        <w:r>
                          <w:rPr>
                            <w:sz w:val="24"/>
                            <w:rFonts w:ascii="Times New Roman" w:hAnsi="Times New Roman"/>
                            <w:color w:val="auto"/>
                          </w:rPr>
                        </w:r>
                      </w:p>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18 regionale konferencer, 13 i metropol og 5 i udlandet</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7"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3580" cy="8488680"/>
                <wp:effectExtent l="0" t="0" r="0" b="0"/>
                <wp:wrapTopAndBottom/>
                <wp:docPr id="93" name="Formular 3"/>
                <a:graphic xmlns:a="http://schemas.openxmlformats.org/drawingml/2006/main">
                  <a:graphicData uri="http://schemas.microsoft.com/office/word/2010/wordprocessingGroup">
                    <wpg:wgp>
                      <wpg:cNvGrpSpPr/>
                      <wpg:grpSpPr>
                        <a:xfrm>
                          <a:off x="0" y="0"/>
                          <a:ext cx="5783040" cy="8488080"/>
                        </a:xfrm>
                      </wpg:grpSpPr>
                      <pic:pic xmlns:pic="http://schemas.openxmlformats.org/drawingml/2006/picture">
                        <pic:nvPicPr>
                          <pic:cNvPr id="2" name="" descr=""/>
                          <pic:cNvPicPr/>
                        </pic:nvPicPr>
                        <pic:blipFill>
                          <a:blip r:embed="rId98"/>
                          <a:stretch/>
                        </pic:blipFill>
                        <pic:spPr>
                          <a:xfrm>
                            <a:off x="0" y="0"/>
                            <a:ext cx="5783040" cy="8488080"/>
                          </a:xfrm>
                          <a:prstGeom prst="rect">
                            <a:avLst/>
                          </a:prstGeom>
                          <a:ln>
                            <a:noFill/>
                          </a:ln>
                        </pic:spPr>
                      </pic:pic>
                      <wps:wsp>
                        <wps:cNvSpPr/>
                        <wps:spPr>
                          <a:xfrm>
                            <a:off x="1104840" y="337320"/>
                            <a:ext cx="3713400" cy="4100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Statens forpligtelser</w:t>
                              </w:r>
                            </w:p>
                          </w:txbxContent>
                        </wps:txbx>
                        <wps:bodyPr lIns="90000" rIns="90000" tIns="45000" bIns="45000">
                          <a:noAutofit/>
                        </wps:bodyPr>
                      </wps:wsp>
                      <wps:wsp>
                        <wps:cNvSpPr/>
                        <wps:spPr>
                          <a:xfrm>
                            <a:off x="768960" y="1240920"/>
                            <a:ext cx="1095480" cy="498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Gennemsigtighed</w:t>
                              </w:r>
                            </w:p>
                          </w:txbxContent>
                        </wps:txbx>
                        <wps:bodyPr lIns="90000" rIns="90000" tIns="45000" bIns="45000">
                          <a:noAutofit/>
                        </wps:bodyPr>
                      </wps:wsp>
                      <wps:wsp>
                        <wps:cNvSpPr/>
                        <wps:spPr>
                          <a:xfrm>
                            <a:off x="3957840" y="1253520"/>
                            <a:ext cx="1095480" cy="498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Pligten med det samme</w:t>
                              </w:r>
                            </w:p>
                          </w:txbxContent>
                        </wps:txbx>
                        <wps:bodyPr lIns="90000" rIns="90000" tIns="45000" bIns="45000">
                          <a:noAutofit/>
                        </wps:bodyPr>
                      </wps:wsp>
                      <wps:wsp>
                        <wps:cNvSpPr/>
                        <wps:spPr>
                          <a:xfrm>
                            <a:off x="2369880" y="1265040"/>
                            <a:ext cx="1094040" cy="2941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Neutralitet</w:t>
                              </w:r>
                            </w:p>
                          </w:txbxContent>
                        </wps:txbx>
                        <wps:bodyPr lIns="90000" rIns="90000" tIns="45000" bIns="45000">
                          <a:noAutofit/>
                        </wps:bodyPr>
                      </wps:wsp>
                      <wps:wsp>
                        <wps:cNvSpPr/>
                        <wps:spPr>
                          <a:xfrm>
                            <a:off x="210240" y="2037240"/>
                            <a:ext cx="4496400" cy="353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Metodiske skævheder</w:t>
                              </w:r>
                            </w:p>
                          </w:txbxContent>
                        </wps:txbx>
                        <wps:bodyPr lIns="90000" rIns="90000" tIns="45000" bIns="45000">
                          <a:noAutofit/>
                        </wps:bodyPr>
                      </wps:wsp>
                      <pic:pic xmlns:pic="http://schemas.openxmlformats.org/drawingml/2006/picture">
                        <pic:nvPicPr>
                          <pic:cNvPr id="3" name="" descr=""/>
                          <pic:cNvPicPr/>
                        </pic:nvPicPr>
                        <pic:blipFill>
                          <a:blip r:embed="rId99"/>
                          <a:stretch/>
                        </pic:blipFill>
                        <pic:spPr>
                          <a:xfrm>
                            <a:off x="1105560" y="2402280"/>
                            <a:ext cx="4354920" cy="5891040"/>
                          </a:xfrm>
                          <a:prstGeom prst="rect">
                            <a:avLst/>
                          </a:prstGeom>
                          <a:ln>
                            <a:noFill/>
                          </a:ln>
                        </pic:spPr>
                      </pic:pic>
                    </wpg:wgp>
                  </a:graphicData>
                </a:graphic>
              </wp:anchor>
            </w:drawing>
          </mc:Choice>
          <mc:Fallback>
            <w:pict>
              <v:group id="shape_0" alt="Formular 3" style="position:absolute;margin-left:13.85pt;margin-top:35.45pt;width:455.35pt;height:668.35pt" coordorigin="277,709" coordsize="9107,13367">
                <v:shape id="shape_0" stroked="f" style="position:absolute;left:277;top:709;width:9106;height:13366" type="shapetype_75">
                  <v:imagedata r:id="rId98" o:detectmouseclick="t"/>
                  <w10:wrap type="none"/>
                  <v:stroke color="#3465a4" joinstyle="round" endcap="flat"/>
                </v:shape>
                <v:rect id="shape_0" stroked="f" style="position:absolute;left:2017;top:1240;width:5847;height:645">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Statens forpligtelser</w:t>
                        </w:r>
                      </w:p>
                    </w:txbxContent>
                  </v:textbox>
                  <w10:wrap type="square"/>
                  <v:fill o:detectmouseclick="t" on="false"/>
                  <v:stroke color="#3465a4" joinstyle="round" endcap="flat"/>
                </v:rect>
                <v:rect id="shape_0" stroked="f" style="position:absolute;left:1488;top:2663;width:1724;height:7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Gennemsigtighed</w:t>
                        </w:r>
                      </w:p>
                    </w:txbxContent>
                  </v:textbox>
                  <w10:wrap type="square"/>
                  <v:fill o:detectmouseclick="t" on="false"/>
                  <v:stroke color="#3465a4" joinstyle="round" endcap="flat"/>
                </v:rect>
                <v:rect id="shape_0" stroked="f" style="position:absolute;left:6510;top:2683;width:1724;height:784">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Pligten med det samme</w:t>
                        </w:r>
                      </w:p>
                    </w:txbxContent>
                  </v:textbox>
                  <w10:wrap type="square"/>
                  <v:fill o:detectmouseclick="t" on="false"/>
                  <v:stroke color="#3465a4" joinstyle="round" endcap="flat"/>
                </v:rect>
                <v:rect id="shape_0" stroked="f" style="position:absolute;left:4009;top:2701;width:1722;height:462">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Neutralitet</w:t>
                        </w:r>
                      </w:p>
                    </w:txbxContent>
                  </v:textbox>
                  <w10:wrap type="square"/>
                  <v:fill o:detectmouseclick="t" on="false"/>
                  <v:stroke color="#3465a4" joinstyle="round" endcap="flat"/>
                </v:rect>
                <v:rect id="shape_0" stroked="f" style="position:absolute;left:608;top:3917;width:7080;height:55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Metodiske skævheder</w:t>
                        </w:r>
                      </w:p>
                    </w:txbxContent>
                  </v:textbox>
                  <w10:wrap type="square"/>
                  <v:fill o:detectmouseclick="t" on="false"/>
                  <v:stroke color="#3465a4" joinstyle="round" endcap="flat"/>
                </v:rect>
                <v:shape id="shape_0" stroked="f" style="position:absolute;left:2018;top:4492;width:6857;height:9276" type="shapetype_75">
                  <v:imagedata r:id="rId99" o:detectmouseclick="t"/>
                  <w10:wrap type="none"/>
                  <v:stroke color="#3465a4" joinstyle="round" endcap="flat"/>
                </v:shape>
              </v:group>
            </w:pict>
          </mc:Fallback>
        </mc:AlternateContent>
      </w:r>
      <w:r>
        <w:rPr/>
        <w:t xml:space="preserve">Metodologiske forpligtelser og fordomme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 xml:space="preserve">a. Statsforpligtelser vedrørende deltagelsesdemokrati </w:t>
      </w:r>
    </w:p>
    <w:p>
      <w:pPr>
        <w:pStyle w:val="P68B1DB1Normal19"/>
        <w:widowControl w:val="false"/>
        <w:spacing w:lineRule="auto" w:line="240" w:before="0" w:after="0"/>
        <w:ind w:left="0" w:right="0" w:hanging="0"/>
        <w:jc w:val="left"/>
        <w:rPr/>
      </w:pPr>
      <w:r>
        <w:rPr/>
        <w:t>Den franske del af konferencen om Europas fremtid er en del af statens tilsagn om deltagelsesdemokrati, som er baseret på tre principper:</w:t>
      </w:r>
      <w:r>
        <w:rPr>
          <w:b/>
        </w:rPr>
        <w:t xml:space="preserve"> gennemsigtighed, neutralitet og pligt med det samme</w:t>
      </w:r>
      <w:r>
        <w:rPr/>
        <w:t xml:space="preserve">. </w:t>
      </w:r>
    </w:p>
    <w:p>
      <w:pPr>
        <w:pStyle w:val="P68B1DB1Normal19"/>
        <w:widowControl w:val="false"/>
        <w:spacing w:lineRule="auto" w:line="240" w:before="0" w:after="0"/>
        <w:ind w:left="0" w:right="0" w:hanging="0"/>
        <w:jc w:val="both"/>
        <w:rPr/>
      </w:pPr>
      <w:r>
        <w:rPr/>
        <w:t xml:space="preserve">En deltagelsesbaseret tilgang forpligter arrangøren til at overholde en streng metode. Metoden for borgerdeltagelse skal gøre det muligt for borgerne at deltage på de bedst mulige vilkår og give udtryk for deres synspunkter på en fri og begrundet måde.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Gennemsigtighed </w:t>
      </w:r>
    </w:p>
    <w:p>
      <w:pPr>
        <w:pStyle w:val="P68B1DB1Normal19"/>
        <w:widowControl w:val="false"/>
        <w:spacing w:lineRule="auto" w:line="240" w:before="0" w:after="0"/>
        <w:ind w:left="0" w:right="0" w:hanging="0"/>
        <w:jc w:val="left"/>
        <w:rPr/>
      </w:pPr>
      <w:r>
        <w:rPr/>
        <w:t xml:space="preserve">Konferencens tilrettelæggelsesteam er fast besluttet på at gøre alle oplysninger om høringen tilgængelige for borgerne: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Den ramme, inden for hvilken høringen finder sted •</w:t>
      </w:r>
      <w:r>
        <w:rPr/>
        <w:t xml:space="preserve"> </w:t>
      </w:r>
      <w:r>
        <w:rPr>
          <w:rFonts w:ascii="Times New Roman" w:hAnsi="Times New Roman"/>
        </w:rPr>
        <w:t xml:space="preserve">Forpligtelser over for borgerne;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Formålet med høringen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Resultaterne af høringen. </w:t>
      </w:r>
    </w:p>
    <w:p>
      <w:pPr>
        <w:pStyle w:val="Normal"/>
        <w:widowControl w:val="false"/>
        <w:spacing w:lineRule="auto" w:line="240" w:before="0" w:after="0"/>
        <w:ind w:left="0" w:right="0" w:hanging="0"/>
        <w:jc w:val="both"/>
        <w:rPr/>
      </w:pPr>
      <w:r>
        <w:rPr>
          <w:rFonts w:ascii="Times New Roman" w:hAnsi="Times New Roman"/>
          <w:color w:val="000000"/>
          <w:sz w:val="24"/>
        </w:rPr>
        <w:t>Metoden for konferencen om Europas fremtid blev således fastlagt med det konstante mål at sikre gennemsigtighed for borgerne. Metoden til rekruttering af tilfældigt udvalgte borgere, metodologiske skævheder og behandlingen af borgernes tale blev klart fastlagt. Deltagerne modtog også et resumé af deres regionale konference pr. e-mail ved konferencens afslutning. Desuden vil alle arbejds- og udrejsedokumenter blive offentliggjort ved afslutningen af ordningen på platformen for borgerdeltagelse i staten</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Neutralitet </w:t>
      </w:r>
    </w:p>
    <w:p>
      <w:pPr>
        <w:pStyle w:val="P68B1DB1Normal19"/>
        <w:widowControl w:val="false"/>
        <w:spacing w:lineRule="auto" w:line="240" w:before="0" w:after="0"/>
        <w:ind w:left="0" w:right="0" w:hanging="0"/>
        <w:jc w:val="both"/>
        <w:rPr/>
      </w:pPr>
      <w:r>
        <w:rPr/>
        <w:t xml:space="preserve">Under en høring skal organisatorteamet sikre, at det forbliver neutralt med hensyn til at lette udvekslingen og i udarbejdelsen af resuméer af resultaterne. Interessenter i ordningen — facilitatorer, facilitatorer, eksperter — bør ikke udtrykke deres egne synspunkter eller søge at lede debatten subjektivt. </w:t>
      </w:r>
    </w:p>
    <w:p>
      <w:pPr>
        <w:pStyle w:val="P68B1DB1Normal19"/>
        <w:widowControl w:val="false"/>
        <w:spacing w:lineRule="auto" w:line="240" w:before="0" w:after="0"/>
        <w:ind w:left="0" w:right="0" w:hanging="0"/>
        <w:jc w:val="both"/>
        <w:rPr/>
      </w:pPr>
      <w:r>
        <w:rPr/>
        <w:t xml:space="preserve">Målet om neutralitet blev forfulgt i alle faser af høringen, navnlig ved at sikre en upartisk udvælgelse af deltagere, fuld frihed i debatterne og manglende indflydelse på borgertale fra sponsorens eller interessenternes side. Denne nødvendighed af neutralitet har materialiseret sig gennem en objektiv og gennemsigtig rekrutteringsproces for deltagerne, sammenhængende metodologiske skævheder (omvendt ekspertise, manglende tematiske rammer af debatter) og et særligt fokus på de forskellige taleres holdning (facilitatorer, facilitatorer, eksperter). Endelig sørgede organisationsteamet for at værdsætte alle ordene og ikke filtrere borgerforslag. </w:t>
      </w:r>
    </w:p>
    <w:p>
      <w:pPr>
        <w:pStyle w:val="P68B1DB1Normal19"/>
        <w:widowControl w:val="false"/>
        <w:spacing w:lineRule="auto" w:line="240" w:before="0" w:after="0"/>
        <w:ind w:left="0" w:right="0" w:hanging="0"/>
        <w:jc w:val="both"/>
        <w:rPr/>
      </w:pPr>
      <w:r>
        <w:rPr/>
        <w:t xml:space="preserve">Et </w:t>
      </w:r>
      <w:r>
        <w:rPr>
          <w:b/>
        </w:rPr>
        <w:t>kollegium på tre garanter</w:t>
      </w:r>
      <w:r>
        <w:rPr/>
        <w:t xml:space="preserve">, udpeget af formændene for nationalforsamlingen, Europa-Parlamentet og regeringen, har også sikret, at alle synspunkter udtrykkes og tages i betragtning.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Pligten med det samme </w:t>
      </w:r>
    </w:p>
    <w:p>
      <w:pPr>
        <w:pStyle w:val="P68B1DB1Normal19"/>
        <w:widowControl w:val="false"/>
        <w:spacing w:lineRule="auto" w:line="240" w:before="0" w:after="0"/>
        <w:ind w:left="0" w:right="0" w:hanging="0"/>
        <w:jc w:val="both"/>
        <w:rPr/>
      </w:pPr>
      <w:r>
        <w:rPr/>
        <w:t xml:space="preserve">Borgerne har, uanset om de har deltaget i høringen eller ej, ret til at blive informeret om, hvad der er blevet valgt om deres forslag og de holdninger, de har fået fra dem, og af hvilke årsager. Det kaldes </w:t>
      </w:r>
      <w:r>
        <w:rPr>
          <w:b/>
        </w:rPr>
        <w:t>pligt med det samme</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Det er defineret af det tværministerielle center for borgerdeltagelse (ICPC) og det tværministerielle direktorat for offentlig omstilling (DITP) som det tilsagn, som den offentlige beslutningstager har givet om at give borgerne et klart og læseligt svar på resultatet af høringen. Konkret er det opfølgende opgave at vende tilbage til borgerne for at forklare dem, hvordan deres bidrag tages i betragtning og har indvirkning på beslutningstagningen og administrationens praksis.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Regeringen påtog sig denne opgave som opfølgning på konferencen om Europas fremtid og bebudede en ambitiøs opfølgningsmekanisme efter den nationale konference, der er beskrevet i næste del af denne rapport (se " </w:t>
      </w:r>
      <w:r>
        <w:rPr>
          <w:i/>
        </w:rPr>
        <w:t>Metodeparter"</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Metodologiske partier </w:t>
      </w:r>
    </w:p>
    <w:p>
      <w:pPr>
        <w:pStyle w:val="P68B1DB1Normal19"/>
        <w:widowControl w:val="false"/>
        <w:spacing w:lineRule="auto" w:line="240" w:before="0" w:after="0"/>
        <w:ind w:left="0" w:right="0" w:hanging="0"/>
        <w:jc w:val="both"/>
        <w:rPr/>
      </w:pPr>
      <w:r>
        <w:rPr/>
        <w:t xml:space="preserve">Disse tre statslige tilsagn blev afspejlet i høringsmetodologien i form af </w:t>
      </w:r>
      <w:r>
        <w:rPr>
          <w:b/>
        </w:rPr>
        <w:t>syv stærke metodologiske skævheder</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Territorialisering og nærhed</w:t>
      </w:r>
    </w:p>
    <w:p>
      <w:pPr>
        <w:pStyle w:val="P68B1DB1Normal24"/>
        <w:widowControl w:val="false"/>
        <w:spacing w:lineRule="auto" w:line="240" w:before="0" w:after="0"/>
        <w:ind w:left="0" w:right="0" w:hanging="0"/>
        <w:jc w:val="both"/>
        <w:rPr/>
      </w:pPr>
      <w:r>
        <w:rPr/>
        <w:t xml:space="preserve">Den nationale del af konferencen om Europas fremtid tog form af 18 regionale konferencer i de 13 storbyregioner og de fem franske ultramarine regioner, efterfulgt af en national konference i Paris. Med dette valg af paneler på lokalt plan var ønsket at </w:t>
      </w:r>
      <w:r>
        <w:rPr>
          <w:b/>
        </w:rPr>
        <w:t>samle en stemme så tæt på borgerne som muligt</w:t>
      </w:r>
      <w:r>
        <w:rPr/>
        <w:t xml:space="preserve">. Denne skævhed berigede også høringen ved at vise linjerne for konsensus og uenighed mellem territorierne om forskellige emner.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Mangfoldighed af borgerprofiler og brug af lodtrækningen</w:t>
      </w:r>
    </w:p>
    <w:p>
      <w:pPr>
        <w:pStyle w:val="P68B1DB1Normal24"/>
        <w:widowControl w:val="false"/>
        <w:spacing w:lineRule="auto" w:line="240" w:before="0" w:after="0"/>
        <w:ind w:left="0" w:right="0" w:hanging="0"/>
        <w:jc w:val="both"/>
        <w:rPr/>
      </w:pPr>
      <w:r>
        <w:rPr/>
        <w:t xml:space="preserve">Et mål for rekruttering af 50 borgere pr. regional konference blev sat forud for processen, med undtagelse af ultramarine konferencer i Martinique, Mayotte, Guadeloupe og Guyana, med 30 til 40 borgere hver, og Grand Est-konferencen, hvor 5 tyske statsborgere fra de tre grænselandere også var til stede. En </w:t>
      </w:r>
      <w:r>
        <w:rPr>
          <w:b/>
        </w:rPr>
        <w:t>tilfældig generation</w:t>
      </w:r>
      <w:r>
        <w:rPr/>
        <w:t xml:space="preserve"> af telefonnumre gjorde det muligt at trække masser af borgere, der var inviteret til at deltage i regionale konferencer. </w:t>
      </w:r>
    </w:p>
    <w:p>
      <w:pPr>
        <w:pStyle w:val="P68B1DB1Normal24"/>
        <w:widowControl w:val="false"/>
        <w:spacing w:lineRule="auto" w:line="240" w:before="0" w:after="0"/>
        <w:ind w:left="0" w:right="0" w:hanging="0"/>
        <w:jc w:val="both"/>
        <w:rPr/>
      </w:pPr>
      <w:r>
        <w:rPr/>
        <w:t xml:space="preserve">For at være støtteberettiget skulle borgere trukket ved lodtrækning være over 18 år og være franske eller fastboende i en regelmæssig situation. Hvert regionalt panel af borgere skulle være </w:t>
      </w:r>
      <w:r>
        <w:rPr>
          <w:b/>
        </w:rPr>
        <w:t>repræsentativt for den regionale befolknings mangfoldighed</w:t>
      </w:r>
      <w:r>
        <w:rPr/>
        <w:t xml:space="preserve">og samle en </w:t>
      </w:r>
      <w:r>
        <w:rPr>
          <w:b/>
        </w:rPr>
        <w:t>mangfoldighed af synspunkter om Europa</w:t>
      </w:r>
      <w:r>
        <w:rPr/>
        <w:t xml:space="preserve">. Den nøjagtige metode til ansættelse ved lodtrækning er fastsat i bilag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Gennemsigtighed i tilgangen</w:t>
      </w:r>
    </w:p>
    <w:p>
      <w:pPr>
        <w:pStyle w:val="P68B1DB1Normal24"/>
        <w:widowControl w:val="false"/>
        <w:spacing w:lineRule="auto" w:line="240" w:before="0" w:after="0"/>
        <w:ind w:left="0" w:right="0" w:hanging="0"/>
        <w:jc w:val="both"/>
        <w:rPr/>
      </w:pPr>
      <w:r>
        <w:rPr/>
        <w:t xml:space="preserve">Et </w:t>
      </w:r>
      <w:r>
        <w:rPr>
          <w:b/>
        </w:rPr>
        <w:t>kollegium på tre garanter</w:t>
      </w:r>
      <w:r>
        <w:rPr/>
        <w:t xml:space="preserve"> udpeget af statssekretæren for europæiske anliggender, formanden for nationalforsamlingen og formanden for Europa-Parlamentet fulgte hele processen for at sikre dens neutralitet og regelmæssighed. Garanterne har bl.a.: overvågede oprigtigheden af rekrutteringen af borgere ved lodtrækning, fremsatte anbefalinger til udvælgelse af eksperter og sikrede, at debatterne var velorganiserede. Når proceduren er afsluttet, offentliggør garanterne deres udtalelse om høringen. Dette dokument vil blive offentliggjort på den statslige borgerdeltagelsesplatform. </w:t>
      </w:r>
    </w:p>
    <w:p>
      <w:pPr>
        <w:pStyle w:val="P68B1DB1Normal24"/>
        <w:widowControl w:val="false"/>
        <w:spacing w:lineRule="auto" w:line="240" w:before="0" w:after="0"/>
        <w:ind w:left="0" w:right="0" w:hanging="0"/>
        <w:jc w:val="both"/>
        <w:rPr/>
      </w:pPr>
      <w:r>
        <w:rPr/>
        <w:t xml:space="preserve">Vil også blive offentliggjort på platformen for borgerdeltagelse i staten: resuméerne af de atten regionale konferencer, resuméet af alle de ændringer, der kom til udtryk på de regionale konferencer, sammenfatningen af den nationale konference og endelig den endelige rapport, der blev forelagt regeringen.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En åben debat uden et påtvunget tema</w:t>
      </w:r>
    </w:p>
    <w:p>
      <w:pPr>
        <w:pStyle w:val="P68B1DB1Normal24"/>
        <w:widowControl w:val="false"/>
        <w:spacing w:lineRule="auto" w:line="240" w:before="215" w:after="0"/>
        <w:ind w:left="1" w:right="0" w:hanging="0"/>
        <w:jc w:val="left"/>
        <w:rPr/>
      </w:pPr>
      <w:r>
        <w:rPr/>
        <w:t xml:space="preserve">I forbindelse med denne nationale høring blev der stillet et enkelt spørgsmål til de deltagende borgere: " </w:t>
      </w:r>
      <w:r>
        <w:rPr>
          <w:i/>
        </w:rPr>
        <w:t>Som franske borgere, hvilke ændringer ønsker De for Europa?</w:t>
      </w:r>
      <w:r>
        <w:rPr/>
        <w:t xml:space="preserve">" </w:t>
      </w:r>
    </w:p>
    <w:p>
      <w:pPr>
        <w:pStyle w:val="P68B1DB1Normal24"/>
        <w:widowControl w:val="false"/>
        <w:spacing w:lineRule="auto" w:line="240" w:before="235" w:after="0"/>
        <w:ind w:left="1" w:right="0" w:hanging="0"/>
        <w:jc w:val="both"/>
        <w:rPr/>
      </w:pPr>
      <w:r>
        <w:rPr/>
        <w:t xml:space="preserve">Gennem den udfoldelse og metodologi, der blev indført, var borgerne i stand til selv at bestemme dagsordenen for de ønskede ændringer uden at blive begrænset af et bestemt tema eller en forudgående normativ ramme. </w:t>
      </w:r>
    </w:p>
    <w:p>
      <w:pPr>
        <w:pStyle w:val="Normal"/>
        <w:widowControl w:val="false"/>
        <w:spacing w:lineRule="auto" w:line="240" w:before="233" w:after="0"/>
        <w:ind w:left="1" w:right="1" w:hanging="0"/>
        <w:jc w:val="both"/>
        <w:rPr/>
      </w:pPr>
      <w:r>
        <w:rPr>
          <w:rFonts w:ascii="Times New Roman" w:hAnsi="Times New Roman"/>
          <w:color w:val="000000"/>
        </w:rPr>
        <w:t>Målet var at give borgerne på regionale konferencer mulighed for at nyde fuld frihed i de emner, de ønskede at behandle. Ministeriet for Europa og Udenrigsanliggender i den nationale del af konferencen om Europas fremtid har således valgt at udvikle en komplementær tilgang til den europæiske øvelse, som er struktureret omkring ni temaer: klimaændringer og miljø, sundhed; en stærkere økonomi, social retfærdighed og beskæftigelse EU i verden, værdier og rettigheder, retsstatsprincippet, sikkerhed den digitale omstilling; Det europæiske demokrati; migration; uddannelse, kultur, ungdom og sport andre ideer</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Temaerne for udveksling af regionale konferencer blev således defineret af borgerne selv og ikke af sponsoren af øvelsen.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Omvendt ekspertise</w:t>
      </w:r>
    </w:p>
    <w:p>
      <w:pPr>
        <w:pStyle w:val="P68B1DB1Normal24"/>
        <w:widowControl w:val="false"/>
        <w:spacing w:lineRule="auto" w:line="240" w:before="218" w:after="0"/>
        <w:ind w:left="1" w:right="0" w:hanging="0"/>
        <w:jc w:val="left"/>
        <w:rPr/>
      </w:pPr>
      <w:r>
        <w:rPr/>
        <w:t xml:space="preserve">For at få størst mulig indflydelse på deltagerne i processen med at identificere deres ønsker for Europa blev det </w:t>
      </w:r>
      <w:r>
        <w:rPr>
          <w:b/>
        </w:rPr>
        <w:t>valgt ikke at give forudgående information eller ekspertise</w:t>
      </w:r>
      <w:r>
        <w:rPr/>
        <w:t xml:space="preserve"> (f.eks. om Den Europæiske Unions nuværende projekt, dens kompetencer eller institutionernes funktionsmåde), men at tage udgangspunkt i borgernes egne spørgsmål. Denne metodologiske skævhed er baseret på princippet om </w:t>
      </w:r>
      <w:r>
        <w:rPr>
          <w:i/>
        </w:rPr>
        <w:t>omvendt ekspertise</w:t>
      </w:r>
      <w:r>
        <w:rPr/>
        <w:t xml:space="preserve">, ifølge hvilket </w:t>
      </w:r>
      <w:r>
        <w:rPr>
          <w:b/>
        </w:rPr>
        <w:t>kollektive overvejelser</w:t>
      </w:r>
      <w:r>
        <w:rPr/>
        <w:t xml:space="preserve"> bygger på borgernes erfaringer og meninger, som derefter stiller spørgsmålstegn ved eksperter for at støtte deres drøftelser og konsolidere deres arbejdshypoteser. </w:t>
      </w:r>
    </w:p>
    <w:p>
      <w:pPr>
        <w:pStyle w:val="P68B1DB1Normal24"/>
        <w:widowControl w:val="false"/>
        <w:spacing w:lineRule="auto" w:line="240" w:before="232" w:after="0"/>
        <w:ind w:left="0" w:right="0" w:hanging="0"/>
        <w:jc w:val="both"/>
        <w:rPr/>
      </w:pPr>
      <w:r>
        <w:rPr/>
        <w:t xml:space="preserve">For at nå dette mål blev der mobiliseret </w:t>
      </w:r>
      <w:r>
        <w:rPr>
          <w:b/>
        </w:rPr>
        <w:t>eksperter</w:t>
      </w:r>
      <w:r>
        <w:rPr/>
        <w:t xml:space="preserve"> i de forskellige regioner (i gennemsnit tre), især fra den akademiske verden og Europe Direct-informationscentrene i de pågældende områder. De var til stede lørdag og søndag for at besvare borgernes spørgsmål, idet de kun talte på deres anmodning. </w:t>
      </w:r>
      <w:r>
        <w:rPr>
          <w:b/>
        </w:rPr>
        <w:t>Faktatjekkere</w:t>
      </w:r>
      <w:r>
        <w:rPr/>
        <w:t xml:space="preserve"> var også tilgængelige for hurtigt</w:t>
      </w:r>
      <w:r>
        <w:rPr>
          <w:i/>
        </w:rPr>
        <w:t>at</w:t>
      </w:r>
      <w:r>
        <w:rPr/>
        <w:t xml:space="preserve">kontrollere de faktuelle spørgsmål, som borgerne havde taget op. </w:t>
      </w:r>
    </w:p>
    <w:p>
      <w:pPr>
        <w:pStyle w:val="P68B1DB1Normal24"/>
        <w:widowControl w:val="false"/>
        <w:spacing w:lineRule="auto" w:line="240" w:before="235" w:after="0"/>
        <w:ind w:left="0" w:right="1" w:hanging="0"/>
        <w:jc w:val="both"/>
        <w:rPr/>
      </w:pPr>
      <w:r>
        <w:rPr/>
        <w:t xml:space="preserve">På den nationale sammenfattende konference i EØSU deltog 19 højtstående eksperter fra den akademiske verden, tænketanke og diplomatiske korps i arbejdsgrupperne. Disse eksperter ledsagede en gruppe i løbet af weekenden, så de kunne uddybe de ændringer, der var udtrykt i regionerne.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Kollegialitet og agil regeringsførelse</w:t>
      </w:r>
    </w:p>
    <w:p>
      <w:pPr>
        <w:pStyle w:val="P68B1DB1Normal24"/>
        <w:widowControl w:val="false"/>
        <w:spacing w:lineRule="auto" w:line="240" w:before="212" w:after="0"/>
        <w:ind w:left="0" w:right="0" w:hanging="0"/>
        <w:jc w:val="left"/>
        <w:rPr/>
      </w:pPr>
      <w:r>
        <w:rPr/>
        <w:t xml:space="preserve">Hele processen blev </w:t>
      </w:r>
      <w:r>
        <w:rPr>
          <w:b/>
        </w:rPr>
        <w:t>bygget i fællesskab</w:t>
      </w:r>
      <w:r>
        <w:rPr/>
        <w:t xml:space="preserve"> af ministeriet for Europa og Udenrigsanliggender (MEAE). </w:t>
      </w:r>
    </w:p>
    <w:p>
      <w:pPr>
        <w:pStyle w:val="P68B1DB1Normal24"/>
        <w:widowControl w:val="false"/>
        <w:spacing w:lineRule="auto" w:line="240"/>
        <w:ind w:left="0" w:right="4" w:hanging="0"/>
        <w:jc w:val="both"/>
        <w:rPr/>
      </w:pPr>
      <w:r>
        <w:rPr/>
        <w:t xml:space="preserve">med støtte fra den participatoriske strategi fra det tværministerielle center for borgerdeltagelse (ICPC) under det tværministerielle direktorat for offentlig omstilling (DITP) og Ministeriet for Parlamentariske Forbindelser og Borgernes Deltagelse (MRPC). Ordningen blev gennemført af et leverandørkonsortium bestående af Roland Berger, Wavestone, Missions Publiques og Harris Interactive til styring af processen, animation af konferencer, udarbejdelse af borgere og udarbejdelse af rapporter og resuméer i samarbejde med de regionale præfekturer for den lokale tilrettelæggelse af regionale konferencer. </w:t>
      </w:r>
    </w:p>
    <w:p>
      <w:pPr>
        <w:pStyle w:val="P68B1DB1Normal24"/>
        <w:widowControl w:val="false"/>
        <w:spacing w:lineRule="auto" w:line="240" w:before="232" w:after="0"/>
        <w:ind w:left="0" w:right="4" w:hanging="0"/>
        <w:jc w:val="left"/>
        <w:rPr/>
      </w:pPr>
      <w:r>
        <w:rPr>
          <w:b/>
        </w:rPr>
        <w:t>Der er oprettet specifik styring</w:t>
      </w:r>
      <w:r>
        <w:rPr/>
        <w:t xml:space="preserve"> omkring et projektteam under ledelse af MEAE, der samler CPIC, MRPC og leverandørkonsortiet.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Pligt til opfølgning og artikulering med den europæiske øvelse</w:t>
      </w:r>
    </w:p>
    <w:p>
      <w:pPr>
        <w:pStyle w:val="P68B1DB1Normal19"/>
        <w:widowControl w:val="false"/>
        <w:spacing w:lineRule="auto" w:line="240" w:before="211" w:after="0"/>
        <w:ind w:left="0" w:right="0" w:hanging="0"/>
        <w:jc w:val="left"/>
        <w:rPr/>
      </w:pPr>
      <w:r>
        <w:rPr/>
        <w:t xml:space="preserve">I forbindelse med den nationale konference blev der bebudet flere elementer i </w:t>
      </w:r>
      <w:r>
        <w:rPr>
          <w:b/>
        </w:rPr>
        <w:t>de</w:t>
      </w:r>
      <w:r>
        <w:rPr/>
        <w:t xml:space="preserve"> franske institutioners opfølgningspligt efter den øvelse, der blev gennemført i forbindelse med konferencen om Europas fremtid: </w:t>
      </w:r>
    </w:p>
    <w:p>
      <w:pPr>
        <w:pStyle w:val="P68B1DB1Normal34"/>
        <w:widowControl w:val="false"/>
        <w:spacing w:lineRule="auto" w:line="240" w:before="333" w:after="0"/>
        <w:ind w:left="720" w:right="0" w:hanging="359"/>
        <w:jc w:val="both"/>
        <w:rPr/>
      </w:pPr>
      <w:r>
        <w:rPr>
          <w:rFonts w:ascii="Calibri" w:hAnsi="Calibri"/>
        </w:rPr>
        <w:t>At</w:t>
      </w:r>
      <w:r>
        <w:rPr/>
        <w:t xml:space="preserve"> </w:t>
      </w:r>
      <w:r>
        <w:rPr>
          <w:rFonts w:ascii="Times New Roman" w:hAnsi="Times New Roman"/>
          <w:b/>
        </w:rPr>
        <w:t>stille alle oplysninger om</w:t>
      </w:r>
      <w:r>
        <w:rPr>
          <w:rFonts w:ascii="Times New Roman" w:hAnsi="Times New Roman"/>
        </w:rPr>
        <w:t xml:space="preserve"> tilgangen, dette dokument og de sammenfattende rapporter fra de regionale og nationale konferencer til rådighed på en gennemsigtig og tilgængelig måde for alle på den nye platform for borgerdeltagelse, der blev lanceret i forbindelse med tilbagevenden til regeringen </w:t>
      </w:r>
    </w:p>
    <w:p>
      <w:pPr>
        <w:pStyle w:val="P68B1DB1Normal34"/>
        <w:widowControl w:val="false"/>
        <w:spacing w:lineRule="auto" w:line="240" w:before="90" w:after="0"/>
        <w:ind w:left="360" w:right="0" w:hanging="0"/>
        <w:jc w:val="left"/>
        <w:rPr/>
      </w:pPr>
      <w:r>
        <w:rPr>
          <w:rFonts w:ascii="Calibri" w:hAnsi="Calibri"/>
        </w:rPr>
        <w:t>Tilrettelæggelse</w:t>
      </w:r>
      <w:r>
        <w:rPr/>
        <w:t xml:space="preserve"> </w:t>
      </w:r>
      <w:r>
        <w:rPr>
          <w:rFonts w:ascii="Times New Roman" w:hAnsi="Times New Roman"/>
        </w:rPr>
        <w:t xml:space="preserve">af et </w:t>
      </w:r>
      <w:r>
        <w:rPr>
          <w:rFonts w:ascii="Times New Roman" w:hAnsi="Times New Roman"/>
          <w:b/>
        </w:rPr>
        <w:t>arrangement med henblik på at sende den endelige rapport fra den nationale del af konferencen om Europas fremtid tilbage</w:t>
      </w:r>
      <w:r>
        <w:rPr>
          <w:rFonts w:ascii="Times New Roman" w:hAnsi="Times New Roman"/>
        </w:rPr>
        <w:t xml:space="preserve"> til regeringen i november 2021 </w:t>
      </w:r>
    </w:p>
    <w:p>
      <w:pPr>
        <w:pStyle w:val="P68B1DB1Normal34"/>
        <w:widowControl w:val="false"/>
        <w:spacing w:lineRule="auto" w:line="240" w:before="90" w:after="0"/>
        <w:ind w:left="720" w:right="0" w:hanging="359"/>
        <w:jc w:val="both"/>
        <w:rPr/>
      </w:pPr>
      <w:r>
        <w:rPr>
          <w:rFonts w:ascii="Calibri" w:hAnsi="Calibri"/>
        </w:rPr>
        <w:t>Nedsættelse</w:t>
      </w:r>
      <w:r>
        <w:rPr/>
        <w:t xml:space="preserve"> </w:t>
      </w:r>
      <w:r>
        <w:rPr>
          <w:rFonts w:ascii="Times New Roman" w:hAnsi="Times New Roman"/>
        </w:rPr>
        <w:t>af et borgerovervågningsudvalg</w:t>
      </w:r>
      <w:r>
        <w:rPr>
          <w:rFonts w:ascii="Times New Roman" w:hAnsi="Times New Roman"/>
          <w:b/>
        </w:rPr>
        <w:t>, der skal</w:t>
      </w:r>
      <w:r>
        <w:rPr>
          <w:rFonts w:ascii="Times New Roman" w:hAnsi="Times New Roman"/>
        </w:rPr>
        <w:t xml:space="preserve"> sikre, at resultatet af processen er i overensstemmelse med de fremsatte forslag. Dette udvalg vil bestå af 15 borgere, herunder 14 deltagere fra de regionale konferencer og en deltager fra høringen "Words </w:t>
      </w:r>
      <w:r>
        <w:rPr>
          <w:rFonts w:ascii="Times New Roman" w:hAnsi="Times New Roman"/>
          <w:i/>
        </w:rPr>
        <w:t>to Youth"</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Levering af det franske bidrag til konferencen om Europas fremtid til de europæiske institutioner</w:t>
      </w:r>
      <w:r>
        <w:rPr>
          <w:rFonts w:ascii="Times New Roman" w:hAnsi="Times New Roman"/>
        </w:rPr>
        <w:t xml:space="preserve"> i januar 2022 </w:t>
      </w:r>
    </w:p>
    <w:p>
      <w:pPr>
        <w:pStyle w:val="P68B1DB1Normal19"/>
        <w:widowControl w:val="false"/>
        <w:spacing w:lineRule="auto" w:line="240" w:before="87" w:after="0"/>
        <w:ind w:left="0" w:right="0" w:hanging="0"/>
        <w:jc w:val="left"/>
        <w:rPr/>
      </w:pPr>
      <w:r>
        <w:rPr/>
        <w:t xml:space="preserve">De franske borgeres forslag vil blive bragt i den kollektive refleksion af medlemsstaterne og de europæiske institutioner. Som det land, der har formandskabet for Rådet for Den Europæiske Union i første halvdel af 2022, vil det være op til Frankrig at tale borgernes stemme, samtidig med at det arbejder på at fastlægge en fælles holdning på kontinentet.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Første del: fremlæggelse af resultaterne af de regionale konferencer om Europas fremtid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På hver af de 18 regionale konferencer gav borgerne udtryk for deres ønsker for Europa i 2035 individuelt og derefter som en gruppe. Mellem 3 og 8 ønskegrupper opstod i hver region, hvilket førte til i alt </w:t>
      </w:r>
      <w:r>
        <w:rPr>
          <w:b/>
        </w:rPr>
        <w:t>101 ønskede Europa i hele Frankrig</w:t>
      </w:r>
      <w:r>
        <w:rPr/>
        <w:t xml:space="preserve">. Borgerne formulerede derefter ændringer, som de anså for nødvendige for at nå det ønskede Europa og derefter illustrerede dem med konkrete tiltag. Denne proces medførte i alt </w:t>
      </w:r>
      <w:r>
        <w:rPr>
          <w:b/>
        </w:rPr>
        <w:t>515 ændringer</w:t>
      </w:r>
      <w:r>
        <w:rPr/>
        <w:t xml:space="preserve"> og </w:t>
      </w:r>
      <w:r>
        <w:rPr>
          <w:b/>
        </w:rPr>
        <w:t xml:space="preserve">1.301 konkrete foranstaltninger i hele </w:t>
      </w:r>
      <w:r>
        <w:rPr/>
        <w:t xml:space="preserve">Frankrig.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I de uger, der adskilte de regionale konferencer og den nationale konference, foretog projektteamet en gruppe på 515 ændringer i sammenhængende grupper. Alle de ændringer, der var udtrykt i regionerne, blev underkastet en leksikologisk analyse og blev afsluttet, når deres underliggende hensigt syntes at være ens eller nær, således at der blev nedsat arbejdsgrupper til de nationale konferencer med et fælles ønske for Europa. Endelig </w:t>
      </w:r>
      <w:r>
        <w:rPr>
          <w:b/>
        </w:rPr>
        <w:t>blev de identificerede ændringer i regionerne inddelt i 14 forskellige europæiske ønsker</w:t>
      </w:r>
      <w:r>
        <w:rPr/>
        <w:t xml:space="preserve">. </w:t>
      </w:r>
    </w:p>
    <w:p>
      <w:pPr>
        <w:pStyle w:val="Normal"/>
        <w:rPr/>
      </w:pPr>
      <w:r>
        <w:rPr/>
        <mc:AlternateContent>
          <mc:Choice Requires="wpg">
            <w:drawing>
              <wp:anchor behindDoc="0" distT="0" distB="0" distL="0" distR="0" simplePos="0" locked="0" layoutInCell="1" allowOverlap="1" relativeHeight="53">
                <wp:simplePos x="0" y="0"/>
                <wp:positionH relativeFrom="column">
                  <wp:posOffset>436880</wp:posOffset>
                </wp:positionH>
                <wp:positionV relativeFrom="paragraph">
                  <wp:posOffset>92075</wp:posOffset>
                </wp:positionV>
                <wp:extent cx="5766435" cy="1320165"/>
                <wp:effectExtent l="0" t="0" r="0" b="0"/>
                <wp:wrapTopAndBottom/>
                <wp:docPr id="94" name="Formular11"/>
                <a:graphic xmlns:a="http://schemas.openxmlformats.org/drawingml/2006/main">
                  <a:graphicData uri="http://schemas.microsoft.com/office/word/2010/wordprocessingGroup">
                    <wpg:wgp>
                      <wpg:cNvGrpSpPr/>
                      <wpg:grpSpPr>
                        <a:xfrm>
                          <a:off x="0" y="0"/>
                          <a:ext cx="5765760" cy="1319400"/>
                        </a:xfrm>
                      </wpg:grpSpPr>
                      <pic:pic xmlns:pic="http://schemas.openxmlformats.org/drawingml/2006/picture">
                        <pic:nvPicPr>
                          <pic:cNvPr id="4" name="" descr=""/>
                          <pic:cNvPicPr/>
                        </pic:nvPicPr>
                        <pic:blipFill>
                          <a:blip r:embed="rId100"/>
                          <a:stretch/>
                        </pic:blipFill>
                        <pic:spPr>
                          <a:xfrm>
                            <a:off x="0" y="0"/>
                            <a:ext cx="5765760" cy="1078200"/>
                          </a:xfrm>
                          <a:prstGeom prst="rect">
                            <a:avLst/>
                          </a:prstGeom>
                          <a:ln>
                            <a:noFill/>
                          </a:ln>
                        </pic:spPr>
                      </pic:pic>
                      <wps:wsp>
                        <wps:cNvSpPr/>
                        <wps:spPr>
                          <a:xfrm>
                            <a:off x="1058040" y="195120"/>
                            <a:ext cx="1094040" cy="875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A"/>
                                </w:rPr>
                                <w:t>Ønsker</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A"/>
                                </w:rPr>
                                <w:t xml:space="preserve"> til Europa 2035</w:t>
                              </w:r>
                            </w:p>
                          </w:txbxContent>
                        </wps:txbx>
                        <wps:bodyPr lIns="90000" rIns="90000" tIns="45000" bIns="45000">
                          <a:noAutofit/>
                        </wps:bodyPr>
                      </wps:wsp>
                      <wps:wsp>
                        <wps:cNvSpPr/>
                        <wps:spPr>
                          <a:xfrm>
                            <a:off x="2310120" y="195120"/>
                            <a:ext cx="1453680" cy="11246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A"/>
                                </w:rPr>
                                <w:t xml:space="preserve">Ændringer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A"/>
                                </w:rPr>
                                <w:t>for at nå dette ønskede Europa</w:t>
                              </w:r>
                            </w:p>
                          </w:txbxContent>
                        </wps:txbx>
                        <wps:bodyPr lIns="90000" rIns="90000" tIns="45000" bIns="45000">
                          <a:noAutofit/>
                        </wps:bodyPr>
                      </wps:wsp>
                      <wps:wsp>
                        <wps:cNvSpPr/>
                        <wps:spPr>
                          <a:xfrm>
                            <a:off x="3932640" y="79200"/>
                            <a:ext cx="1743120" cy="11246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A"/>
                                </w:rPr>
                                <w:t xml:space="preserve">Konkrete forslag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A"/>
                                </w:rPr>
                                <w:t xml:space="preserve"> til gennemførelse af disse ændringer</w:t>
                              </w:r>
                            </w:p>
                          </w:txbxContent>
                        </wps:txbx>
                        <wps:bodyPr lIns="90000" rIns="90000" tIns="45000" bIns="45000">
                          <a:noAutofit/>
                        </wps:bodyPr>
                      </wps:wsp>
                    </wpg:wgp>
                  </a:graphicData>
                </a:graphic>
              </wp:anchor>
            </w:drawing>
          </mc:Choice>
          <mc:Fallback>
            <w:pict>
              <v:group id="shape_0" alt="Formular11" style="position:absolute;margin-left:34.4pt;margin-top:7.25pt;width:454pt;height:103.9pt" coordorigin="688,145" coordsize="9080,2078">
                <v:shape id="shape_0" stroked="f" style="position:absolute;left:688;top:145;width:9079;height:1697" type="shapetype_75">
                  <v:imagedata r:id="rId100" o:detectmouseclick="t"/>
                  <w10:wrap type="none"/>
                  <v:stroke color="#3465a4" joinstyle="round" endcap="flat"/>
                </v:shape>
                <v:rect id="shape_0" stroked="f" style="position:absolute;left:2354;top:452;width:1722;height:1378">
                  <v:textbo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A"/>
                          </w:rPr>
                          <w:t>Ønsker</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A"/>
                          </w:rPr>
                          <w:t xml:space="preserve"> til Europa 2035</w:t>
                        </w:r>
                      </w:p>
                    </w:txbxContent>
                  </v:textbox>
                  <w10:wrap type="square"/>
                  <v:fill o:detectmouseclick="t" on="false"/>
                  <v:stroke color="#3465a4" joinstyle="round" endcap="flat"/>
                </v:rect>
                <v:rect id="shape_0" stroked="f" style="position:absolute;left:4326;top:452;width:2288;height:1770">
                  <v:textbo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A"/>
                          </w:rPr>
                          <w:t xml:space="preserve">Ændringer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A"/>
                          </w:rPr>
                          <w:t>for at nå dette ønskede Europa</w:t>
                        </w:r>
                      </w:p>
                    </w:txbxContent>
                  </v:textbox>
                  <w10:wrap type="square"/>
                  <v:fill o:detectmouseclick="t" on="false"/>
                  <v:stroke color="#3465a4" joinstyle="round" endcap="flat"/>
                </v:rect>
                <v:rect id="shape_0" stroked="f" style="position:absolute;left:6881;top:270;width:2744;height:1770">
                  <v:textbox>
                    <w:txbxContent>
                      <w:p>
                        <w:pPr>
                          <w:overflowPunct w:val="false"/>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00000A"/>
                          </w:rPr>
                          <w:t xml:space="preserve">Konkrete forslag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00000A"/>
                          </w:rPr>
                          <w:t xml:space="preserve"> til gennemførelse af disse ændringer</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10"/>
        <w:gridCol w:w="2410"/>
        <w:gridCol w:w="2408"/>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Spørgsmål til borgerne</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Hvad er dit ønske for Europa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Hvilke ændringer er nødvendige for at nå dette ønskede Europa?</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Hvilke konkrete forslag vil De fremsætte for at gennemføre disse ændringer?</w:t>
            </w:r>
          </w:p>
        </w:tc>
      </w:tr>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Resultatet af regionale konferencer</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101 ønsker</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515 ændringer</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konkrete forslag</w:t>
            </w:r>
          </w:p>
        </w:tc>
      </w:tr>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Bestilling af 515 regionale ændringer i 14 konsekvente ønsker fra organisationsteamet</w:t>
            </w:r>
          </w:p>
        </w:tc>
        <w:tc>
          <w:tcPr>
            <w:tcW w:w="4818"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Gruppering, prioritering og detaljeringsgrad af ændringer foretaget af deltagerne under den nationale konference</w:t>
            </w:r>
          </w:p>
        </w:tc>
      </w:tr>
      <w:tr>
        <w:trPr/>
        <w:tc>
          <w:tcPr>
            <w:tcW w:w="2409" w:type="dxa"/>
            <w:tcBorders>
              <w:top w:val="single" w:sz="4" w:space="0" w:color="000001"/>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Resultatet af den nationale konference</w:t>
            </w:r>
          </w:p>
        </w:tc>
        <w:tc>
          <w:tcPr>
            <w:tcW w:w="2410" w:type="dxa"/>
            <w:tcBorders>
              <w:top w:val="single" w:sz="4" w:space="0" w:color="000001"/>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ønsker</w:t>
            </w:r>
          </w:p>
        </w:tc>
        <w:tc>
          <w:tcPr>
            <w:tcW w:w="2410" w:type="dxa"/>
            <w:tcBorders>
              <w:top w:val="single" w:sz="4" w:space="0" w:color="000001"/>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ændringer</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Vigtige gennemførelsestrin og succeskriterier for hver ændring</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Vurdering af Europas 14 ønsker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Ved afslutningen af hver regional konference stemte de deltagende borgere for at udtrykke deres støtte til de ændringer, som de forskellige arbejdsgrupper havde identificeret.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2385" cy="6270625"/>
                <wp:effectExtent l="0" t="0" r="0" b="0"/>
                <wp:wrapTopAndBottom/>
                <wp:docPr id="95" name="Ramme51"/>
                <a:graphic xmlns:a="http://schemas.openxmlformats.org/drawingml/2006/main">
                  <a:graphicData uri="http://schemas.microsoft.com/office/word/2010/wordprocessingShape">
                    <wps:wsp>
                      <wps:cNvSpPr/>
                      <wps:spPr>
                        <a:xfrm>
                          <a:off x="0" y="0"/>
                          <a:ext cx="5111640" cy="627012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pPr>
                            <w:r>
                              <w:rPr>
                                <w:color w:val="00000A"/>
                              </w:rPr>
                              <w:t xml:space="preserve">Rangordning af Europas ønsker efter popularitetsrate </w:t>
                            </w:r>
                          </w:p>
                        </w:txbxContent>
                      </wps:txbx>
                      <wps:bodyPr lIns="0" rIns="0" tIns="0" bIns="0">
                        <a:noAutofit/>
                      </wps:bodyPr>
                    </wps:wsp>
                  </a:graphicData>
                </a:graphic>
              </wp:anchor>
            </w:drawing>
          </mc:Choice>
          <mc:Fallback>
            <w:pict>
              <v:rect id="shape_0" ID="Ramme51" fillcolor="white" stroked="f" style="position:absolute;margin-left:0.05pt;margin-top:105.55pt;width:402.45pt;height:493.65pt">
                <w10:wrap type="square"/>
                <v:fill o:detectmouseclick="t" type="solid" color2="black"/>
                <v:stroke color="#3465a4" joinstyle="round" endcap="flat"/>
                <v:textbox>
                  <w:txbxContent>
                    <w:p>
                      <w:pPr>
                        <w:pStyle w:val="Lgende"/>
                        <w:suppressLineNumbers/>
                        <w:spacing w:before="120" w:after="120"/>
                        <w:rPr/>
                      </w:pPr>
                      <w:r>
                        <w:rPr>
                          <w:color w:val="00000A"/>
                        </w:rPr>
                        <w:t xml:space="preserve">Rangordning af Europas ønsker efter popularitetsrate </w:t>
                      </w:r>
                    </w:p>
                  </w:txbxContent>
                </v:textbox>
              </v:rect>
            </w:pict>
          </mc:Fallback>
        </mc:AlternateContent>
      </w:r>
      <w:r>
        <w:rPr>
          <w:rFonts w:ascii="Times New Roman" w:hAnsi="Times New Roman"/>
          <w:color w:val="000000"/>
          <w:sz w:val="24"/>
        </w:rPr>
        <w:t xml:space="preserve">På grundlag af de grupperinger, der blev gennemført forud for den nationale syntesekonference, er det muligt — takket være afstemningerne om ændringerne i de enkelte regioner — at fastslå, hvilke ønsker Europa har været mest populær blandt borgerne. Ønskerne " </w:t>
      </w:r>
      <w:r>
        <w:rPr>
          <w:rFonts w:ascii="Times New Roman" w:hAnsi="Times New Roman"/>
          <w:i/>
          <w:color w:val="000000"/>
          <w:sz w:val="24"/>
        </w:rPr>
        <w:t>et Europa, der sætter uddannelse på forkant"</w:t>
      </w:r>
      <w:r>
        <w:rPr>
          <w:rFonts w:ascii="Times New Roman" w:hAnsi="Times New Roman"/>
          <w:color w:val="000000"/>
          <w:sz w:val="24"/>
        </w:rPr>
        <w:t xml:space="preserve"> og " </w:t>
      </w:r>
      <w:r>
        <w:rPr>
          <w:rFonts w:ascii="Times New Roman" w:hAnsi="Times New Roman"/>
          <w:i/>
          <w:color w:val="000000"/>
          <w:sz w:val="24"/>
        </w:rPr>
        <w:t>et tættere og tilgængeligt Europa</w:t>
      </w:r>
      <w:r>
        <w:rPr>
          <w:rFonts w:ascii="Times New Roman" w:hAnsi="Times New Roman"/>
          <w:color w:val="000000"/>
          <w:sz w:val="24"/>
        </w:rPr>
        <w:t>" er således</w:t>
      </w:r>
      <w:r>
        <w:rPr>
          <w:rFonts w:ascii="Times New Roman" w:hAnsi="Times New Roman"/>
          <w:i/>
          <w:color w:val="000000"/>
          <w:sz w:val="24"/>
        </w:rPr>
        <w:t xml:space="preserve"> </w:t>
      </w:r>
      <w:r>
        <w:rPr>
          <w:rFonts w:ascii="Times New Roman" w:hAnsi="Times New Roman"/>
          <w:color w:val="000000"/>
          <w:sz w:val="24"/>
        </w:rPr>
        <w:t xml:space="preserve">blevet bredt hilst velkommen, og ændringerne støttes i gennemsnit af 56 % af borgerne på regionale konferencer. </w:t>
      </w:r>
    </w:p>
    <w:p>
      <w:pPr>
        <w:pStyle w:val="Normal"/>
        <w:rPr/>
      </w:pPr>
      <w:r>
        <w:rPr/>
        <mc:AlternateContent>
          <mc:Choice Requires="wpg">
            <w:drawing>
              <wp:anchor behindDoc="0" distT="0" distB="0" distL="0" distR="0" simplePos="0" locked="0" layoutInCell="1" allowOverlap="1" relativeHeight="54">
                <wp:simplePos x="0" y="0"/>
                <wp:positionH relativeFrom="column">
                  <wp:posOffset>273050</wp:posOffset>
                </wp:positionH>
                <wp:positionV relativeFrom="paragraph">
                  <wp:posOffset>506095</wp:posOffset>
                </wp:positionV>
                <wp:extent cx="4506595" cy="6284595"/>
                <wp:effectExtent l="0" t="0" r="0" b="0"/>
                <wp:wrapTopAndBottom/>
                <wp:docPr id="97" name="Formular4"/>
                <a:graphic xmlns:a="http://schemas.openxmlformats.org/drawingml/2006/main">
                  <a:graphicData uri="http://schemas.microsoft.com/office/word/2010/wordprocessingGroup">
                    <wpg:wgp>
                      <wpg:cNvGrpSpPr/>
                      <wpg:grpSpPr>
                        <a:xfrm>
                          <a:off x="0" y="0"/>
                          <a:ext cx="4506120" cy="6283800"/>
                        </a:xfrm>
                      </wpg:grpSpPr>
                      <pic:pic xmlns:pic="http://schemas.openxmlformats.org/drawingml/2006/picture">
                        <pic:nvPicPr>
                          <pic:cNvPr id="5" name="" descr=""/>
                          <pic:cNvPicPr/>
                        </pic:nvPicPr>
                        <pic:blipFill>
                          <a:blip r:embed="rId101"/>
                          <a:stretch/>
                        </pic:blipFill>
                        <pic:spPr>
                          <a:xfrm>
                            <a:off x="2270880" y="590400"/>
                            <a:ext cx="1982520" cy="5693400"/>
                          </a:xfrm>
                          <a:prstGeom prst="rect">
                            <a:avLst/>
                          </a:prstGeom>
                          <a:ln>
                            <a:noFill/>
                          </a:ln>
                        </pic:spPr>
                      </pic:pic>
                      <wps:wsp>
                        <wps:cNvSpPr/>
                        <wps:spPr>
                          <a:xfrm>
                            <a:off x="1152000" y="0"/>
                            <a:ext cx="3354120" cy="498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Hvilke ændringer ønsker du at gennemføre?</w:t>
                              </w:r>
                            </w:p>
                          </w:txbxContent>
                        </wps:txbx>
                        <wps:bodyPr lIns="90000" rIns="90000" tIns="45000" bIns="45000">
                          <a:noAutofit/>
                        </wps:bodyPr>
                      </wps:wsp>
                      <wps:wsp>
                        <wps:cNvSpPr/>
                        <wps:spPr>
                          <a:xfrm>
                            <a:off x="0" y="73836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 Et Europa, der sætter uddannelse i front</w:t>
                              </w:r>
                            </w:p>
                          </w:txbxContent>
                        </wps:txbx>
                        <wps:bodyPr lIns="90000" rIns="90000" tIns="45000" bIns="45000">
                          <a:noAutofit/>
                        </wps:bodyPr>
                      </wps:wsp>
                      <wps:wsp>
                        <wps:cNvSpPr/>
                        <wps:spPr>
                          <a:xfrm>
                            <a:off x="0" y="107964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2. Et tættere og tilgængeligt Europa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Et Europa med fælles kulturer og identiteter</w:t>
                              </w:r>
                            </w:p>
                          </w:txbxContent>
                        </wps:txbx>
                        <wps:bodyPr lIns="90000" rIns="90000" tIns="45000" bIns="45000">
                          <a:noAutofit/>
                        </wps:bodyPr>
                      </wps:wsp>
                      <wps:wsp>
                        <wps:cNvSpPr/>
                        <wps:spPr>
                          <a:xfrm>
                            <a:off x="0" y="194940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4. Et Europa, der er engageret i klima- og miljøudfordringen</w:t>
                              </w:r>
                            </w:p>
                          </w:txbxContent>
                        </wps:txbx>
                        <wps:bodyPr lIns="90000" rIns="90000" tIns="45000" bIns="45000">
                          <a:noAutofit/>
                        </wps:bodyPr>
                      </wps:wsp>
                      <wps:wsp>
                        <wps:cNvSpPr/>
                        <wps:spPr>
                          <a:xfrm>
                            <a:off x="0" y="2328480"/>
                            <a:ext cx="2217600" cy="2437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5. Et mere forenet Europa</w:t>
                              </w:r>
                            </w:p>
                          </w:txbxContent>
                        </wps:txbx>
                        <wps:bodyPr lIns="90000" rIns="90000" tIns="45000" bIns="45000">
                          <a:noAutofit/>
                        </wps:bodyPr>
                      </wps:wsp>
                      <wps:wsp>
                        <wps:cNvSpPr/>
                        <wps:spPr>
                          <a:xfrm>
                            <a:off x="0" y="2631600"/>
                            <a:ext cx="2217600" cy="2437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6. Et solidarisk Europa, der beskytter</w:t>
                              </w:r>
                            </w:p>
                          </w:txbxContent>
                        </wps:txbx>
                        <wps:bodyPr lIns="90000" rIns="90000" tIns="45000" bIns="45000">
                          <a:noAutofit/>
                        </wps:bodyPr>
                      </wps:wsp>
                      <wps:wsp>
                        <wps:cNvSpPr/>
                        <wps:spPr>
                          <a:xfrm>
                            <a:off x="0" y="303516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7. Et Europa, der sikrer respekt for de grundlæggende rettigheder</w:t>
                              </w:r>
                            </w:p>
                          </w:txbxContent>
                        </wps:txbx>
                        <wps:bodyPr lIns="90000" rIns="90000" tIns="45000" bIns="45000">
                          <a:noAutofit/>
                        </wps:bodyPr>
                      </wps:wsp>
                      <wps:wsp>
                        <wps:cNvSpPr/>
                        <wps:spPr>
                          <a:xfrm>
                            <a:off x="0" y="3468960"/>
                            <a:ext cx="2217600" cy="2437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8. Et konkurrencedygtigt og innovativt Europa</w:t>
                              </w:r>
                            </w:p>
                          </w:txbxContent>
                        </wps:txbx>
                        <wps:bodyPr lIns="90000" rIns="90000" tIns="45000" bIns="45000">
                          <a:noAutofit/>
                        </wps:bodyPr>
                      </wps:wsp>
                      <wps:wsp>
                        <wps:cNvSpPr/>
                        <wps:spPr>
                          <a:xfrm>
                            <a:off x="0" y="391356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9. Et Europa, der fremmer bæredygtig udvikling</w:t>
                              </w:r>
                            </w:p>
                          </w:txbxContent>
                        </wps:txbx>
                        <wps:bodyPr lIns="90000" rIns="90000" tIns="45000" bIns="45000">
                          <a:noAutofit/>
                        </wps:bodyPr>
                      </wps:wsp>
                      <wps:wsp>
                        <wps:cNvSpPr/>
                        <wps:spPr>
                          <a:xfrm>
                            <a:off x="0" y="4245480"/>
                            <a:ext cx="2217600" cy="2437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10. Et mere demokratisk Europa</w:t>
                              </w:r>
                            </w:p>
                          </w:txbxContent>
                        </wps:txbx>
                        <wps:bodyPr lIns="90000" rIns="90000" tIns="45000" bIns="45000">
                          <a:noAutofit/>
                        </wps:bodyPr>
                      </wps:wsp>
                      <wps:wsp>
                        <wps:cNvSpPr/>
                        <wps:spPr>
                          <a:xfrm>
                            <a:off x="0" y="4567680"/>
                            <a:ext cx="2217600" cy="353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11. Et Europa med mere effektiv forvaltning</w:t>
                              </w:r>
                            </w:p>
                          </w:txbxContent>
                        </wps:txbx>
                        <wps:bodyPr lIns="90000" rIns="90000" tIns="45000" bIns="45000">
                          <a:noAutofit/>
                        </wps:bodyPr>
                      </wps:wsp>
                      <wps:wsp>
                        <wps:cNvSpPr/>
                        <wps:spPr>
                          <a:xfrm>
                            <a:off x="0" y="5104800"/>
                            <a:ext cx="2217600" cy="2210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12. Et Europa, der forsvarer sine interesser</w:t>
                              </w:r>
                            </w:p>
                          </w:txbxContent>
                        </wps:txbx>
                        <wps:bodyPr lIns="90000" rIns="90000" tIns="45000" bIns="45000">
                          <a:noAutofit/>
                        </wps:bodyPr>
                      </wps:wsp>
                      <wps:wsp>
                        <wps:cNvSpPr/>
                        <wps:spPr>
                          <a:xfrm>
                            <a:off x="0" y="552384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13. Et stærkt Europa i verden</w:t>
                              </w:r>
                            </w:p>
                          </w:txbxContent>
                        </wps:txbx>
                        <wps:bodyPr lIns="90000" rIns="90000" tIns="45000" bIns="45000">
                          <a:noAutofit/>
                        </wps:bodyPr>
                      </wps:wsp>
                      <wps:wsp>
                        <wps:cNvSpPr/>
                        <wps:spPr>
                          <a:xfrm>
                            <a:off x="0" y="5878080"/>
                            <a:ext cx="2217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14. Et Europa, hvor hver enkelt stats interesser har forrang</w:t>
                              </w:r>
                            </w:p>
                          </w:txbxContent>
                        </wps:txbx>
                        <wps:bodyPr lIns="90000" rIns="90000" tIns="45000" bIns="45000">
                          <a:noAutofit/>
                        </wps:bodyPr>
                      </wps:wsp>
                    </wpg:wgp>
                  </a:graphicData>
                </a:graphic>
              </wp:anchor>
            </w:drawing>
          </mc:Choice>
          <mc:Fallback>
            <w:pict>
              <v:group id="shape_0" alt="Formular4" style="position:absolute;margin-left:21.5pt;margin-top:39.85pt;width:354.8pt;height:494.8pt" coordorigin="430,797" coordsize="7096,9896">
                <v:shape id="shape_0" stroked="f" style="position:absolute;left:4006;top:1727;width:3121;height:8965" type="shapetype_75">
                  <v:imagedata r:id="rId101" o:detectmouseclick="t"/>
                  <w10:wrap type="none"/>
                  <v:stroke color="#3465a4" joinstyle="round" endcap="flat"/>
                </v:shape>
                <v:rect id="shape_0" stroked="f" style="position:absolute;left:2244;top:797;width:5281;height:7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Hvilke ændringer ønsker du at gennemføre?</w:t>
                        </w:r>
                      </w:p>
                    </w:txbxContent>
                  </v:textbox>
                  <w10:wrap type="square"/>
                  <v:fill o:detectmouseclick="t" on="false"/>
                  <v:stroke color="#3465a4" joinstyle="round" endcap="flat"/>
                </v:rect>
                <v:rect id="shape_0" stroked="f" style="position:absolute;left:430;top:1960;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 Et Europa, der sætter uddannelse i front</w:t>
                        </w:r>
                      </w:p>
                    </w:txbxContent>
                  </v:textbox>
                  <w10:wrap type="square"/>
                  <v:fill o:detectmouseclick="t" on="false"/>
                  <v:stroke color="#3465a4" joinstyle="round" endcap="flat"/>
                </v:rect>
                <v:rect id="shape_0" stroked="f" style="position:absolute;left:430;top:2497;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2. Et tættere og tilgængeligt Europa</w:t>
                        </w:r>
                      </w:p>
                    </w:txbxContent>
                  </v:textbox>
                  <w10:wrap type="square"/>
                  <v:fill o:detectmouseclick="t" on="false"/>
                  <v:stroke color="#3465a4" joinstyle="round" endcap="flat"/>
                </v:rect>
                <v:rect id="shape_0" stroked="f" style="position:absolute;left:430;top:3235;width:3491;height:55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Et Europa med fælles kulturer og identiteter</w:t>
                        </w:r>
                      </w:p>
                    </w:txbxContent>
                  </v:textbox>
                  <w10:wrap type="square"/>
                  <v:fill o:detectmouseclick="t" on="false"/>
                  <v:stroke color="#3465a4" joinstyle="round" endcap="flat"/>
                </v:rect>
                <v:rect id="shape_0" stroked="f" style="position:absolute;left:430;top:3867;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4. Et Europa, der er engageret i klima- og miljøudfordringen</w:t>
                        </w:r>
                      </w:p>
                    </w:txbxContent>
                  </v:textbox>
                  <w10:wrap type="square"/>
                  <v:fill o:detectmouseclick="t" on="false"/>
                  <v:stroke color="#3465a4" joinstyle="round" endcap="flat"/>
                </v:rect>
                <v:rect id="shape_0" stroked="f" style="position:absolute;left:430;top:4464;width:3491;height:3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5. Et mere forenet Europa</w:t>
                        </w:r>
                      </w:p>
                    </w:txbxContent>
                  </v:textbox>
                  <w10:wrap type="square"/>
                  <v:fill o:detectmouseclick="t" on="false"/>
                  <v:stroke color="#3465a4" joinstyle="round" endcap="flat"/>
                </v:rect>
                <v:rect id="shape_0" stroked="f" style="position:absolute;left:430;top:4941;width:3491;height:3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6. Et solidarisk Europa, der beskytter</w:t>
                        </w:r>
                      </w:p>
                    </w:txbxContent>
                  </v:textbox>
                  <w10:wrap type="square"/>
                  <v:fill o:detectmouseclick="t" on="false"/>
                  <v:stroke color="#3465a4" joinstyle="round" endcap="flat"/>
                </v:rect>
                <v:rect id="shape_0" stroked="f" style="position:absolute;left:430;top:5577;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7. Et Europa, der sikrer respekt for de grundlæggende rettigheder</w:t>
                        </w:r>
                      </w:p>
                    </w:txbxContent>
                  </v:textbox>
                  <w10:wrap type="square"/>
                  <v:fill o:detectmouseclick="t" on="false"/>
                  <v:stroke color="#3465a4" joinstyle="round" endcap="flat"/>
                </v:rect>
                <v:rect id="shape_0" stroked="f" style="position:absolute;left:430;top:6260;width:3491;height:3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8. Et konkurrencedygtigt og innovativt Europa</w:t>
                        </w:r>
                      </w:p>
                    </w:txbxContent>
                  </v:textbox>
                  <w10:wrap type="square"/>
                  <v:fill o:detectmouseclick="t" on="false"/>
                  <v:stroke color="#3465a4" joinstyle="round" endcap="flat"/>
                </v:rect>
                <v:rect id="shape_0" stroked="f" style="position:absolute;left:430;top:6960;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9. Et Europa, der fremmer bæredygtig udvikling</w:t>
                        </w:r>
                      </w:p>
                    </w:txbxContent>
                  </v:textbox>
                  <w10:wrap type="square"/>
                  <v:fill o:detectmouseclick="t" on="false"/>
                  <v:stroke color="#3465a4" joinstyle="round" endcap="flat"/>
                </v:rect>
                <v:rect id="shape_0" stroked="f" style="position:absolute;left:430;top:7483;width:3491;height:3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10. Et mere demokratisk Europa</w:t>
                        </w:r>
                      </w:p>
                    </w:txbxContent>
                  </v:textbox>
                  <w10:wrap type="square"/>
                  <v:fill o:detectmouseclick="t" on="false"/>
                  <v:stroke color="#3465a4" joinstyle="round" endcap="flat"/>
                </v:rect>
                <v:rect id="shape_0" stroked="f" style="position:absolute;left:430;top:7990;width:3491;height:55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11. Et Europa med mere effektiv forvaltning</w:t>
                        </w:r>
                      </w:p>
                    </w:txbxContent>
                  </v:textbox>
                  <w10:wrap type="square"/>
                  <v:fill o:detectmouseclick="t" on="false"/>
                  <v:stroke color="#3465a4" joinstyle="round" endcap="flat"/>
                </v:rect>
                <v:rect id="shape_0" stroked="f" style="position:absolute;left:430;top:8836;width:3491;height:347">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12. Et Europa, der forsvarer sine interesser</w:t>
                        </w:r>
                      </w:p>
                    </w:txbxContent>
                  </v:textbox>
                  <w10:wrap type="square"/>
                  <v:fill o:detectmouseclick="t" on="false"/>
                  <v:stroke color="#3465a4" joinstyle="round" endcap="flat"/>
                </v:rect>
                <v:rect id="shape_0" stroked="f" style="position:absolute;left:430;top:9496;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13. Et stærkt Europa i verden</w:t>
                        </w:r>
                      </w:p>
                    </w:txbxContent>
                  </v:textbox>
                  <w10:wrap type="square"/>
                  <v:fill o:detectmouseclick="t" on="false"/>
                  <v:stroke color="#3465a4" joinstyle="round" endcap="flat"/>
                </v:rect>
                <v:rect id="shape_0" stroked="f" style="position:absolute;left:430;top:10054;width:349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14. Et Europa, hvor hver enkelt stats interesser har forrang</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Præsentation af de 14 prioriterede ændringer som følge af den nationale konference </w:t>
      </w:r>
    </w:p>
    <w:p>
      <w:pPr>
        <w:pStyle w:val="P68B1DB1Normal19"/>
        <w:widowControl w:val="false"/>
        <w:spacing w:lineRule="exact" w:line="388" w:before="322" w:after="0"/>
        <w:ind w:left="0" w:right="0" w:hanging="0"/>
        <w:jc w:val="left"/>
        <w:rPr/>
      </w:pPr>
      <w:r>
        <w:rPr/>
        <w:t xml:space="preserve">På den nationale syntesekonference arbejdede de 100 deltagende borgere på en af de 14 etablerede ønskegrupper. Ved afslutningen af arbejdet blev hver gruppe udvalgt til at repræsentere sit ønske om, at Europa </w:t>
      </w:r>
      <w:r>
        <w:rPr>
          <w:b/>
        </w:rPr>
        <w:t>skulle foretage en prioriteret ændring senest i 2035</w:t>
      </w:r>
      <w:r>
        <w:rPr/>
        <w:t xml:space="preserve">. Disse 14 prioriterede ændringer blev derefter foreslået til afstemning med 100 borgere på den sidste dag af den nationale konference. Resultatet af denne afstemning er angivet nedenfor i faldende rækkefølge efter antallet af stemmer, der er opnået for hver ændring. </w:t>
      </w:r>
    </w:p>
    <w:p>
      <w:pPr>
        <w:pStyle w:val="P68B1DB1Normal19"/>
        <w:widowControl w:val="false"/>
        <w:spacing w:lineRule="exact" w:line="413" w:before="332" w:after="0"/>
        <w:ind w:left="0" w:right="708" w:hanging="0"/>
        <w:jc w:val="left"/>
        <w:rPr/>
      </w:pPr>
      <w:r>
        <w:rPr/>
        <w:t xml:space="preserve">Den ændring, der fik flest stemmer fra de 100 borgere på den nationale konference, er " </w:t>
      </w:r>
      <w:r>
        <w:rPr>
          <w:i/>
        </w:rPr>
        <w:t>Udvikle energiædruelighed til at forbruge mindre ved at stoppe det overflødige"</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vigtige ændringer for Europa i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Udvikle energiædruelighed til at forbruge mindre af det overflødige</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Styrkelse af Den Europæiske Unions fælles forsvar og sikkerhed</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Fremme kollektive økonomiske resultater gennem en selvstændig, konkurrencedygtig og værdsat industri af Den Europæiske Union</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Oprettelse af en borgermagt på flere niveauer: deltagelse, beslutning, kontrol</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Gå til en føderation af europæiske stater med stærke kompetencer på områder af fælles interesse</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Forslag til livslang udvekslingsprogrammer</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Deling af europæiske kulturer gennem samlende arrangementer og arrangementer</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Harmonisering af sundheden og tilgængeliggørelse for alle europæere gennem en fælles sundhedspolitik</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Udvikling og pilotprojekter af strategiske kanaler på europæisk plan for at sikre vores suverænitet</w:t>
      </w:r>
    </w:p>
    <w:p>
      <w:pPr>
        <w:pStyle w:val="P68B1DB1Normal41"/>
        <w:widowControl w:val="false"/>
        <w:spacing w:lineRule="auto" w:line="240" w:before="193" w:after="0"/>
        <w:ind w:left="324" w:right="0" w:hanging="0"/>
        <w:jc w:val="left"/>
        <w:rPr/>
      </w:pPr>
      <w:r>
        <w:rPr>
          <w:color w:val="FFFFFF"/>
        </w:rPr>
        <w:t>10</w:t>
      </w:r>
      <w:r>
        <w:rPr>
          <w:color w:val="000000"/>
        </w:rPr>
        <w:t>(10)Forbedring af beskyttelsen af miljøer og økosystemer og oprettelse af beskyttede områder i centrum af byområder, bynære områder og landdistrikter</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Oprettelse af europæiske relæer i territorierne for at lytte til og rådgive borgerne</w:t>
      </w:r>
    </w:p>
    <w:p>
      <w:pPr>
        <w:pStyle w:val="P68B1DB1Normal41"/>
        <w:widowControl w:val="false"/>
        <w:spacing w:lineRule="auto" w:line="240" w:before="193" w:after="0"/>
        <w:ind w:left="283" w:right="643" w:hanging="0"/>
        <w:jc w:val="left"/>
        <w:rPr/>
      </w:pPr>
      <w:r>
        <w:rPr>
          <w:color w:val="FFFFFF"/>
        </w:rPr>
        <w:t>12</w:t>
      </w:r>
      <w:r>
        <w:rPr>
          <w:color w:val="000000"/>
        </w:rPr>
        <w:t>(12)</w:t>
      </w:r>
      <w:r>
        <w:rPr>
          <w:color w:val="FFFFFF"/>
        </w:rPr>
        <w:t xml:space="preserve"> </w:t>
      </w:r>
      <w:r>
        <w:rPr>
          <w:color w:val="000000"/>
        </w:rPr>
        <w:t>Forene valgmåden til Europa-Parlamentet for de syvogtyve stater og forbedre borgernes nærhed ved at erstatte den nuværende afstemning med en engangsafstemning på regionalt plan</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Fastlæggelse af en fælles politik til forbedring af modtagelse og social og erhvervsmæssig integration af migranter (herunder irregulære migranter)</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At bevare de særlige forhold (fødevaremærkning, håndværksmæssig produktion, traditioner) i de forskellige europæiske regioner for at undgå en ensartet livsstil og sikre produkternes sporbarhed og kvalitet </w:t>
      </w:r>
    </w:p>
    <w:p>
      <w:pPr>
        <w:pStyle w:val="Normal"/>
        <w:spacing w:lineRule="auto" w:line="240"/>
        <w:rPr/>
      </w:pPr>
      <w:r>
        <w:rPr/>
      </w:r>
    </w:p>
    <w:p>
      <w:pPr>
        <w:pStyle w:val="Normal"/>
        <w:rPr/>
      </w:pPr>
      <w:r>
        <w:rPr/>
        <w:t xml:space="preserve">For hver prioriteret ændring gav borgerne i den pågældende gruppe en definition af ændringer, foreslog konkrete foranstaltninger, der skulle gennemføres med henblik på gennemførelsen heraf, og angav kriterierne for succes i 2035. </w:t>
      </w:r>
    </w:p>
    <w:p>
      <w:pPr>
        <w:pStyle w:val="Normal"/>
        <w:rPr/>
      </w:pPr>
      <w:r>
        <w:rPr/>
      </w:r>
      <w:r>
        <w:br w:type="page"/>
      </w:r>
    </w:p>
    <w:p>
      <w:pPr>
        <w:pStyle w:val="P68B1DB1Normal42"/>
        <w:widowControl w:val="false"/>
        <w:spacing w:lineRule="auto" w:line="240" w:before="237" w:after="0"/>
        <w:ind w:left="0" w:right="0" w:hanging="0"/>
        <w:jc w:val="left"/>
        <w:rPr/>
      </w:pPr>
      <w:r>
        <w:rPr/>
        <w:t xml:space="preserve">Ændring 1 — Udvikle energiædruelighed til at forbruge mindre ved at stoppe det overflødige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Europa, der er engageret i klima- og miljøudfordringen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76" w:after="0"/>
        <w:ind w:left="0" w:right="0" w:hanging="0"/>
        <w:jc w:val="left"/>
        <w:rPr/>
      </w:pPr>
      <w:r>
        <w:rPr>
          <w:i/>
          <w:color w:val="000000"/>
        </w:rPr>
        <w:t>Nøgleord: Udvikling af vedvarende energi, fald i energiforbruget</w:t>
      </w:r>
      <w:r>
        <w:rPr>
          <w:b/>
          <w:color w:val="273375"/>
        </w:rPr>
        <w:t xml:space="preserve"> </w:t>
      </w:r>
    </w:p>
    <w:p>
      <w:pPr>
        <w:pStyle w:val="P68B1DB1Normal19"/>
        <w:widowControl w:val="false"/>
        <w:spacing w:lineRule="auto" w:line="240" w:before="248" w:after="0"/>
        <w:ind w:left="0" w:right="9" w:hanging="0"/>
        <w:jc w:val="both"/>
        <w:rPr/>
      </w:pPr>
      <w:r>
        <w:rPr/>
        <w:t xml:space="preserve">Denne ændring har til formål at fremme reduktionen af energiforbruget i Europa og udviklingen af vedvarende energi. Prioriteringen af borgerne udtrykker deres ønske om at inddrage Europa og dets indbyggere i en </w:t>
      </w:r>
      <w:r>
        <w:rPr>
          <w:b/>
        </w:rPr>
        <w:t>beslutsom tilgang</w:t>
      </w:r>
      <w:r>
        <w:rPr/>
        <w:t xml:space="preserve"> til klima- og miljøudfordringen.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237" w:after="0"/>
        <w:ind w:left="0" w:right="9" w:hanging="0"/>
        <w:jc w:val="both"/>
        <w:rPr/>
      </w:pPr>
      <w:r>
        <w:rPr/>
        <w:t xml:space="preserve">Denne ændring afspejles i udviklingen </w:t>
      </w:r>
      <w:r>
        <w:rPr>
          <w:b/>
        </w:rPr>
        <w:t>af ambitiøse forskningsprogrammer</w:t>
      </w:r>
      <w:r>
        <w:rPr/>
        <w:t xml:space="preserve"> om vedvarende energikilder og </w:t>
      </w:r>
      <w:r>
        <w:rPr>
          <w:b/>
        </w:rPr>
        <w:t>anvendelsen af europæiske investeringsfonde</w:t>
      </w:r>
      <w:r>
        <w:rPr/>
        <w:t xml:space="preserve"> med direkte deltagelse i virksomheder i sektoren. </w:t>
      </w:r>
    </w:p>
    <w:p>
      <w:pPr>
        <w:pStyle w:val="P68B1DB1Normal19"/>
        <w:widowControl w:val="false"/>
        <w:spacing w:lineRule="auto" w:line="240" w:before="326" w:after="0"/>
        <w:ind w:left="0" w:right="9" w:hanging="0"/>
        <w:jc w:val="both"/>
        <w:rPr/>
      </w:pPr>
      <w:r>
        <w:rPr/>
        <w:t xml:space="preserve">For borgerne vil denne ændring være vellykket, hvis der indføres </w:t>
      </w:r>
      <w:r>
        <w:rPr>
          <w:b/>
        </w:rPr>
        <w:t>bindende målfor energiforbruget og nøgleindikatorer for ædruelighed</w:t>
      </w:r>
      <w:r>
        <w:rPr/>
        <w:t xml:space="preserve">, f.eks. et fald i den europæiske bilpark eller kødforbruget. Ambitionen er også at få succes med at fastsætte </w:t>
      </w:r>
      <w:r>
        <w:rPr>
          <w:b/>
        </w:rPr>
        <w:t>forbrugskvoter pr. sektor</w:t>
      </w:r>
      <w:r>
        <w:rPr/>
        <w:t xml:space="preserve"> under hensyntagen til udsving i virksomhedernes forbrug og under overholdelse af fortroligheden af deres data. </w:t>
      </w:r>
    </w:p>
    <w:p>
      <w:pPr>
        <w:pStyle w:val="Normal"/>
        <w:spacing w:lineRule="auto" w:line="240"/>
        <w:rPr/>
      </w:pPr>
      <w:r>
        <w:rPr/>
      </w:r>
    </w:p>
    <w:p>
      <w:pPr>
        <w:pStyle w:val="P68B1DB1Normal42"/>
        <w:spacing w:lineRule="auto" w:line="240"/>
        <w:rPr/>
      </w:pPr>
      <w:r>
        <w:rPr/>
        <w:t xml:space="preserve">Ændring 2 — Styrkelse af Den Europæiske Unions fælles forsvar og sikkerhed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stærkt Europa i verden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78" w:after="0"/>
        <w:ind w:left="0" w:right="0" w:hanging="0"/>
        <w:jc w:val="left"/>
        <w:rPr/>
      </w:pPr>
      <w:r>
        <w:rPr>
          <w:i/>
          <w:color w:val="000000"/>
        </w:rPr>
        <w:t>Nøgleord: Europæisk hær, strategisk autonomi</w:t>
      </w:r>
      <w:r>
        <w:rPr>
          <w:b/>
          <w:color w:val="273375"/>
        </w:rPr>
        <w:t xml:space="preserve"> </w:t>
      </w:r>
    </w:p>
    <w:p>
      <w:pPr>
        <w:pStyle w:val="P68B1DB1Normal19"/>
        <w:widowControl w:val="false"/>
        <w:spacing w:lineRule="auto" w:line="240" w:before="201" w:after="0"/>
        <w:ind w:left="0" w:right="10" w:hanging="0"/>
        <w:jc w:val="left"/>
        <w:rPr/>
      </w:pPr>
      <w:r>
        <w:rPr/>
        <w:t>Denne ændring er i overensstemmelse med borgernes enstemmige vilje til at opnå</w:t>
      </w:r>
      <w:r>
        <w:rPr>
          <w:b/>
        </w:rPr>
        <w:t>autonomi</w:t>
      </w:r>
      <w:r>
        <w:rPr/>
        <w:t xml:space="preserve"> inden for forsvar og sikkerhed i Europa for ikke at være afhængig af fremmede magter.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198" w:after="0"/>
        <w:ind w:left="0" w:right="10" w:hanging="0"/>
        <w:jc w:val="left"/>
        <w:rPr/>
      </w:pPr>
      <w:r>
        <w:rPr/>
        <w:t>Denne ændrings succes vil først og fremmest resultere i udnævnelsen af en</w:t>
      </w:r>
      <w:r>
        <w:rPr>
          <w:b/>
        </w:rPr>
        <w:t xml:space="preserve"> EU-kommissær</w:t>
      </w:r>
      <w:r>
        <w:rPr/>
        <w:t xml:space="preserve"> for forsvar og sikkerhed. </w:t>
      </w:r>
    </w:p>
    <w:p>
      <w:pPr>
        <w:pStyle w:val="P68B1DB1Normal19"/>
        <w:widowControl w:val="false"/>
        <w:spacing w:lineRule="auto" w:line="240" w:before="203" w:after="0"/>
        <w:ind w:left="0" w:right="10" w:hanging="0"/>
        <w:jc w:val="both"/>
        <w:rPr/>
      </w:pPr>
      <w:r>
        <w:rPr/>
        <w:t>På forsvarsområdet vil oprettelsen af en</w:t>
      </w:r>
      <w:r>
        <w:rPr>
          <w:b/>
        </w:rPr>
        <w:t xml:space="preserve"> permanent, reaktiv og forudseelig hær</w:t>
      </w:r>
      <w:r>
        <w:rPr/>
        <w:t xml:space="preserve"> i hele verden gøre det muligt for Europa at beskytte sine grænser og om nødvendigt gribe ind efter anmodning fra tredjelande. </w:t>
      </w:r>
    </w:p>
    <w:p>
      <w:pPr>
        <w:pStyle w:val="P68B1DB1Normal19"/>
        <w:widowControl w:val="false"/>
        <w:spacing w:lineRule="auto" w:line="240" w:before="206" w:after="0"/>
        <w:ind w:left="0" w:right="10" w:hanging="0"/>
        <w:jc w:val="both"/>
        <w:rPr/>
      </w:pPr>
      <w:r>
        <w:rPr/>
        <w:t xml:space="preserve">Med hensyn til sikkerhed bør Europa i sine borgeres øjne garantere </w:t>
      </w:r>
      <w:r>
        <w:rPr>
          <w:b/>
        </w:rPr>
        <w:t>forsyningssikkerheden og beskytte sin</w:t>
      </w:r>
      <w:r>
        <w:rPr/>
        <w:t xml:space="preserve"> </w:t>
      </w:r>
      <w:r>
        <w:rPr>
          <w:b/>
        </w:rPr>
        <w:t>strategiske forskning</w:t>
      </w:r>
      <w:r>
        <w:rPr/>
        <w:t xml:space="preserve"> inden for prioriterede sektorer såsom rummet, cybersikkerhed, sundhedssektoren og miljøet. Bedre </w:t>
      </w:r>
      <w:r>
        <w:rPr>
          <w:b/>
        </w:rPr>
        <w:t>beskyttelse af de ydre grænser</w:t>
      </w:r>
      <w:r>
        <w:rPr/>
        <w:t xml:space="preserve"> bør også bidrage til at standse ulovlig indvandring og ulovlig handel. </w:t>
      </w:r>
    </w:p>
    <w:p>
      <w:pPr>
        <w:pStyle w:val="Normal"/>
        <w:spacing w:lineRule="auto" w:line="240"/>
        <w:rPr/>
      </w:pPr>
      <w:r>
        <w:rPr/>
      </w:r>
    </w:p>
    <w:p>
      <w:pPr>
        <w:pStyle w:val="P68B1DB1Normal42"/>
        <w:spacing w:lineRule="auto" w:line="240"/>
        <w:rPr/>
      </w:pPr>
      <w:r>
        <w:rPr/>
        <w:t xml:space="preserve">Ændring 3 — Fremme af kollektive økonomiske resultater gennem en selvstændig, konkurrencedygtig og værdsat industri af Den Europæiske Union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Europa, der forsvarer sine interesser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Hvad betyder denne ændring?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Nøgleord: </w:t>
      </w:r>
    </w:p>
    <w:p>
      <w:pPr>
        <w:pStyle w:val="P68B1DB1Normal7"/>
        <w:widowControl w:val="false"/>
        <w:spacing w:lineRule="auto" w:line="240"/>
        <w:ind w:left="0" w:right="10" w:hanging="0"/>
        <w:jc w:val="left"/>
        <w:rPr/>
      </w:pPr>
      <w:r>
        <w:rPr>
          <w:i/>
          <w:color w:val="000000"/>
        </w:rPr>
        <w:t>Europæisk præference, beskyttelse af knowhow, udvikling af europæiske forkæmpere</w:t>
      </w:r>
      <w:r>
        <w:rPr>
          <w:b/>
          <w:color w:val="273375"/>
        </w:rPr>
        <w:t xml:space="preserve"> </w:t>
      </w:r>
    </w:p>
    <w:p>
      <w:pPr>
        <w:pStyle w:val="P68B1DB1Normal19"/>
        <w:widowControl w:val="false"/>
        <w:spacing w:lineRule="auto" w:line="240" w:before="321" w:after="0"/>
        <w:ind w:left="0" w:right="10" w:hanging="0"/>
        <w:jc w:val="both"/>
        <w:rPr/>
      </w:pPr>
      <w:r>
        <w:rPr/>
        <w:t xml:space="preserve">Formålet med denne ændring er at nå tre mål: styrke en politik </w:t>
      </w:r>
      <w:r>
        <w:rPr>
          <w:b/>
        </w:rPr>
        <w:t>med "</w:t>
      </w:r>
      <w:r>
        <w:rPr/>
        <w:t xml:space="preserve"> </w:t>
      </w:r>
      <w:r>
        <w:rPr>
          <w:b/>
        </w:rPr>
        <w:t>europæisk præference"</w:t>
      </w:r>
      <w:r>
        <w:rPr/>
        <w:t xml:space="preserve"> i Unionen, sikre </w:t>
      </w:r>
      <w:r>
        <w:rPr>
          <w:b/>
        </w:rPr>
        <w:t>beskyttelsen af væsentlige varer og knowhow</w:t>
      </w:r>
      <w:r>
        <w:rPr/>
        <w:t xml:space="preserve"> og skabe </w:t>
      </w:r>
      <w:r>
        <w:rPr>
          <w:b/>
        </w:rPr>
        <w:t>"europæiske mestre".</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316" w:after="0"/>
        <w:ind w:left="0" w:right="10" w:hanging="0"/>
        <w:jc w:val="both"/>
        <w:rPr/>
      </w:pPr>
      <w:r>
        <w:rPr/>
        <w:t xml:space="preserve">For at nå disse mål er det først og fremmest nødvendigt at gennemføre en </w:t>
      </w:r>
      <w:r>
        <w:rPr>
          <w:b/>
        </w:rPr>
        <w:t>"europæisk præferencepolitik"</w:t>
      </w:r>
      <w:r>
        <w:rPr/>
        <w:t xml:space="preserve"> i forbindelse med udbud og indførelse af en CO2 </w:t>
      </w:r>
      <w:r>
        <w:rPr>
          <w:b/>
        </w:rPr>
        <w:t>-afgift</w:t>
      </w:r>
      <w:r>
        <w:rPr/>
        <w:t xml:space="preserve"> på import. </w:t>
      </w:r>
    </w:p>
    <w:p>
      <w:pPr>
        <w:pStyle w:val="P68B1DB1Normal19"/>
        <w:widowControl w:val="false"/>
        <w:spacing w:lineRule="auto" w:line="240" w:before="332" w:after="0"/>
        <w:ind w:left="0" w:right="10" w:hanging="0"/>
        <w:jc w:val="left"/>
        <w:rPr/>
      </w:pPr>
      <w:r>
        <w:rPr/>
        <w:t xml:space="preserve">Beskyttelsen af knowhow ville føre til øget kontrol med udenlandske tilbagekøb og investeringer og udvikling </w:t>
      </w:r>
      <w:r>
        <w:rPr>
          <w:b/>
        </w:rPr>
        <w:t>af</w:t>
      </w:r>
      <w:r>
        <w:rPr/>
        <w:t xml:space="preserve"> flytningsstøtte. </w:t>
      </w:r>
    </w:p>
    <w:p>
      <w:pPr>
        <w:pStyle w:val="P68B1DB1Normal19"/>
        <w:widowControl w:val="false"/>
        <w:spacing w:lineRule="auto" w:line="240" w:before="323" w:after="0"/>
        <w:ind w:left="0" w:right="10" w:hanging="0"/>
        <w:jc w:val="both"/>
        <w:rPr/>
      </w:pPr>
      <w:r>
        <w:rPr/>
        <w:t xml:space="preserve">Endelig indebærer oprettelsen af "europæiske forkæmpere" at fremme europæiske </w:t>
      </w:r>
      <w:r>
        <w:rPr>
          <w:b/>
        </w:rPr>
        <w:t>industrielle alliancer inden</w:t>
      </w:r>
      <w:r>
        <w:rPr/>
        <w:t xml:space="preserve"> for strategiske sektorer og fremme offentlige venturekapitalinvesteringer. </w:t>
      </w:r>
    </w:p>
    <w:p>
      <w:pPr>
        <w:pStyle w:val="P68B1DB1Normal45"/>
        <w:widowControl w:val="false"/>
        <w:spacing w:lineRule="auto" w:line="240" w:before="333" w:after="0"/>
        <w:ind w:left="0" w:right="13" w:hanging="0"/>
        <w:jc w:val="both"/>
        <w:rPr>
          <w:sz w:val="20"/>
        </w:rPr>
      </w:pPr>
      <w:r>
        <w:rPr/>
        <w:t xml:space="preserve">Denne ændrings succes viser sig for borgerne ved at udvikle europæiske industrielle alliancer inden for nøglesektorer, øge antallet af virksomhedsudflytninger og forbedre handelsbalancen.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Ændring 4 — Styrkelse af borgernes magt på flere niveauer: deltagelse, beslutning, kontrol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mere demokratisk Europa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84" w:after="0"/>
        <w:ind w:left="0" w:right="10" w:hanging="0"/>
        <w:jc w:val="left"/>
        <w:rPr/>
      </w:pPr>
      <w:r>
        <w:rPr>
          <w:i/>
          <w:color w:val="000000"/>
        </w:rPr>
        <w:t>Nøgleord: forøgelse af valgdeltagelsen, europæisk tilfredshedsbarometer, generalisering af borgerhøringer</w:t>
      </w:r>
      <w:r>
        <w:rPr>
          <w:b/>
          <w:color w:val="273375"/>
        </w:rPr>
        <w:t xml:space="preserve"> </w:t>
      </w:r>
    </w:p>
    <w:p>
      <w:pPr>
        <w:pStyle w:val="P68B1DB1Normal19"/>
        <w:widowControl w:val="false"/>
        <w:spacing w:lineRule="auto" w:line="240" w:before="324" w:after="0"/>
        <w:ind w:left="0" w:right="10" w:hanging="0"/>
        <w:jc w:val="both"/>
        <w:rPr/>
      </w:pPr>
      <w:r>
        <w:rPr/>
        <w:t xml:space="preserve">Med denne ændring foreslår borgerne at udvikle en " </w:t>
      </w:r>
      <w:r>
        <w:rPr>
          <w:i/>
        </w:rPr>
        <w:t xml:space="preserve">fuldstændig borgeroplevelse" </w:t>
      </w:r>
      <w:r>
        <w:rPr/>
        <w:t>for</w:t>
      </w:r>
      <w:r>
        <w:rPr>
          <w:i/>
        </w:rPr>
        <w:t xml:space="preserve"> </w:t>
      </w:r>
      <w:r>
        <w:rPr/>
        <w:t xml:space="preserve">europæerne, hvilket øger deres </w:t>
      </w:r>
      <w:r>
        <w:rPr>
          <w:b/>
        </w:rPr>
        <w:t>inddragelse</w:t>
      </w:r>
      <w:r>
        <w:rPr/>
        <w:t xml:space="preserve"> i alle faser af beslutningsprocesserne. Det afspejler borgernes vilje til </w:t>
      </w:r>
      <w:r>
        <w:rPr>
          <w:b/>
        </w:rPr>
        <w:t>at få deres stemmer hørt</w:t>
      </w:r>
      <w:r>
        <w:rPr/>
        <w:t xml:space="preserve"> og til at påvirke offentlige politikker, der påvirker deres dagligdag.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Hvad er de vigtigste trin og succeskriterier? </w:t>
      </w:r>
    </w:p>
    <w:p>
      <w:pPr>
        <w:pStyle w:val="P68B1DB1Normal24"/>
        <w:widowControl w:val="false"/>
        <w:spacing w:lineRule="auto" w:line="240" w:before="323" w:after="0"/>
        <w:ind w:left="0" w:right="13" w:hanging="0"/>
        <w:jc w:val="both"/>
        <w:rPr/>
      </w:pPr>
      <w:r>
        <w:rPr/>
        <w:t>Det er først og fremmest borgernes opgave at udvikle og støtte initiativer med hensyn til borgernes deltagelse</w:t>
      </w:r>
      <w:r>
        <w:rPr>
          <w:b/>
        </w:rPr>
        <w:t xml:space="preserve">. </w:t>
      </w:r>
      <w:r>
        <w:rPr/>
        <w:t xml:space="preserve">Med henblik herpå kan der implementeres flere løftestænger: oprettelse af et </w:t>
      </w:r>
      <w:r>
        <w:rPr>
          <w:b/>
        </w:rPr>
        <w:t>permanent rådgivende kammer</w:t>
      </w:r>
      <w:r>
        <w:rPr/>
        <w:t xml:space="preserve">, registrering af </w:t>
      </w:r>
      <w:r>
        <w:rPr>
          <w:b/>
        </w:rPr>
        <w:t>borgernes beføjelser</w:t>
      </w:r>
      <w:r>
        <w:rPr/>
        <w:t xml:space="preserve"> i de europæiske traktater eller indførelse af et </w:t>
      </w:r>
      <w:r>
        <w:rPr>
          <w:b/>
        </w:rPr>
        <w:t>mærke</w:t>
      </w:r>
      <w:r>
        <w:rPr/>
        <w:t xml:space="preserve">, der attesterer de love, der har været genstand for en høring af borgerne. </w:t>
      </w:r>
    </w:p>
    <w:p>
      <w:pPr>
        <w:pStyle w:val="P68B1DB1Normal19"/>
        <w:widowControl w:val="false"/>
        <w:spacing w:lineRule="auto" w:line="240" w:before="230" w:after="0"/>
        <w:ind w:left="0" w:right="10" w:hanging="0"/>
        <w:jc w:val="both"/>
        <w:rPr/>
      </w:pPr>
      <w:r>
        <w:rPr/>
        <w:t xml:space="preserve">Denne ændrings succes vil fremgå af de stigende indikatorer som f.eks. </w:t>
      </w:r>
      <w:r>
        <w:rPr>
          <w:b/>
        </w:rPr>
        <w:t>valgdeltagelse, deninteresse og tillid, der er kommet til</w:t>
      </w:r>
      <w:r>
        <w:rPr/>
        <w:t xml:space="preserve">udtryk i Den Europæiske Union, og </w:t>
      </w:r>
      <w:r>
        <w:rPr>
          <w:b/>
        </w:rPr>
        <w:t>tilstedeværelsen af europæiske websteder</w:t>
      </w:r>
      <w:r>
        <w:rPr/>
        <w:t xml:space="preserve">. Stigningen i antallet af beslutninger, der træffes efter en høring af borgerne, og den øgede brug af </w:t>
      </w:r>
      <w:r>
        <w:rPr>
          <w:b/>
        </w:rPr>
        <w:t>europæiske borgerinitiativer</w:t>
      </w:r>
      <w:r>
        <w:rPr/>
        <w:t xml:space="preserve">ses også som succesmarkører.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Ændring 5 — Mod en føderation af europæiske stater med stærke kompetencer på områder af fælles interesse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mere forenet Europa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76" w:after="0"/>
        <w:ind w:left="0" w:right="0" w:hanging="0"/>
        <w:jc w:val="left"/>
        <w:rPr/>
      </w:pPr>
      <w:r>
        <w:rPr>
          <w:i/>
          <w:color w:val="000000"/>
        </w:rPr>
        <w:t>Nøgleord: institutionel forening, valgt formand, styrkelse af EU's kompetencer</w:t>
      </w:r>
      <w:r>
        <w:rPr>
          <w:b/>
          <w:color w:val="273375"/>
        </w:rPr>
        <w:t xml:space="preserve"> </w:t>
      </w:r>
    </w:p>
    <w:p>
      <w:pPr>
        <w:pStyle w:val="P68B1DB1Normal19"/>
        <w:widowControl w:val="false"/>
        <w:spacing w:lineRule="auto" w:line="240" w:before="244" w:after="0"/>
        <w:ind w:left="0" w:right="10" w:hanging="0"/>
        <w:jc w:val="both"/>
        <w:rPr/>
      </w:pPr>
      <w:r>
        <w:rPr/>
        <w:t>Denne ændring afspejler borgernes ambition om at</w:t>
      </w:r>
      <w:r>
        <w:rPr>
          <w:b/>
        </w:rPr>
        <w:t>forene</w:t>
      </w:r>
      <w:r>
        <w:rPr/>
        <w:t xml:space="preserve"> de europæiske politiske institutioner. Den model, der vises, er en føderation af stater med det formål </w:t>
      </w:r>
      <w:r>
        <w:rPr>
          <w:b/>
        </w:rPr>
        <w:t>at styrke Den Europæiske Unions delte eller eksklusive kompetencer</w:t>
      </w:r>
      <w:r>
        <w:rPr/>
        <w:t xml:space="preserve"> uden dog at bevæge sig i retning af en føderal stat.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Hvad er de vigtigste milepæle og succeskriterier? </w:t>
      </w:r>
    </w:p>
    <w:p>
      <w:pPr>
        <w:pStyle w:val="P68B1DB1Normal19"/>
        <w:widowControl w:val="false"/>
        <w:spacing w:lineRule="auto" w:line="240" w:before="239" w:after="0"/>
        <w:ind w:left="0" w:right="10" w:hanging="0"/>
        <w:jc w:val="both"/>
        <w:rPr/>
      </w:pPr>
      <w:r>
        <w:rPr/>
        <w:t xml:space="preserve">Internt kan denne ændring indebære udvikling af </w:t>
      </w:r>
      <w:r>
        <w:rPr>
          <w:b/>
        </w:rPr>
        <w:t>borgernes deltagelse</w:t>
      </w:r>
      <w:r>
        <w:rPr/>
        <w:t xml:space="preserve">, oprettelse af europæiske </w:t>
      </w:r>
      <w:r>
        <w:rPr>
          <w:b/>
        </w:rPr>
        <w:t>ministerier i</w:t>
      </w:r>
      <w:r>
        <w:rPr/>
        <w:t xml:space="preserve"> medlemsstaterne og på længere sigt</w:t>
      </w:r>
      <w:r>
        <w:rPr>
          <w:b/>
        </w:rPr>
        <w:t xml:space="preserve">valg </w:t>
      </w:r>
      <w:r>
        <w:rPr/>
        <w:t xml:space="preserve">af formanden for Europa-Kommissionen </w:t>
      </w:r>
      <w:r>
        <w:rPr>
          <w:b/>
        </w:rPr>
        <w:t>ved almindelige valg</w:t>
      </w:r>
      <w:r>
        <w:rPr/>
        <w:t xml:space="preserve">. </w:t>
      </w:r>
    </w:p>
    <w:p>
      <w:pPr>
        <w:pStyle w:val="P68B1DB1Normal19"/>
        <w:widowControl w:val="false"/>
        <w:spacing w:lineRule="auto" w:line="240" w:before="327" w:after="0"/>
        <w:ind w:left="0" w:right="10" w:hanging="0"/>
        <w:jc w:val="left"/>
        <w:rPr/>
      </w:pPr>
      <w:r>
        <w:rPr/>
        <w:t xml:space="preserve">Udadtil vil styrkelsen af den europæiske stemme i udlandet blive omsat til en </w:t>
      </w:r>
      <w:r>
        <w:rPr>
          <w:b/>
        </w:rPr>
        <w:t xml:space="preserve">inkarnation </w:t>
      </w:r>
      <w:r>
        <w:rPr/>
        <w:t>gennem en</w:t>
      </w:r>
      <w:r>
        <w:rPr>
          <w:b/>
        </w:rPr>
        <w:t xml:space="preserve"> enestående repræsentant</w:t>
      </w:r>
      <w:r>
        <w:rPr/>
        <w:t xml:space="preserve"> </w:t>
      </w:r>
      <w:r>
        <w:rPr>
          <w:b/>
        </w:rPr>
        <w:t>for Europa</w:t>
      </w:r>
      <w:r>
        <w:rPr/>
        <w:t xml:space="preserve"> på den internationale scene. </w:t>
      </w:r>
    </w:p>
    <w:p>
      <w:pPr>
        <w:pStyle w:val="P68B1DB1Normal24"/>
        <w:widowControl w:val="false"/>
        <w:spacing w:lineRule="auto" w:line="240" w:before="324" w:after="0"/>
        <w:ind w:left="0" w:right="15" w:hanging="0"/>
        <w:jc w:val="left"/>
        <w:rPr/>
      </w:pPr>
      <w:r>
        <w:rPr/>
        <w:t xml:space="preserve">Denne føderation af stater vil også drage fordel af et øget </w:t>
      </w:r>
      <w:r>
        <w:rPr>
          <w:b/>
        </w:rPr>
        <w:t>EU-budget</w:t>
      </w:r>
      <w:r>
        <w:rPr/>
        <w:t xml:space="preserve"> med ambitionen om at nå op på 10 % af BNP (sammenlignet med 2 % på nuværende tidspunkt).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Ændring 6 — Forslag til livslang udvekslingsprogrammer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Ønske om et associeret Europa: Et Europa, der sætter uddannelse i front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Hvad betyder denne ændring?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Nøgleord: udveksling af skoler, Erasmus </w:t>
      </w:r>
    </w:p>
    <w:p>
      <w:pPr>
        <w:pStyle w:val="P68B1DB1Normal19"/>
        <w:widowControl w:val="false"/>
        <w:spacing w:lineRule="auto" w:line="240" w:before="330" w:after="0"/>
        <w:ind w:left="0" w:right="0" w:hanging="0"/>
        <w:jc w:val="both"/>
        <w:rPr/>
      </w:pPr>
      <w:r>
        <w:rPr/>
        <w:t xml:space="preserve">Denne ændring afspejler betydningen for borgerne af møder og oplevelser i udlandet som en stærk gæring af europæiske følelser. Ambitionen er at flytte </w:t>
      </w:r>
      <w:r>
        <w:rPr>
          <w:i/>
        </w:rPr>
        <w:t xml:space="preserve">"fra akademisk viden til en </w:t>
      </w:r>
      <w:r>
        <w:rPr>
          <w:b/>
          <w:i/>
        </w:rPr>
        <w:t>levende, erfaren og følsom tilgang</w:t>
      </w:r>
      <w:r>
        <w:rPr>
          <w:i/>
        </w:rPr>
        <w:t>til Europa</w:t>
      </w:r>
      <w:r>
        <w:rPr/>
        <w:t xml:space="preserve">" og at forstå uddannelse i bred forstand som </w:t>
      </w:r>
      <w:r>
        <w:rPr>
          <w:b/>
        </w:rPr>
        <w:t xml:space="preserve">livslang læring.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Hvad er de vigtigste trin og succeskriterier? </w:t>
      </w:r>
    </w:p>
    <w:p>
      <w:pPr>
        <w:pStyle w:val="P68B1DB1Normal24"/>
        <w:widowControl w:val="false"/>
        <w:spacing w:lineRule="auto" w:line="240" w:before="317" w:after="0"/>
        <w:ind w:left="0" w:right="4" w:hanging="0"/>
        <w:jc w:val="both"/>
        <w:rPr/>
      </w:pPr>
      <w:r>
        <w:rPr/>
        <w:t xml:space="preserve">En sådan ændrings succes skyldes hovedsagelig indførelsen </w:t>
      </w:r>
      <w:r>
        <w:rPr>
          <w:b/>
        </w:rPr>
        <w:t>af et udvidet mobilitetstilbud</w:t>
      </w:r>
      <w:r>
        <w:rPr/>
        <w:t xml:space="preserve">, herunder bl.a. skoleudvekslinger, venskabsbyer, rejser og erhvervsmæssig mobilitet. For borgerne skal dette tilbud være tilgængeligt for alle, især dem med lave ressourcer eller handicap. Erasmus-programmet kan f.eks. dække alle europæere uden alders- eller ressourcebegrænsninger. Disse programmer skal opfattes som </w:t>
      </w:r>
      <w:r>
        <w:rPr>
          <w:b/>
        </w:rPr>
        <w:t>forskellige, inklusive</w:t>
      </w:r>
      <w:r>
        <w:rPr>
          <w:b/>
          <w:sz w:val="20"/>
        </w:rPr>
        <w:t xml:space="preserve"> </w:t>
      </w:r>
      <w:r>
        <w:rPr>
          <w:b/>
        </w:rPr>
        <w:t>og tilgængelige</w:t>
      </w:r>
      <w:r>
        <w:rPr/>
        <w:t xml:space="preserve"> med forenklede administrative procedurer. </w:t>
      </w:r>
    </w:p>
    <w:p>
      <w:pPr>
        <w:pStyle w:val="P68B1DB1Normal24"/>
        <w:widowControl w:val="false"/>
        <w:spacing w:lineRule="auto" w:line="240" w:before="232" w:after="0"/>
        <w:ind w:left="0" w:right="3" w:hanging="0"/>
        <w:jc w:val="both"/>
        <w:rPr/>
      </w:pPr>
      <w:r>
        <w:rPr/>
        <w:t xml:space="preserve">Ud over mobilitet blev betydningen </w:t>
      </w:r>
      <w:r>
        <w:rPr>
          <w:b/>
        </w:rPr>
        <w:t>af at udvikle broer mellem uddannelsessystemerne</w:t>
      </w:r>
      <w:r>
        <w:rPr/>
        <w:t xml:space="preserve"> (kvalifikationer af eksamensbeviser osv.) og øge Europas tiltrækningskraft for at undgå talentlækage i udlandet også nævnt.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Ændring 7 — Deling af europæiske kulturer gennem samlende arrangementer og arrangementer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Europa med fælles kulturer og identiteter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Hvad betyder denne ændring?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Nøgleord: Europæisk festival, Europæisk Folkeferie, Verdensudstilling i Europa </w:t>
      </w:r>
    </w:p>
    <w:p>
      <w:pPr>
        <w:pStyle w:val="P68B1DB1Normal19"/>
        <w:widowControl w:val="false"/>
        <w:spacing w:lineRule="auto" w:line="240" w:before="246" w:after="0"/>
        <w:ind w:left="0" w:right="10" w:hanging="0"/>
        <w:jc w:val="left"/>
        <w:rPr/>
      </w:pPr>
      <w:r>
        <w:rPr/>
        <w:t xml:space="preserve">Denne ændring har </w:t>
      </w:r>
      <w:r>
        <w:rPr>
          <w:b/>
        </w:rPr>
        <w:t>til formål at skabe og leve en europæisk ånd</w:t>
      </w:r>
      <w:r>
        <w:rPr/>
        <w:t xml:space="preserve"> gennem fælles oplevelser, arrangementer og festlige arrangementer.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239" w:after="0"/>
        <w:ind w:left="0" w:right="10" w:hanging="0"/>
        <w:jc w:val="both"/>
        <w:rPr/>
      </w:pPr>
      <w:r>
        <w:rPr/>
        <w:t xml:space="preserve">De begivenheder, som borgerne forestiller sig, er beregnet til at være </w:t>
      </w:r>
      <w:r>
        <w:rPr>
          <w:b/>
        </w:rPr>
        <w:t>sjove, samlende og populære</w:t>
      </w:r>
      <w:r>
        <w:rPr/>
        <w:t xml:space="preserve"> til at blive delt af det største antal. For at gøre dette bør de inddrage </w:t>
      </w:r>
      <w:r>
        <w:rPr>
          <w:b/>
        </w:rPr>
        <w:t>alle målgrupper</w:t>
      </w:r>
      <w:r>
        <w:rPr/>
        <w:t xml:space="preserve"> (herunder børn, skolepublikationer, unge og Erasmus-studerende) og finde sted </w:t>
      </w:r>
      <w:r>
        <w:rPr>
          <w:b/>
        </w:rPr>
        <w:t>forskellige steder</w:t>
      </w:r>
      <w:r>
        <w:rPr/>
        <w:t xml:space="preserve"> (pensionshuse, skoler, offentlige forvaltninger, fængsler osv.). </w:t>
      </w:r>
    </w:p>
    <w:p>
      <w:pPr>
        <w:pStyle w:val="P68B1DB1Normal24"/>
        <w:widowControl w:val="false"/>
        <w:spacing w:lineRule="auto" w:line="240" w:before="327" w:after="0"/>
        <w:ind w:left="0" w:right="13" w:hanging="0"/>
        <w:jc w:val="both"/>
        <w:rPr/>
      </w:pPr>
      <w:r>
        <w:rPr/>
        <w:t xml:space="preserve">Der blev navnlig planlagt to arrangementer for at bringe europæerne sammen: en </w:t>
      </w:r>
      <w:r>
        <w:rPr>
          <w:b/>
        </w:rPr>
        <w:t>universel udstilling om Europa</w:t>
      </w:r>
      <w:r>
        <w:rPr/>
        <w:t xml:space="preserve">, som vil gøre det muligt at repræsentere alle medlemsstaterne og en </w:t>
      </w:r>
      <w:r>
        <w:rPr>
          <w:b/>
        </w:rPr>
        <w:t>omarbejdning af Europadagen den 9.</w:t>
      </w:r>
      <w:r>
        <w:rPr/>
        <w:t xml:space="preserve">maj, som navnlig omfatter en uddannelsesmæssig begivenhed, således </w:t>
      </w:r>
      <w:r>
        <w:rPr>
          <w:i/>
        </w:rPr>
        <w:t>at "vi ikke glemmer den fred, der er knyttet til Europa og dets værdier</w:t>
      </w:r>
      <w:r>
        <w:rPr/>
        <w:t xml:space="preserve">". Samtidig kunne europæiske repræsentanter mødes med kontinentets skolebørn i deres skoler for at styrke borgernes nærhed og forståelse fra en tidlig alder.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Ændring 8 — Harmonisering af sundheden og tilgængeliggørelse for alle europæere gennem en fælles sundhedspolitik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solidarisk Europa, der beskytter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86" w:after="0"/>
        <w:ind w:left="0" w:right="10" w:hanging="0"/>
        <w:jc w:val="left"/>
        <w:rPr/>
      </w:pPr>
      <w:r>
        <w:rPr>
          <w:i/>
          <w:color w:val="000000"/>
        </w:rPr>
        <w:t>Nøgleord: universel sundhedsdækning, harmonisering af pleje, sundhed som en grundlæggende rettighed</w:t>
      </w:r>
      <w:r>
        <w:rPr>
          <w:b/>
          <w:color w:val="273375"/>
        </w:rPr>
        <w:t xml:space="preserve"> </w:t>
      </w:r>
    </w:p>
    <w:p>
      <w:pPr>
        <w:pStyle w:val="P68B1DB1Normal19"/>
        <w:widowControl w:val="false"/>
        <w:spacing w:lineRule="auto" w:line="240" w:before="248" w:after="0"/>
        <w:ind w:left="0" w:right="10" w:hanging="0"/>
        <w:jc w:val="both"/>
        <w:rPr/>
      </w:pPr>
      <w:r>
        <w:rPr/>
        <w:t xml:space="preserve">For at sikre adgang til sundhed for alle europæere og for at imødekomme </w:t>
      </w:r>
      <w:r>
        <w:rPr>
          <w:i/>
        </w:rPr>
        <w:t>"behovet for beskyttelse og solidaritet</w:t>
      </w:r>
      <w:r>
        <w:rPr/>
        <w:t xml:space="preserve">" blev der enstemmigt foreslået et </w:t>
      </w:r>
      <w:r>
        <w:rPr>
          <w:b/>
        </w:rPr>
        <w:t>overnationalt sundhedssystem</w:t>
      </w:r>
      <w:r>
        <w:rPr/>
        <w:t xml:space="preserve">. Den vil være baseret på rimelig finansiering mellem medlemsstaterne og bygge på de bedste EU-systemer. En sådan ændring afspejler borgernes vilje til at se Europa spille en mere aktiv rolle med hensyn til at beskytte sine indbyggere, navnlig på sundhedsområdet, hvor tiltag hidtil betragtes som for frygtsomme.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239" w:after="0"/>
        <w:ind w:left="0" w:right="10" w:hanging="0"/>
        <w:jc w:val="both"/>
        <w:rPr/>
      </w:pPr>
      <w:r>
        <w:rPr/>
        <w:t xml:space="preserve">For at gennemføre denne ændring blev princippet om </w:t>
      </w:r>
      <w:r>
        <w:rPr>
          <w:b/>
        </w:rPr>
        <w:t>universel social sikring i Europa</w:t>
      </w:r>
      <w:r>
        <w:rPr/>
        <w:t xml:space="preserve"> godkendt af flertallet. Det var imidlertid ikke muligt at fastlægge de nærmere bestemmelser for gennemførelsen af dette system. Mens nogle argumenterer for </w:t>
      </w:r>
      <w:r>
        <w:rPr>
          <w:i/>
        </w:rPr>
        <w:t xml:space="preserve">"en centralisering af data, der gør det muligt for sundhedsarbejdere at få adgang til hele patientens sygehistorie", </w:t>
      </w:r>
      <w:r>
        <w:rPr/>
        <w:t xml:space="preserve">opfatter andre denne foranstaltning som </w:t>
      </w:r>
      <w:r>
        <w:rPr>
          <w:i/>
        </w:rPr>
        <w:t>"en yderligere frihedsberøvelse og et kontrolsystem".</w:t>
      </w:r>
      <w:r>
        <w:rPr/>
        <w:t xml:space="preserve"> </w:t>
      </w:r>
    </w:p>
    <w:p>
      <w:pPr>
        <w:pStyle w:val="P68B1DB1Normal24"/>
        <w:widowControl w:val="false"/>
        <w:spacing w:lineRule="auto" w:line="240" w:before="329" w:after="0"/>
        <w:ind w:left="0" w:right="14" w:hanging="0"/>
        <w:jc w:val="both"/>
        <w:rPr/>
      </w:pPr>
      <w:r>
        <w:rPr>
          <w:b/>
        </w:rPr>
        <w:t xml:space="preserve">Gennemsigtighed </w:t>
      </w:r>
      <w:r>
        <w:rPr/>
        <w:t>og</w:t>
      </w:r>
      <w:r>
        <w:rPr>
          <w:b/>
        </w:rPr>
        <w:t>harmonisering af lovgivningsmæssige krav på tværs</w:t>
      </w:r>
      <w:r>
        <w:rPr/>
        <w:t xml:space="preserve"> af kontinentet samt en </w:t>
      </w:r>
      <w:r>
        <w:rPr>
          <w:b/>
        </w:rPr>
        <w:t>europæisk sundhedsplan er ikke desto mindre blevet</w:t>
      </w:r>
      <w:r>
        <w:rPr/>
        <w:t xml:space="preserve"> identificeret som en forudsætning for enhver væsentlig omstilling.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Ændring 9 — Udvikle og lede strategiske kanaler på europæisk plan for at sikre vores suverænitet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konkurrencedygtigt og innovativt Europa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86" w:after="0"/>
        <w:ind w:left="0" w:right="9" w:hanging="0"/>
        <w:jc w:val="left"/>
        <w:rPr/>
      </w:pPr>
      <w:r>
        <w:rPr>
          <w:i/>
          <w:color w:val="000000"/>
        </w:rPr>
        <w:t>Nøgleord: udvikling af europæiske forkæmpere, kontrol med udenlandske investeringer, digital autonomi og energi</w:t>
      </w:r>
      <w:r>
        <w:rPr>
          <w:b/>
          <w:color w:val="273375"/>
        </w:rPr>
        <w:t xml:space="preserve"> </w:t>
      </w:r>
    </w:p>
    <w:p>
      <w:pPr>
        <w:pStyle w:val="P68B1DB1Normal19"/>
        <w:widowControl w:val="false"/>
        <w:spacing w:lineRule="auto" w:line="240" w:before="248" w:after="0"/>
        <w:ind w:left="0" w:right="9" w:hanging="0"/>
        <w:jc w:val="both"/>
        <w:rPr/>
      </w:pPr>
      <w:r>
        <w:rPr/>
        <w:t xml:space="preserve">Pilotforsøg med strategiske sektorer såsom sundhed, fødevarer, energi, digital teknologi, forsvar, transport og nye materialer på europæisk plan imødekommer det </w:t>
      </w:r>
      <w:r>
        <w:rPr>
          <w:b/>
        </w:rPr>
        <w:t>behov for suverænitet</w:t>
      </w:r>
      <w:r>
        <w:rPr/>
        <w:t>, som borgerne har identificeret. Dette ville begrænse konkurrencen mellem europæiske virksomheder, fremme</w:t>
      </w:r>
      <w:r>
        <w:rPr>
          <w:b/>
        </w:rPr>
        <w:t>fremkomsten af kontinentale mestre</w:t>
      </w:r>
      <w:r>
        <w:rPr/>
        <w:t xml:space="preserve"> og </w:t>
      </w:r>
      <w:r>
        <w:rPr>
          <w:b/>
        </w:rPr>
        <w:t>genindustrialisere Europa</w:t>
      </w:r>
      <w:r>
        <w:rPr/>
        <w:t xml:space="preserve"> gennem en europæisk præference.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237" w:after="0"/>
        <w:ind w:left="0" w:right="9" w:hanging="0"/>
        <w:jc w:val="both"/>
        <w:rPr/>
      </w:pPr>
      <w:r>
        <w:rPr/>
        <w:t xml:space="preserve">For at opnå denne suverænitet kunne en </w:t>
      </w:r>
      <w:r>
        <w:rPr>
          <w:b/>
        </w:rPr>
        <w:t>europæisk myndighed</w:t>
      </w:r>
      <w:r>
        <w:rPr/>
        <w:t xml:space="preserve"> få til opgave at lede disse sektorer ved at udstede tilladelser til køb af europæiske virksomheder fra udenlandske konkurrenter og sikre, at importerede produkter opfylder de samme standarder som EU's produktion. På mellemlang sigt bør</w:t>
      </w:r>
      <w:r>
        <w:rPr>
          <w:b/>
        </w:rPr>
        <w:t xml:space="preserve"> 30-50 %</w:t>
      </w:r>
      <w:r>
        <w:rPr/>
        <w:t xml:space="preserve"> af det europæiske forbrug i disse strategiske sektorer </w:t>
      </w:r>
      <w:r>
        <w:rPr>
          <w:b/>
        </w:rPr>
        <w:t>produceres på kontinentet</w:t>
      </w:r>
      <w:r>
        <w:rPr/>
        <w:t xml:space="preserve"> og op til </w:t>
      </w:r>
      <w:r>
        <w:rPr>
          <w:b/>
        </w:rPr>
        <w:t>70 %</w:t>
      </w:r>
      <w:r>
        <w:rPr/>
        <w:t xml:space="preserve"> på lang sigt. Opfyldelse af disse kriterier ville</w:t>
      </w:r>
      <w:r>
        <w:rPr>
          <w:b/>
        </w:rPr>
        <w:t>sikre</w:t>
      </w:r>
      <w:r>
        <w:rPr/>
        <w:t xml:space="preserve"> selvforsyning og</w:t>
      </w:r>
      <w:r>
        <w:rPr>
          <w:b/>
        </w:rPr>
        <w:t xml:space="preserve"> indflydelse</w:t>
      </w:r>
      <w:r>
        <w:rPr/>
        <w:t>og endog</w:t>
      </w:r>
      <w:r>
        <w:rPr>
          <w:b/>
        </w:rPr>
        <w:t xml:space="preserve">eksport </w:t>
      </w:r>
      <w:r>
        <w:rPr/>
        <w:t xml:space="preserve">af den europæiske industrimodel. </w:t>
      </w:r>
    </w:p>
    <w:p>
      <w:pPr>
        <w:pStyle w:val="Normal"/>
        <w:spacing w:lineRule="auto" w:line="240"/>
        <w:rPr/>
      </w:pPr>
      <w:r>
        <w:rPr/>
      </w:r>
    </w:p>
    <w:p>
      <w:pPr>
        <w:pStyle w:val="P68B1DB1Normal42"/>
        <w:spacing w:lineRule="auto" w:line="240"/>
        <w:rPr/>
      </w:pPr>
      <w:r>
        <w:rPr/>
        <w:t xml:space="preserve">Ændring 10 — Forbedring af beskyttelsen af miljøer og økosystemer og oprettelse af beskyttede områder i centrum af byområder, bynære områder og landdistrikter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Europa, der fremmer bæredygtig udvikling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78" w:after="0"/>
        <w:ind w:left="0" w:right="0" w:hanging="0"/>
        <w:jc w:val="left"/>
        <w:rPr/>
      </w:pPr>
      <w:r>
        <w:rPr>
          <w:i/>
          <w:color w:val="000000"/>
        </w:rPr>
        <w:t>Nøgleord: mere miljøvenlig urbanisering, respekt og beskyttelse af jordbunden</w:t>
      </w:r>
      <w:r>
        <w:rPr>
          <w:b/>
          <w:color w:val="273375"/>
        </w:rPr>
        <w:t xml:space="preserve"> </w:t>
      </w:r>
    </w:p>
    <w:p>
      <w:pPr>
        <w:pStyle w:val="P68B1DB1Normal19"/>
        <w:widowControl w:val="false"/>
        <w:spacing w:lineRule="auto" w:line="240" w:before="321" w:after="0"/>
        <w:ind w:left="0" w:right="9" w:hanging="0"/>
        <w:jc w:val="both"/>
        <w:rPr/>
      </w:pPr>
      <w:r>
        <w:rPr/>
        <w:t xml:space="preserve">Målet er at </w:t>
      </w:r>
      <w:r>
        <w:rPr>
          <w:b/>
        </w:rPr>
        <w:t>begrænse urbaniseringens negative indvirkning på jordbunden</w:t>
      </w:r>
      <w:r>
        <w:rPr/>
        <w:t xml:space="preserve">. Stærke tiltag vil </w:t>
      </w:r>
      <w:r>
        <w:rPr>
          <w:b/>
        </w:rPr>
        <w:t xml:space="preserve">begrænse katastrofer i forbindelse med </w:t>
      </w:r>
      <w:r>
        <w:rPr/>
        <w:t>jordødelæggelse, f.eks. jordskred</w:t>
      </w:r>
      <w:r>
        <w:rPr>
          <w:b/>
        </w:rPr>
        <w:t>, og forbedre livskvaliteten i byområder</w:t>
      </w:r>
      <w:r>
        <w:rPr/>
        <w:t xml:space="preserve">, navnlig gennem plantning af træer.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318" w:after="0"/>
        <w:ind w:left="0" w:right="9" w:hanging="0"/>
        <w:jc w:val="both"/>
        <w:rPr/>
      </w:pPr>
      <w:r>
        <w:rPr/>
        <w:t xml:space="preserve">Det blev foreslået at handle på to niveauer: for det første at </w:t>
      </w:r>
      <w:r>
        <w:rPr>
          <w:b/>
        </w:rPr>
        <w:t>vende tendensen til nye konstruktioner med henblik på</w:t>
      </w:r>
      <w:r>
        <w:rPr/>
        <w:t xml:space="preserve"> at reducere jordbefæstelsens hastighed og for det andet </w:t>
      </w:r>
      <w:r>
        <w:rPr>
          <w:b/>
        </w:rPr>
        <w:t>at tilskynde til genoprettelse af jordbunden</w:t>
      </w:r>
      <w:r>
        <w:rPr/>
        <w:t xml:space="preserve"> til "at vende tilbage </w:t>
      </w:r>
      <w:r>
        <w:rPr>
          <w:i/>
        </w:rPr>
        <w:t>til naturen, hvad der tilhører den</w:t>
      </w:r>
      <w:r>
        <w:rPr/>
        <w:t xml:space="preserve">". </w:t>
      </w:r>
    </w:p>
    <w:p>
      <w:pPr>
        <w:pStyle w:val="Normal"/>
        <w:spacing w:lineRule="auto" w:line="240"/>
        <w:rPr/>
      </w:pPr>
      <w:r>
        <w:rPr/>
      </w:r>
    </w:p>
    <w:p>
      <w:pPr>
        <w:pStyle w:val="P68B1DB1Normal42"/>
        <w:spacing w:lineRule="auto" w:line="240"/>
        <w:rPr/>
      </w:pPr>
      <w:r>
        <w:rPr/>
        <w:t xml:space="preserve">Ændring 11 — Oprettelse af europæiske relæer i territorierne for at lytte til og rådgive borgerne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tættere og tilgængeligt Europa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Hvad betyder denne ændring?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Nøgleord: Huse i Europa, referent Europa lokalt, bedre adgang til information </w:t>
      </w:r>
    </w:p>
    <w:p>
      <w:pPr>
        <w:pStyle w:val="P68B1DB1Normal19"/>
        <w:widowControl w:val="false"/>
        <w:spacing w:lineRule="auto" w:line="240" w:before="326" w:after="0"/>
        <w:ind w:left="0" w:right="11" w:hanging="0"/>
        <w:jc w:val="both"/>
        <w:rPr/>
      </w:pPr>
      <w:r>
        <w:rPr/>
        <w:t xml:space="preserve">Formålet med denne ændring er at give konkrete svar på </w:t>
      </w:r>
      <w:r>
        <w:rPr>
          <w:b/>
        </w:rPr>
        <w:t>Den Europæiske Unions manglende legemliggørelse</w:t>
      </w:r>
      <w:r>
        <w:rPr/>
        <w:t xml:space="preserve"> i hverdagen, som mange deltagere har bemærket, og at arbejde hen imod at bringe Europa og dets borgere tættere sammen.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Hvad er de vigtigste trin og succeskriterier? </w:t>
      </w:r>
    </w:p>
    <w:p>
      <w:pPr>
        <w:pStyle w:val="P68B1DB1Normal24"/>
        <w:widowControl w:val="false"/>
        <w:spacing w:lineRule="auto" w:line="240" w:before="317" w:after="0"/>
        <w:ind w:left="0" w:right="14" w:hanging="0"/>
        <w:jc w:val="both"/>
        <w:rPr/>
      </w:pPr>
      <w:r>
        <w:rPr/>
        <w:t xml:space="preserve">For at tage højde for denne afstand mellem EU og borgerne </w:t>
      </w:r>
      <w:r>
        <w:rPr>
          <w:b/>
        </w:rPr>
        <w:t>kan der udpeges en særlig</w:t>
      </w:r>
      <w:r>
        <w:rPr/>
        <w:t xml:space="preserve"> referent til hvert rådhus, der har til opgave at lytte og rådgive borgerne. Oplysningerne i denne rapport kan være socioøkonomiske, navnlig om adgang til europæisk eller informativ bistand, f.eks. om lobbyisters rolle. Oplysningerne vil være rettet mod både den brede offentlighed og fagfolk, navnlig for at rådgive SMV'er og hjælpe projektledere med at få adgang til EU-midler. På lang sigt kan denne ændring føre til oprettelse af </w:t>
      </w:r>
      <w:r>
        <w:rPr>
          <w:b/>
        </w:rPr>
        <w:t>steder, der er dedikeret til Europa</w:t>
      </w:r>
      <w:r>
        <w:rPr/>
        <w:t xml:space="preserve">, i lighed med de eksisterende europæiske huse, men på kommunalt plan giver mulighed for et fint territorialt netværk. </w:t>
      </w:r>
    </w:p>
    <w:p>
      <w:pPr>
        <w:pStyle w:val="P68B1DB1Normal24"/>
        <w:widowControl w:val="false"/>
        <w:spacing w:lineRule="auto" w:line="240" w:before="235" w:after="0"/>
        <w:ind w:left="0" w:right="15" w:hanging="0"/>
        <w:jc w:val="both"/>
        <w:rPr/>
      </w:pPr>
      <w:r>
        <w:rPr/>
        <w:t xml:space="preserve">Succesen med denne ændring ville være fuldstændig, hvis enhver borger " </w:t>
      </w:r>
      <w:r>
        <w:rPr>
          <w:i/>
        </w:rPr>
        <w:t>som en åbenlys</w:t>
      </w:r>
      <w:r>
        <w:rPr/>
        <w:t xml:space="preserve">" kender eksistensen af denne reference og dette sted af ressourcer, der er afsat til Europa, og som vil tilvejebringe ressourcer, lytte, information og rådgivning.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Ændring 12 — Forene valgmåden til Europa-Parlamentet for de 27 stater og forbedre borgernes nærhed ved at erstatte den nuværende afstemning med en engangsafstemning på regionalt plan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Europa med mere effektiv forvaltning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76" w:after="0"/>
        <w:ind w:left="0" w:right="0" w:hanging="0"/>
        <w:jc w:val="left"/>
        <w:rPr/>
      </w:pPr>
      <w:r>
        <w:rPr>
          <w:i/>
          <w:color w:val="000000"/>
        </w:rPr>
        <w:t>Nøgleord: institutionelle ændringer efterfulgt af borgerne i hele mandatet</w:t>
      </w:r>
      <w:r>
        <w:rPr>
          <w:b/>
          <w:color w:val="273375"/>
        </w:rPr>
        <w:t xml:space="preserve"> </w:t>
      </w:r>
    </w:p>
    <w:p>
      <w:pPr>
        <w:pStyle w:val="P68B1DB1Normal19"/>
        <w:widowControl w:val="false"/>
        <w:spacing w:lineRule="auto" w:line="240" w:before="275" w:after="0"/>
        <w:ind w:left="0" w:right="10" w:hanging="0"/>
        <w:jc w:val="both"/>
        <w:rPr/>
      </w:pPr>
      <w:r>
        <w:rPr/>
        <w:t xml:space="preserve">Denne ændring afspejler borgernes ønske om at styrke deres </w:t>
      </w:r>
      <w:r>
        <w:rPr>
          <w:b/>
        </w:rPr>
        <w:t>nærhed til folkevalgte</w:t>
      </w:r>
      <w:r>
        <w:rPr/>
        <w:t xml:space="preserve"> og følge deres handlinger i hele deres mandat. Det er en reaktion på den udbredte fælles iagttagelse af den manglende oversættelse af borgernes bekymringer til konkrete tiltag fra de valgte repræsentanter for Europa-Parlamentet.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316" w:after="0"/>
        <w:ind w:left="0" w:right="10" w:hanging="0"/>
        <w:jc w:val="both"/>
        <w:rPr/>
      </w:pPr>
      <w:r>
        <w:rPr/>
        <w:t xml:space="preserve">Ændringen i valgmåden vil bestå i </w:t>
      </w:r>
      <w:r>
        <w:rPr>
          <w:b/>
        </w:rPr>
        <w:t>en forening af afstemningssystemet på</w:t>
      </w:r>
      <w:r>
        <w:rPr/>
        <w:t xml:space="preserve"> europæisk plan og overgangen fra nationale til regionale valgkredse, som skønnes at være mulig i 2035. </w:t>
      </w:r>
    </w:p>
    <w:p>
      <w:pPr>
        <w:pStyle w:val="Normal"/>
        <w:spacing w:lineRule="auto" w:line="240"/>
        <w:rPr/>
      </w:pPr>
      <w:r>
        <w:rPr/>
      </w:r>
    </w:p>
    <w:p>
      <w:pPr>
        <w:pStyle w:val="P68B1DB1Normal42"/>
        <w:spacing w:lineRule="auto" w:line="240"/>
        <w:rPr/>
      </w:pPr>
      <w:r>
        <w:rPr/>
        <w:t xml:space="preserve">Ændring 13 — Definering af en fælles politik til forbedring af modtagelse og social og erhvervsmæssig integration af migranter (herunder irregulære migranter)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Ønske om et associeret Europa: Et Europa, der sikrer respekt for de grundlæggende rettigheder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76" w:after="0"/>
        <w:ind w:left="0" w:right="0" w:hanging="0"/>
        <w:jc w:val="left"/>
        <w:rPr/>
      </w:pPr>
      <w:r>
        <w:rPr>
          <w:i/>
          <w:color w:val="000000"/>
        </w:rPr>
        <w:t>Nøgleord: Det Europæiske Migrationskontor, der sikrer en anstændig modtagelse i hele Europa</w:t>
      </w:r>
      <w:r>
        <w:rPr>
          <w:b/>
          <w:color w:val="273375"/>
        </w:rPr>
        <w:t xml:space="preserve"> </w:t>
      </w:r>
    </w:p>
    <w:p>
      <w:pPr>
        <w:pStyle w:val="P68B1DB1Normal19"/>
        <w:widowControl w:val="false"/>
        <w:spacing w:lineRule="auto" w:line="240" w:before="248" w:after="0"/>
        <w:ind w:left="0" w:right="10" w:hanging="0"/>
        <w:jc w:val="both"/>
        <w:rPr/>
      </w:pPr>
      <w:r>
        <w:rPr/>
        <w:t xml:space="preserve">Denne ændring har til formål at forbedre modtagelsen af migranter i Den Europæiske Union, et problem, som borgerne enstemmigt har udpeget som en </w:t>
      </w:r>
      <w:r>
        <w:rPr>
          <w:b/>
        </w:rPr>
        <w:t>nødsituation</w:t>
      </w:r>
      <w:r>
        <w:rPr/>
        <w:t xml:space="preserve">. I et brud med den nuværende situation synes indførelsen af en </w:t>
      </w:r>
      <w:r>
        <w:rPr>
          <w:b/>
        </w:rPr>
        <w:t>fælles, samordnet og solidarisk indvandringspolitik</w:t>
      </w:r>
      <w:r>
        <w:rPr/>
        <w:t xml:space="preserve"> at være en vigtig drivkraft for fred.</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243" w:after="0"/>
        <w:ind w:left="0" w:right="10" w:hanging="0"/>
        <w:jc w:val="left"/>
        <w:rPr/>
      </w:pPr>
      <w:r>
        <w:rPr/>
        <w:t xml:space="preserve">En sådan ændrings succes vil resultere i en gradvis gennemførelse af en fælles politik for modtagelse af migranter. </w:t>
      </w:r>
    </w:p>
    <w:p>
      <w:pPr>
        <w:pStyle w:val="P68B1DB1Normal19"/>
        <w:widowControl w:val="false"/>
        <w:spacing w:lineRule="auto" w:line="240" w:before="326" w:after="0"/>
        <w:ind w:left="0" w:right="10" w:hanging="0"/>
        <w:jc w:val="both"/>
        <w:rPr/>
      </w:pPr>
      <w:r>
        <w:rPr/>
        <w:t xml:space="preserve">Et </w:t>
      </w:r>
      <w:r>
        <w:rPr>
          <w:b/>
        </w:rPr>
        <w:t>borgerinitiativ</w:t>
      </w:r>
      <w:r>
        <w:rPr/>
        <w:t xml:space="preserve"> bør henvise sagen til Kommissionen og på mellemlang sigt gøre det muligt at vedtage en </w:t>
      </w:r>
      <w:r>
        <w:rPr>
          <w:b/>
        </w:rPr>
        <w:t>fælles standard</w:t>
      </w:r>
      <w:r>
        <w:rPr/>
        <w:t xml:space="preserve">, der fastlægger en ramme for modtagelse og social integration af migranter. På lang sigt vil denne standard blive understøttet af oprettelsen af et </w:t>
      </w:r>
      <w:r>
        <w:rPr>
          <w:b/>
        </w:rPr>
        <w:t>specialiseret europæisk indvandringskontor og</w:t>
      </w:r>
      <w:r>
        <w:rPr/>
        <w:t xml:space="preserve"> anerkendelsen af migrationspolitikken som en kompetence for Den Europæiske Union. </w:t>
      </w:r>
    </w:p>
    <w:p>
      <w:pPr>
        <w:pStyle w:val="Normal"/>
        <w:spacing w:lineRule="auto" w:line="240"/>
        <w:rPr/>
      </w:pPr>
      <w:r>
        <w:rPr/>
      </w:r>
    </w:p>
    <w:p>
      <w:pPr>
        <w:pStyle w:val="P68B1DB1Normal42"/>
        <w:spacing w:lineRule="auto" w:line="240"/>
        <w:rPr/>
      </w:pPr>
      <w:r>
        <w:rPr/>
        <w:t xml:space="preserve">Ændring 14 — Bevarelse af de særlige forhold (fødevaremærkning, håndværksmæssig produktion, traditioner) i de forskellige europæiske regioner for at undgå en ensartet livsstil og sikre produkternes sporbarhed og kvalitet </w:t>
      </w:r>
    </w:p>
    <w:p>
      <w:pPr>
        <w:pStyle w:val="P68B1DB1Normal43"/>
        <w:widowControl w:val="false"/>
        <w:spacing w:lineRule="auto" w:line="240" w:before="347" w:after="0"/>
        <w:ind w:left="0" w:right="912" w:hanging="0"/>
        <w:jc w:val="left"/>
        <w:rPr/>
      </w:pPr>
      <w:r>
        <w:rPr/>
        <w:t xml:space="preserve">Ønske om et associeret Europa: Et Europa, hvor hver enkelt stats interesser har forrang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Hvad betyder denne ændring? </w:t>
      </w:r>
    </w:p>
    <w:p>
      <w:pPr>
        <w:pStyle w:val="P68B1DB1Normal7"/>
        <w:widowControl w:val="false"/>
        <w:spacing w:lineRule="auto" w:line="240" w:before="76" w:after="0"/>
        <w:ind w:left="0" w:right="0" w:hanging="0"/>
        <w:jc w:val="left"/>
        <w:rPr/>
      </w:pPr>
      <w:r>
        <w:rPr>
          <w:i/>
          <w:color w:val="000000"/>
        </w:rPr>
        <w:t>Nøgleord: Europæiske mærker, der sætter pris på mangfoldigheden af kulturer og traditioner</w:t>
      </w:r>
      <w:r>
        <w:rPr>
          <w:b/>
          <w:color w:val="273375"/>
        </w:rPr>
        <w:t xml:space="preserve"> </w:t>
      </w:r>
    </w:p>
    <w:p>
      <w:pPr>
        <w:pStyle w:val="P68B1DB1Normal19"/>
        <w:widowControl w:val="false"/>
        <w:spacing w:lineRule="auto" w:line="240" w:before="323" w:after="0"/>
        <w:ind w:left="0" w:right="10" w:hanging="0"/>
        <w:jc w:val="both"/>
        <w:rPr/>
      </w:pPr>
      <w:r>
        <w:rPr/>
        <w:t xml:space="preserve">Ambitionen med denne ændring er at bevare de </w:t>
      </w:r>
      <w:r>
        <w:rPr>
          <w:b/>
        </w:rPr>
        <w:t>europæiske traditioners og produktioners mangfoldighed</w:t>
      </w:r>
      <w:r>
        <w:rPr/>
        <w:t xml:space="preserve"> og</w:t>
      </w:r>
      <w:r>
        <w:rPr>
          <w:b/>
        </w:rPr>
        <w:t xml:space="preserve">at undgå standardisering af </w:t>
      </w:r>
      <w:r>
        <w:rPr/>
        <w:t>livsstil, ofte omtalt som kritik af Den Europæiske Union.</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Hvad er de vigtigste trin og succeskriterier? </w:t>
      </w:r>
    </w:p>
    <w:p>
      <w:pPr>
        <w:pStyle w:val="P68B1DB1Normal19"/>
        <w:widowControl w:val="false"/>
        <w:spacing w:lineRule="auto" w:line="240" w:before="322" w:after="0"/>
        <w:ind w:left="0" w:right="10" w:hanging="0"/>
        <w:jc w:val="both"/>
        <w:rPr/>
      </w:pPr>
      <w:r>
        <w:rPr/>
        <w:t xml:space="preserve">For borgerne er hovedformålet at gøre den eksisterende database med de forskellige </w:t>
      </w:r>
      <w:r>
        <w:rPr>
          <w:b/>
        </w:rPr>
        <w:t>europæiske og nationale mærker</w:t>
      </w:r>
      <w:r>
        <w:rPr/>
        <w:t xml:space="preserve"> mere tilgængelig. For at gøre dette foreslås oprettelse af en " </w:t>
      </w:r>
      <w:r>
        <w:rPr>
          <w:i/>
        </w:rPr>
        <w:t>tre-klik"</w:t>
      </w:r>
      <w:r>
        <w:rPr/>
        <w:t xml:space="preserve"> -hjemmeside: et klik for at få adgang til webstedet, et andet for at få vist et kort over regionerne i Den Europæiske Union og et for at vise beskrivelsen af etiketterne for hver region. </w:t>
      </w:r>
    </w:p>
    <w:p>
      <w:pPr>
        <w:pStyle w:val="Normal"/>
        <w:widowControl w:val="false"/>
        <w:spacing w:lineRule="auto" w:line="240" w:before="327" w:after="0"/>
        <w:ind w:left="0" w:right="14" w:hanging="0"/>
        <w:jc w:val="left"/>
        <w:rPr/>
      </w:pPr>
      <w:r>
        <w:rPr>
          <w:rFonts w:ascii="Times New Roman" w:hAnsi="Times New Roman"/>
          <w:color w:val="000000"/>
        </w:rPr>
        <w:t xml:space="preserve">Succesen med denne ændring vil bestå i øget </w:t>
      </w:r>
      <w:r>
        <w:rPr>
          <w:rFonts w:ascii="Times New Roman" w:hAnsi="Times New Roman"/>
          <w:b/>
          <w:color w:val="000000"/>
        </w:rPr>
        <w:t>kommunikation</w:t>
      </w:r>
      <w:r>
        <w:rPr>
          <w:rFonts w:ascii="Times New Roman" w:hAnsi="Times New Roman"/>
          <w:color w:val="000000"/>
        </w:rPr>
        <w:t xml:space="preserve"> om eksisterende resultater, hvilket vil føre til en bedre </w:t>
      </w:r>
      <w:r>
        <w:rPr>
          <w:rFonts w:ascii="Times New Roman" w:hAnsi="Times New Roman"/>
          <w:b/>
          <w:color w:val="000000"/>
        </w:rPr>
        <w:t>forståelse</w:t>
      </w:r>
      <w:r>
        <w:rPr>
          <w:rFonts w:ascii="Times New Roman" w:hAnsi="Times New Roman"/>
          <w:color w:val="000000"/>
        </w:rPr>
        <w:t xml:space="preserve"> af de europæiske kulturers mangfoldighed fra borgernes side.</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Anden del: fremlæggelse af resultaterne af høringen "Words to Youth"</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Datoerne for høringen </w:t>
      </w:r>
    </w:p>
    <w:p>
      <w:pPr>
        <w:pStyle w:val="P68B1DB1Normal19"/>
        <w:widowControl w:val="false"/>
        <w:spacing w:lineRule="auto" w:line="240" w:before="34" w:after="0"/>
        <w:ind w:left="0" w:right="0" w:hanging="0"/>
        <w:jc w:val="center"/>
        <w:rPr/>
      </w:pPr>
      <w:r>
        <w:rPr/>
        <w:t>fra 09/05/2021 til 18/07/2021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Tal for deltagelse</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deltagere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 forslag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stemmer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Høringen om "Walk to Youth" blev iværksat på initiativ af statssekretariatet for europæiske anliggender. Denne høring finder sted i forbindelse med konferencen om Europas fremtid, som er et hidtil uset deltagelsesdemokrati, der ledes af EU-institutionerne, og som har til formål at gøre det muligt for alle europæiske borgere at give udtryk for deres synspunkter om, hvad de forventer af Den Europæiske Union. Erfaringerne fra høringen vil indgå i arbejdet i konferencen om Europas fremtid og det franske formandskab for Rådet for Den Europæiske Union.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vigtigste lektioner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En massiv mobilisering af unge: mere end</w:t>
      </w:r>
      <w:r>
        <w:rPr>
          <w:rFonts w:ascii="Times New Roman" w:hAnsi="Times New Roman"/>
          <w:b/>
        </w:rPr>
        <w:t xml:space="preserve"> 50.000 unge franske borgere deltog </w:t>
      </w:r>
      <w:r>
        <w:rPr>
          <w:rFonts w:ascii="Times New Roman" w:hAnsi="Times New Roman"/>
        </w:rPr>
        <w:t xml:space="preserve">i høringen på tværs af alle territorier.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b/>
        </w:rPr>
        <w:t>Den</w:t>
      </w:r>
      <w:r>
        <w:rPr>
          <w:rFonts w:ascii="Times New Roman" w:hAnsi="Times New Roman"/>
        </w:rPr>
        <w:t xml:space="preserve"> vigtigste konsensus </w:t>
      </w:r>
      <w:r>
        <w:rPr>
          <w:rFonts w:ascii="Times New Roman" w:hAnsi="Times New Roman"/>
          <w:b/>
        </w:rPr>
        <w:t>vedrører EU's politikker til bekæmpelse af klimaændringer, flytning af produktionen til Europa, revitalisering af det europæiske demokrati, EU's vægt i verden (økonomi, forskning, menneskerettigheder, diplomati).</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Tanken om et stærkere og mere forenet Europa går gennem hele høringen,</w:t>
      </w:r>
      <w:r>
        <w:rPr>
          <w:rFonts w:ascii="Times New Roman" w:hAnsi="Times New Roman"/>
        </w:rPr>
        <w:t xml:space="preserve"> og der opnås enighed om flere punkter: </w:t>
      </w:r>
    </w:p>
    <w:p>
      <w:pPr>
        <w:pStyle w:val="P68B1DB1Normal34"/>
        <w:widowControl w:val="false"/>
        <w:spacing w:lineRule="auto" w:line="240" w:before="92" w:after="0"/>
        <w:ind w:left="360" w:right="0" w:hanging="0"/>
        <w:jc w:val="left"/>
        <w:rPr/>
      </w:pPr>
      <w:r>
        <w:rPr>
          <w:rFonts w:ascii="Times New Roman" w:hAnsi="Times New Roman"/>
        </w:rPr>
        <w:t>Et</w:t>
      </w:r>
      <w:r>
        <w:rPr/>
        <w:t xml:space="preserve"> </w:t>
      </w:r>
      <w:r>
        <w:rPr>
          <w:rFonts w:ascii="Times New Roman" w:hAnsi="Times New Roman"/>
        </w:rPr>
        <w:t xml:space="preserve">stærkere Europa økonomisk (især gennem udflytning) for at klare Kina eller USA </w:t>
      </w:r>
    </w:p>
    <w:p>
      <w:pPr>
        <w:pStyle w:val="P68B1DB1Normal34"/>
        <w:widowControl w:val="false"/>
        <w:spacing w:lineRule="auto" w:line="240" w:before="92" w:after="0"/>
        <w:ind w:left="360" w:right="0" w:hanging="0"/>
        <w:jc w:val="left"/>
        <w:rPr/>
      </w:pPr>
      <w:r>
        <w:rPr>
          <w:rFonts w:ascii="Times New Roman" w:hAnsi="Times New Roman"/>
        </w:rPr>
        <w:t>Et</w:t>
      </w:r>
      <w:r>
        <w:rPr/>
        <w:t xml:space="preserve"> </w:t>
      </w:r>
      <w:r>
        <w:rPr>
          <w:rFonts w:ascii="Times New Roman" w:hAnsi="Times New Roman"/>
        </w:rPr>
        <w:t xml:space="preserve">diplomatisk Europa, der vejer mere på den internationale scene </w:t>
      </w:r>
    </w:p>
    <w:p>
      <w:pPr>
        <w:pStyle w:val="P68B1DB1Normal34"/>
        <w:widowControl w:val="false"/>
        <w:spacing w:lineRule="auto" w:line="240" w:before="85" w:after="0"/>
        <w:ind w:left="360" w:right="1483" w:hanging="0"/>
        <w:jc w:val="left"/>
        <w:rPr/>
      </w:pPr>
      <w:r>
        <w:rPr>
          <w:rFonts w:ascii="Times New Roman" w:hAnsi="Times New Roman"/>
        </w:rPr>
        <w:t>En</w:t>
      </w:r>
      <w:r>
        <w:rPr/>
        <w:t xml:space="preserve"> </w:t>
      </w:r>
      <w:r>
        <w:rPr>
          <w:rFonts w:ascii="Times New Roman" w:hAnsi="Times New Roman"/>
        </w:rPr>
        <w:t>af Europas førende i kampen mod klimaændringer i verden</w:t>
      </w:r>
    </w:p>
    <w:p>
      <w:pPr>
        <w:pStyle w:val="P68B1DB1Normal34"/>
        <w:widowControl w:val="false"/>
        <w:spacing w:lineRule="auto" w:line="240" w:before="85" w:after="0"/>
        <w:ind w:left="360" w:right="1483" w:hanging="0"/>
        <w:jc w:val="left"/>
        <w:rPr/>
      </w:pPr>
      <w:r>
        <w:rPr>
          <w:rFonts w:ascii="Times New Roman" w:hAnsi="Times New Roman"/>
        </w:rPr>
        <w:t>Et</w:t>
      </w:r>
      <w:r>
        <w:rPr/>
        <w:t xml:space="preserve"> </w:t>
      </w:r>
      <w:r>
        <w:rPr>
          <w:rFonts w:ascii="Times New Roman" w:hAnsi="Times New Roman"/>
        </w:rPr>
        <w:t xml:space="preserve">Europa forenet af sine unge </w:t>
      </w:r>
    </w:p>
    <w:p>
      <w:pPr>
        <w:pStyle w:val="P68B1DB1Normal34"/>
        <w:widowControl w:val="false"/>
        <w:spacing w:lineRule="auto" w:line="240" w:before="85" w:after="0"/>
        <w:ind w:left="360" w:right="0" w:hanging="0"/>
        <w:jc w:val="left"/>
        <w:rPr/>
      </w:pPr>
      <w:r>
        <w:rPr>
          <w:rFonts w:ascii="Times New Roman" w:hAnsi="Times New Roman"/>
        </w:rPr>
        <w:t>Et</w:t>
      </w:r>
      <w:r>
        <w:rPr/>
        <w:t xml:space="preserve"> </w:t>
      </w:r>
      <w:r>
        <w:rPr>
          <w:rFonts w:ascii="Times New Roman" w:hAnsi="Times New Roman"/>
        </w:rPr>
        <w:t xml:space="preserve">forenet Europa inden for forskning og innovation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Fire supplerende idéer</w:t>
      </w:r>
      <w:r>
        <w:rPr>
          <w:rFonts w:ascii="Times New Roman" w:hAnsi="Times New Roman"/>
        </w:rPr>
        <w:t xml:space="preserve"> til dem fra borgerpanelerne blev også hilst velkommen af unge: </w:t>
      </w:r>
    </w:p>
    <w:p>
      <w:pPr>
        <w:pStyle w:val="P68B1DB1Normal34"/>
        <w:widowControl w:val="false"/>
        <w:spacing w:lineRule="auto" w:line="240" w:before="90" w:after="0"/>
        <w:ind w:left="360" w:right="0" w:hanging="0"/>
        <w:jc w:val="left"/>
        <w:rPr/>
      </w:pPr>
      <w:r>
        <w:rPr>
          <w:rFonts w:ascii="Times New Roman" w:hAnsi="Times New Roman"/>
        </w:rPr>
        <w:t>En</w:t>
      </w:r>
      <w:r>
        <w:rPr/>
        <w:t xml:space="preserve"> </w:t>
      </w:r>
      <w:r>
        <w:rPr>
          <w:rFonts w:ascii="Times New Roman" w:hAnsi="Times New Roman"/>
        </w:rPr>
        <w:t xml:space="preserve">miljømæssigt og socialt ansvarlig europæisk økonomi </w:t>
      </w:r>
    </w:p>
    <w:p>
      <w:pPr>
        <w:pStyle w:val="P68B1DB1Normal34"/>
        <w:widowControl w:val="false"/>
        <w:spacing w:lineRule="auto" w:line="240" w:before="88" w:after="0"/>
        <w:ind w:left="360" w:right="0" w:hanging="0"/>
        <w:jc w:val="left"/>
        <w:rPr/>
      </w:pPr>
      <w:r>
        <w:rPr>
          <w:rFonts w:ascii="Times New Roman" w:hAnsi="Times New Roman"/>
        </w:rPr>
        <w:t>Et</w:t>
      </w:r>
      <w:r>
        <w:rPr/>
        <w:t xml:space="preserve"> </w:t>
      </w:r>
      <w:r>
        <w:rPr>
          <w:rFonts w:ascii="Times New Roman" w:hAnsi="Times New Roman"/>
        </w:rPr>
        <w:t xml:space="preserve">Europa, der geografisk er tættere forbundet med jernbanen </w:t>
      </w:r>
    </w:p>
    <w:p>
      <w:pPr>
        <w:pStyle w:val="P68B1DB1Normal34"/>
        <w:widowControl w:val="false"/>
        <w:spacing w:lineRule="auto" w:line="240" w:before="85" w:after="0"/>
        <w:ind w:left="360" w:right="0" w:hanging="0"/>
        <w:jc w:val="left"/>
        <w:rPr/>
      </w:pPr>
      <w:r>
        <w:rPr>
          <w:rFonts w:ascii="Times New Roman" w:hAnsi="Times New Roman"/>
        </w:rPr>
        <w:t>Et</w:t>
      </w:r>
      <w:r>
        <w:rPr/>
        <w:t xml:space="preserve"> </w:t>
      </w:r>
      <w:r>
        <w:rPr>
          <w:rFonts w:ascii="Times New Roman" w:hAnsi="Times New Roman"/>
        </w:rPr>
        <w:t xml:space="preserve">mere retfærdigt skattemæssigt Europa </w:t>
      </w:r>
    </w:p>
    <w:p>
      <w:pPr>
        <w:pStyle w:val="P68B1DB1Normal34"/>
        <w:widowControl w:val="false"/>
        <w:spacing w:lineRule="auto" w:line="240" w:before="88" w:after="0"/>
        <w:ind w:left="360" w:right="0" w:hanging="0"/>
        <w:jc w:val="left"/>
        <w:rPr/>
      </w:pPr>
      <w:r>
        <w:rPr>
          <w:rFonts w:ascii="Times New Roman" w:hAnsi="Times New Roman"/>
        </w:rPr>
        <w:t>En</w:t>
      </w:r>
      <w:r>
        <w:rPr/>
        <w:t xml:space="preserve"> </w:t>
      </w:r>
      <w:r>
        <w:rPr>
          <w:rFonts w:ascii="Times New Roman" w:hAnsi="Times New Roman"/>
        </w:rPr>
        <w:t xml:space="preserve">stærk indsats fra EU's side til støtte for kvinders rettigheder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populære idéer og 13 kontroversielle idéer spredt ud over de 9 temaer i konferencen om Europas fremtid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De roste idéer</w:t>
      </w:r>
      <w:r>
        <w:rPr>
          <w:color w:val="000000"/>
        </w:rPr>
        <w:t xml:space="preserve"> er baseret på de forslag, der for det meste støttes af deltagerne i høringen. De forslag, der er rost, er de forslag, der tiltrækker mest støtte, og de udnytter i gennemsnit </w:t>
      </w:r>
      <w:r>
        <w:rPr>
          <w:b/>
          <w:color w:val="000000"/>
        </w:rPr>
        <w:t>79 % af "stemmerne"</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De kontroversielle idéer</w:t>
      </w:r>
      <w:r>
        <w:rPr>
          <w:color w:val="000000"/>
        </w:rPr>
        <w:t xml:space="preserve"> er baseret på de forslag, som deltagerne i høringen har drøftet mest, med en balance mellem stemmer for og imod. De kontroversielle forslag er de mest omdiskuterede forslag fra høringen, idet de i gennemsnit udnytter </w:t>
      </w:r>
      <w:r>
        <w:rPr>
          <w:b/>
          <w:color w:val="000000"/>
        </w:rPr>
        <w:t>40 % af "stemmerne"</w:t>
      </w:r>
      <w:r>
        <w:rPr>
          <w:color w:val="000000"/>
        </w:rPr>
        <w:t xml:space="preserve">, </w:t>
      </w:r>
      <w:r>
        <w:rPr>
          <w:b/>
          <w:color w:val="000000"/>
        </w:rPr>
        <w:t>38 % af "stemmerne imod"</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Analysen af disse forslag identificerede 22 anerkendte idéer og 13 kontroversielle idéer. Disse 22 anerkendte idéer og de 13 kontroversielle idéer blev opdelt i 9 akser svarende til hovedtemaerne for konferencen om Europas fremtid. </w:t>
      </w:r>
      <w:r>
        <w:br w:type="page"/>
      </w:r>
    </w:p>
    <w:p>
      <w:pPr>
        <w:pStyle w:val="Normal"/>
        <w:widowControl w:val="false"/>
        <w:spacing w:lineRule="auto" w:line="240" w:before="85" w:after="0"/>
        <w:ind w:left="0" w:right="0" w:hanging="0"/>
        <w:jc w:val="left"/>
        <w:rPr/>
      </w:pPr>
      <w:r>
        <w:rPr/>
        <w:t>Syntese af anerkendte og kontroversielle ideer</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
        <w:gridCol w:w="1607"/>
        <w:gridCol w:w="803"/>
        <w:gridCol w:w="2408"/>
      </w:tblGrid>
      <w:tr>
        <w:trPr/>
        <w:tc>
          <w:tcPr>
            <w:tcW w:w="9637" w:type="dxa"/>
            <w:gridSpan w:val="7"/>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Klimaændringer og miljø</w:t>
            </w:r>
          </w:p>
        </w:tc>
      </w:tr>
      <w:tr>
        <w:trPr/>
        <w:tc>
          <w:tcPr>
            <w:tcW w:w="3212"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Indførelse af en stærkere europæisk miljøpolitik</w:t>
            </w:r>
          </w:p>
        </w:tc>
        <w:tc>
          <w:tcPr>
            <w:tcW w:w="3214"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På vej mod et mere bæredygtigt landbrug</w:t>
            </w:r>
          </w:p>
        </w:tc>
        <w:tc>
          <w:tcPr>
            <w:tcW w:w="3211"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En stærkere indsats for at beskytte biodiversiteten</w:t>
            </w:r>
          </w:p>
        </w:tc>
      </w:tr>
      <w:tr>
        <w:trPr/>
        <w:tc>
          <w:tcPr>
            <w:tcW w:w="3212"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Udvikling af jernbanetransport i EU</w:t>
            </w:r>
          </w:p>
        </w:tc>
        <w:tc>
          <w:tcPr>
            <w:tcW w:w="3214"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Fremskynde energiomstillingen</w:t>
            </w:r>
          </w:p>
        </w:tc>
        <w:tc>
          <w:tcPr>
            <w:tcW w:w="3211"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Begrænsning af emballage og forbedring af affaldshåndteringen</w:t>
            </w:r>
          </w:p>
        </w:tc>
      </w:tr>
      <w:tr>
        <w:trPr/>
        <w:tc>
          <w:tcPr>
            <w:tcW w:w="3212"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Øge kendskabet til miljøet</w:t>
            </w:r>
          </w:p>
        </w:tc>
        <w:tc>
          <w:tcPr>
            <w:tcW w:w="3214"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Fremme af miljøansvarlige byggeprocesser</w:t>
            </w:r>
          </w:p>
        </w:tc>
        <w:tc>
          <w:tcPr>
            <w:tcW w:w="3211"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Investere mere i atomkraft</w:t>
            </w:r>
          </w:p>
        </w:tc>
      </w:tr>
      <w:tr>
        <w:trPr/>
        <w:tc>
          <w:tcPr>
            <w:tcW w:w="9637" w:type="dxa"/>
            <w:gridSpan w:val="7"/>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Det europæiske demokrati</w:t>
            </w:r>
          </w:p>
        </w:tc>
      </w:tr>
      <w:tr>
        <w:trPr/>
        <w:tc>
          <w:tcPr>
            <w:tcW w:w="3212"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Bedre kommunikation om EU's rolle og arbejde</w:t>
            </w:r>
          </w:p>
        </w:tc>
        <w:tc>
          <w:tcPr>
            <w:tcW w:w="3214"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Ændring af Den Europæiske Unions demokratiske funktion</w:t>
            </w:r>
          </w:p>
        </w:tc>
        <w:tc>
          <w:tcPr>
            <w:tcW w:w="3211"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Bekæmpelse af desinformation</w:t>
            </w:r>
          </w:p>
        </w:tc>
      </w:tr>
      <w:tr>
        <w:trPr/>
        <w:tc>
          <w:tcPr>
            <w:tcW w:w="3212"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At gøre Europa til en føderation</w:t>
            </w:r>
          </w:p>
        </w:tc>
        <w:tc>
          <w:tcPr>
            <w:tcW w:w="3214"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Overlade mere autonomi til medlemsstaterne</w:t>
            </w:r>
          </w:p>
        </w:tc>
        <w:tc>
          <w:tcPr>
            <w:tcW w:w="3211"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Opbygning af stærkere europæisk udøvende magt</w:t>
            </w:r>
          </w:p>
        </w:tc>
      </w:tr>
      <w:tr>
        <w:trPr/>
        <w:tc>
          <w:tcPr>
            <w:tcW w:w="3212"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At give de unge en plads i de europæiske institutioner</w:t>
            </w:r>
          </w:p>
        </w:tc>
        <w:tc>
          <w:tcPr>
            <w:tcW w:w="3214"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c>
          <w:tcPr>
            <w:tcW w:w="3211"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7"/>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Økonomi, social retfærdighed og beskæftigelse</w:t>
            </w:r>
          </w:p>
        </w:tc>
      </w:tr>
      <w:tr>
        <w:trPr/>
        <w:tc>
          <w:tcPr>
            <w:tcW w:w="3212"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Flytning af produktionen til Europa med henblik på større autonomi</w:t>
            </w:r>
          </w:p>
        </w:tc>
        <w:tc>
          <w:tcPr>
            <w:tcW w:w="3214"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Gøre forretningspraksis og handel mere ansvarlig</w:t>
            </w:r>
          </w:p>
        </w:tc>
        <w:tc>
          <w:tcPr>
            <w:tcW w:w="3211"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Bekæmpelse af skatteunddragelse og -optimering</w:t>
            </w:r>
          </w:p>
        </w:tc>
      </w:tr>
      <w:tr>
        <w:trPr/>
        <w:tc>
          <w:tcPr>
            <w:tcW w:w="3212"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Harmonisering af de europæiske lønninger</w:t>
            </w:r>
          </w:p>
        </w:tc>
        <w:tc>
          <w:tcPr>
            <w:tcW w:w="3214"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Etablering af en universel indkomst</w:t>
            </w:r>
          </w:p>
        </w:tc>
        <w:tc>
          <w:tcPr>
            <w:tcW w:w="3211"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Omlægning af Europa mod en antikapitalistisk model</w:t>
            </w:r>
          </w:p>
        </w:tc>
      </w:tr>
      <w:tr>
        <w:trPr/>
        <w:tc>
          <w:tcPr>
            <w:tcW w:w="4818"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Uddannelse, kultur, ungdom og sport</w:t>
            </w:r>
          </w:p>
        </w:tc>
        <w:tc>
          <w:tcPr>
            <w:tcW w:w="4819" w:type="dxa"/>
            <w:gridSpan w:val="4"/>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Digital transformation</w:t>
            </w:r>
          </w:p>
        </w:tc>
      </w:tr>
      <w:tr>
        <w:trPr/>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At sætte unge i stand til at udveksle mere med andre EU-lande</w:t>
            </w:r>
          </w:p>
        </w:tc>
        <w:tc>
          <w:tcPr>
            <w:tcW w:w="2410"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Tilskynde til indlæring af ikke-engelske sprog</w:t>
            </w:r>
          </w:p>
        </w:tc>
        <w:tc>
          <w:tcPr>
            <w:tcW w:w="2410"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Investering i videnskabelig, digital og miljømæssig forskning</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Øge bevidstheden om digital teknologi og dens farer</w:t>
            </w:r>
          </w:p>
        </w:tc>
      </w:tr>
      <w:tr>
        <w:trPr/>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At gøre europæiske ophold obligatoriske for unge</w:t>
            </w:r>
          </w:p>
        </w:tc>
        <w:tc>
          <w:tcPr>
            <w:tcW w:w="2410"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Udvikling af kryptovalutaer i Europa</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Værdier og rettigheder, retsstatsprincippet, sikkerhed</w:t>
            </w:r>
          </w:p>
        </w:tc>
        <w:tc>
          <w:tcPr>
            <w:tcW w:w="4819" w:type="dxa"/>
            <w:gridSpan w:val="4"/>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Sundhed</w:t>
            </w:r>
          </w:p>
        </w:tc>
      </w:tr>
      <w:tr>
        <w:trPr/>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Styrkelse af EU's indsats for at respektere menneskerettighederne</w:t>
            </w:r>
          </w:p>
        </w:tc>
        <w:tc>
          <w:tcPr>
            <w:tcW w:w="2410"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Styrkelse af kvinders rettigheder</w:t>
            </w:r>
          </w:p>
        </w:tc>
        <w:tc>
          <w:tcPr>
            <w:tcW w:w="2410"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Investering i sundhed</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Forbedre kvaliteten af vores fødevarer</w:t>
            </w:r>
          </w:p>
        </w:tc>
      </w:tr>
      <w:tr>
        <w:trPr/>
        <w:tc>
          <w:tcPr>
            <w:tcW w:w="4818"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EU i verden</w:t>
            </w:r>
          </w:p>
        </w:tc>
        <w:tc>
          <w:tcPr>
            <w:tcW w:w="4819" w:type="dxa"/>
            <w:gridSpan w:val="4"/>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Indvandring </w:t>
            </w:r>
          </w:p>
        </w:tc>
      </w:tr>
      <w:tr>
        <w:trPr/>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At gøre EU i stand til at veje internationalt</w:t>
            </w:r>
          </w:p>
        </w:tc>
        <w:tc>
          <w:tcPr>
            <w:tcW w:w="2410"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Oprettelse af en europæisk væbnet styrke</w:t>
            </w:r>
          </w:p>
        </w:tc>
        <w:tc>
          <w:tcPr>
            <w:tcW w:w="2410"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Mindskelse af eller ledsagende indvandring i Europa</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Overvejende idé (&gt; 10 anerkendte forslag)</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Ental idé ( &amp;10 roste forslag)</w:t>
      </w:r>
    </w:p>
    <w:p>
      <w:pPr>
        <w:pStyle w:val="Contenudetableau"/>
        <w:spacing w:lineRule="auto" w:line="240"/>
        <w:jc w:val="center"/>
        <w:rPr/>
      </w:pPr>
      <w:r>
        <w:rPr>
          <w:rFonts w:eastAsia="SimSun" w:cs="Mangal" w:ascii="Times New Roman" w:hAnsi="Times New Roman"/>
          <w:color w:val="F58220"/>
          <w:sz w:val="18"/>
        </w:rPr>
        <w:t>Kontroversiel idé (&gt; 3 kontroversielle forslag)</w:t>
      </w:r>
      <w:r>
        <w:br w:type="page"/>
      </w:r>
    </w:p>
    <w:p>
      <w:pPr>
        <w:pStyle w:val="Titre2"/>
        <w:numPr>
          <w:ilvl w:val="1"/>
          <w:numId w:val="2"/>
        </w:numPr>
        <w:rPr/>
      </w:pPr>
      <w:bookmarkStart w:id="213" w:name="__RefHeading___Toc300458_1346298689"/>
      <w:bookmarkEnd w:id="213"/>
      <w:r>
        <w:rPr/>
        <w:t xml:space="preserve">Konklusion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 xml:space="preserve">"Med ét ord, for dig, skal Europa i 2035 være...":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Billeder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leder41" descr=""/>
                    <pic:cNvPicPr>
                      <a:picLocks noChangeAspect="1" noChangeArrowheads="1"/>
                    </pic:cNvPicPr>
                  </pic:nvPicPr>
                  <pic:blipFill>
                    <a:blip r:embed="rId102"/>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S</w:t>
      </w:r>
      <w:r>
        <w:rPr>
          <w:rFonts w:ascii="Times New Roman" w:hAnsi="Times New Roman"/>
          <w:i/>
          <w:color w:val="632423"/>
          <w:sz w:val="24"/>
        </w:rPr>
        <w:t xml:space="preserve">var fra borgerne på den nationale konference på det sidste spørgsmål: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I en nøddeskal, for dig, vil Europa i 2035 nødt til at være...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De nationale paneler: Tyskland</w:t>
      </w:r>
    </w:p>
    <w:p>
      <w:pPr>
        <w:pStyle w:val="P68B1DB1Normal67"/>
        <w:spacing w:lineRule="auto" w:line="240"/>
        <w:rPr>
          <w:rFonts w:ascii="Calibri" w:hAnsi="Calibri"/>
          <w:b/>
          <w:b/>
          <w:color w:val="000000"/>
          <w:sz w:val="36"/>
        </w:rPr>
      </w:pPr>
      <w:r>
        <w:rPr/>
        <w:t xml:space="preserve">Det nationale borgerpanel om Europas fremtid i Berlin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Borgernes anbefalinger — </w:t>
      </w:r>
    </w:p>
    <w:p>
      <w:pPr>
        <w:pStyle w:val="P68B1DB1Normal52"/>
        <w:widowControl w:val="false"/>
        <w:spacing w:lineRule="exact" w:line="317" w:before="288" w:after="0"/>
        <w:ind w:left="276" w:right="113" w:hanging="0"/>
        <w:jc w:val="both"/>
        <w:rPr/>
      </w:pPr>
      <w:r>
        <w:rPr>
          <w:color w:val="000000"/>
        </w:rPr>
        <w:t xml:space="preserve">Tyskland holdt sit nationale borgerpanel om Europas fremtid den 5., 8., 15. og 16. januar. Borgerudvælgelsesprocessen fulgte den stratificerede tilfældige udvælgelse af deltagere i de europæiske borgerpaneler. 12.000 tyske statsborgere blev inviteret til at deltage. af de indstævnte blev ca. 100 udvalgt under hensyntagen til Forbundsrepublikken Tysklands aktuelle folketællingsdata for at afspejle mangfoldigheden i det tyske samfund og befolkningen som helhed. Under det nationale borgerpanel drøftede deltagerne fem temaer: EU i verden, en stærkere økonomi; klimaændringer og miljø, social retfærdighed; Europæiske værdier og retsstatsprincippet. De udarbejdede derefter konkrete anbefalinger for hvert af disse emner, som blev vedtaget på den afsluttende plenarforsamling den 16. januar: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Rundbordsdiskussion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Sammenkædning af udenlandske handelsinteresser med klimapolitiske foranstaltninger </w:t>
      </w:r>
    </w:p>
    <w:p>
      <w:pPr>
        <w:pStyle w:val="P68B1DB1Normal20"/>
        <w:widowControl w:val="false"/>
        <w:spacing w:lineRule="exact" w:line="337" w:before="192" w:after="0"/>
        <w:ind w:left="276" w:right="123" w:hanging="0"/>
        <w:jc w:val="both"/>
        <w:rPr/>
      </w:pPr>
      <w:r>
        <w:rPr/>
        <w:t xml:space="preserve">Vi anbefaler, at EU (navnlig Europa-Kommissionen) lancerer en investeringspakke for klimavenlige teknologier og innovationer, herunder finansieringsprogrammer. Denne pakke af foranstaltninger bør finansieres af klimarelaterede importafgifter, som specifikt vil blive påvirket og videregivet som økonomisk kompensation for klimaskader. I den forbindelse vil der blive indført et system med punkter til vurdering af bæredygtigheden for visse produkter. En klar EU-holdning og et stærkt og innovativt Europa vil bidrage til at nå de globale klimamål. Dette vil bidrage til at konsolidere Den Europæiske Unions rolle som en global pioner og ansvarlig model, der garanterer velstand og kan føre til bæredygtige ændringer på globalt plan. Disse mål er vigtige for os, da EU yder et bæredygtigt bidrag til bekæmpelsen af klimaændringer, som på lang sigt kan spille en central rolle i konsolideringen af den globale fred.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Rundbordsdiskussion 2: </w:t>
      </w:r>
    </w:p>
    <w:p>
      <w:pPr>
        <w:pStyle w:val="P68B1DB1Normal68"/>
        <w:widowControl w:val="false"/>
        <w:spacing w:lineRule="exact" w:line="338" w:before="321" w:after="0"/>
        <w:ind w:left="0" w:right="131" w:hanging="0"/>
        <w:jc w:val="left"/>
        <w:rPr/>
      </w:pPr>
      <w:r>
        <w:rPr/>
        <w:t xml:space="preserve">Skabe incitamenter til at gennemføre produktion i EU, navnlig med hensyn til råvarer </w:t>
      </w:r>
    </w:p>
    <w:p>
      <w:pPr>
        <w:pStyle w:val="P68B1DB1Normal20"/>
        <w:widowControl w:val="false"/>
        <w:spacing w:lineRule="exact" w:line="337" w:before="208" w:after="0"/>
        <w:ind w:left="276" w:right="121" w:hanging="0"/>
        <w:jc w:val="both"/>
        <w:rPr/>
      </w:pPr>
      <w:r>
        <w:rPr/>
        <w:t xml:space="preserve">For at lette produktionen af råvarer i EU anbefaler vi at fremskynde og standardisere godkendelsesprocedurerne, mindske bureaukratiet og yde støtte til virksomheder, der flytter til EU, og/eller etablere produktionsanlæg i EU. EU bør i høj grad fremme vedvarende energi for at reducere energiomkostningerne. </w:t>
      </w:r>
    </w:p>
    <w:p>
      <w:pPr>
        <w:pStyle w:val="P68B1DB1Normal20"/>
        <w:widowControl w:val="false"/>
        <w:spacing w:lineRule="exact" w:line="336" w:before="216" w:after="0"/>
        <w:ind w:left="276" w:right="121" w:hanging="0"/>
        <w:jc w:val="both"/>
        <w:rPr/>
      </w:pPr>
      <w:r>
        <w:rPr/>
        <w:t xml:space="preserve">Gennem disse foranstaltninger ønsker vi at forkorte forsyningskæderne og gøre dem mere klimavenlige, bidrage til at styrke EU og skabe arbejdspladser, hvor menneskerettighederne respekteres. </w:t>
      </w:r>
    </w:p>
    <w:p>
      <w:pPr>
        <w:pStyle w:val="Normal"/>
        <w:widowControl w:val="false"/>
        <w:spacing w:lineRule="exact" w:line="336" w:before="219" w:after="0"/>
        <w:ind w:left="276" w:right="121" w:hanging="0"/>
        <w:jc w:val="both"/>
        <w:rPr/>
      </w:pPr>
      <w:r>
        <w:rPr>
          <w:rFonts w:ascii="Calibri" w:hAnsi="Calibri"/>
          <w:color w:val="000000"/>
          <w:sz w:val="24"/>
        </w:rPr>
        <w:t xml:space="preserve">Disse mål er vigtige for os, fordi flytningen af produktionen til EU vil gøre EU mere autonomt internationalt og mindre politisk sårbart.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Rundbordsdiskussion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et pointsystem for en stærk digital økonomi i hele EU </w:t>
      </w:r>
    </w:p>
    <w:p>
      <w:pPr>
        <w:pStyle w:val="P68B1DB1Normal20"/>
        <w:widowControl w:val="false"/>
        <w:spacing w:lineRule="exact" w:line="337" w:before="192" w:after="0"/>
        <w:ind w:left="276" w:right="119" w:hanging="0"/>
        <w:jc w:val="both"/>
        <w:rPr/>
      </w:pPr>
      <w:r>
        <w:rPr/>
        <w:t xml:space="preserve">Vi foreslår, at der oprettes et offentligt tilgængeligt digitalt dashboard kaldet Digi-Score, der forvaltes af Europa-Kommissionen (GD CNECT). Dette ville være et præcist rangordningssystem til at angive og sammenligne EU-virksomheders nuværende digitale modenhedsniveau. Med dette forslag ønsker vi at fremme mere digitalisering i hele Europa. Virksomheder med en lav digital score vil være berettiget til målrettet støtte for at hjælpe dem med at indhente. </w:t>
      </w:r>
    </w:p>
    <w:p>
      <w:pPr>
        <w:pStyle w:val="P68B1DB1Normal20"/>
        <w:widowControl w:val="false"/>
        <w:spacing w:lineRule="exact" w:line="338" w:before="219" w:after="0"/>
        <w:ind w:left="276" w:right="121" w:hanging="0"/>
        <w:jc w:val="both"/>
        <w:rPr/>
      </w:pPr>
      <w:r>
        <w:rPr/>
        <w:t xml:space="preserve">Dette mål er vigtigt for os, da det vil bidrage til at bane vejen for øget produktivitet, effektivitet og salg og dermed styrke Europas rolle som produktionsgrundlag.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Rundbordsdiskussion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Informationsplatform for udveksling af viden og erfaringer på EU-plan </w:t>
      </w:r>
    </w:p>
    <w:p>
      <w:pPr>
        <w:pStyle w:val="P68B1DB1Normal20"/>
        <w:widowControl w:val="false"/>
        <w:spacing w:lineRule="exact" w:line="337"/>
        <w:ind w:left="276" w:right="119" w:hanging="0"/>
        <w:jc w:val="both"/>
        <w:rPr/>
      </w:pPr>
      <w:r>
        <w:rPr/>
        <w:t xml:space="preserve">Vi anbefaler, at EU opretter en informationsplatform for udveksling af viden og erfaringer på EU-plan. Vores mål er at udveksle oplysninger om eksisterende tværnationale uddannelses- og erhvervsuddannelsesaktiviteter i EU, at præsentere eksempler på bedste praksis og at give borgerne mulighed for at fremlægge nye idéer til grænseoverskridende udvekslinger. Derudover kan der gives yderligere oplysninger om tilgængelige tekniske ekspertfora (f.eks. om energi, miljø eller digital omstilling). </w:t>
      </w:r>
    </w:p>
    <w:p>
      <w:pPr>
        <w:pStyle w:val="P68B1DB1Normal20"/>
        <w:widowControl w:val="false"/>
        <w:spacing w:lineRule="exact" w:line="337" w:before="216" w:after="0"/>
        <w:ind w:left="276" w:right="121" w:hanging="0"/>
        <w:jc w:val="both"/>
        <w:rPr/>
      </w:pPr>
      <w:r>
        <w:rPr/>
        <w:t xml:space="preserve">Vi mener, at dette er vigtigt, fordi borgerne har brug for gennemsigtighed med hensyn til de grænseoverskridende uddannelsesaktiviteter, der er til rådighed. De bør modtage bedre vejledning på EU-plan om eksisterende fora og platforme.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Rundbordsdiskussion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Forordning om produktlivsgaranti </w:t>
      </w:r>
    </w:p>
    <w:p>
      <w:pPr>
        <w:pStyle w:val="P68B1DB1Normal20"/>
        <w:widowControl w:val="false"/>
        <w:spacing w:lineRule="exact" w:line="337" w:before="192" w:after="0"/>
        <w:ind w:left="276" w:right="119" w:hanging="0"/>
        <w:jc w:val="both"/>
        <w:rPr/>
      </w:pPr>
      <w:r>
        <w:rPr/>
        <w:t xml:space="preserve">Vi anbefaler, at EU vedtager lovgivning med henblik på at indføre en udvidet, garanteret og specifik levetid for hvert produkt, der fremstilles og sælges i EU, og at være gennemsigtig over for forbrugerne i denne henseende. </w:t>
      </w:r>
    </w:p>
    <w:p>
      <w:pPr>
        <w:pStyle w:val="P68B1DB1Normal20"/>
        <w:widowControl w:val="false"/>
        <w:spacing w:lineRule="exact" w:line="336" w:before="219" w:after="0"/>
        <w:ind w:left="276" w:right="126" w:hanging="0"/>
        <w:jc w:val="both"/>
        <w:rPr/>
      </w:pPr>
      <w:r>
        <w:rPr/>
        <w:t xml:space="preserve">Ressourcerne er begrænsede, og det vil spare penge og reducere affald, hvilket vil gavne miljøet, klimaet og forbrugerne. </w:t>
      </w:r>
    </w:p>
    <w:p>
      <w:pPr>
        <w:pStyle w:val="P68B1DB1Normal20"/>
        <w:widowControl w:val="false"/>
        <w:spacing w:lineRule="exact" w:line="338" w:before="216" w:after="0"/>
        <w:ind w:left="276" w:right="131" w:hanging="0"/>
        <w:jc w:val="left"/>
        <w:rPr/>
      </w:pPr>
      <w:r>
        <w:rPr/>
        <w:t xml:space="preserve">Vi ønsker at tilskynde producenterne til at bringe mere holdbare og reparerelige produkter på markedet.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Rundbordsdiskussion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Langsigtet EU-kampagne for bæredygtigt forbrug og livsstil </w:t>
      </w:r>
    </w:p>
    <w:p>
      <w:pPr>
        <w:pStyle w:val="P68B1DB1Normal20"/>
        <w:widowControl w:val="false"/>
        <w:spacing w:lineRule="exact" w:line="336"/>
        <w:ind w:left="276" w:right="126" w:hanging="0"/>
        <w:jc w:val="left"/>
        <w:rPr/>
      </w:pPr>
      <w:r>
        <w:rPr/>
        <w:t xml:space="preserve">Vi anbefaler, at et europæisk organ, herunder filialer i EU-landene, har egne ressourcer og leder denne kampagne. </w:t>
      </w:r>
    </w:p>
    <w:p>
      <w:pPr>
        <w:pStyle w:val="P68B1DB1Normal20"/>
        <w:widowControl w:val="false"/>
        <w:spacing w:lineRule="exact" w:line="336" w:before="219" w:after="0"/>
        <w:ind w:left="276" w:right="128" w:hanging="0"/>
        <w:jc w:val="both"/>
        <w:rPr/>
      </w:pPr>
      <w:r>
        <w:rPr/>
        <w:t xml:space="preserve">Vores mål er at sikre, at alle EU-borgere anerkender sig selv i en fælles identitet, bliver mere bevidste om behovet for bæredygtigt forbrug og livsstil og vedtager denne livsstil. </w:t>
      </w:r>
    </w:p>
    <w:p>
      <w:pPr>
        <w:pStyle w:val="P68B1DB1Normal20"/>
        <w:widowControl w:val="false"/>
        <w:spacing w:lineRule="exact" w:line="336" w:before="216" w:after="0"/>
        <w:ind w:left="276" w:right="128" w:hanging="0"/>
        <w:jc w:val="left"/>
        <w:rPr/>
      </w:pPr>
      <w:r>
        <w:rPr/>
        <w:t xml:space="preserve">Disse mål er vigtige for os, fordi vi ønsker at vække en iboende motivation for en bæredygtig livsstil.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Rundbordsdiskussion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Skabe flere udvekslingsmuligheder for studerende i Europa </w:t>
      </w:r>
    </w:p>
    <w:p>
      <w:pPr>
        <w:pStyle w:val="P68B1DB1Normal20"/>
        <w:widowControl w:val="false"/>
        <w:spacing w:lineRule="exact" w:line="293" w:before="162" w:after="0"/>
        <w:ind w:left="276" w:right="123" w:hanging="0"/>
        <w:jc w:val="both"/>
        <w:rPr/>
      </w:pPr>
      <w:r>
        <w:rPr/>
        <w:t xml:space="preserve">Vi anbefaler, at EU ud over Erasmus-programmet vedtager en forordning om et udvekslingsprogram for elever og studerende mellem 14 og 25 år, uanset deres oprindelse, køn og uddannelsesniveau. Dette udvekslingsprogram bør systematisk oprettes og fremmes af skoler på lokalt plan. Hver elev skal have mulighed for at deltage i udvekslingsprogrammet på ethvert tidspunkt af deres skolegang. Med henblik herpå bør Europa-Kommissionen forelægge et forslag for Europa-Parlamentet og Det Europæiske Råd. </w:t>
      </w:r>
    </w:p>
    <w:p>
      <w:pPr>
        <w:pStyle w:val="P68B1DB1Normal20"/>
        <w:widowControl w:val="false"/>
        <w:spacing w:lineRule="exact" w:line="293" w:before="168" w:after="0"/>
        <w:ind w:left="276" w:right="123" w:hanging="0"/>
        <w:jc w:val="both"/>
        <w:rPr/>
      </w:pPr>
      <w:r>
        <w:rPr/>
        <w:t xml:space="preserve">Vores mål er at give studerende, uanset deres akademiske præstationer og økonomisk støtte fra deres forældre, mulighed for at deltage i udvekslingsprogrammer i hele Europa. En europæisk udvekslingskultur bør fremmes fra skolealderen. Først og fremmest er det vigtigt, at udvekslingsprogrammer er let tilgængelige og uden bureaukrati. Gennem dette udvekslingsprogram ønsker vi at skabe europæisk solidaritet og mindske sprogbarriererne. I den forbindelse skal der tages hensyn til lighed i uddannelse og deltagelse i uddannelse for at styrke interkulturelle og kommunikationsmæssige færdigheder. </w:t>
      </w:r>
    </w:p>
    <w:p>
      <w:pPr>
        <w:pStyle w:val="P68B1DB1Normal20"/>
        <w:widowControl w:val="false"/>
        <w:spacing w:lineRule="exact" w:line="293" w:before="168" w:after="0"/>
        <w:ind w:left="276" w:right="123" w:hanging="0"/>
        <w:jc w:val="both"/>
        <w:rPr/>
      </w:pPr>
      <w:r>
        <w:rPr/>
        <w:t xml:space="preserve">Disse mål er vigtige for os, da de kan bidrage til at fremme den europæiske samhørighed, styrke respekten og samarbejdet og formidle europæiske værdier fra en tidlig alder, så Europas mangfoldighed kan ses som en mulighed.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Rundbordsdiskussion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Fastsættelse af en grundløn, der er specifik for beskæftigelsen </w:t>
      </w:r>
    </w:p>
    <w:p>
      <w:pPr>
        <w:pStyle w:val="P68B1DB1Normal20"/>
        <w:widowControl w:val="false"/>
        <w:spacing w:lineRule="exact" w:line="293"/>
        <w:ind w:left="276" w:right="121" w:hanging="0"/>
        <w:jc w:val="both"/>
        <w:rPr/>
      </w:pPr>
      <w:r>
        <w:rPr/>
        <w:t xml:space="preserve">Vi anbefaler, at EU-kommissæren for beskæftigelse og sociale rettigheder forelægger Europa-Parlamentet et forslag om at indføre en grundløn, der er specifik for beskæftigelsen i alle medlemsstater. Denne grundløn bør bestå af en minimumsindkomst, der er tilstrækkelig til at sikre underhold og et specifikt supplement til beskæftigelsen. </w:t>
      </w:r>
    </w:p>
    <w:p>
      <w:pPr>
        <w:pStyle w:val="P68B1DB1Normal20"/>
        <w:widowControl w:val="false"/>
        <w:spacing w:lineRule="exact" w:line="293" w:before="173" w:after="0"/>
        <w:ind w:left="276" w:right="121" w:hanging="0"/>
        <w:jc w:val="both"/>
        <w:rPr/>
      </w:pPr>
      <w:r>
        <w:rPr/>
        <w:t xml:space="preserve">Vores mål er at sikre, at faglige resultater og lønninger er sammenlignelige i hele EU med henblik på at styrke den sociale retfærdighed. Dette mål er vigtigt for os, da det vil sikre, at arbejdsmarkedet respekterer et grundlæggende EU-princip: sammenlignelige leve- og arbejdsvilkår, uanset en persons bopæl og erhverv.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Rundbordsdiskussion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Legemliggørelse af europæiske værdier og formidling af dem ved at appellere til følelser </w:t>
      </w:r>
    </w:p>
    <w:p>
      <w:pPr>
        <w:pStyle w:val="P68B1DB1Normal20"/>
        <w:widowControl w:val="false"/>
        <w:spacing w:lineRule="exact" w:line="338" w:before="192" w:after="0"/>
        <w:ind w:left="276" w:right="126" w:hanging="0"/>
        <w:jc w:val="both"/>
        <w:rPr/>
      </w:pPr>
      <w:r>
        <w:rPr/>
        <w:t xml:space="preserve">Vi anbefaler at gøre europæiske værdier mere konkrete og kommunikere med flere følelser. Vi kunne f.eks. opnå dette ved hjælp af en "integrationspakke", der omfatter medierne, interaktive elementer og større borgerdeltagelse. </w:t>
      </w:r>
    </w:p>
    <w:p>
      <w:pPr>
        <w:pStyle w:val="P68B1DB1Normal20"/>
        <w:widowControl w:val="false"/>
        <w:spacing w:lineRule="exact" w:line="336" w:before="216" w:after="0"/>
        <w:ind w:left="276" w:right="126" w:hanging="0"/>
        <w:jc w:val="left"/>
        <w:rPr/>
      </w:pPr>
      <w:r>
        <w:rPr/>
        <w:t xml:space="preserve">Vores mål er, at alle, der bor i EU, skal kende og omfavne fælles værdier. </w:t>
      </w:r>
    </w:p>
    <w:p>
      <w:pPr>
        <w:pStyle w:val="P68B1DB1Normal20"/>
        <w:widowControl w:val="false"/>
        <w:spacing w:lineRule="exact" w:line="337" w:before="216" w:after="0"/>
        <w:ind w:left="276" w:right="119" w:hanging="0"/>
        <w:jc w:val="both"/>
        <w:rPr/>
      </w:pPr>
      <w:r>
        <w:rPr/>
        <w:t xml:space="preserve">Dette mål er vigtigt for os, fordi det danner grundlaget for vores sameksistens inden for vores værdifællesskab. Disse værdier er for lidt kendt, fordi det personlige link mangler. Vi er nødt til at skabe denne forbindelse.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Rundbordsdiskussion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Livet i EU </w:t>
      </w:r>
    </w:p>
    <w:p>
      <w:pPr>
        <w:pStyle w:val="P68B1DB1Normal20"/>
        <w:widowControl w:val="false"/>
        <w:spacing w:lineRule="exact" w:line="337" w:before="191" w:after="0"/>
        <w:ind w:left="276" w:right="116" w:hanging="0"/>
        <w:jc w:val="both"/>
        <w:rPr/>
      </w:pPr>
      <w:r>
        <w:rPr/>
        <w:t xml:space="preserve">Vi anbefaler, at EU opretter sit eget uddannelses- og informations-tv-program for at øge bevidstheden blandt alle EU-borgere om vores fælles værdier og sikre nem og uhindret adgang til disse oplysninger for alle. Disse mål er vigtige for os, fordi vi ønsker bedre at forstå den offentlige mening i de enkelte EU-lande. På den måde ønsker vi at styrke det fælles grundlag og bidrage til at bringe borgerne sammen for at fremme større solidaritet og uddanne dem i retsstatsprincippet for at bevare demokratiet.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De nationale paneler: Italien</w:t>
      </w:r>
    </w:p>
    <w:p>
      <w:pPr>
        <w:pStyle w:val="P68B1DB1Normal70"/>
        <w:spacing w:lineRule="auto" w:line="240"/>
        <w:jc w:val="center"/>
        <w:rPr/>
      </w:pPr>
      <w:r>
        <w:rPr/>
        <w:t xml:space="preserve">Borgerpanelet skal fremsætte anbefalinger til konferencen om Europas fremtid, 11.-12. marts 2022 </w:t>
      </w:r>
    </w:p>
    <w:p>
      <w:pPr>
        <w:pStyle w:val="P68B1DB1Normal71"/>
        <w:widowControl w:val="false"/>
        <w:spacing w:lineRule="exact" w:line="916" w:before="147" w:after="0"/>
        <w:ind w:left="2234" w:right="0" w:hanging="0"/>
        <w:jc w:val="left"/>
        <w:rPr>
          <w:rFonts w:ascii="Arial" w:hAnsi="Arial"/>
          <w:color w:val="BD1271"/>
          <w:sz w:val="56"/>
        </w:rPr>
      </w:pPr>
      <w:r>
        <w:rPr/>
        <w:t xml:space="preserve">Sammenfattende rapport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Rom, den 16. marts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Billeder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leder42" descr=""/>
                    <pic:cNvPicPr>
                      <a:picLocks noChangeAspect="1" noChangeArrowheads="1"/>
                    </pic:cNvPicPr>
                  </pic:nvPicPr>
                  <pic:blipFill>
                    <a:blip r:embed="rId103"/>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Oversigt over indhold</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355" w:leader="dot"/>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355" w:leader="dot"/>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355" w:leader="dot"/>
              <w:tab w:val="right" w:pos="9638" w:leader="dot"/>
            </w:tabs>
            <w:rPr/>
          </w:pPr>
          <w:hyperlink w:anchor="__RefHeading___Toc300312_1346298689">
            <w:r>
              <w:rPr>
                <w:rStyle w:val="Sautdindex"/>
              </w:rPr>
              <w:t>3. Organisation du panel</w:t>
              <w:tab/>
              <w:t>233</w:t>
            </w:r>
          </w:hyperlink>
        </w:p>
        <w:p>
          <w:pPr>
            <w:pStyle w:val="Tabledesmatiresniveau2"/>
            <w:tabs>
              <w:tab w:val="right" w:pos="9355" w:leader="dot"/>
              <w:tab w:val="right" w:pos="9638" w:leader="dot"/>
            </w:tabs>
            <w:rPr/>
          </w:pPr>
          <w:hyperlink w:anchor="__RefHeading___Toc300314_1346298689">
            <w:r>
              <w:rPr>
                <w:rStyle w:val="Sautdindex"/>
              </w:rPr>
              <w:t>4. Programme de travail</w:t>
              <w:tab/>
              <w:t>233</w:t>
            </w:r>
          </w:hyperlink>
        </w:p>
        <w:p>
          <w:pPr>
            <w:pStyle w:val="Tabledesmatiresniveau2"/>
            <w:tabs>
              <w:tab w:val="right" w:pos="9355" w:leader="dot"/>
              <w:tab w:val="right" w:pos="9638" w:leader="dot"/>
            </w:tabs>
            <w:rPr/>
          </w:pPr>
          <w:hyperlink w:anchor="__RefHeading___Toc300316_1346298689">
            <w:r>
              <w:rPr>
                <w:rStyle w:val="Sautdindex"/>
              </w:rPr>
              <w:t>5. Recommandations formulées</w:t>
              <w:tab/>
              <w:t>235</w:t>
            </w:r>
          </w:hyperlink>
        </w:p>
        <w:p>
          <w:pPr>
            <w:pStyle w:val="Tabledesmatiresniveau3"/>
            <w:tabs>
              <w:tab w:val="right" w:pos="9072" w:leader="dot"/>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8789" w:leader="dot"/>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8789" w:leader="dot"/>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8789" w:leader="dot"/>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8789" w:leader="dot"/>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8789" w:leader="dot"/>
              <w:tab w:val="right" w:pos="9638" w:leader="dot"/>
            </w:tabs>
            <w:rPr/>
          </w:pPr>
          <w:hyperlink w:anchor="__RefHeading___Toc300436_1346298689">
            <w:r>
              <w:rPr>
                <w:rStyle w:val="Sautdindex"/>
              </w:rPr>
              <w:t>5. Politiques d'inclusion</w:t>
              <w:tab/>
              <w:t>238</w:t>
            </w:r>
          </w:hyperlink>
        </w:p>
        <w:p>
          <w:pPr>
            <w:pStyle w:val="Tabledesmatiresniveau4"/>
            <w:tabs>
              <w:tab w:val="right" w:pos="8789" w:leader="dot"/>
              <w:tab w:val="right" w:pos="9638" w:leader="dot"/>
            </w:tabs>
            <w:rPr/>
          </w:pPr>
          <w:hyperlink w:anchor="__RefHeading___Toc300438_1346298689">
            <w:r>
              <w:rPr>
                <w:rStyle w:val="Sautdindex"/>
              </w:rPr>
              <w:t>6. Emploi</w:t>
              <w:tab/>
              <w:t>239</w:t>
            </w:r>
          </w:hyperlink>
        </w:p>
        <w:p>
          <w:pPr>
            <w:pStyle w:val="Tabledesmatiresniveau3"/>
            <w:tabs>
              <w:tab w:val="right" w:pos="9072" w:leader="dot"/>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8789" w:leader="dot"/>
              <w:tab w:val="right" w:pos="9638" w:leader="dot"/>
            </w:tabs>
            <w:rPr/>
          </w:pPr>
          <w:hyperlink w:anchor="__RefHeading___Toc300440_1346298689">
            <w:r>
              <w:rPr>
                <w:rStyle w:val="Sautdindex"/>
              </w:rPr>
              <w:t>1. Renforcer l'identité européenne</w:t>
              <w:tab/>
              <w:t>240</w:t>
            </w:r>
          </w:hyperlink>
        </w:p>
        <w:p>
          <w:pPr>
            <w:pStyle w:val="Tabledesmatiresniveau4"/>
            <w:tabs>
              <w:tab w:val="right" w:pos="8789" w:leader="dot"/>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8789" w:leader="dot"/>
              <w:tab w:val="right" w:pos="9638" w:leader="dot"/>
            </w:tabs>
            <w:rPr/>
          </w:pPr>
          <w:hyperlink w:anchor="__RefHeading___Toc300444_1346298689">
            <w:r>
              <w:rPr>
                <w:rStyle w:val="Sautdindex"/>
              </w:rPr>
              <w:t>3. Coopération et partenariats</w:t>
              <w:tab/>
              <w:t>241</w:t>
            </w:r>
          </w:hyperlink>
        </w:p>
        <w:p>
          <w:pPr>
            <w:pStyle w:val="Tabledesmatiresniveau4"/>
            <w:tabs>
              <w:tab w:val="right" w:pos="8789" w:leader="dot"/>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355" w:leader="dot"/>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p>
    <w:p>
      <w:pPr>
        <w:pStyle w:val="P68B1DB1Titre273"/>
        <w:numPr>
          <w:ilvl w:val="0"/>
          <w:numId w:val="2"/>
        </w:numPr>
        <w:rPr/>
      </w:pPr>
      <w:bookmarkStart w:id="216" w:name="__RefHeading___Toc300308_1346298689"/>
      <w:bookmarkEnd w:id="216"/>
      <w:r>
        <w:rPr/>
        <w:t xml:space="preserve">1. Vejledende principper for processen med at organisere panelet </w:t>
      </w:r>
    </w:p>
    <w:p>
      <w:pPr>
        <w:pStyle w:val="P68B1DB1Normal34"/>
        <w:widowControl w:val="false"/>
        <w:spacing w:lineRule="auto" w:line="240"/>
        <w:ind w:left="0" w:right="0" w:hanging="0"/>
        <w:jc w:val="left"/>
        <w:rPr/>
      </w:pPr>
      <w:r>
        <w:rPr/>
        <w:t xml:space="preserve"> </w:t>
      </w:r>
      <w:r>
        <w:rPr/>
        <w:t xml:space="preserve">Hele processen med gennemførelsen af panelet var udformet således, at den var i overensstemmelse med retningslinjerne i retningslinjerne for de nationale borgerpaneler i forbindelse med konferencen om Europas fremtid. Mere specifikt: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Formål:</w:t>
      </w:r>
      <w:r>
        <w:rPr>
          <w:b/>
          <w:color w:val="000000"/>
        </w:rPr>
        <w:t xml:space="preserve"> </w:t>
      </w:r>
    </w:p>
    <w:p>
      <w:pPr>
        <w:pStyle w:val="P68B1DB1Normal34"/>
        <w:widowControl w:val="false"/>
        <w:spacing w:lineRule="auto" w:line="240"/>
        <w:ind w:left="720" w:right="0" w:hanging="0"/>
        <w:jc w:val="left"/>
        <w:rPr/>
      </w:pPr>
      <w:r>
        <w:rPr/>
        <w:t xml:space="preserve">Alle, der blev opfordret til at deltage i panelet, udfyldte et deltagelsesspørgeskema med angivelse af projektets mål og formål med specifikke henvisninger til konferencen om Europas fremtid, de emner, der var omfattet, og betingelserne for deltagelse.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Gennemsigtighed: </w:t>
      </w:r>
    </w:p>
    <w:p>
      <w:pPr>
        <w:pStyle w:val="P68B1DB1Normal34"/>
        <w:widowControl w:val="false"/>
        <w:spacing w:lineRule="auto" w:line="240"/>
        <w:ind w:left="720" w:right="0" w:hanging="0"/>
        <w:jc w:val="left"/>
        <w:rPr/>
      </w:pPr>
      <w:r>
        <w:rPr/>
        <w:t xml:space="preserve">Alle dokumenter, der præsenterede initiativet, blev gjort tilgængelige for deltagerne på forskellige måder, idet der altid henvises til konferencens officielle websted. Dokumenterne blev sendt pr. e-mail til alle deltagere.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Rummelighed: </w:t>
      </w:r>
    </w:p>
    <w:p>
      <w:pPr>
        <w:pStyle w:val="P68B1DB1Normal75"/>
        <w:widowControl w:val="false"/>
        <w:spacing w:lineRule="auto" w:line="240"/>
        <w:ind w:left="708" w:right="0" w:hanging="0"/>
        <w:jc w:val="left"/>
        <w:rPr/>
      </w:pPr>
      <w:r>
        <w:rPr>
          <w:color w:val="000000"/>
        </w:rPr>
        <w:t xml:space="preserve">Invitationen til at deltage blev sendt via forskellige kanaler: du kan f.eks. sende en e-mail til </w:t>
      </w:r>
      <w:r>
        <w:rPr>
          <w:color w:val="ED7D31"/>
        </w:rPr>
        <w:t>SWG</w:t>
      </w:r>
      <w:r>
        <w:rPr>
          <w:color w:val="000000"/>
        </w:rPr>
        <w:t xml:space="preserve"> -fællesskabsmedlemmer og dele linket til ansøgningsskemaet via Twitter og LinkedIn. Dette resulterede i i alt mere end 400 adgange til ansøgningsskemaet og 245 ansøgninger. Udvælgelsen af deltagere (tilfældig) blev foretaget på en sådan måde, at det sikres, at der er forskellige personer med hensyn til køn, alder, social oprindelse, bopæl og erhvervsmæssig status.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Repræsentativitet: </w:t>
      </w:r>
    </w:p>
    <w:p>
      <w:pPr>
        <w:pStyle w:val="P68B1DB1Normal34"/>
        <w:widowControl w:val="false"/>
        <w:spacing w:lineRule="auto" w:line="240"/>
        <w:ind w:left="708" w:right="0" w:hanging="0"/>
        <w:jc w:val="left"/>
        <w:rPr/>
      </w:pPr>
      <w:r>
        <w:rPr/>
        <w:t xml:space="preserve">Selv om stikprøvestørrelsen ikke er repræsentativ i statistisk forstand, blev stikprøven udformet med henblik på at opnå maksimal heterogenitet blandt deltagerne for at reproducere et mikrokosmos af målgruppen.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Oplysninger: </w:t>
      </w:r>
    </w:p>
    <w:p>
      <w:pPr>
        <w:pStyle w:val="Normal"/>
        <w:widowControl w:val="false"/>
        <w:spacing w:lineRule="auto" w:line="240"/>
        <w:ind w:left="720" w:right="0" w:hanging="0"/>
        <w:jc w:val="left"/>
        <w:rPr/>
      </w:pPr>
      <w:r>
        <w:rPr>
          <w:color w:val="000000"/>
        </w:rPr>
        <w:t xml:space="preserve">Alle deltagere modtog en bred vifte af oplysninger om konferencen og om de emner, der blev drøftet i panelet. Målsætningerne og retningslinjerne for projektet blev mindet om deltagerne i den indledende del i overensstemmelse med principperne om neutralitet og fuldstændighed. Alle deltagere fik mulighed for at anmode om flere oplysninger og oplysninger om arrangementet via de direkte telefonnumre på projektlederne i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Diskussionsgrupper: </w:t>
      </w:r>
    </w:p>
    <w:p>
      <w:pPr>
        <w:pStyle w:val="P68B1DB1Normal76"/>
        <w:widowControl w:val="false"/>
        <w:spacing w:lineRule="auto" w:line="240"/>
        <w:ind w:left="720" w:right="0" w:hanging="0"/>
        <w:jc w:val="left"/>
        <w:rPr/>
      </w:pPr>
      <w:r>
        <w:rPr/>
        <w:t xml:space="preserve">Hovedformålet med hele processen var at formulere konkrete anbefalinger, som deltagerne i vid udstrækning deler, og som skal rettes til Den Europæiske Union. Den måde, hvorpå arbejdet blev organiseret og grupperne ledet, resulterede i en proces med fokus på indsamling af deltagernes indikationer, deres behandling og syntese samt deres verifikation og validering af grupperne selv under et efterfølgende arbejdsmøde.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Kalender: </w:t>
      </w:r>
    </w:p>
    <w:p>
      <w:pPr>
        <w:pStyle w:val="P68B1DB1Normal76"/>
        <w:widowControl w:val="false"/>
        <w:spacing w:lineRule="auto" w:line="240"/>
        <w:ind w:left="720" w:right="0" w:hanging="0"/>
        <w:jc w:val="left"/>
        <w:rPr/>
      </w:pPr>
      <w:r>
        <w:rPr/>
        <w:t xml:space="preserve">Under arbejdsmøderne blev der skabt en afslappet atmosfære, der gav deltagerne al den tid, der var nødvendig for at uddybe de temaer, som de var blevet inviteret til at bevidstgøre, udtrykke deres synspunkter og lytte til andres. Af samme grund blev det besluttet at opdele de to hovedgrupper i to undergrupper. Desuden blev arbejdet spredt over to dage, så de ideer, der blev formuleret, kunne baseres.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Opfølgning:</w:t>
      </w:r>
      <w:r>
        <w:rPr>
          <w:color w:val="000000"/>
        </w:rPr>
        <w:t xml:space="preserve"> </w:t>
      </w:r>
    </w:p>
    <w:p>
      <w:pPr>
        <w:pStyle w:val="P68B1DB1Normal76"/>
        <w:widowControl w:val="false"/>
        <w:spacing w:lineRule="auto" w:line="240"/>
        <w:ind w:left="720" w:right="0" w:hanging="0"/>
        <w:jc w:val="left"/>
        <w:rPr/>
      </w:pPr>
      <w:r>
        <w:rPr/>
        <w:t xml:space="preserve">Den sidste dag gennemførte alle grupper kontrol og validering af det første udkast til henstillinger, der blev fremsat i første fase af arbejdet. Når rapporten om resultaterne blev forelagt den europæiske temaafdeling under formandskabet for Ministerrådet og bemyndigelsen hertil, blev den endelige udgave af henstillingerne fremsendt til alle paneldeltagerne. Under alle omstændigheder blev deltagerne opfordret til fortsat at overvåge konferencens aktiviteter på webstedet og gennem de opdateringer, der skulle offentliggøres.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Integritet: </w:t>
      </w:r>
    </w:p>
    <w:p>
      <w:pPr>
        <w:pStyle w:val="Normal"/>
        <w:widowControl w:val="false"/>
        <w:spacing w:lineRule="auto" w:line="240"/>
        <w:ind w:left="720" w:right="0" w:hanging="0"/>
        <w:jc w:val="left"/>
        <w:rPr/>
      </w:pPr>
      <w:r>
        <w:rPr>
          <w:color w:val="000000"/>
        </w:rPr>
        <w:t xml:space="preserve">Hele arbejdsprocessen blev udført uafhængigt af </w:t>
      </w:r>
      <w:r>
        <w:rPr>
          <w:color w:val="ED7D31"/>
        </w:rPr>
        <w:t>SWG</w:t>
      </w:r>
      <w:r>
        <w:rPr>
          <w:color w:val="000000"/>
        </w:rPr>
        <w:t xml:space="preserve">, afhængigt af den modtagne mission. Den europæiske temaafdeling under formandskabet for Ministerrådet blev løbende underrettet om initiativets forskellige faser og resultaterne.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Beskyttelse af privatlivets fred: </w:t>
      </w:r>
    </w:p>
    <w:p>
      <w:pPr>
        <w:pStyle w:val="P68B1DB1Normal76"/>
        <w:widowControl w:val="false"/>
        <w:spacing w:lineRule="auto" w:line="240"/>
        <w:ind w:left="721" w:right="0" w:hanging="0"/>
        <w:jc w:val="left"/>
        <w:rPr/>
      </w:pPr>
      <w:r>
        <w:rPr/>
        <w:t xml:space="preserve">Deltagernes privatliv var fuldt ud garanteret. For at være berettiget til at deltage i panelet skulle alle kandidater underskrive den i loven krævede informerede samtykkeformular.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Bedømmelse: </w:t>
      </w:r>
    </w:p>
    <w:p>
      <w:pPr>
        <w:pStyle w:val="P68B1DB1Normal76"/>
        <w:widowControl w:val="false"/>
        <w:spacing w:lineRule="auto" w:line="240"/>
        <w:ind w:left="721" w:right="0" w:hanging="0"/>
        <w:jc w:val="left"/>
        <w:rPr>
          <w:rFonts w:ascii="Arial" w:hAnsi="Arial"/>
          <w:color w:val="000000"/>
          <w:sz w:val="22"/>
        </w:rPr>
      </w:pPr>
      <w:r>
        <w:rPr/>
        <w:t xml:space="preserve">Ved afslutningen af processen blev der sendt et spørgeskema til alle deltagere for at vurdere deres erfaringer. Resultaterne er sammenfattet i denne rapport. </w:t>
      </w:r>
    </w:p>
    <w:p>
      <w:pPr>
        <w:pStyle w:val="P68B1DB1Titre277"/>
        <w:numPr>
          <w:ilvl w:val="0"/>
          <w:numId w:val="2"/>
        </w:numPr>
        <w:rPr>
          <w:color w:val="BD1271"/>
        </w:rPr>
      </w:pPr>
      <w:bookmarkStart w:id="217" w:name="__RefHeading___Toc300310_1346298689"/>
      <w:bookmarkEnd w:id="217"/>
      <w:r>
        <w:rPr/>
        <w:t xml:space="preserve">2. Udvælgelse af deltagere og deltagelsesform </w:t>
      </w:r>
    </w:p>
    <w:p>
      <w:pPr>
        <w:pStyle w:val="P68B1DB1Normal74"/>
        <w:widowControl w:val="false"/>
        <w:spacing w:lineRule="auto" w:line="240" w:before="208" w:after="0"/>
        <w:ind w:left="0" w:right="0" w:hanging="0"/>
        <w:jc w:val="left"/>
        <w:rPr>
          <w:rFonts w:ascii="Arial" w:hAnsi="Arial"/>
          <w:color w:val="2E74B5"/>
          <w:sz w:val="22"/>
        </w:rPr>
      </w:pPr>
      <w:r>
        <w:rPr/>
        <w:t xml:space="preserve">Udvælgelse </w:t>
      </w:r>
    </w:p>
    <w:p>
      <w:pPr>
        <w:pStyle w:val="P68B1DB1Normal76"/>
        <w:widowControl w:val="false"/>
        <w:spacing w:lineRule="auto" w:line="240" w:before="90" w:after="0"/>
        <w:ind w:left="0" w:right="6" w:hanging="0"/>
        <w:jc w:val="left"/>
        <w:rPr/>
      </w:pPr>
      <w:r>
        <w:rPr/>
        <w:t xml:space="preserve">Formålet med kommunikationsfasen forud for arrangementet var at udvælge mindst 50 italienske borgere, der var interesserede i at deltage i initiativet. </w:t>
      </w:r>
    </w:p>
    <w:p>
      <w:pPr>
        <w:pStyle w:val="Normal"/>
        <w:widowControl w:val="false"/>
        <w:spacing w:lineRule="auto" w:line="240" w:before="90" w:after="0"/>
        <w:ind w:left="0" w:right="4" w:hanging="0"/>
        <w:jc w:val="both"/>
        <w:rPr/>
      </w:pPr>
      <w:r>
        <w:rPr>
          <w:color w:val="000000"/>
        </w:rPr>
        <w:t xml:space="preserve">Med henblik herpå blev der oprettet en kort selvansøgningsformular i form af et spørgeskema, der skulle udfyldes online på </w:t>
      </w:r>
      <w:r>
        <w:rPr>
          <w:color w:val="ED7D31"/>
        </w:rPr>
        <w:t>SWG</w:t>
      </w:r>
      <w:r>
        <w:rPr>
          <w:color w:val="000000"/>
        </w:rPr>
        <w:t xml:space="preserve">-platformen, hvorigennem alle interesserede i at deltage i initiativet kunne ansøge, med angivelse af, hvilke data der skulle indsættes i de grupper, hvorfra deltagerne blev tilfældigt udvalgt. De nødvendige betingelser for deltagelse var: har en internetforbindelse, en enhed udstyret med en mikrofon og et videokamera, samt underskrive konference charter.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8">
            <wp:simplePos x="0" y="0"/>
            <wp:positionH relativeFrom="column">
              <wp:posOffset>58420</wp:posOffset>
            </wp:positionH>
            <wp:positionV relativeFrom="paragraph">
              <wp:posOffset>1365885</wp:posOffset>
            </wp:positionV>
            <wp:extent cx="187960" cy="187960"/>
            <wp:effectExtent l="0" t="0" r="0" b="0"/>
            <wp:wrapSquare wrapText="largest"/>
            <wp:docPr id="100" name="Billeder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leder44" descr=""/>
                    <pic:cNvPicPr>
                      <a:picLocks noChangeAspect="1" noChangeArrowheads="1"/>
                    </pic:cNvPicPr>
                  </pic:nvPicPr>
                  <pic:blipFill>
                    <a:blip r:embed="rId104"/>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3">
            <wp:simplePos x="0" y="0"/>
            <wp:positionH relativeFrom="column">
              <wp:posOffset>49530</wp:posOffset>
            </wp:positionH>
            <wp:positionV relativeFrom="paragraph">
              <wp:posOffset>958850</wp:posOffset>
            </wp:positionV>
            <wp:extent cx="287020" cy="287020"/>
            <wp:effectExtent l="0" t="0" r="0" b="0"/>
            <wp:wrapSquare wrapText="largest"/>
            <wp:docPr id="101" name="Billed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lede43" descr=""/>
                    <pic:cNvPicPr>
                      <a:picLocks noChangeAspect="1" noChangeArrowheads="1"/>
                    </pic:cNvPicPr>
                  </pic:nvPicPr>
                  <pic:blipFill>
                    <a:blip r:embed="rId105"/>
                    <a:stretch>
                      <a:fillRect/>
                    </a:stretch>
                  </pic:blipFill>
                  <pic:spPr bwMode="auto">
                    <a:xfrm>
                      <a:off x="0" y="0"/>
                      <a:ext cx="287020" cy="287020"/>
                    </a:xfrm>
                    <a:prstGeom prst="rect">
                      <a:avLst/>
                    </a:prstGeom>
                  </pic:spPr>
                </pic:pic>
              </a:graphicData>
            </a:graphic>
          </wp:anchor>
        </w:drawing>
      </w:r>
      <w:r>
        <w:rPr>
          <w:color w:val="000000"/>
        </w:rPr>
        <w:t>A</w:t>
      </w:r>
      <w:r>
        <w:rPr>
          <w:color w:val="000000"/>
        </w:rPr>
        <w:t>nsøgningsskemaet blev distribueret på sociale netværk fra</w:t>
      </w:r>
      <w:r>
        <w:rPr>
          <w:color w:val="ED7D31"/>
        </w:rPr>
        <w:t>SWG</w:t>
      </w:r>
      <w:r>
        <w:rPr>
          <w:color w:val="000000"/>
        </w:rPr>
        <w:t xml:space="preserve">'s konti. Til dette formål blev seks indlæg lagt på Twitter og en på LinkedIn, med følgende resultater: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10"/>
        <w:gridCol w:w="2410"/>
        <w:gridCol w:w="2408"/>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Sociale netværk</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Datoer</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Antal visninger</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Adgang til ansøgningsskemaet</w:t>
            </w:r>
          </w:p>
        </w:tc>
      </w:tr>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Twitter</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6 stillinger mellem den 8. og 10. marts</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1 indlæg den 8. marts</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Samtidig blev medlemmerne af </w:t>
      </w:r>
      <w:r>
        <w:rPr>
          <w:color w:val="ED7D31"/>
        </w:rPr>
        <w:t>SWG</w:t>
      </w:r>
      <w:r>
        <w:rPr>
          <w:color w:val="000000"/>
        </w:rPr>
        <w:t xml:space="preserve"> opfordret til i overensstemmelse med en invitationsstrategi, der havde til formål at sikre den italienske befolkning størst mulig repræsentativitet, ikke kun med hensyn til sociale karakteristika, men også med hensyn til idéer, kulturelle orienteringer og værdier. </w:t>
      </w:r>
    </w:p>
    <w:p>
      <w:pPr>
        <w:pStyle w:val="P68B1DB1Normal76"/>
        <w:widowControl w:val="false"/>
        <w:spacing w:lineRule="exact" w:line="253" w:before="71" w:after="0"/>
        <w:ind w:left="1" w:right="0" w:hanging="0"/>
        <w:jc w:val="both"/>
        <w:rPr/>
      </w:pPr>
      <w:r>
        <w:rPr/>
        <w:t xml:space="preserve">Ansøgningerne kan indgives mellem den 8. marts kl. 8.00 og 10. marts 2022 kl. 16.00. I alt genererede processen 420 adgang til ansøgningsskemaet, og der blev modtaget 225 fuldstændige ansøgninger. </w:t>
      </w:r>
    </w:p>
    <w:p>
      <w:pPr>
        <w:pStyle w:val="P68B1DB1Normal76"/>
        <w:widowControl w:val="false"/>
        <w:spacing w:lineRule="exact" w:line="253" w:before="67" w:after="0"/>
        <w:ind w:left="1" w:right="2" w:hanging="0"/>
        <w:jc w:val="both"/>
        <w:rPr/>
      </w:pPr>
      <w:r>
        <w:rPr/>
        <w:t xml:space="preserve">I alt </w:t>
      </w:r>
      <w:r>
        <w:rPr>
          <w:b/>
        </w:rPr>
        <w:t>140</w:t>
      </w:r>
      <w:r>
        <w:rPr/>
        <w:t xml:space="preserve"> personer var faktisk støtteberettigede, hvoraf 70 blev udvalgt på grundlag af et kriterium for at sikre en afbalanceret tilstedeværelse med hensyn til køn, geografisk fordeling, alder og uddannelsesniveau. </w:t>
      </w:r>
    </w:p>
    <w:p>
      <w:pPr>
        <w:pStyle w:val="P68B1DB1Normal76"/>
        <w:widowControl w:val="false"/>
        <w:spacing w:lineRule="exact" w:line="253" w:before="73" w:after="0"/>
        <w:ind w:left="1" w:right="1" w:hanging="0"/>
        <w:jc w:val="both"/>
        <w:rPr/>
      </w:pPr>
      <w:r>
        <w:rPr/>
        <w:t xml:space="preserve">I forbindelse med udvælgelsesproceduren blev der lagt særlig vægt på princippet om rimelig sandsynlighed ved udvælgelsen af deltagere ledsaget af procedurer baseret på et tilfældigt kriterium. </w:t>
      </w:r>
    </w:p>
    <w:p>
      <w:pPr>
        <w:pStyle w:val="P68B1DB1Normal76"/>
        <w:widowControl w:val="false"/>
        <w:spacing w:lineRule="exact" w:line="253" w:before="71" w:after="0"/>
        <w:ind w:left="1" w:right="0" w:hanging="0"/>
        <w:jc w:val="both"/>
        <w:rPr/>
      </w:pPr>
      <w:r>
        <w:rPr/>
        <w:t xml:space="preserve">Udvælgelsens tilfældige karakter var et centralt element i projektet for at sikre, at adgangsprocessen var retfærdig. I initiativets ånd syntes det imidlertid vigtigt at indføre en strategi, der ikke kun tager sigte på at inddrage så mange mennesker som muligt, men også at sikre størst mulig heterogenitet blandt de udvalgte personer for at fremme størst mulig inklusion.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Sammenfattende var fordelingen af støtteberettigede personer som følger:</w:t>
      </w:r>
    </w:p>
    <w:p>
      <w:pPr>
        <w:pStyle w:val="P68B1DB1Normal76"/>
        <w:widowControl w:val="false"/>
        <w:spacing w:lineRule="exact" w:line="252" w:before="5946"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5">
                <wp:simplePos x="0" y="0"/>
                <wp:positionH relativeFrom="column">
                  <wp:posOffset>0</wp:posOffset>
                </wp:positionH>
                <wp:positionV relativeFrom="paragraph">
                  <wp:posOffset>132715</wp:posOffset>
                </wp:positionV>
                <wp:extent cx="6060440" cy="3776345"/>
                <wp:effectExtent l="0" t="0" r="0" b="0"/>
                <wp:wrapTopAndBottom/>
                <wp:docPr id="102" name="Formular4"/>
                <a:graphic xmlns:a="http://schemas.openxmlformats.org/drawingml/2006/main">
                  <a:graphicData uri="http://schemas.microsoft.com/office/word/2010/wordprocessingGroup">
                    <wpg:wgp>
                      <wpg:cNvGrpSpPr/>
                      <wpg:grpSpPr>
                        <a:xfrm>
                          <a:off x="0" y="0"/>
                          <a:ext cx="6059880" cy="3775680"/>
                        </a:xfrm>
                      </wpg:grpSpPr>
                      <pic:pic xmlns:pic="http://schemas.openxmlformats.org/drawingml/2006/picture">
                        <pic:nvPicPr>
                          <pic:cNvPr id="6" name="" descr=""/>
                          <pic:cNvPicPr/>
                        </pic:nvPicPr>
                        <pic:blipFill>
                          <a:blip r:embed="rId106"/>
                          <a:stretch/>
                        </pic:blipFill>
                        <pic:spPr>
                          <a:xfrm>
                            <a:off x="0" y="487080"/>
                            <a:ext cx="6050160" cy="3288600"/>
                          </a:xfrm>
                          <a:prstGeom prst="rect">
                            <a:avLst/>
                          </a:prstGeom>
                          <a:ln>
                            <a:noFill/>
                          </a:ln>
                        </pic:spPr>
                      </pic:pic>
                      <wps:wsp>
                        <wps:cNvSpPr/>
                        <wps:spPr>
                          <a:xfrm>
                            <a:off x="1450440" y="0"/>
                            <a:ext cx="3892680" cy="6152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Fordeling af støtteberettigede kandidater</w:t>
                              </w:r>
                            </w:p>
                          </w:txbxContent>
                        </wps:txbx>
                        <wps:bodyPr lIns="90000" rIns="90000" tIns="45000" bIns="45000">
                          <a:noAutofit/>
                        </wps:bodyPr>
                      </wps:wsp>
                      <wps:wsp>
                        <wps:cNvSpPr/>
                        <wps:spPr>
                          <a:xfrm>
                            <a:off x="489600" y="1149840"/>
                            <a:ext cx="10782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køn</w:t>
                              </w:r>
                            </w:p>
                          </w:txbxContent>
                        </wps:txbx>
                        <wps:bodyPr lIns="90000" rIns="90000" tIns="45000" bIns="45000">
                          <a:noAutofit/>
                        </wps:bodyPr>
                      </wps:wsp>
                      <wps:wsp>
                        <wps:cNvSpPr/>
                        <wps:spPr>
                          <a:xfrm>
                            <a:off x="329400" y="2035080"/>
                            <a:ext cx="107748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aldersgruppe</w:t>
                              </w:r>
                            </w:p>
                          </w:txbxContent>
                        </wps:txbx>
                        <wps:bodyPr lIns="90000" rIns="90000" tIns="45000" bIns="45000">
                          <a:noAutofit/>
                        </wps:bodyPr>
                      </wps:wsp>
                      <wps:wsp>
                        <wps:cNvSpPr/>
                        <wps:spPr>
                          <a:xfrm>
                            <a:off x="1020960" y="2357640"/>
                            <a:ext cx="84204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18-34 år gammel</w:t>
                              </w:r>
                            </w:p>
                          </w:txbxContent>
                        </wps:txbx>
                        <wps:bodyPr lIns="90000" rIns="90000" tIns="45000" bIns="45000">
                          <a:noAutofit/>
                        </wps:bodyPr>
                      </wps:wsp>
                      <wps:wsp>
                        <wps:cNvSpPr/>
                        <wps:spPr>
                          <a:xfrm>
                            <a:off x="987480" y="2740680"/>
                            <a:ext cx="842040" cy="4413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35-64 år</w:t>
                              </w:r>
                            </w:p>
                          </w:txbxContent>
                        </wps:txbx>
                        <wps:bodyPr lIns="90000" rIns="90000" tIns="45000" bIns="45000">
                          <a:noAutofit/>
                        </wps:bodyPr>
                      </wps:wsp>
                      <wps:wsp>
                        <wps:cNvSpPr/>
                        <wps:spPr>
                          <a:xfrm>
                            <a:off x="995760" y="3065760"/>
                            <a:ext cx="84204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65-75 år gammel</w:t>
                              </w:r>
                            </w:p>
                          </w:txbxContent>
                        </wps:txbx>
                        <wps:bodyPr lIns="90000" rIns="90000" tIns="45000" bIns="45000">
                          <a:noAutofit/>
                        </wps:bodyPr>
                      </wps:wsp>
                      <wps:wsp>
                        <wps:cNvSpPr/>
                        <wps:spPr>
                          <a:xfrm>
                            <a:off x="2108880" y="1158120"/>
                            <a:ext cx="166608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Uddannelsesniveau</w:t>
                              </w:r>
                            </w:p>
                          </w:txbxContent>
                        </wps:txbx>
                        <wps:bodyPr lIns="90000" rIns="90000" tIns="45000" bIns="45000">
                          <a:noAutofit/>
                        </wps:bodyPr>
                      </wps:wsp>
                      <wps:wsp>
                        <wps:cNvSpPr/>
                        <wps:spPr>
                          <a:xfrm>
                            <a:off x="2748960" y="1481400"/>
                            <a:ext cx="841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Lav</w:t>
                              </w:r>
                            </w:p>
                          </w:txbxContent>
                        </wps:txbx>
                        <wps:bodyPr lIns="90000" rIns="90000" tIns="45000" bIns="45000">
                          <a:noAutofit/>
                        </wps:bodyPr>
                      </wps:wsp>
                      <wps:wsp>
                        <wps:cNvSpPr/>
                        <wps:spPr>
                          <a:xfrm>
                            <a:off x="5092200" y="1336680"/>
                            <a:ext cx="8406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Nordøst</w:t>
                              </w:r>
                            </w:p>
                          </w:txbxContent>
                        </wps:txbx>
                        <wps:bodyPr lIns="90000" rIns="90000" tIns="45000" bIns="45000">
                          <a:noAutofit/>
                        </wps:bodyPr>
                      </wps:wsp>
                      <wps:wsp>
                        <wps:cNvSpPr/>
                        <wps:spPr>
                          <a:xfrm>
                            <a:off x="2025000" y="1736640"/>
                            <a:ext cx="177552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Kollegium, erhvervsrettet uddannelse</w:t>
                              </w:r>
                            </w:p>
                          </w:txbxContent>
                        </wps:txbx>
                        <wps:bodyPr lIns="90000" rIns="90000" tIns="45000" bIns="45000">
                          <a:noAutofit/>
                        </wps:bodyPr>
                      </wps:wsp>
                      <wps:wsp>
                        <wps:cNvSpPr/>
                        <wps:spPr>
                          <a:xfrm>
                            <a:off x="2799720" y="2162160"/>
                            <a:ext cx="841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Gennemsnitligt</w:t>
                              </w:r>
                            </w:p>
                          </w:txbxContent>
                        </wps:txbx>
                        <wps:bodyPr lIns="90000" rIns="90000" tIns="45000" bIns="45000">
                          <a:noAutofit/>
                        </wps:bodyPr>
                      </wps:wsp>
                      <wps:wsp>
                        <wps:cNvSpPr/>
                        <wps:spPr>
                          <a:xfrm>
                            <a:off x="2167920" y="2451600"/>
                            <a:ext cx="148068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Højskole</w:t>
                              </w:r>
                            </w:p>
                          </w:txbxContent>
                        </wps:txbx>
                        <wps:bodyPr lIns="90000" rIns="90000" tIns="45000" bIns="45000">
                          <a:noAutofit/>
                        </wps:bodyPr>
                      </wps:wsp>
                      <wps:wsp>
                        <wps:cNvSpPr/>
                        <wps:spPr>
                          <a:xfrm>
                            <a:off x="2817000" y="2946240"/>
                            <a:ext cx="84024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Hævet</w:t>
                              </w:r>
                            </w:p>
                          </w:txbxContent>
                        </wps:txbx>
                        <wps:bodyPr lIns="90000" rIns="90000" tIns="45000" bIns="45000">
                          <a:noAutofit/>
                        </wps:bodyPr>
                      </wps:wsp>
                      <wps:wsp>
                        <wps:cNvSpPr/>
                        <wps:spPr>
                          <a:xfrm>
                            <a:off x="1990800" y="3176280"/>
                            <a:ext cx="1927800" cy="3841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Bachelorgrad, kandidatgrad eller mere</w:t>
                              </w:r>
                            </w:p>
                          </w:txbxContent>
                        </wps:txbx>
                        <wps:bodyPr lIns="90000" rIns="90000" tIns="45000" bIns="45000">
                          <a:noAutofit/>
                        </wps:bodyPr>
                      </wps:wsp>
                      <wps:wsp>
                        <wps:cNvSpPr/>
                        <wps:spPr>
                          <a:xfrm>
                            <a:off x="4046400" y="1558440"/>
                            <a:ext cx="84276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Nordvest</w:t>
                              </w:r>
                            </w:p>
                          </w:txbxContent>
                        </wps:txbx>
                        <wps:bodyPr lIns="90000" rIns="90000" tIns="45000" bIns="45000">
                          <a:noAutofit/>
                        </wps:bodyPr>
                      </wps:wsp>
                      <wps:wsp>
                        <wps:cNvSpPr/>
                        <wps:spPr>
                          <a:xfrm>
                            <a:off x="4131360" y="1158120"/>
                            <a:ext cx="167508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Bopælsområde</w:t>
                              </w:r>
                            </w:p>
                          </w:txbxContent>
                        </wps:txbx>
                        <wps:bodyPr lIns="90000" rIns="90000" tIns="45000" bIns="45000">
                          <a:noAutofit/>
                        </wps:bodyPr>
                      </wps:wsp>
                      <wps:wsp>
                        <wps:cNvSpPr/>
                        <wps:spPr>
                          <a:xfrm>
                            <a:off x="5218920" y="1898640"/>
                            <a:ext cx="8406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i centrum</w:t>
                              </w:r>
                            </w:p>
                          </w:txbxContent>
                        </wps:txbx>
                        <wps:bodyPr lIns="90000" rIns="90000" tIns="45000" bIns="45000">
                          <a:noAutofit/>
                        </wps:bodyPr>
                      </wps:wsp>
                      <wps:wsp>
                        <wps:cNvSpPr/>
                        <wps:spPr>
                          <a:xfrm>
                            <a:off x="4038480" y="2844000"/>
                            <a:ext cx="10267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Syd- og øerne</w:t>
                              </w:r>
                            </w:p>
                          </w:txbxContent>
                        </wps:txbx>
                        <wps:bodyPr lIns="90000" rIns="90000" tIns="45000" bIns="45000">
                          <a:noAutofit/>
                        </wps:bodyPr>
                      </wps:wsp>
                    </wpg:wgp>
                  </a:graphicData>
                </a:graphic>
              </wp:anchor>
            </w:drawing>
          </mc:Choice>
          <mc:Fallback>
            <w:pict>
              <v:group id="shape_0" alt="Formular4" style="position:absolute;margin-left:0pt;margin-top:10.45pt;width:477.15pt;height:297.3pt" coordorigin="0,209" coordsize="9543,5946">
                <v:shape id="shape_0" stroked="f" style="position:absolute;left:0;top:976;width:9527;height:5178" type="shapetype_75">
                  <v:imagedata r:id="rId106" o:detectmouseclick="t"/>
                  <w10:wrap type="none"/>
                  <v:stroke color="#3465a4" joinstyle="round" endcap="flat"/>
                </v:shape>
                <v:rect id="shape_0" stroked="f" style="position:absolute;left:2284;top:209;width:6129;height:968">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Fordeling af støtteberettigede kandidater</w:t>
                        </w:r>
                      </w:p>
                    </w:txbxContent>
                  </v:textbox>
                  <w10:wrap type="square"/>
                  <v:fill o:detectmouseclick="t" on="false"/>
                  <v:stroke color="#3465a4" joinstyle="round" endcap="flat"/>
                </v:rect>
                <v:rect id="shape_0" stroked="f" style="position:absolute;left:771;top:2020;width:1697;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køn</w:t>
                        </w:r>
                      </w:p>
                    </w:txbxContent>
                  </v:textbox>
                  <w10:wrap type="square"/>
                  <v:fill o:detectmouseclick="t" on="false"/>
                  <v:stroke color="#3465a4" joinstyle="round" endcap="flat"/>
                </v:rect>
                <v:rect id="shape_0" stroked="f" style="position:absolute;left:519;top:3414;width:1696;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aldersgruppe</w:t>
                        </w:r>
                      </w:p>
                    </w:txbxContent>
                  </v:textbox>
                  <w10:wrap type="square"/>
                  <v:fill o:detectmouseclick="t" on="false"/>
                  <v:stroke color="#3465a4" joinstyle="round" endcap="flat"/>
                </v:rect>
                <v:rect id="shape_0" stroked="f" style="position:absolute;left:1608;top:3922;width:1325;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18-34 år gammel</w:t>
                        </w:r>
                      </w:p>
                    </w:txbxContent>
                  </v:textbox>
                  <w10:wrap type="square"/>
                  <v:fill o:detectmouseclick="t" on="false"/>
                  <v:stroke color="#3465a4" joinstyle="round" endcap="flat"/>
                </v:rect>
                <v:rect id="shape_0" stroked="f" style="position:absolute;left:1555;top:4525;width:1325;height:69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35-64 år</w:t>
                        </w:r>
                      </w:p>
                    </w:txbxContent>
                  </v:textbox>
                  <w10:wrap type="square"/>
                  <v:fill o:detectmouseclick="t" on="false"/>
                  <v:stroke color="#3465a4" joinstyle="round" endcap="flat"/>
                </v:rect>
                <v:rect id="shape_0" stroked="f" style="position:absolute;left:1568;top:5037;width:1325;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65-75 år gammel</w:t>
                        </w:r>
                      </w:p>
                    </w:txbxContent>
                  </v:textbox>
                  <w10:wrap type="square"/>
                  <v:fill o:detectmouseclick="t" on="false"/>
                  <v:stroke color="#3465a4" joinstyle="round" endcap="flat"/>
                </v:rect>
                <v:rect id="shape_0" stroked="f" style="position:absolute;left:3321;top:2033;width:2623;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Uddannelsesniveau</w:t>
                        </w:r>
                      </w:p>
                    </w:txbxContent>
                  </v:textbox>
                  <w10:wrap type="square"/>
                  <v:fill o:detectmouseclick="t" on="false"/>
                  <v:stroke color="#3465a4" joinstyle="round" endcap="flat"/>
                </v:rect>
                <v:rect id="shape_0" stroked="f" style="position:absolute;left:4329;top:2542;width:1324;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Lav</w:t>
                        </w:r>
                      </w:p>
                    </w:txbxContent>
                  </v:textbox>
                  <w10:wrap type="square"/>
                  <v:fill o:detectmouseclick="t" on="false"/>
                  <v:stroke color="#3465a4" joinstyle="round" endcap="flat"/>
                </v:rect>
                <v:rect id="shape_0" stroked="f" style="position:absolute;left:8019;top:2314;width:1323;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Nordøst</w:t>
                        </w:r>
                      </w:p>
                    </w:txbxContent>
                  </v:textbox>
                  <w10:wrap type="square"/>
                  <v:fill o:detectmouseclick="t" on="false"/>
                  <v:stroke color="#3465a4" joinstyle="round" endcap="flat"/>
                </v:rect>
                <v:rect id="shape_0" stroked="f" style="position:absolute;left:3189;top:2944;width:2795;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Kollegium, erhvervsrettet uddannelse</w:t>
                        </w:r>
                      </w:p>
                    </w:txbxContent>
                  </v:textbox>
                  <w10:wrap type="square"/>
                  <v:fill o:detectmouseclick="t" on="false"/>
                  <v:stroke color="#3465a4" joinstyle="round" endcap="flat"/>
                </v:rect>
                <v:rect id="shape_0" stroked="f" style="position:absolute;left:4409;top:3614;width:1324;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Gennemsnitligt</w:t>
                        </w:r>
                      </w:p>
                    </w:txbxContent>
                  </v:textbox>
                  <w10:wrap type="square"/>
                  <v:fill o:detectmouseclick="t" on="false"/>
                  <v:stroke color="#3465a4" joinstyle="round" endcap="flat"/>
                </v:rect>
                <v:rect id="shape_0" stroked="f" style="position:absolute;left:3414;top:4070;width:2331;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Højskole</w:t>
                        </w:r>
                      </w:p>
                    </w:txbxContent>
                  </v:textbox>
                  <w10:wrap type="square"/>
                  <v:fill o:detectmouseclick="t" on="false"/>
                  <v:stroke color="#3465a4" joinstyle="round" endcap="flat"/>
                </v:rect>
                <v:rect id="shape_0" stroked="f" style="position:absolute;left:4436;top:4849;width:1322;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Hævet</w:t>
                        </w:r>
                      </w:p>
                    </w:txbxContent>
                  </v:textbox>
                  <w10:wrap type="square"/>
                  <v:fill o:detectmouseclick="t" on="false"/>
                  <v:stroke color="#3465a4" joinstyle="round" endcap="flat"/>
                </v:rect>
                <v:rect id="shape_0" stroked="f" style="position:absolute;left:3135;top:5211;width:3035;height:60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Bachelorgrad, kandidatgrad eller mere</w:t>
                        </w:r>
                      </w:p>
                    </w:txbxContent>
                  </v:textbox>
                  <w10:wrap type="square"/>
                  <v:fill o:detectmouseclick="t" on="false"/>
                  <v:stroke color="#3465a4" joinstyle="round" endcap="flat"/>
                </v:rect>
                <v:rect id="shape_0" stroked="f" style="position:absolute;left:6372;top:2663;width:1326;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Nordvest</w:t>
                        </w:r>
                      </w:p>
                    </w:txbxContent>
                  </v:textbox>
                  <w10:wrap type="square"/>
                  <v:fill o:detectmouseclick="t" on="false"/>
                  <v:stroke color="#3465a4" joinstyle="round" endcap="flat"/>
                </v:rect>
                <v:rect id="shape_0" stroked="f" style="position:absolute;left:6506;top:2033;width:2637;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Bopælsområde</w:t>
                        </w:r>
                      </w:p>
                    </w:txbxContent>
                  </v:textbox>
                  <w10:wrap type="square"/>
                  <v:fill o:detectmouseclick="t" on="false"/>
                  <v:stroke color="#3465a4" joinstyle="round" endcap="flat"/>
                </v:rect>
                <v:rect id="shape_0" stroked="f" style="position:absolute;left:8219;top:3199;width:1323;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i centrum</w:t>
                        </w:r>
                      </w:p>
                    </w:txbxContent>
                  </v:textbox>
                  <w10:wrap type="square"/>
                  <v:fill o:detectmouseclick="t" on="false"/>
                  <v:stroke color="#3465a4" joinstyle="round" endcap="flat"/>
                </v:rect>
                <v:rect id="shape_0" stroked="f" style="position:absolute;left:6360;top:4688;width:1616;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Syd- og øerne</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Når de 70 kandidater blev udvalgt, om morgenen af arrangementet, modtog de et telefonopkald for at bekræfte deres deltagelse. Disse opkald blev foretaget af </w:t>
      </w:r>
      <w:r>
        <w:rPr>
          <w:color w:val="ED7D31"/>
        </w:rPr>
        <w:t>SWG's</w:t>
      </w:r>
      <w:r>
        <w:rPr/>
        <w:t>kontaktcenter</w:t>
      </w:r>
      <w:r>
        <w:rPr>
          <w:color w:val="000000"/>
        </w:rPr>
        <w:t xml:space="preserve"> ved hjælp af CATI-metoden (Computer Assisted Telephone Survey). Ved afslutningen af denne fase bekræftede i alt 59 personer deres deltagelse og blev registreret. </w:t>
      </w:r>
      <w:r>
        <w:rPr>
          <w:b/>
          <w:color w:val="BD1271"/>
        </w:rPr>
        <w:t>Af disse deltog 55 aktivt i panelet.</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Panelmedlemmernes sociale og aldersmæssige fordeling var som følger: </w:t>
      </w:r>
    </w:p>
    <w:p>
      <w:pPr>
        <w:pStyle w:val="P68B1DB1Normal76"/>
        <w:widowControl w:val="false"/>
        <w:spacing w:lineRule="auto" w:line="240" w:before="5706"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6">
                <wp:simplePos x="0" y="0"/>
                <wp:positionH relativeFrom="column">
                  <wp:posOffset>635</wp:posOffset>
                </wp:positionH>
                <wp:positionV relativeFrom="paragraph">
                  <wp:posOffset>41275</wp:posOffset>
                </wp:positionV>
                <wp:extent cx="6158230" cy="3623945"/>
                <wp:effectExtent l="0" t="0" r="0" b="0"/>
                <wp:wrapTopAndBottom/>
                <wp:docPr id="103" name="Formular5"/>
                <a:graphic xmlns:a="http://schemas.openxmlformats.org/drawingml/2006/main">
                  <a:graphicData uri="http://schemas.microsoft.com/office/word/2010/wordprocessingGroup">
                    <wpg:wgp>
                      <wpg:cNvGrpSpPr/>
                      <wpg:grpSpPr>
                        <a:xfrm>
                          <a:off x="0" y="0"/>
                          <a:ext cx="6157440" cy="3623400"/>
                        </a:xfrm>
                      </wpg:grpSpPr>
                      <pic:pic xmlns:pic="http://schemas.openxmlformats.org/drawingml/2006/picture">
                        <pic:nvPicPr>
                          <pic:cNvPr id="7" name="" descr=""/>
                          <pic:cNvPicPr/>
                        </pic:nvPicPr>
                        <pic:blipFill>
                          <a:blip r:embed="rId107"/>
                          <a:stretch/>
                        </pic:blipFill>
                        <pic:spPr>
                          <a:xfrm>
                            <a:off x="0" y="458640"/>
                            <a:ext cx="6062400" cy="3164760"/>
                          </a:xfrm>
                          <a:prstGeom prst="rect">
                            <a:avLst/>
                          </a:prstGeom>
                          <a:ln>
                            <a:noFill/>
                          </a:ln>
                        </pic:spPr>
                      </pic:pic>
                      <wps:wsp>
                        <wps:cNvSpPr/>
                        <wps:spPr>
                          <a:xfrm>
                            <a:off x="1477800" y="0"/>
                            <a:ext cx="3938400" cy="4197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Fordeling af aktive deltagere</w:t>
                              </w:r>
                            </w:p>
                          </w:txbxContent>
                        </wps:txbx>
                        <wps:bodyPr lIns="90000" rIns="90000" tIns="45000" bIns="45000">
                          <a:noAutofit/>
                        </wps:bodyPr>
                      </wps:wsp>
                      <wps:wsp>
                        <wps:cNvSpPr/>
                        <wps:spPr>
                          <a:xfrm>
                            <a:off x="523080" y="1011600"/>
                            <a:ext cx="10908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køn</w:t>
                              </w:r>
                            </w:p>
                          </w:txbxContent>
                        </wps:txbx>
                        <wps:bodyPr lIns="90000" rIns="90000" tIns="45000" bIns="45000">
                          <a:noAutofit/>
                        </wps:bodyPr>
                      </wps:wsp>
                      <wps:wsp>
                        <wps:cNvSpPr/>
                        <wps:spPr>
                          <a:xfrm>
                            <a:off x="361440" y="1888560"/>
                            <a:ext cx="10897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aldersgruppe</w:t>
                              </w:r>
                            </w:p>
                          </w:txbxContent>
                        </wps:txbx>
                        <wps:bodyPr lIns="90000" rIns="90000" tIns="45000" bIns="45000">
                          <a:noAutofit/>
                        </wps:bodyPr>
                      </wps:wsp>
                      <wps:wsp>
                        <wps:cNvSpPr/>
                        <wps:spPr>
                          <a:xfrm>
                            <a:off x="1059840" y="2207880"/>
                            <a:ext cx="85212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18-34 år gammel</w:t>
                              </w:r>
                            </w:p>
                          </w:txbxContent>
                        </wps:txbx>
                        <wps:bodyPr lIns="90000" rIns="90000" tIns="45000" bIns="45000">
                          <a:noAutofit/>
                        </wps:bodyPr>
                      </wps:wsp>
                      <wps:wsp>
                        <wps:cNvSpPr/>
                        <wps:spPr>
                          <a:xfrm>
                            <a:off x="1026720" y="2586960"/>
                            <a:ext cx="851400" cy="4413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35-64 år</w:t>
                              </w:r>
                            </w:p>
                          </w:txbxContent>
                        </wps:txbx>
                        <wps:bodyPr lIns="90000" rIns="90000" tIns="45000" bIns="45000">
                          <a:noAutofit/>
                        </wps:bodyPr>
                      </wps:wsp>
                      <wps:wsp>
                        <wps:cNvSpPr/>
                        <wps:spPr>
                          <a:xfrm>
                            <a:off x="1035000" y="2908440"/>
                            <a:ext cx="85140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65-75 år gammel</w:t>
                              </w:r>
                            </w:p>
                          </w:txbxContent>
                        </wps:txbx>
                        <wps:bodyPr lIns="90000" rIns="90000" tIns="45000" bIns="45000">
                          <a:noAutofit/>
                        </wps:bodyPr>
                      </wps:wsp>
                      <wps:wsp>
                        <wps:cNvSpPr/>
                        <wps:spPr>
                          <a:xfrm>
                            <a:off x="2161080" y="1019880"/>
                            <a:ext cx="168516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Uddannelsesniveau</w:t>
                              </w:r>
                            </w:p>
                          </w:txbxContent>
                        </wps:txbx>
                        <wps:bodyPr lIns="90000" rIns="90000" tIns="45000" bIns="45000">
                          <a:noAutofit/>
                        </wps:bodyPr>
                      </wps:wsp>
                      <wps:wsp>
                        <wps:cNvSpPr/>
                        <wps:spPr>
                          <a:xfrm>
                            <a:off x="2808720" y="1340640"/>
                            <a:ext cx="850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Lav</w:t>
                              </w:r>
                            </w:p>
                          </w:txbxContent>
                        </wps:txbx>
                        <wps:bodyPr lIns="90000" rIns="90000" tIns="45000" bIns="45000">
                          <a:noAutofit/>
                        </wps:bodyPr>
                      </wps:wsp>
                      <wps:wsp>
                        <wps:cNvSpPr/>
                        <wps:spPr>
                          <a:xfrm>
                            <a:off x="5178960" y="1197000"/>
                            <a:ext cx="850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Nordøst</w:t>
                              </w:r>
                            </w:p>
                          </w:txbxContent>
                        </wps:txbx>
                        <wps:bodyPr lIns="90000" rIns="90000" tIns="45000" bIns="45000">
                          <a:noAutofit/>
                        </wps:bodyPr>
                      </wps:wsp>
                      <wps:wsp>
                        <wps:cNvSpPr/>
                        <wps:spPr>
                          <a:xfrm>
                            <a:off x="2075760" y="1593360"/>
                            <a:ext cx="179640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Kollegium, erhvervsrettet uddannelse</w:t>
                              </w:r>
                            </w:p>
                          </w:txbxContent>
                        </wps:txbx>
                        <wps:bodyPr lIns="90000" rIns="90000" tIns="45000" bIns="45000">
                          <a:noAutofit/>
                        </wps:bodyPr>
                      </wps:wsp>
                      <wps:wsp>
                        <wps:cNvSpPr/>
                        <wps:spPr>
                          <a:xfrm>
                            <a:off x="2860200" y="2014200"/>
                            <a:ext cx="85104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Gennemsnitligt</w:t>
                              </w:r>
                            </w:p>
                          </w:txbxContent>
                        </wps:txbx>
                        <wps:bodyPr lIns="90000" rIns="90000" tIns="45000" bIns="45000">
                          <a:noAutofit/>
                        </wps:bodyPr>
                      </wps:wsp>
                      <wps:wsp>
                        <wps:cNvSpPr/>
                        <wps:spPr>
                          <a:xfrm>
                            <a:off x="2220480" y="2300760"/>
                            <a:ext cx="149796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Højskole</w:t>
                              </w:r>
                            </w:p>
                          </w:txbxContent>
                        </wps:txbx>
                        <wps:bodyPr lIns="90000" rIns="90000" tIns="45000" bIns="45000">
                          <a:noAutofit/>
                        </wps:bodyPr>
                      </wps:wsp>
                      <wps:wsp>
                        <wps:cNvSpPr/>
                        <wps:spPr>
                          <a:xfrm>
                            <a:off x="2877120" y="2790720"/>
                            <a:ext cx="85032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Hævet</w:t>
                              </w:r>
                            </w:p>
                          </w:txbxContent>
                        </wps:txbx>
                        <wps:bodyPr lIns="90000" rIns="90000" tIns="45000" bIns="45000">
                          <a:noAutofit/>
                        </wps:bodyPr>
                      </wps:wsp>
                      <wps:wsp>
                        <wps:cNvSpPr/>
                        <wps:spPr>
                          <a:xfrm>
                            <a:off x="2041560" y="3018240"/>
                            <a:ext cx="1950120" cy="3805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Bachelorgrad, kandidatgrad eller mere</w:t>
                              </w:r>
                            </w:p>
                          </w:txbxContent>
                        </wps:txbx>
                        <wps:bodyPr lIns="90000" rIns="90000" tIns="45000" bIns="45000">
                          <a:noAutofit/>
                        </wps:bodyPr>
                      </wps:wsp>
                      <wps:wsp>
                        <wps:cNvSpPr/>
                        <wps:spPr>
                          <a:xfrm>
                            <a:off x="4121280" y="1415880"/>
                            <a:ext cx="85212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Nordvest</w:t>
                              </w:r>
                            </w:p>
                          </w:txbxContent>
                        </wps:txbx>
                        <wps:bodyPr lIns="90000" rIns="90000" tIns="45000" bIns="45000">
                          <a:noAutofit/>
                        </wps:bodyPr>
                      </wps:wsp>
                      <wps:wsp>
                        <wps:cNvSpPr/>
                        <wps:spPr>
                          <a:xfrm>
                            <a:off x="4206240" y="1019880"/>
                            <a:ext cx="169560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Bopælsområde</w:t>
                              </w:r>
                            </w:p>
                          </w:txbxContent>
                        </wps:txbx>
                        <wps:bodyPr lIns="90000" rIns="90000" tIns="45000" bIns="45000">
                          <a:noAutofit/>
                        </wps:bodyPr>
                      </wps:wsp>
                      <wps:wsp>
                        <wps:cNvSpPr/>
                        <wps:spPr>
                          <a:xfrm>
                            <a:off x="5306760" y="1753200"/>
                            <a:ext cx="851040" cy="2649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i centrum</w:t>
                              </w:r>
                            </w:p>
                          </w:txbxContent>
                        </wps:txbx>
                        <wps:bodyPr lIns="90000" rIns="90000" tIns="45000" bIns="45000">
                          <a:noAutofit/>
                        </wps:bodyPr>
                      </wps:wsp>
                      <wps:wsp>
                        <wps:cNvSpPr/>
                        <wps:spPr>
                          <a:xfrm>
                            <a:off x="4113000" y="2688120"/>
                            <a:ext cx="1038960" cy="2660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Syd- og øerne</w:t>
                              </w:r>
                            </w:p>
                          </w:txbxContent>
                        </wps:txbx>
                        <wps:bodyPr lIns="90000" rIns="90000" tIns="45000" bIns="45000">
                          <a:noAutofit/>
                        </wps:bodyPr>
                      </wps:wsp>
                    </wpg:wgp>
                  </a:graphicData>
                </a:graphic>
              </wp:anchor>
            </w:drawing>
          </mc:Choice>
          <mc:Fallback>
            <w:pict>
              <v:group id="shape_0" alt="Formular5" style="position:absolute;margin-left:0.05pt;margin-top:3.25pt;width:484.85pt;height:285.35pt" coordorigin="1,65" coordsize="9697,5707">
                <v:shape id="shape_0" stroked="f" style="position:absolute;left:1;top:787;width:9546;height:4983" type="shapetype_75">
                  <v:imagedata r:id="rId107" o:detectmouseclick="t"/>
                  <w10:wrap type="none"/>
                  <v:stroke color="#3465a4" joinstyle="round" endcap="flat"/>
                </v:shape>
                <v:rect id="shape_0" stroked="f" style="position:absolute;left:2328;top:65;width:6201;height:66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Fordeling af aktive deltagere</w:t>
                        </w:r>
                      </w:p>
                    </w:txbxContent>
                  </v:textbox>
                  <w10:wrap type="square"/>
                  <v:fill o:detectmouseclick="t" on="false"/>
                  <v:stroke color="#3465a4" joinstyle="round" endcap="flat"/>
                </v:rect>
                <v:rect id="shape_0" stroked="f" style="position:absolute;left:825;top:1658;width:1717;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køn</w:t>
                        </w:r>
                      </w:p>
                    </w:txbxContent>
                  </v:textbox>
                  <w10:wrap type="square"/>
                  <v:fill o:detectmouseclick="t" on="false"/>
                  <v:stroke color="#3465a4" joinstyle="round" endcap="flat"/>
                </v:rect>
                <v:rect id="shape_0" stroked="f" style="position:absolute;left:570;top:3039;width:1715;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aldersgruppe</w:t>
                        </w:r>
                      </w:p>
                    </w:txbxContent>
                  </v:textbox>
                  <w10:wrap type="square"/>
                  <v:fill o:detectmouseclick="t" on="false"/>
                  <v:stroke color="#3465a4" joinstyle="round" endcap="flat"/>
                </v:rect>
                <v:rect id="shape_0" stroked="f" style="position:absolute;left:1670;top:3542;width:1341;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18-34 år gammel</w:t>
                        </w:r>
                      </w:p>
                    </w:txbxContent>
                  </v:textbox>
                  <w10:wrap type="square"/>
                  <v:fill o:detectmouseclick="t" on="false"/>
                  <v:stroke color="#3465a4" joinstyle="round" endcap="flat"/>
                </v:rect>
                <v:rect id="shape_0" stroked="f" style="position:absolute;left:1618;top:4139;width:1340;height:69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35-64 år</w:t>
                        </w:r>
                      </w:p>
                    </w:txbxContent>
                  </v:textbox>
                  <w10:wrap type="square"/>
                  <v:fill o:detectmouseclick="t" on="false"/>
                  <v:stroke color="#3465a4" joinstyle="round" endcap="flat"/>
                </v:rect>
                <v:rect id="shape_0" stroked="f" style="position:absolute;left:1631;top:4645;width:1340;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65-75 år gammel</w:t>
                        </w:r>
                      </w:p>
                    </w:txbxContent>
                  </v:textbox>
                  <w10:wrap type="square"/>
                  <v:fill o:detectmouseclick="t" on="false"/>
                  <v:stroke color="#3465a4" joinstyle="round" endcap="flat"/>
                </v:rect>
                <v:rect id="shape_0" stroked="f" style="position:absolute;left:3404;top:1671;width:2653;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Uddannelsesniveau</w:t>
                        </w:r>
                      </w:p>
                    </w:txbxContent>
                  </v:textbox>
                  <w10:wrap type="square"/>
                  <v:fill o:detectmouseclick="t" on="false"/>
                  <v:stroke color="#3465a4" joinstyle="round" endcap="flat"/>
                </v:rect>
                <v:rect id="shape_0" stroked="f" style="position:absolute;left:4424;top:2176;width:1338;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Lav</w:t>
                        </w:r>
                      </w:p>
                    </w:txbxContent>
                  </v:textbox>
                  <w10:wrap type="square"/>
                  <v:fill o:detectmouseclick="t" on="false"/>
                  <v:stroke color="#3465a4" joinstyle="round" endcap="flat"/>
                </v:rect>
                <v:rect id="shape_0" stroked="f" style="position:absolute;left:8157;top:1950;width:1338;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Nordøst</w:t>
                        </w:r>
                      </w:p>
                    </w:txbxContent>
                  </v:textbox>
                  <w10:wrap type="square"/>
                  <v:fill o:detectmouseclick="t" on="false"/>
                  <v:stroke color="#3465a4" joinstyle="round" endcap="flat"/>
                </v:rect>
                <v:rect id="shape_0" stroked="f" style="position:absolute;left:3270;top:2574;width:2828;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Kollegium, erhvervsrettet uddannelse</w:t>
                        </w:r>
                      </w:p>
                    </w:txbxContent>
                  </v:textbox>
                  <w10:wrap type="square"/>
                  <v:fill o:detectmouseclick="t" on="false"/>
                  <v:stroke color="#3465a4" joinstyle="round" endcap="flat"/>
                </v:rect>
                <v:rect id="shape_0" stroked="f" style="position:absolute;left:4505;top:3237;width:1339;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Gennemsnitligt</w:t>
                        </w:r>
                      </w:p>
                    </w:txbxContent>
                  </v:textbox>
                  <w10:wrap type="square"/>
                  <v:fill o:detectmouseclick="t" on="false"/>
                  <v:stroke color="#3465a4" joinstyle="round" endcap="flat"/>
                </v:rect>
                <v:rect id="shape_0" stroked="f" style="position:absolute;left:3498;top:3688;width:2358;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Højskole</w:t>
                        </w:r>
                      </w:p>
                    </w:txbxContent>
                  </v:textbox>
                  <w10:wrap type="square"/>
                  <v:fill o:detectmouseclick="t" on="false"/>
                  <v:stroke color="#3465a4" joinstyle="round" endcap="flat"/>
                </v:rect>
                <v:rect id="shape_0" stroked="f" style="position:absolute;left:4532;top:4460;width:1338;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Hævet</w:t>
                        </w:r>
                      </w:p>
                    </w:txbxContent>
                  </v:textbox>
                  <w10:wrap type="square"/>
                  <v:fill o:detectmouseclick="t" on="false"/>
                  <v:stroke color="#3465a4" joinstyle="round" endcap="flat"/>
                </v:rect>
                <v:rect id="shape_0" stroked="f" style="position:absolute;left:3216;top:4818;width:3070;height:598">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Bachelorgrad, kandidatgrad eller mere</w:t>
                        </w:r>
                      </w:p>
                    </w:txbxContent>
                  </v:textbox>
                  <w10:wrap type="square"/>
                  <v:fill o:detectmouseclick="t" on="false"/>
                  <v:stroke color="#3465a4" joinstyle="round" endcap="flat"/>
                </v:rect>
                <v:rect id="shape_0" stroked="f" style="position:absolute;left:6491;top:2295;width:1341;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Nordvest</w:t>
                        </w:r>
                      </w:p>
                    </w:txbxContent>
                  </v:textbox>
                  <w10:wrap type="square"/>
                  <v:fill o:detectmouseclick="t" on="false"/>
                  <v:stroke color="#3465a4" joinstyle="round" endcap="flat"/>
                </v:rect>
                <v:rect id="shape_0" stroked="f" style="position:absolute;left:6625;top:1671;width:2669;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Bopælsområde</w:t>
                        </w:r>
                      </w:p>
                    </w:txbxContent>
                  </v:textbox>
                  <w10:wrap type="square"/>
                  <v:fill o:detectmouseclick="t" on="false"/>
                  <v:stroke color="#3465a4" joinstyle="round" endcap="flat"/>
                </v:rect>
                <v:rect id="shape_0" stroked="f" style="position:absolute;left:8358;top:2826;width:1339;height:416">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i centrum</w:t>
                        </w:r>
                      </w:p>
                    </w:txbxContent>
                  </v:textbox>
                  <w10:wrap type="square"/>
                  <v:fill o:detectmouseclick="t" on="false"/>
                  <v:stroke color="#3465a4" joinstyle="round" endcap="flat"/>
                </v:rect>
                <v:rect id="shape_0" stroked="f" style="position:absolute;left:6478;top:4298;width:1635;height:418">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Syd- og øerne</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Her er resultaterne af udvælgelsesprocessen trin: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7">
                <wp:simplePos x="0" y="0"/>
                <wp:positionH relativeFrom="column">
                  <wp:posOffset>10160</wp:posOffset>
                </wp:positionH>
                <wp:positionV relativeFrom="paragraph">
                  <wp:posOffset>144780</wp:posOffset>
                </wp:positionV>
                <wp:extent cx="6048375" cy="3641090"/>
                <wp:effectExtent l="0" t="0" r="0" b="0"/>
                <wp:wrapNone/>
                <wp:docPr id="104" name="Formular6"/>
                <a:graphic xmlns:a="http://schemas.openxmlformats.org/drawingml/2006/main">
                  <a:graphicData uri="http://schemas.microsoft.com/office/word/2010/wordprocessingGroup">
                    <wpg:wgp>
                      <wpg:cNvGrpSpPr/>
                      <wpg:grpSpPr>
                        <a:xfrm>
                          <a:off x="0" y="0"/>
                          <a:ext cx="6047640" cy="3640320"/>
                        </a:xfrm>
                      </wpg:grpSpPr>
                      <pic:pic xmlns:pic="http://schemas.openxmlformats.org/drawingml/2006/picture">
                        <pic:nvPicPr>
                          <pic:cNvPr id="8" name="" descr=""/>
                          <pic:cNvPicPr/>
                        </pic:nvPicPr>
                        <pic:blipFill>
                          <a:blip r:embed="rId108"/>
                          <a:stretch/>
                        </pic:blipFill>
                        <pic:spPr>
                          <a:xfrm>
                            <a:off x="1521000" y="457920"/>
                            <a:ext cx="2902680" cy="3182760"/>
                          </a:xfrm>
                          <a:prstGeom prst="rect">
                            <a:avLst/>
                          </a:prstGeom>
                          <a:ln>
                            <a:noFill/>
                          </a:ln>
                        </pic:spPr>
                      </pic:pic>
                      <wps:wsp>
                        <wps:cNvSpPr/>
                        <wps:spPr>
                          <a:xfrm>
                            <a:off x="693360" y="0"/>
                            <a:ext cx="4646160" cy="4050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Ansøgningsprocessen</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Adgang til ansøgningsskemaet</w:t>
                              </w:r>
                            </w:p>
                          </w:txbxContent>
                        </wps:txbx>
                        <wps:bodyPr lIns="90000" rIns="90000" tIns="45000" bIns="45000">
                          <a:noAutofit/>
                        </wps:bodyPr>
                      </wps:wsp>
                      <wps:wsp>
                        <wps:cNvSpPr/>
                        <wps:spPr>
                          <a:xfrm>
                            <a:off x="0" y="1099800"/>
                            <a:ext cx="159948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Fulde ansøgninger</w:t>
                              </w:r>
                            </w:p>
                          </w:txbxContent>
                        </wps:txbx>
                        <wps:bodyPr lIns="90000" rIns="90000" tIns="45000" bIns="45000">
                          <a:noAutofit/>
                        </wps:bodyPr>
                      </wps:wsp>
                      <wps:wsp>
                        <wps:cNvSpPr/>
                        <wps:spPr>
                          <a:xfrm>
                            <a:off x="0" y="1497960"/>
                            <a:ext cx="1599480" cy="4399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Støtteberettigede kandidater</w:t>
                              </w:r>
                            </w:p>
                          </w:txbxContent>
                        </wps:txbx>
                        <wps:bodyPr lIns="90000" rIns="90000" tIns="45000" bIns="45000">
                          <a:noAutofit/>
                        </wps:bodyPr>
                      </wps:wsp>
                      <wps:wsp>
                        <wps:cNvSpPr/>
                        <wps:spPr>
                          <a:xfrm>
                            <a:off x="0" y="1920960"/>
                            <a:ext cx="159948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Optaget i panelet</w:t>
                              </w:r>
                            </w:p>
                          </w:txbxContent>
                        </wps:txbx>
                        <wps:bodyPr lIns="90000" rIns="90000" tIns="45000" bIns="45000">
                          <a:noAutofit/>
                        </wps:bodyPr>
                      </wps:wsp>
                      <wps:wsp>
                        <wps:cNvSpPr/>
                        <wps:spPr>
                          <a:xfrm>
                            <a:off x="0" y="2343960"/>
                            <a:ext cx="159948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Aktive deltagere</w:t>
                              </w:r>
                            </w:p>
                          </w:txbxContent>
                        </wps:txbx>
                        <wps:bodyPr lIns="90000" rIns="90000" tIns="45000" bIns="45000">
                          <a:noAutofit/>
                        </wps:bodyPr>
                      </wps:wsp>
                      <wps:wsp>
                        <wps:cNvSpPr/>
                        <wps:spPr>
                          <a:xfrm>
                            <a:off x="4430880" y="594360"/>
                            <a:ext cx="159948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8.-10. marts 2022</w:t>
                              </w:r>
                            </w:p>
                          </w:txbxContent>
                        </wps:txbx>
                        <wps:bodyPr lIns="90000" rIns="90000" tIns="45000" bIns="45000">
                          <a:noAutofit/>
                        </wps:bodyPr>
                      </wps:wsp>
                      <wps:wsp>
                        <wps:cNvSpPr/>
                        <wps:spPr>
                          <a:xfrm>
                            <a:off x="4448160" y="1100520"/>
                            <a:ext cx="1599480" cy="307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10. marts 2022</w:t>
                              </w:r>
                            </w:p>
                          </w:txbxContent>
                        </wps:txbx>
                        <wps:bodyPr lIns="90000" rIns="90000" tIns="45000" bIns="45000">
                          <a:noAutofit/>
                        </wps:bodyPr>
                      </wps:wsp>
                      <wps:wsp>
                        <wps:cNvSpPr/>
                        <wps:spPr>
                          <a:xfrm>
                            <a:off x="4430880" y="595080"/>
                            <a:ext cx="1599480" cy="307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8.-10. marts 2022</w:t>
                              </w:r>
                            </w:p>
                          </w:txbxContent>
                        </wps:txbx>
                        <wps:bodyPr lIns="90000" rIns="90000" tIns="45000" bIns="45000">
                          <a:noAutofit/>
                        </wps:bodyPr>
                      </wps:wsp>
                      <wps:wsp>
                        <wps:cNvSpPr/>
                        <wps:spPr>
                          <a:xfrm>
                            <a:off x="4439880" y="1515240"/>
                            <a:ext cx="159876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10. marts 2022</w:t>
                              </w:r>
                            </w:p>
                          </w:txbxContent>
                        </wps:txbx>
                        <wps:bodyPr lIns="90000" rIns="90000" tIns="45000" bIns="45000">
                          <a:noAutofit/>
                        </wps:bodyPr>
                      </wps:wsp>
                      <wps:wsp>
                        <wps:cNvSpPr/>
                        <wps:spPr>
                          <a:xfrm>
                            <a:off x="4430880" y="1913760"/>
                            <a:ext cx="1599480" cy="307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11. marts 2022</w:t>
                              </w:r>
                            </w:p>
                          </w:txbxContent>
                        </wps:txbx>
                        <wps:bodyPr lIns="90000" rIns="90000" tIns="45000" bIns="45000">
                          <a:noAutofit/>
                        </wps:bodyPr>
                      </wps:wsp>
                      <wps:wsp>
                        <wps:cNvSpPr/>
                        <wps:spPr>
                          <a:xfrm>
                            <a:off x="4404960" y="2279520"/>
                            <a:ext cx="1599480" cy="3078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11.-12. marts 2022</w:t>
                              </w:r>
                            </w:p>
                          </w:txbxContent>
                        </wps:txbx>
                        <wps:bodyPr lIns="90000" rIns="90000" tIns="45000" bIns="45000">
                          <a:noAutofit/>
                        </wps:bodyPr>
                      </wps:wsp>
                    </wpg:wgp>
                  </a:graphicData>
                </a:graphic>
              </wp:anchor>
            </w:drawing>
          </mc:Choice>
          <mc:Fallback>
            <w:pict>
              <v:group id="shape_0" alt="Formular6" style="position:absolute;margin-left:0.8pt;margin-top:11.4pt;width:476.2pt;height:286.65pt" coordorigin="16,228" coordsize="9524,5733">
                <v:shape id="shape_0" stroked="f" style="position:absolute;left:2411;top:949;width:4570;height:5011" type="shapetype_75">
                  <v:imagedata r:id="rId108" o:detectmouseclick="t"/>
                  <w10:wrap type="none"/>
                  <v:stroke color="#3465a4" joinstyle="round" endcap="flat"/>
                </v:shape>
                <v:rect id="shape_0" stroked="f" style="position:absolute;left:1108;top:228;width:7316;height:637">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Ansøgningsprocessen</w:t>
                        </w:r>
                      </w:p>
                    </w:txbxContent>
                  </v:textbox>
                  <w10:wrap type="square"/>
                  <v:fill o:detectmouseclick="t" on="false"/>
                  <v:stroke color="#3465a4" joinstyle="round" endcap="flat"/>
                </v:rect>
                <v:rect id="shape_0" stroked="f" style="position:absolute;left:16;top:1292;width:2518;height:69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Adgang til ansøgningsskemaet</w:t>
                        </w:r>
                      </w:p>
                    </w:txbxContent>
                  </v:textbox>
                  <w10:wrap type="square"/>
                  <v:fill o:detectmouseclick="t" on="false"/>
                  <v:stroke color="#3465a4" joinstyle="round" endcap="flat"/>
                </v:rect>
                <v:rect id="shape_0" stroked="f" style="position:absolute;left:16;top:1960;width:2518;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Fulde ansøgninger</w:t>
                        </w:r>
                      </w:p>
                    </w:txbxContent>
                  </v:textbox>
                  <w10:wrap type="square"/>
                  <v:fill o:detectmouseclick="t" on="false"/>
                  <v:stroke color="#3465a4" joinstyle="round" endcap="flat"/>
                </v:rect>
                <v:rect id="shape_0" stroked="f" style="position:absolute;left:16;top:2587;width:2518;height:69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Støtteberettigede kandidater</w:t>
                        </w:r>
                      </w:p>
                    </w:txbxContent>
                  </v:textbox>
                  <w10:wrap type="square"/>
                  <v:fill o:detectmouseclick="t" on="false"/>
                  <v:stroke color="#3465a4" joinstyle="round" endcap="flat"/>
                </v:rect>
                <v:rect id="shape_0" stroked="f" style="position:absolute;left:16;top:3253;width:2518;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Optaget i panelet</w:t>
                        </w:r>
                      </w:p>
                    </w:txbxContent>
                  </v:textbox>
                  <w10:wrap type="square"/>
                  <v:fill o:detectmouseclick="t" on="false"/>
                  <v:stroke color="#3465a4" joinstyle="round" endcap="flat"/>
                </v:rect>
                <v:rect id="shape_0" stroked="f" style="position:absolute;left:16;top:3919;width:2518;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Aktive deltagere</w:t>
                        </w:r>
                      </w:p>
                    </w:txbxContent>
                  </v:textbox>
                  <w10:wrap type="square"/>
                  <v:fill o:detectmouseclick="t" on="false"/>
                  <v:stroke color="#3465a4" joinstyle="round" endcap="flat"/>
                </v:rect>
                <v:rect id="shape_0" stroked="f" style="position:absolute;left:6994;top:1164;width:2518;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8.-10. marts 2022</w:t>
                        </w:r>
                      </w:p>
                    </w:txbxContent>
                  </v:textbox>
                  <w10:wrap type="square"/>
                  <v:fill o:detectmouseclick="t" on="false"/>
                  <v:stroke color="#3465a4" joinstyle="round" endcap="flat"/>
                </v:rect>
                <v:rect id="shape_0" stroked="f" style="position:absolute;left:7021;top:1961;width:2518;height:4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10. marts 2022</w:t>
                        </w:r>
                      </w:p>
                    </w:txbxContent>
                  </v:textbox>
                  <w10:wrap type="square"/>
                  <v:fill o:detectmouseclick="t" on="false"/>
                  <v:stroke color="#3465a4" joinstyle="round" endcap="flat"/>
                </v:rect>
                <v:rect id="shape_0" stroked="f" style="position:absolute;left:6994;top:1165;width:2518;height:4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8.-10. marts 2022</w:t>
                        </w:r>
                      </w:p>
                    </w:txbxContent>
                  </v:textbox>
                  <w10:wrap type="square"/>
                  <v:fill o:detectmouseclick="t" on="false"/>
                  <v:stroke color="#3465a4" joinstyle="round" endcap="flat"/>
                </v:rect>
                <v:rect id="shape_0" stroked="f" style="position:absolute;left:7008;top:2614;width:2517;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10. marts 2022</w:t>
                        </w:r>
                      </w:p>
                    </w:txbxContent>
                  </v:textbox>
                  <w10:wrap type="square"/>
                  <v:fill o:detectmouseclick="t" on="false"/>
                  <v:stroke color="#3465a4" joinstyle="round" endcap="flat"/>
                </v:rect>
                <v:rect id="shape_0" stroked="f" style="position:absolute;left:6994;top:3242;width:2518;height:483">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11. marts 2022</w:t>
                        </w:r>
                      </w:p>
                    </w:txbxContent>
                  </v:textbox>
                  <w10:wrap type="square"/>
                  <v:fill o:detectmouseclick="t" on="false"/>
                  <v:stroke color="#3465a4" joinstyle="round" endcap="flat"/>
                </v:rect>
                <v:rect id="shape_0" stroked="f" style="position:absolute;left:6953;top:3818;width:2518;height:48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11.-12. marts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Kommunikationsudstyr </w:t>
      </w:r>
    </w:p>
    <w:p>
      <w:pPr>
        <w:pStyle w:val="P68B1DB1Normal76"/>
        <w:widowControl w:val="false"/>
        <w:spacing w:lineRule="exact" w:line="379" w:before="200" w:after="0"/>
        <w:ind w:left="0" w:right="2" w:hanging="0"/>
        <w:jc w:val="left"/>
        <w:rPr/>
      </w:pPr>
      <w:r>
        <w:rPr/>
        <w:t xml:space="preserve">For at sikre en høj grad af motivation og deltagelse fra starten blev følgende dokumenter stillet til rådighed for alle deltagere: </w:t>
      </w:r>
    </w:p>
    <w:p>
      <w:pPr>
        <w:pStyle w:val="P68B1DB1Normal76"/>
        <w:widowControl w:val="false"/>
        <w:spacing w:lineRule="exact" w:line="252" w:before="192" w:after="0"/>
        <w:ind w:left="720" w:right="0" w:hanging="0"/>
        <w:jc w:val="left"/>
        <w:rPr/>
      </w:pPr>
      <w:r>
        <w:rPr/>
        <w:t xml:space="preserve">• </w:t>
      </w:r>
      <w:r>
        <w:rPr>
          <w:b/>
        </w:rPr>
        <w:t xml:space="preserve">præsentationsbladene fra konferencen om Europas fremtid og de nationale paneler </w:t>
      </w:r>
    </w:p>
    <w:p>
      <w:pPr>
        <w:pStyle w:val="P68B1DB1Normal76"/>
        <w:widowControl w:val="false"/>
        <w:spacing w:lineRule="exact" w:line="379"/>
        <w:ind w:left="720" w:right="0" w:hanging="0"/>
        <w:jc w:val="left"/>
        <w:rPr/>
      </w:pPr>
      <w:r>
        <w:rPr/>
        <w:t xml:space="preserve">• </w:t>
      </w:r>
      <w:r>
        <w:rPr>
          <w:b/>
        </w:rPr>
        <w:t xml:space="preserve">charteret for konferencen om Europas fremtid, </w:t>
      </w:r>
    </w:p>
    <w:p>
      <w:pPr>
        <w:pStyle w:val="P68B1DB1Normal76"/>
        <w:widowControl w:val="false"/>
        <w:spacing w:lineRule="exact" w:line="379"/>
        <w:ind w:left="720" w:right="0" w:hanging="0"/>
        <w:jc w:val="left"/>
        <w:rPr/>
      </w:pPr>
      <w:r>
        <w:rPr/>
        <w:t xml:space="preserve">• </w:t>
      </w:r>
      <w:r>
        <w:rPr>
          <w:b/>
        </w:rPr>
        <w:t xml:space="preserve">de emner, der skal drøftes i panelerne </w:t>
      </w:r>
    </w:p>
    <w:p>
      <w:pPr>
        <w:pStyle w:val="P68B1DB1Normal76"/>
        <w:widowControl w:val="false"/>
        <w:spacing w:lineRule="exact" w:line="379"/>
        <w:ind w:left="721" w:right="0" w:hanging="0"/>
        <w:jc w:val="left"/>
        <w:rPr/>
      </w:pPr>
      <w:r>
        <w:rPr/>
        <w:t xml:space="preserve">• </w:t>
      </w:r>
      <w:r>
        <w:rPr>
          <w:b/>
        </w:rPr>
        <w:t xml:space="preserve">tekniske og organisatoriske oplysninger, der er nødvendige for deltagelsen. </w:t>
      </w:r>
    </w:p>
    <w:p>
      <w:pPr>
        <w:pStyle w:val="P68B1DB1Titre277"/>
        <w:numPr>
          <w:ilvl w:val="0"/>
          <w:numId w:val="2"/>
        </w:numPr>
        <w:rPr>
          <w:color w:val="BD1271"/>
        </w:rPr>
      </w:pPr>
      <w:bookmarkStart w:id="218" w:name="__RefHeading___Toc300312_1346298689"/>
      <w:bookmarkEnd w:id="218"/>
      <w:r>
        <w:rPr/>
        <w:t xml:space="preserve">3. Organisering af panelet </w:t>
      </w:r>
    </w:p>
    <w:p>
      <w:pPr>
        <w:pStyle w:val="P68B1DB1Normal76"/>
        <w:widowControl w:val="false"/>
        <w:spacing w:lineRule="exact" w:line="272" w:before="231" w:after="0"/>
        <w:ind w:left="0" w:right="0" w:hanging="0"/>
        <w:jc w:val="both"/>
        <w:rPr/>
      </w:pPr>
      <w:r>
        <w:rPr/>
        <w:t xml:space="preserve">For at give mulighed for maksimal deltagelse, herunder personer med faglige forpligtelser, blev panelet organiseret over to på hinanden følgende halve dage, herunder en i weekender, efter følgende tidsplan: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Fredag den 11. marts fra 4 til 8 p.m.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Lørdag den 12. marts fra 10 til 12 pm </w:t>
      </w:r>
    </w:p>
    <w:p>
      <w:pPr>
        <w:pStyle w:val="Normal"/>
        <w:widowControl w:val="false"/>
        <w:spacing w:lineRule="exact" w:line="286" w:before="83" w:after="0"/>
        <w:ind w:left="0" w:right="1" w:hanging="0"/>
        <w:jc w:val="both"/>
        <w:rPr/>
      </w:pPr>
      <w:r>
        <w:rPr>
          <w:color w:val="000000"/>
        </w:rPr>
        <w:t xml:space="preserve">Formålet med dette valg var på den ene side at lette arbejdstagernes deltagelse i initiativet og på den anden side at fordele deltagelsestiden for at tilskynde til større opmærksomhed og deltagelse samt yderligere overvejelser om de forelagte temaer og forslag. Paneldeltagerne havde forbindelse til de to arbejdsmøder ved hjælp af GoToMeeting-platformen og blev opdelt i fire grupper (to for hvert temaområde), ledet af en </w:t>
      </w:r>
      <w:r>
        <w:rPr>
          <w:color w:val="ED7D31"/>
        </w:rPr>
        <w:t>SWG</w:t>
      </w:r>
      <w:r>
        <w:rPr>
          <w:color w:val="000000"/>
        </w:rPr>
        <w:t xml:space="preserve"> -moderator og assistenter for en person, der var ansvarlig for at skrive sagen. Moderatorerne lettede grupperne gennem to forskellige diskussionsveje (en for hvert temaområde) med det formål så vidt muligt at inddrage alle de udvalgte personer og sikre en tilgang baseret på maksimal inklusion og neutralitet. </w:t>
      </w:r>
    </w:p>
    <w:p>
      <w:pPr>
        <w:pStyle w:val="Titre2"/>
        <w:numPr>
          <w:ilvl w:val="1"/>
          <w:numId w:val="2"/>
        </w:numPr>
        <w:rPr/>
      </w:pPr>
      <w:bookmarkStart w:id="219" w:name="__RefHeading___Toc300314_1346298689"/>
      <w:bookmarkEnd w:id="219"/>
      <w:r>
        <w:rPr>
          <w:color w:val="BD1271"/>
        </w:rPr>
        <w:t>4. Program for arbejde</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Første møde (fredag 11. marts 2022) </w:t>
      </w:r>
    </w:p>
    <w:p>
      <w:pPr>
        <w:pStyle w:val="P68B1DB1Normal76"/>
        <w:widowControl w:val="false"/>
        <w:spacing w:lineRule="exact" w:line="362" w:before="208" w:after="0"/>
        <w:ind w:left="360" w:right="0" w:hanging="0"/>
        <w:jc w:val="left"/>
        <w:rPr/>
      </w:pPr>
      <w:r>
        <w:rPr/>
        <w:t xml:space="preserve">• </w:t>
      </w:r>
      <w:r>
        <w:rPr/>
        <w:t xml:space="preserve">00 — Åbning af det virtuelle rum og deltagernes mulighed for at oprette forbindelse til platformen for at kontrollere, om deres lyd- og videosystemer fungerer korrekt. </w:t>
      </w:r>
    </w:p>
    <w:p>
      <w:pPr>
        <w:pStyle w:val="P68B1DB1Normal76"/>
        <w:widowControl w:val="false"/>
        <w:spacing w:lineRule="exact" w:line="362"/>
        <w:ind w:left="360" w:right="0" w:hanging="0"/>
        <w:jc w:val="left"/>
        <w:rPr/>
      </w:pPr>
      <w:r>
        <w:rPr/>
        <w:t xml:space="preserve">• </w:t>
      </w:r>
      <w:r>
        <w:rPr/>
        <w:t xml:space="preserve">16:00 — Introduktion af moderator: redegørelse for årsagerne til initiativet og beskrivelse af arbejdets struktur.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15:00 — Fordeling af deltagere i grupper baseret på de præferencer, der er angivet i ansøgningsfasen.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Begyndelse af gruppediskussionen.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Kl. 20.00 — sessionens afslutning. </w:t>
      </w:r>
    </w:p>
    <w:p>
      <w:pPr>
        <w:pStyle w:val="P68B1DB1Normal80"/>
        <w:widowControl w:val="false"/>
        <w:spacing w:lineRule="exact" w:line="393" w:before="248" w:after="0"/>
        <w:ind w:left="0" w:right="0" w:hanging="0"/>
        <w:jc w:val="left"/>
        <w:rPr>
          <w:rFonts w:ascii="Arial" w:hAnsi="Arial"/>
          <w:color w:val="116E9A"/>
          <w:sz w:val="24"/>
        </w:rPr>
      </w:pPr>
      <w:r>
        <w:rPr/>
        <w:t xml:space="preserve">Andet møde (lørdag 12. marts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 Gentagelse af arbejdet ved at læse resultaterne af arbejdet på den første dag. </w:t>
      </w:r>
    </w:p>
    <w:p>
      <w:pPr>
        <w:pStyle w:val="P68B1DB1Normal76"/>
        <w:widowControl w:val="false"/>
        <w:spacing w:lineRule="exact" w:line="254"/>
        <w:ind w:left="360" w:right="140" w:hanging="0"/>
        <w:jc w:val="left"/>
        <w:rPr/>
      </w:pPr>
      <w:r>
        <w:rPr/>
        <w:t xml:space="preserve">• </w:t>
      </w:r>
      <w:r>
        <w:rPr/>
        <w:t xml:space="preserve">10.15 — Fortsat diskussion, dybtgående diskussioner og kommentarer fra deltagerne. </w:t>
      </w:r>
    </w:p>
    <w:p>
      <w:pPr>
        <w:pStyle w:val="Normal"/>
        <w:widowControl w:val="false"/>
        <w:spacing w:lineRule="exact" w:line="362"/>
        <w:ind w:left="360" w:right="0" w:hanging="0"/>
        <w:jc w:val="left"/>
        <w:rPr/>
      </w:pPr>
      <w:r>
        <w:rPr>
          <w:color w:val="000000"/>
        </w:rPr>
        <w:t xml:space="preserve">• </w:t>
      </w:r>
      <w:r>
        <w:rPr>
          <w:color w:val="000000"/>
        </w:rPr>
        <w:t>12.00 — Konklusion af arbejdet</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4">
            <wp:simplePos x="0" y="0"/>
            <wp:positionH relativeFrom="column">
              <wp:align>center</wp:align>
            </wp:positionH>
            <wp:positionV relativeFrom="paragraph">
              <wp:posOffset>635</wp:posOffset>
            </wp:positionV>
            <wp:extent cx="6120130" cy="3441700"/>
            <wp:effectExtent l="0" t="0" r="0" b="0"/>
            <wp:wrapTopAndBottom/>
            <wp:docPr id="105" name="Billed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lede45" descr=""/>
                    <pic:cNvPicPr>
                      <a:picLocks noChangeAspect="1" noChangeArrowheads="1"/>
                    </pic:cNvPicPr>
                  </pic:nvPicPr>
                  <pic:blipFill>
                    <a:blip r:embed="rId109"/>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Anbefalinger fremsat </w:t>
      </w:r>
    </w:p>
    <w:p>
      <w:pPr>
        <w:pStyle w:val="Titre3"/>
        <w:numPr>
          <w:ilvl w:val="2"/>
          <w:numId w:val="2"/>
        </w:numPr>
        <w:rPr/>
      </w:pPr>
      <w:bookmarkStart w:id="221" w:name="__RefHeading___Toc300318_1346298689"/>
      <w:bookmarkEnd w:id="221"/>
      <w:r>
        <w:rPr>
          <w:color w:val="FFFFFF"/>
          <w:shd w:fill="0066B3" w:val="clear"/>
        </w:rPr>
        <w:t>En stærkere økonomi, social retfærdighed og beskæftigelse</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Overvindelse af produktionsmodellen fra det sidste århundrede </w:t>
      </w:r>
    </w:p>
    <w:p>
      <w:pPr>
        <w:pStyle w:val="P68B1DB1Normal76"/>
        <w:widowControl w:val="false"/>
        <w:spacing w:lineRule="auto" w:line="240" w:before="80" w:after="0"/>
        <w:ind w:left="0" w:right="1" w:hanging="0"/>
        <w:jc w:val="both"/>
        <w:rPr/>
      </w:pPr>
      <w:r>
        <w:rPr/>
        <w:t xml:space="preserve">Paneldeltagerne mente, at de seneste globale begivenheder (covid-19-pandemien og konflikten mellem Rusland og Ukraine) angiveligt viste begrænsningerne i den nuværende europæiske produktionsmodel og fremhævede behovet for at genoverveje en tilgang, som mange beskriver som "tilhører det seneste århundrede".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Bevis for Europas afhængighed af import af energi og fødevarer fra lande uden for EU samt opdagelsen (under pandemien) af, at vi ikke alene er i stand til at producere den mængde medicinsk udstyr og vacciner, der er nødvendige for at bekæmpe spredningen af virusset, har givet indtryk af, at vores økonomiske system lider af strukturelle svagheder på grund af manglende selvforsyning.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Samtidig mener deltagerne klart, at en stærkere økonomi, der er i stand til at skabe arbejdspladser i en kontekst med social retfærdighed, skal være i stand til at erhverve vigtige teknologiske aktiver. For at gøre dette er det vigtigt at støtte et uddannelsessystem med stadig stigende opmærksomhed på STEM-relaterede emner.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Teknologisk innovation, bæredygtig energi, men også turisme og kultur</w:t>
      </w:r>
      <w:r>
        <w:rPr/>
        <w:t xml:space="preserve"> synes at være tre grundlæggende akser for fremtidens europæiske økonomi, med særlig vægt på at opretholde basisproduktionen for at undgå risikoen for overdreven afhængighed af tredjelande af forsyningen af vigtige produkter og råstoffer.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ANBEFALINGER I KORTE TRÆK </w:t>
      </w:r>
    </w:p>
    <w:p>
      <w:pPr>
        <w:pStyle w:val="P68B1DB1Normal84"/>
        <w:widowControl w:val="false"/>
        <w:spacing w:lineRule="auto" w:line="240" w:before="69" w:after="0"/>
        <w:ind w:left="283" w:right="0" w:hanging="0"/>
        <w:jc w:val="left"/>
        <w:rPr/>
      </w:pPr>
      <w:r>
        <w:rPr>
          <w:color w:val="BD1271"/>
        </w:rPr>
        <w:t xml:space="preserve">1. </w:t>
      </w:r>
      <w:r>
        <w:rPr>
          <w:color w:val="000000"/>
        </w:rPr>
        <w:t>Træffe effektive foranstaltninger til bekæmpelse af klimaændringer og alternativ energi.</w:t>
      </w:r>
    </w:p>
    <w:p>
      <w:pPr>
        <w:pStyle w:val="P68B1DB1Normal84"/>
        <w:widowControl w:val="false"/>
        <w:spacing w:lineRule="auto" w:line="240"/>
        <w:ind w:left="283" w:right="0" w:hanging="0"/>
        <w:jc w:val="left"/>
        <w:rPr/>
      </w:pPr>
      <w:r>
        <w:rPr>
          <w:color w:val="BD1271"/>
        </w:rPr>
        <w:t xml:space="preserve">2. </w:t>
      </w:r>
      <w:r>
        <w:rPr>
          <w:color w:val="000000"/>
        </w:rPr>
        <w:t>Investere i turisme og kulturøkonomi, også værdsætte de mange små destinationer i Europa.</w:t>
      </w:r>
    </w:p>
    <w:p>
      <w:pPr>
        <w:pStyle w:val="P68B1DB1Normal84"/>
        <w:widowControl w:val="false"/>
        <w:spacing w:lineRule="auto" w:line="240"/>
        <w:ind w:left="283" w:right="0" w:hanging="0"/>
        <w:jc w:val="left"/>
        <w:rPr/>
      </w:pPr>
      <w:r>
        <w:rPr>
          <w:color w:val="BD1271"/>
        </w:rPr>
        <w:t xml:space="preserve">3. </w:t>
      </w:r>
      <w:r>
        <w:rPr>
          <w:color w:val="000000"/>
        </w:rPr>
        <w:t>Fokus på teknologi og innovation som drivkræfter for vækst.</w:t>
      </w:r>
    </w:p>
    <w:p>
      <w:pPr>
        <w:pStyle w:val="P68B1DB1Normal84"/>
        <w:widowControl w:val="false"/>
        <w:spacing w:lineRule="auto" w:line="240"/>
        <w:ind w:left="283" w:right="0" w:hanging="0"/>
        <w:jc w:val="left"/>
        <w:rPr/>
      </w:pPr>
      <w:r>
        <w:rPr>
          <w:color w:val="BD1271"/>
        </w:rPr>
        <w:t xml:space="preserve">4. </w:t>
      </w:r>
      <w:r>
        <w:rPr>
          <w:color w:val="000000"/>
        </w:rPr>
        <w:t>Mindske afhængigheden af andre lande af råstoffer, energikilder og landbrug.</w:t>
      </w:r>
    </w:p>
    <w:p>
      <w:pPr>
        <w:pStyle w:val="P68B1DB1Normal84"/>
        <w:widowControl w:val="false"/>
        <w:spacing w:lineRule="auto" w:line="240"/>
        <w:ind w:left="283" w:right="0" w:hanging="0"/>
        <w:jc w:val="left"/>
        <w:rPr/>
      </w:pPr>
      <w:r>
        <w:rPr>
          <w:color w:val="BD1271"/>
        </w:rPr>
        <w:t xml:space="preserve">5. </w:t>
      </w:r>
      <w:r>
        <w:rPr>
          <w:color w:val="000000"/>
        </w:rPr>
        <w:t>Tilskynde unge til at studere videnskabelige emner.</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Generative og inklusive produktionsregler </w:t>
      </w:r>
    </w:p>
    <w:p>
      <w:pPr>
        <w:pStyle w:val="P68B1DB1Normal76"/>
        <w:widowControl w:val="false"/>
        <w:spacing w:lineRule="auto" w:line="240" w:before="91" w:after="0"/>
        <w:ind w:left="0" w:right="2" w:hanging="0"/>
        <w:jc w:val="both"/>
        <w:rPr/>
      </w:pPr>
      <w:r>
        <w:rPr/>
        <w:t xml:space="preserve">For at overvinde den økonomiske logik i det sidste århundrede er det også nødvendigt at revidere de regler og procedurer, der styrer forretningsaktiviteter. Der er fire anbefalinger i denne forstand, som alle svarer til en fælles logik: på den ene side forenklingen af reglerne og på den anden side opretholdelsen af en høj grad af årvågenhed mod forseelser (navnlig med hensyn til forfalskning og illoyal konkurrence). </w:t>
      </w:r>
    </w:p>
    <w:p>
      <w:pPr>
        <w:pStyle w:val="P68B1DB1Normal76"/>
        <w:widowControl w:val="false"/>
        <w:spacing w:lineRule="auto" w:line="240" w:before="15" w:after="0"/>
        <w:ind w:left="0" w:right="2" w:hanging="0"/>
        <w:jc w:val="both"/>
        <w:rPr/>
      </w:pPr>
      <w:r>
        <w:rPr/>
        <w:t xml:space="preserve">Der lægges stor vægt på behovet for økonomiske regler, der primært er generative, og som i videst muligt omfang reducerer de valg, der kræver standardisering af produktionsprocesserne (truende specifikke lokale produktioner med dybe kulturelle rødder), men også ødelæggelsen af landbrugsvarer på grund af behovet for at opretholde foruddefinerede produktionsmængder.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ANBEFALINGER I KORTE TRÆK </w:t>
      </w:r>
    </w:p>
    <w:p>
      <w:pPr>
        <w:pStyle w:val="P68B1DB1Normal84"/>
        <w:widowControl w:val="false"/>
        <w:spacing w:lineRule="auto" w:line="240" w:before="72" w:after="0"/>
        <w:ind w:left="142" w:right="0" w:hanging="0"/>
        <w:jc w:val="left"/>
        <w:rPr/>
      </w:pPr>
      <w:r>
        <w:rPr>
          <w:color w:val="BD1271"/>
        </w:rPr>
        <w:t xml:space="preserve">1. </w:t>
      </w:r>
      <w:r>
        <w:rPr>
          <w:color w:val="000000"/>
        </w:rPr>
        <w:t>Mindske bureaukratiet (godkendelser, certificeringer).</w:t>
      </w:r>
    </w:p>
    <w:p>
      <w:pPr>
        <w:pStyle w:val="P68B1DB1Normal84"/>
        <w:widowControl w:val="false"/>
        <w:spacing w:lineRule="auto" w:line="240"/>
        <w:ind w:left="142" w:right="0" w:hanging="0"/>
        <w:jc w:val="left"/>
        <w:rPr/>
      </w:pPr>
      <w:r>
        <w:rPr>
          <w:color w:val="BD1271"/>
        </w:rPr>
        <w:t xml:space="preserve">2. </w:t>
      </w:r>
      <w:r>
        <w:rPr>
          <w:color w:val="000000"/>
        </w:rPr>
        <w:t>Mindske standardiseringen af produkter og anerkende lokale og regionale særegenheder med hensyn til kultur og produktion (respekt for produktionstraditioner).</w:t>
      </w:r>
    </w:p>
    <w:p>
      <w:pPr>
        <w:pStyle w:val="P68B1DB1Normal84"/>
        <w:widowControl w:val="false"/>
        <w:spacing w:lineRule="auto" w:line="240"/>
        <w:ind w:left="142" w:right="417" w:hanging="0"/>
        <w:jc w:val="left"/>
        <w:rPr/>
      </w:pPr>
      <w:r>
        <w:rPr>
          <w:color w:val="BD1271"/>
        </w:rPr>
        <w:t xml:space="preserve">3. </w:t>
      </w:r>
      <w:r>
        <w:rPr>
          <w:color w:val="000000"/>
        </w:rPr>
        <w:t>Overstiger logikken i kvoterne i landbrugsproduktionen og den deraf følgende ødelæggelse af overskudsproduktionen.</w:t>
      </w:r>
    </w:p>
    <w:p>
      <w:pPr>
        <w:pStyle w:val="P68B1DB1Normal84"/>
        <w:widowControl w:val="false"/>
        <w:spacing w:lineRule="auto" w:line="240"/>
        <w:ind w:left="142" w:right="0" w:hanging="0"/>
        <w:jc w:val="left"/>
        <w:rPr/>
      </w:pPr>
      <w:r>
        <w:rPr>
          <w:color w:val="BD1271"/>
        </w:rPr>
        <w:t xml:space="preserve">4. </w:t>
      </w:r>
      <w:r>
        <w:rPr>
          <w:color w:val="000000"/>
        </w:rPr>
        <w:t>Bekæmpelse af varemærkeforfalskning og illoyal konkurrence.</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Måling af vækst mod lykke i befolkningen snarere end mængden af ​​produkter </w:t>
      </w:r>
    </w:p>
    <w:p>
      <w:pPr>
        <w:pStyle w:val="P68B1DB1Normal76"/>
        <w:widowControl w:val="false"/>
        <w:spacing w:lineRule="auto" w:line="240" w:before="88" w:after="0"/>
        <w:ind w:left="0" w:right="0" w:hanging="0"/>
        <w:jc w:val="both"/>
        <w:rPr/>
      </w:pPr>
      <w:r>
        <w:rPr/>
        <w:t xml:space="preserve">At gå ud over det sidste århundredes produktionsmodel betyder ikke kun at ændre produktionsmetoderne, men også at udvikle en ny kultur, hvor vækstindikatorer ikke kun fokuserer på mængden af ​​producerede varer, men også på evnen til at sikre borgerne et mål om lykke. I denne nye økonomi kan varer ikke være omdrejningspunktet for overvejelser med hensyn til virkning og investeringer, men dette sted skal vende tilbage til mennesker. Dette indebærer overgang fra et system af indikatorer baseret på mængden af ​​producerede varer (BNP) til et system, der er i stand til at måle den velfærd, der produceres for mennesker (BIB — bruttolykke i hjemmet).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ANBEFALING I KORTE TRÆK </w:t>
      </w:r>
    </w:p>
    <w:p>
      <w:pPr>
        <w:pStyle w:val="P68B1DB1Normal84"/>
        <w:widowControl w:val="false"/>
        <w:spacing w:lineRule="auto" w:line="240" w:before="69" w:after="0"/>
        <w:ind w:left="142" w:right="0" w:hanging="0"/>
        <w:jc w:val="left"/>
        <w:rPr/>
      </w:pPr>
      <w:r>
        <w:rPr>
          <w:color w:val="BD1271"/>
        </w:rPr>
        <w:t xml:space="preserve">1. </w:t>
      </w:r>
      <w:r>
        <w:rPr>
          <w:color w:val="000000"/>
        </w:rPr>
        <w:t>Udvikle en økonomi, der er mere fokuseret på produktion af lykke (bruttonational lykke) end på varer (bruttonationalprodukt).</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Større integration mellem staterne </w:t>
      </w:r>
    </w:p>
    <w:p>
      <w:pPr>
        <w:pStyle w:val="P68B1DB1Normal76"/>
        <w:widowControl w:val="false"/>
        <w:spacing w:lineRule="auto" w:line="240" w:before="49" w:after="0"/>
        <w:ind w:left="0" w:right="0" w:hanging="0"/>
        <w:jc w:val="both"/>
        <w:rPr/>
      </w:pPr>
      <w:r>
        <w:rPr/>
        <w:t xml:space="preserve">Hvad der står klart for alle, selv blandt dem, der er mindre tilfredse med den nuværende organisation og de resultater, som EU hidtil har opnået, er, at en monetær union ikke er nok, og at Europa skal kunne udvikle sig med stigende styrke som en sammenhængende politisk enhed, der er i stand til at forhandle med én stemme uden for og handle med større solidaritet internt. En stærkere union er et væsentligt aspekt af styrkelsen af EU's politiske, handelsmæssige og produktive styrke: de grundlæggende loves ensartethed samt et integreret og sammenhængende beskatningssystem for virksomheder og borgere, hvor lønninger og tjenesteydelser til borgerne er tilpasset hinanden. Kun på denne måde vil vi have et Europa, der kan mindske de sociale forskelle og fremme livskvaliteten. </w:t>
      </w:r>
    </w:p>
    <w:p>
      <w:pPr>
        <w:pStyle w:val="P68B1DB1Normal76"/>
        <w:widowControl w:val="false"/>
        <w:spacing w:lineRule="auto" w:line="240" w:before="1" w:after="0"/>
        <w:ind w:left="0" w:right="2" w:hanging="0"/>
        <w:jc w:val="both"/>
        <w:rPr/>
      </w:pPr>
      <w:r>
        <w:rPr/>
        <w:t xml:space="preserve">Det betyder ikke at gå tilbage til de seneste års resultater og bevare begrebet velfærdsstaten, som paneldeltagerne har identificeret som de mest avancerede i verden, og de mest bekymrede over at sikre lige muligheder og social retfærdighed for sine borgere. </w:t>
      </w:r>
    </w:p>
    <w:p>
      <w:pPr>
        <w:pStyle w:val="P68B1DB1Normal83"/>
        <w:widowControl w:val="false"/>
        <w:spacing w:lineRule="auto" w:line="240" w:before="72" w:after="0"/>
        <w:ind w:left="3000" w:right="0" w:hanging="0"/>
        <w:jc w:val="left"/>
        <w:rPr>
          <w:rFonts w:ascii="Arial" w:hAnsi="Arial"/>
          <w:b/>
          <w:b/>
          <w:color w:val="2E74B5"/>
          <w:sz w:val="24"/>
        </w:rPr>
      </w:pPr>
      <w:r>
        <w:rPr/>
        <w:t xml:space="preserve">ANBEFALINGER I KORTE TRÆK </w:t>
      </w:r>
    </w:p>
    <w:p>
      <w:pPr>
        <w:pStyle w:val="P68B1DB1Normal84"/>
        <w:widowControl w:val="false"/>
        <w:spacing w:lineRule="auto" w:line="240" w:before="69" w:after="0"/>
        <w:ind w:left="283" w:right="0" w:hanging="0"/>
        <w:jc w:val="left"/>
        <w:rPr/>
      </w:pPr>
      <w:r>
        <w:rPr>
          <w:color w:val="BD1271"/>
        </w:rPr>
        <w:t xml:space="preserve">1. </w:t>
      </w:r>
      <w:r>
        <w:rPr>
          <w:color w:val="000000"/>
        </w:rPr>
        <w:t>Gå ikke på kompromis med de sociale rettigheder (folkesundhed, offentlig uddannelse, arbejdsmarkedspolitik).</w:t>
      </w:r>
    </w:p>
    <w:p>
      <w:pPr>
        <w:pStyle w:val="P68B1DB1Normal84"/>
        <w:widowControl w:val="false"/>
        <w:spacing w:lineRule="auto" w:line="240"/>
        <w:ind w:left="283" w:right="0" w:hanging="0"/>
        <w:jc w:val="left"/>
        <w:rPr/>
      </w:pPr>
      <w:r>
        <w:rPr>
          <w:color w:val="BD1271"/>
        </w:rPr>
        <w:t xml:space="preserve">2. </w:t>
      </w:r>
      <w:r>
        <w:rPr>
          <w:color w:val="000000"/>
        </w:rPr>
        <w:t>Konsolidering af det, der er gjort med hensyn til den fælles valuta og sammenkoblingen af betalingssystemer og telekommunikation.</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Men i dag synes alt, hvad der er sket tidligere, ikke længere at være tilstrækkeligt, og fremtidens Europa skal tage et afgørende skridt fremad med hensyn til integration mellem medlemsstaterne i henhold til en intern vision, der ikke længere er baseret på konkurrence, men på samarbejde, der sikrer, at alle europæiske borgere kan få de samme garantier og muligheder i alle EU's medlemsstater.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ANBEFALINGER I KORTE TRÆK </w:t>
      </w:r>
    </w:p>
    <w:p>
      <w:pPr>
        <w:pStyle w:val="P68B1DB1Normal84"/>
        <w:widowControl w:val="false"/>
        <w:spacing w:lineRule="auto" w:line="240" w:before="72" w:after="0"/>
        <w:ind w:left="283" w:right="0" w:hanging="0"/>
        <w:jc w:val="left"/>
        <w:rPr/>
      </w:pPr>
      <w:r>
        <w:rPr>
          <w:color w:val="BD1271"/>
        </w:rPr>
        <w:t xml:space="preserve">1. </w:t>
      </w:r>
      <w:r>
        <w:rPr>
          <w:color w:val="000000"/>
        </w:rPr>
        <w:t>Gå ud over staternes egoisme og tendensen til at søge individuelle fordele på bekostning af andre.</w:t>
      </w:r>
    </w:p>
    <w:p>
      <w:pPr>
        <w:pStyle w:val="P68B1DB1Normal84"/>
        <w:widowControl w:val="false"/>
        <w:spacing w:lineRule="auto" w:line="240"/>
        <w:ind w:left="283" w:right="0" w:hanging="0"/>
        <w:jc w:val="left"/>
        <w:rPr/>
      </w:pPr>
      <w:r>
        <w:rPr>
          <w:color w:val="BD1271"/>
        </w:rPr>
        <w:t xml:space="preserve">2. </w:t>
      </w:r>
      <w:r>
        <w:rPr>
          <w:color w:val="000000"/>
        </w:rPr>
        <w:t>Etablere et system med de samme love, skattesystemer, rettigheder og pligter i alle lande.</w:t>
      </w:r>
    </w:p>
    <w:p>
      <w:pPr>
        <w:pStyle w:val="P68B1DB1Normal84"/>
        <w:widowControl w:val="false"/>
        <w:spacing w:lineRule="auto" w:line="240"/>
        <w:ind w:left="283" w:right="0" w:hanging="0"/>
        <w:jc w:val="left"/>
        <w:rPr/>
      </w:pPr>
      <w:r>
        <w:rPr>
          <w:color w:val="BD1271"/>
        </w:rPr>
        <w:t xml:space="preserve">3. </w:t>
      </w:r>
      <w:r>
        <w:rPr>
          <w:color w:val="000000"/>
        </w:rPr>
        <w:t>Koordinerede skatteordninger mellem forskellige stater, navnlig med hensyn til virksomheder (ingen frizoner eller lav beskatning).</w:t>
      </w:r>
    </w:p>
    <w:p>
      <w:pPr>
        <w:pStyle w:val="P68B1DB1Normal84"/>
        <w:widowControl w:val="false"/>
        <w:spacing w:lineRule="auto" w:line="240"/>
        <w:ind w:left="283" w:right="416" w:hanging="0"/>
        <w:jc w:val="left"/>
        <w:rPr/>
      </w:pPr>
      <w:r>
        <w:rPr>
          <w:color w:val="BD1271"/>
        </w:rPr>
        <w:t xml:space="preserve">4. </w:t>
      </w:r>
      <w:r>
        <w:rPr>
          <w:color w:val="000000"/>
        </w:rPr>
        <w:t>Konsekvente priser på produkter og garanti for lige købekraft mellem forskellige stater.</w:t>
      </w:r>
    </w:p>
    <w:p>
      <w:pPr>
        <w:pStyle w:val="P68B1DB1Normal84"/>
        <w:widowControl w:val="false"/>
        <w:spacing w:lineRule="auto" w:line="240"/>
        <w:ind w:left="283" w:right="416" w:hanging="0"/>
        <w:jc w:val="left"/>
        <w:rPr/>
      </w:pPr>
      <w:r>
        <w:rPr>
          <w:color w:val="BD1271"/>
        </w:rPr>
        <w:t xml:space="preserve">5. </w:t>
      </w:r>
      <w:r>
        <w:rPr>
          <w:color w:val="000000"/>
        </w:rPr>
        <w:t>Mindske lønforskellene mellem forskellige stater og geografiske regioner inden for samme land.</w:t>
      </w:r>
    </w:p>
    <w:p>
      <w:pPr>
        <w:pStyle w:val="P68B1DB1Normal84"/>
        <w:widowControl w:val="false"/>
        <w:spacing w:lineRule="auto" w:line="240"/>
        <w:ind w:left="283" w:right="416" w:hanging="0"/>
        <w:jc w:val="left"/>
        <w:rPr/>
      </w:pPr>
      <w:r>
        <w:rPr>
          <w:color w:val="BD1271"/>
        </w:rPr>
        <w:t xml:space="preserve">6. </w:t>
      </w:r>
      <w:r>
        <w:rPr>
          <w:color w:val="000000"/>
        </w:rPr>
        <w:t>Gøre flere medlemsstaters offentlige gæld til et fælles ansvar.</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Inklusionspolitik </w:t>
      </w:r>
    </w:p>
    <w:p>
      <w:pPr>
        <w:pStyle w:val="P68B1DB1Normal76"/>
        <w:widowControl w:val="false"/>
        <w:spacing w:lineRule="auto" w:line="240" w:before="88" w:after="0"/>
        <w:ind w:left="0" w:right="0" w:hanging="0"/>
        <w:jc w:val="both"/>
        <w:rPr/>
      </w:pPr>
      <w:r>
        <w:rPr/>
        <w:t xml:space="preserve">Et retfærdigt Europa, der er i stand til at tilbyde sine borgere lykke, er et inklusivt Europa, som altid lægger stor vægt på kampen mod ulighed. Henstillingerne fastlægger vejen frem for at nå mangeårige mål (f.eks. ligestilling mellem kønnene) og fastsætter nye krav vedrørende de kulturelle forandringer i moderne samfund (digital ulighed og retten til at leve i et sundt miljø).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ANBEFALINGER I KORTE TRÆK </w:t>
      </w:r>
    </w:p>
    <w:p>
      <w:pPr>
        <w:pStyle w:val="P68B1DB1Normal84"/>
        <w:widowControl w:val="false"/>
        <w:spacing w:lineRule="auto" w:line="240" w:before="69" w:after="0"/>
        <w:ind w:left="283" w:right="0" w:hanging="0"/>
        <w:jc w:val="left"/>
        <w:rPr/>
      </w:pPr>
      <w:r>
        <w:rPr>
          <w:color w:val="BD1271"/>
        </w:rPr>
        <w:t xml:space="preserve">1. </w:t>
      </w:r>
      <w:r>
        <w:rPr>
          <w:color w:val="000000"/>
        </w:rPr>
        <w:t>Opnåelse af fuld ligestilling mellem kønnene, bl.a. ved at styrke forældreorlov og børnepasningsfaciliteter.</w:t>
      </w:r>
    </w:p>
    <w:p>
      <w:pPr>
        <w:pStyle w:val="P68B1DB1Normal84"/>
        <w:widowControl w:val="false"/>
        <w:spacing w:lineRule="auto" w:line="240"/>
        <w:ind w:left="283" w:right="0" w:hanging="0"/>
        <w:jc w:val="left"/>
        <w:rPr/>
      </w:pPr>
      <w:r>
        <w:rPr>
          <w:color w:val="BD1271"/>
        </w:rPr>
        <w:t xml:space="preserve">2. </w:t>
      </w:r>
      <w:r>
        <w:rPr>
          <w:color w:val="000000"/>
        </w:rPr>
        <w:t>Bekæmpelse af digitale uligheder.</w:t>
      </w:r>
    </w:p>
    <w:p>
      <w:pPr>
        <w:pStyle w:val="P68B1DB1Normal84"/>
        <w:widowControl w:val="false"/>
        <w:spacing w:lineRule="auto" w:line="240"/>
        <w:ind w:left="283" w:right="0" w:hanging="0"/>
        <w:jc w:val="left"/>
        <w:rPr/>
      </w:pPr>
      <w:r>
        <w:rPr>
          <w:color w:val="BD1271"/>
        </w:rPr>
        <w:t xml:space="preserve">3. </w:t>
      </w:r>
      <w:r>
        <w:rPr>
          <w:color w:val="000000"/>
        </w:rPr>
        <w:t>Sikre, at alle europæiske borgere kan leve i et sundt og bæredygtigt miljø.</w:t>
      </w:r>
    </w:p>
    <w:p>
      <w:pPr>
        <w:pStyle w:val="P68B1DB1Normal84"/>
        <w:widowControl w:val="false"/>
        <w:spacing w:lineRule="auto" w:line="240"/>
        <w:ind w:left="283" w:right="0" w:hanging="0"/>
        <w:jc w:val="left"/>
        <w:rPr/>
      </w:pPr>
      <w:r>
        <w:rPr>
          <w:color w:val="BD1271"/>
        </w:rPr>
        <w:t xml:space="preserve">4. </w:t>
      </w:r>
      <w:r>
        <w:rPr>
          <w:color w:val="000000"/>
        </w:rPr>
        <w:t>Sikre muligheder for social mobilitet og har derfor alle muligheder for personlig udvikling og selvbestemmelse</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Fremme fornyelsen af generationer på alle niveauer</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Forvalte modtagelse af flygtninge og migranter på en afbalanceret måde mellem forskellige stater.</w:t>
      </w:r>
    </w:p>
    <w:p>
      <w:pPr>
        <w:pStyle w:val="P68B1DB1Normal76"/>
        <w:widowControl w:val="false"/>
        <w:spacing w:lineRule="auto" w:line="240" w:before="106" w:after="0"/>
        <w:ind w:left="0" w:right="0" w:hanging="0"/>
        <w:jc w:val="both"/>
        <w:rPr/>
      </w:pPr>
      <w:r>
        <w:rPr/>
        <w:t xml:space="preserve">Endnu en gang synes skolernes og uddannelsespolitikkernes rolle at være central, ikke blot for at give de unge de færdigheder, de har brug for for at komme ind på arbejdsmarkedet, men også for at opbygge en europæisk kultur. Efter opbygningen af et institutionelt Europa er det afgørende at opbygge et befolkningernes Europa. I den forbindelse lægges der vægt på, at et fælles sprog er centralt for at muliggøre dialog mellem borgere fra forskellige lande og lige adgang til tjenester. Da esperanto drøm kollapsede, Det Forenede Kongeriges udtræden af Den Europæiske Union rejste tvivl om muligheden for at vedtage engelsk som et fælles sprog, et centralt sprog i internationale relationer og inden for det videnskabelige og økonomiske system.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ANBEFALINGER I KORTE TRÆK </w:t>
      </w:r>
    </w:p>
    <w:p>
      <w:pPr>
        <w:pStyle w:val="P68B1DB1Normal84"/>
        <w:widowControl w:val="false"/>
        <w:spacing w:lineRule="auto" w:line="240" w:before="72" w:after="0"/>
        <w:ind w:left="283" w:right="0" w:hanging="0"/>
        <w:jc w:val="left"/>
        <w:rPr/>
      </w:pPr>
      <w:r>
        <w:rPr>
          <w:color w:val="BD1271"/>
        </w:rPr>
        <w:t xml:space="preserve">1. </w:t>
      </w:r>
      <w:r>
        <w:rPr>
          <w:color w:val="000000"/>
        </w:rPr>
        <w:t>Fremme vedtagelsen af et fælles sprog.</w:t>
      </w:r>
    </w:p>
    <w:p>
      <w:pPr>
        <w:pStyle w:val="P68B1DB1Normal84"/>
        <w:widowControl w:val="false"/>
        <w:spacing w:lineRule="auto" w:line="240"/>
        <w:ind w:left="283" w:right="0" w:hanging="0"/>
        <w:jc w:val="left"/>
        <w:rPr/>
      </w:pPr>
      <w:r>
        <w:rPr>
          <w:color w:val="BD1271"/>
        </w:rPr>
        <w:t xml:space="preserve">2. </w:t>
      </w:r>
      <w:r>
        <w:rPr>
          <w:color w:val="000000"/>
        </w:rPr>
        <w:t>Investere i skoler og undervisning i europæisk historie snarere end i hver nation, samt i undervisning i politisk økonomi og medborgeruddannelse.</w:t>
      </w:r>
    </w:p>
    <w:p>
      <w:pPr>
        <w:pStyle w:val="P68B1DB1Normal84"/>
        <w:widowControl w:val="false"/>
        <w:spacing w:lineRule="auto" w:line="240"/>
        <w:ind w:left="283" w:right="417" w:hanging="0"/>
        <w:jc w:val="left"/>
        <w:rPr/>
      </w:pPr>
      <w:r>
        <w:rPr>
          <w:color w:val="BD1271"/>
        </w:rPr>
        <w:t xml:space="preserve">3. </w:t>
      </w:r>
      <w:r>
        <w:rPr>
          <w:color w:val="000000"/>
        </w:rPr>
        <w:t>Adgang til kultur, uddannelse og udveksling mellem studerende og borgere i forskellige medlemsstater.</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Inklusionspolitikker spiller en central rolle med hensyn til at sikre, at borgerne har adgang til muligheder. I den forbindelse understregede paneldeltagerne, at Italien ofte ikke var i stand til at anvende de EU-midler, der var stillet til rådighed til dette formål. Inklusion og tilgængelighed betyder, at de europæiske institutioner skal være tættere på deres borgere, og disse begreber går hånd i hånd med mere information og bevidsthed om de rettigheder, som de europæiske borgere som sådan nyder godt af. Ud fra dette synspunkt er betydningen af et direkte forhold mellem EU-institutionerne og borgerne opstået uden nødvendigvis at skulle formidles af medlemsstaterne.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ANBEFALINGER I KORTE TRÆK</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Fremme anvendelsen af EU-midler til at mindske uligheder</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EU-institutionernes tilgængelighed og nærhed til borgerne.</w:t>
      </w:r>
    </w:p>
    <w:p>
      <w:pPr>
        <w:pStyle w:val="P68B1DB1Normal84"/>
        <w:widowControl w:val="false"/>
        <w:spacing w:lineRule="auto" w:line="240"/>
        <w:ind w:left="283" w:right="416" w:hanging="0"/>
        <w:jc w:val="left"/>
        <w:rPr/>
      </w:pPr>
      <w:r>
        <w:rPr>
          <w:color w:val="BD1271"/>
        </w:rPr>
        <w:t xml:space="preserve">3. </w:t>
      </w:r>
      <w:r>
        <w:rPr>
          <w:color w:val="000000"/>
        </w:rPr>
        <w:t>Kommunikere klart til borgerne om deres rettigheder og muligheder og fremme borgernes direkte adgang til dem.</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Beskæftigelse </w:t>
      </w:r>
    </w:p>
    <w:p>
      <w:pPr>
        <w:pStyle w:val="Normal"/>
        <w:widowControl w:val="false"/>
        <w:spacing w:lineRule="auto" w:line="240" w:before="97" w:after="0"/>
        <w:ind w:left="0" w:right="1" w:hanging="0"/>
        <w:jc w:val="both"/>
        <w:rPr/>
      </w:pPr>
      <w:r>
        <w:rPr>
          <w:color w:val="000000"/>
        </w:rPr>
        <w:t xml:space="preserve">Beskæftigelsesspørgsmålet er løbende opstået som et tværgående element og en direkte virkning af EU's evne til at reagere på sine henstillinger. Under debatten </w:t>
      </w:r>
      <w:r>
        <w:rPr>
          <w:color w:val="FF0000"/>
        </w:rPr>
        <w:t>mellem</w:t>
      </w:r>
      <w:r>
        <w:rPr>
          <w:color w:val="000000"/>
        </w:rPr>
        <w:t xml:space="preserve"> deltagerne stod det klart, at spørgsmålet om beskæftigelse er kernen i borgernes liv, men at det går hånd i hånd med styrkelsen af den økonomiske og sociale retfærdighed. En Europæisk Union, hvor aktive arbejdsmarkedspolitikker forbliver centrale og i stigende grad koordineres, forventes meget.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ANBEFALINGER I KORTE TRÆK</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Fremme handelen mellem arbejdstagere i Europa gennem et europæisk beskæftigelsescenter.</w:t>
      </w:r>
    </w:p>
    <w:p>
      <w:pPr>
        <w:pStyle w:val="P68B1DB1Normal84"/>
        <w:widowControl w:val="false"/>
        <w:spacing w:lineRule="auto" w:line="240"/>
        <w:ind w:left="283" w:right="0" w:hanging="0"/>
        <w:jc w:val="left"/>
        <w:rPr/>
      </w:pPr>
      <w:r>
        <w:rPr>
          <w:color w:val="BD1271"/>
        </w:rPr>
        <w:t xml:space="preserve">2. </w:t>
      </w:r>
      <w:r>
        <w:rPr>
          <w:color w:val="000000"/>
        </w:rPr>
        <w:t>Have integrerede beskæftigelsespolitikker på EU-plan.</w:t>
      </w:r>
    </w:p>
    <w:p>
      <w:pPr>
        <w:pStyle w:val="P68B1DB1Normal84"/>
        <w:widowControl w:val="false"/>
        <w:spacing w:lineRule="auto" w:line="240"/>
        <w:ind w:left="283" w:right="0" w:hanging="0"/>
        <w:jc w:val="left"/>
        <w:rPr/>
      </w:pPr>
      <w:r>
        <w:rPr>
          <w:color w:val="BD1271"/>
        </w:rPr>
        <w:t xml:space="preserve">3. </w:t>
      </w:r>
      <w:r>
        <w:rPr>
          <w:color w:val="000000"/>
        </w:rPr>
        <w:t>Skabe incitamenter for virksomheder, der tilbyder arbejdspladser.</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Europa i verden </w:t>
      </w:r>
    </w:p>
    <w:p>
      <w:pPr>
        <w:pStyle w:val="P68B1DB1Normal76"/>
        <w:widowControl w:val="false"/>
        <w:spacing w:lineRule="exact" w:line="380" w:before="143" w:after="0"/>
        <w:ind w:left="74" w:right="0" w:hanging="0"/>
        <w:jc w:val="both"/>
        <w:rPr/>
      </w:pPr>
      <w:r>
        <w:rPr/>
        <w:t xml:space="preserve">De seneste internationale begivenheder og navnlig krigen mellem Rusland og Ukraine har haft stor indflydelse på opfattelsen af den rolle, som Europa skal spille på internationalt plan. De indsamlede henstillinger fokuserede hovedsagelig på at styrke EU (både med hensyn til identitet og økonomisk magt) og placere det som en reference- og genopretningsmodel i sine forbindelser med andre lande. </w:t>
      </w:r>
    </w:p>
    <w:p>
      <w:pPr>
        <w:pStyle w:val="P68B1DB1Normal34"/>
        <w:widowControl w:val="false"/>
        <w:spacing w:lineRule="exact" w:line="393" w:before="1425"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67310</wp:posOffset>
                </wp:positionV>
                <wp:extent cx="6454140" cy="905510"/>
                <wp:effectExtent l="0" t="0" r="0" b="0"/>
                <wp:wrapTopAndBottom/>
                <wp:docPr id="106" name="Formular7"/>
                <a:graphic xmlns:a="http://schemas.openxmlformats.org/drawingml/2006/main">
                  <a:graphicData uri="http://schemas.microsoft.com/office/word/2010/wordprocessingGroup">
                    <wpg:wgp>
                      <wpg:cNvGrpSpPr/>
                      <wpg:grpSpPr>
                        <a:xfrm>
                          <a:off x="0" y="0"/>
                          <a:ext cx="6453360" cy="905040"/>
                        </a:xfrm>
                      </wpg:grpSpPr>
                      <pic:pic xmlns:pic="http://schemas.openxmlformats.org/drawingml/2006/picture">
                        <pic:nvPicPr>
                          <pic:cNvPr id="9" name="" descr=""/>
                          <pic:cNvPicPr/>
                        </pic:nvPicPr>
                        <pic:blipFill>
                          <a:blip r:embed="rId110"/>
                          <a:stretch/>
                        </pic:blipFill>
                        <pic:spPr>
                          <a:xfrm rot="10800000">
                            <a:off x="444960" y="-211680"/>
                            <a:ext cx="5525280" cy="525240"/>
                          </a:xfrm>
                          <a:prstGeom prst="rect">
                            <a:avLst/>
                          </a:prstGeom>
                          <a:ln>
                            <a:noFill/>
                          </a:ln>
                        </pic:spPr>
                      </pic:pic>
                      <wps:wsp>
                        <wps:cNvSpPr/>
                        <wps:spPr>
                          <a:xfrm>
                            <a:off x="0" y="178560"/>
                            <a:ext cx="1532880" cy="7092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Styrkelse af den europæiske identitet</w:t>
                              </w:r>
                            </w:p>
                          </w:txbxContent>
                        </wps:txbx>
                        <wps:bodyPr lIns="90000" rIns="90000" tIns="45000" bIns="45000">
                          <a:noAutofit/>
                        </wps:bodyPr>
                      </wps:wsp>
                      <wps:wsp>
                        <wps:cNvSpPr/>
                        <wps:spPr>
                          <a:xfrm>
                            <a:off x="1477800" y="127800"/>
                            <a:ext cx="1636560" cy="7092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Styrkelse af økonomien og institutionerne</w:t>
                              </w:r>
                            </w:p>
                          </w:txbxContent>
                        </wps:txbx>
                        <wps:bodyPr lIns="90000" rIns="90000" tIns="45000" bIns="45000">
                          <a:noAutofit/>
                        </wps:bodyPr>
                      </wps:wsp>
                      <wps:wsp>
                        <wps:cNvSpPr/>
                        <wps:spPr>
                          <a:xfrm>
                            <a:off x="3385800" y="0"/>
                            <a:ext cx="1589400" cy="7092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Samarbejde og partnerskaber</w:t>
                              </w:r>
                            </w:p>
                          </w:txbxContent>
                        </wps:txbx>
                        <wps:bodyPr lIns="90000" rIns="90000" tIns="45000" bIns="45000">
                          <a:noAutofit/>
                        </wps:bodyPr>
                      </wps:wsp>
                      <wps:wsp>
                        <wps:cNvSpPr/>
                        <wps:spPr>
                          <a:xfrm>
                            <a:off x="4847040" y="12600"/>
                            <a:ext cx="1606680" cy="89208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Politisk og kulturelt referencepunkt</w:t>
                              </w:r>
                            </w:p>
                          </w:txbxContent>
                        </wps:txbx>
                        <wps:bodyPr lIns="90000" rIns="90000" tIns="45000" bIns="45000">
                          <a:noAutofit/>
                        </wps:bodyPr>
                      </wps:wsp>
                    </wpg:wgp>
                  </a:graphicData>
                </a:graphic>
              </wp:anchor>
            </w:drawing>
          </mc:Choice>
          <mc:Fallback>
            <w:pict>
              <v:group id="shape_0" alt="Formular7" style="position:absolute;margin-left:-13.1pt;margin-top:5.3pt;width:508.15pt;height:71.25pt" coordorigin="-262,106" coordsize="10163,1425">
                <v:shape id="shape_0" stroked="f" style="position:absolute;left:439;top:600;width:8700;height:826;rotation:180" type="shapetype_75">
                  <v:imagedata r:id="rId110" o:detectmouseclick="t"/>
                  <w10:wrap type="none"/>
                  <v:stroke color="#3465a4" joinstyle="round" endcap="flat"/>
                </v:shape>
                <v:rect id="shape_0" stroked="f" style="position:absolute;left:-262;top:387;width:2413;height:1116">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Styrkelse af den europæiske identitet</w:t>
                        </w:r>
                      </w:p>
                    </w:txbxContent>
                  </v:textbox>
                  <w10:wrap type="square"/>
                  <v:fill o:detectmouseclick="t" on="false"/>
                  <v:stroke color="#3465a4" joinstyle="round" endcap="flat"/>
                </v:rect>
                <v:rect id="shape_0" stroked="f" style="position:absolute;left:2065;top:307;width:2576;height:1116">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Styrkelse af økonomien og institutionerne</w:t>
                        </w:r>
                      </w:p>
                    </w:txbxContent>
                  </v:textbox>
                  <w10:wrap type="square"/>
                  <v:fill o:detectmouseclick="t" on="false"/>
                  <v:stroke color="#3465a4" joinstyle="round" endcap="flat"/>
                </v:rect>
                <v:rect id="shape_0" stroked="f" style="position:absolute;left:5070;top:106;width:2502;height:1116">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Samarbejde og partnerskaber</w:t>
                        </w:r>
                      </w:p>
                    </w:txbxContent>
                  </v:textbox>
                  <w10:wrap type="square"/>
                  <v:fill o:detectmouseclick="t" on="false"/>
                  <v:stroke color="#3465a4" joinstyle="round" endcap="flat"/>
                </v:rect>
                <v:rect id="shape_0" stroked="f" style="position:absolute;left:7371;top:126;width:2529;height:1404">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Politisk og kulturelt referencepunkt</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Styrkelse af den europæiske identitet</w:t>
      </w:r>
    </w:p>
    <w:p>
      <w:pPr>
        <w:pStyle w:val="P68B1DB1Normal76"/>
        <w:widowControl w:val="false"/>
        <w:spacing w:lineRule="auto" w:line="240" w:before="106" w:after="0"/>
        <w:ind w:left="74" w:right="0" w:hanging="0"/>
        <w:jc w:val="both"/>
        <w:rPr/>
      </w:pPr>
      <w:r>
        <w:rPr/>
        <w:t xml:space="preserve">For at blive anerkendt uden for sine grænser skal EU først vise samhørighed internt, ikke kun økonomisk og finansielt, men også med hensyn til identitet og værdier. En identitet, der ikke skabes ved godkendelse, men ved valorisering af lokale særegenheder inden for en ramme af fælles væsentlige værdier. </w:t>
      </w:r>
    </w:p>
    <w:p>
      <w:pPr>
        <w:pStyle w:val="P68B1DB1Normal76"/>
        <w:widowControl w:val="false"/>
        <w:spacing w:lineRule="auto" w:line="240" w:before="78" w:after="0"/>
        <w:ind w:left="74" w:right="1" w:hanging="0"/>
        <w:jc w:val="both"/>
        <w:rPr/>
      </w:pPr>
      <w:r>
        <w:rPr/>
        <w:t xml:space="preserve">Overvejelserne om en eventuel udvidelse af EU's anvendelsesområde blev også gennemført med dette for øje: ifølge nogle paneldeltagere bør det ikke ske på en udifferentieret måde, men snarere på gensidig anerkendelse af kultur og værdier snarere end på økonomiske standarder.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ANBEFALINGER I KORTE TRÆK</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Styrkelse af europæiske kulturelle værdier og karakteristika samt regionale særtræk.</w:t>
      </w:r>
    </w:p>
    <w:p>
      <w:pPr>
        <w:pStyle w:val="P68B1DB1Normal84"/>
        <w:widowControl w:val="false"/>
        <w:spacing w:lineRule="auto" w:line="240"/>
        <w:ind w:left="358" w:right="0" w:hanging="0"/>
        <w:jc w:val="left"/>
        <w:rPr/>
      </w:pPr>
      <w:r>
        <w:rPr>
          <w:color w:val="BD1271"/>
        </w:rPr>
        <w:t xml:space="preserve">2. </w:t>
      </w:r>
      <w:r>
        <w:rPr>
          <w:color w:val="000000"/>
        </w:rPr>
        <w:t>Oprettelse af et institut for europæisk kultur, der skal fremme en kultur præget af respekt og gensidig berigelse mellem borgere fra forskellige stater.</w:t>
      </w:r>
    </w:p>
    <w:p>
      <w:pPr>
        <w:pStyle w:val="P68B1DB1Normal84"/>
        <w:widowControl w:val="false"/>
        <w:spacing w:lineRule="auto" w:line="240"/>
        <w:ind w:left="418" w:right="418" w:hanging="0"/>
        <w:jc w:val="both"/>
        <w:rPr/>
      </w:pPr>
      <w:r>
        <w:rPr>
          <w:color w:val="BD1271"/>
        </w:rPr>
        <w:t xml:space="preserve">3. </w:t>
      </w:r>
      <w:r>
        <w:rPr>
          <w:color w:val="000000"/>
        </w:rPr>
        <w:t>Omdefinering af principperne for de nye kandidatlandes tilhørsforhold med en styrkelse af faktorer som kulturel identitet og værdier.</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Styrkelse af økonomien og institutionerne </w:t>
      </w:r>
    </w:p>
    <w:p>
      <w:pPr>
        <w:pStyle w:val="P68B1DB1Normal76"/>
        <w:widowControl w:val="false"/>
        <w:spacing w:lineRule="auto" w:line="240" w:before="109" w:after="0"/>
        <w:ind w:left="0" w:right="0" w:hanging="0"/>
        <w:jc w:val="both"/>
        <w:rPr/>
      </w:pPr>
      <w:r>
        <w:rPr/>
        <w:t xml:space="preserve">Morgendagens Europa forventes at spille en ledende rolle på internationalt plan, hvilket kun kan antages med en stærk og uafhængig Union fra andre lande. Det er almindeligt anerkendt, at EU-landene er fattige med hensyn til råstoffer, men det forekommer afgørende, at EU er i stand til at sikre større uafhængighed med hensyn til energiforsyning, landbrug og teknologiske produkter. </w:t>
      </w:r>
    </w:p>
    <w:p>
      <w:pPr>
        <w:pStyle w:val="P68B1DB1Normal76"/>
        <w:widowControl w:val="false"/>
        <w:spacing w:lineRule="auto" w:line="240" w:before="78" w:after="0"/>
        <w:ind w:left="0" w:right="1" w:hanging="0"/>
        <w:jc w:val="both"/>
        <w:rPr/>
      </w:pPr>
      <w:r>
        <w:rPr/>
        <w:t xml:space="preserve">Dette kræver, at specifikke investeringer indhentes på områder som f.eks. teknologi (hvor Den Europæiske Union i øjeblikket ikke synes at spille en ledende rolle), men også i fødevare- og energisektoren. </w:t>
      </w:r>
    </w:p>
    <w:p>
      <w:pPr>
        <w:pStyle w:val="P68B1DB1Normal76"/>
        <w:widowControl w:val="false"/>
        <w:spacing w:lineRule="auto" w:line="240" w:before="78" w:after="0"/>
        <w:ind w:left="0" w:right="2" w:hanging="0"/>
        <w:jc w:val="both"/>
        <w:rPr/>
      </w:pPr>
      <w:r>
        <w:rPr/>
        <w:t xml:space="preserve">Krigen mellem Rusland og Ukraine har også sat i centrum for debatten betydningen af en integreret europæisk forsvarspolitik med en særlig identitet og større autonomi fra NATO uden at sætte spørgsmålstegn ved dets medlemskab. </w:t>
      </w:r>
    </w:p>
    <w:p>
      <w:pPr>
        <w:pStyle w:val="P68B1DB1Normal76"/>
        <w:widowControl w:val="false"/>
        <w:spacing w:lineRule="auto" w:line="240" w:before="78" w:after="0"/>
        <w:ind w:left="0" w:right="1" w:hanging="0"/>
        <w:jc w:val="left"/>
        <w:rPr/>
      </w:pPr>
      <w:r>
        <w:rPr/>
        <w:t xml:space="preserve">Endelig indebærer dette klare valg for fremtiden ledsaget af betydelige investeringer i videnskab og forskning for at øge unge europæeres færdigheder.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ANBEFALINGER I KORTE TRÆK</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Styrkelse af den interne produktionskapacitet: fødevarekæden (især hvede) og teknologi (mikroprocessorer). </w:t>
      </w:r>
    </w:p>
    <w:p>
      <w:pPr>
        <w:pStyle w:val="P68B1DB1Normal84"/>
        <w:widowControl w:val="false"/>
        <w:spacing w:lineRule="auto" w:line="240"/>
        <w:ind w:left="283" w:right="0" w:hanging="0"/>
        <w:jc w:val="left"/>
        <w:rPr/>
      </w:pPr>
      <w:r>
        <w:rPr>
          <w:color w:val="BD1271"/>
        </w:rPr>
        <w:t xml:space="preserve">2. </w:t>
      </w:r>
      <w:r>
        <w:rPr>
          <w:color w:val="000000"/>
        </w:rPr>
        <w:t>Fremme typiske regionale og europæiske produktioner.</w:t>
      </w:r>
    </w:p>
    <w:p>
      <w:pPr>
        <w:pStyle w:val="P68B1DB1Normal84"/>
        <w:widowControl w:val="false"/>
        <w:spacing w:lineRule="auto" w:line="240"/>
        <w:ind w:left="283" w:right="0" w:hanging="0"/>
        <w:jc w:val="left"/>
        <w:rPr/>
      </w:pPr>
      <w:r>
        <w:rPr>
          <w:color w:val="BD1271"/>
        </w:rPr>
        <w:t xml:space="preserve">3. </w:t>
      </w:r>
      <w:r>
        <w:rPr>
          <w:color w:val="000000"/>
        </w:rPr>
        <w:t>Styrke europæiske industriklynger (f.eks. stål).</w:t>
      </w:r>
    </w:p>
    <w:p>
      <w:pPr>
        <w:pStyle w:val="P68B1DB1Normal84"/>
        <w:widowControl w:val="false"/>
        <w:spacing w:lineRule="auto" w:line="240"/>
        <w:ind w:left="283" w:right="0" w:hanging="0"/>
        <w:jc w:val="left"/>
        <w:rPr/>
      </w:pPr>
      <w:r>
        <w:rPr>
          <w:color w:val="BD1271"/>
        </w:rPr>
        <w:t xml:space="preserve">4. </w:t>
      </w:r>
      <w:r>
        <w:rPr>
          <w:color w:val="000000"/>
        </w:rPr>
        <w:t>Styrke den lokale energiproduktion ud fra et økologisk perspektiv (gas, sol, vind).</w:t>
      </w:r>
    </w:p>
    <w:p>
      <w:pPr>
        <w:pStyle w:val="P68B1DB1Normal84"/>
        <w:widowControl w:val="false"/>
        <w:spacing w:lineRule="auto" w:line="240"/>
        <w:ind w:left="283" w:right="0" w:hanging="0"/>
        <w:jc w:val="left"/>
        <w:rPr/>
      </w:pPr>
      <w:r>
        <w:rPr>
          <w:color w:val="BD1271"/>
        </w:rPr>
        <w:t xml:space="preserve">5. </w:t>
      </w:r>
      <w:r>
        <w:rPr>
          <w:color w:val="000000"/>
        </w:rPr>
        <w:t>Udvikling af rumfartsteknologier.</w:t>
      </w:r>
    </w:p>
    <w:p>
      <w:pPr>
        <w:pStyle w:val="P68B1DB1Normal84"/>
        <w:widowControl w:val="false"/>
        <w:spacing w:lineRule="auto" w:line="240"/>
        <w:ind w:left="283" w:right="417" w:hanging="0"/>
        <w:jc w:val="left"/>
        <w:rPr/>
      </w:pPr>
      <w:r>
        <w:rPr>
          <w:color w:val="BD1271"/>
        </w:rPr>
        <w:t xml:space="preserve">6. </w:t>
      </w:r>
      <w:r>
        <w:rPr>
          <w:color w:val="000000"/>
        </w:rPr>
        <w:t>Oprettelse af europæiske videnskabelige laboratorier (europæisk virusbank).</w:t>
      </w:r>
    </w:p>
    <w:p>
      <w:pPr>
        <w:pStyle w:val="P68B1DB1Normal84"/>
        <w:widowControl w:val="false"/>
        <w:spacing w:lineRule="auto" w:line="240"/>
        <w:ind w:left="283" w:right="417" w:hanging="0"/>
        <w:jc w:val="left"/>
        <w:rPr/>
      </w:pPr>
      <w:r>
        <w:rPr>
          <w:color w:val="BD1271"/>
        </w:rPr>
        <w:t xml:space="preserve">7. </w:t>
      </w:r>
      <w:r>
        <w:rPr>
          <w:color w:val="000000"/>
        </w:rPr>
        <w:t>Skabe en fælles europæisk hær, der handler inden for rammerne af NATO, men også bidrage til at gå videre.</w:t>
      </w:r>
    </w:p>
    <w:p>
      <w:pPr>
        <w:pStyle w:val="P68B1DB1Normal84"/>
        <w:widowControl w:val="false"/>
        <w:spacing w:lineRule="auto" w:line="240"/>
        <w:ind w:left="283" w:right="417" w:hanging="0"/>
        <w:jc w:val="left"/>
        <w:rPr/>
      </w:pPr>
      <w:r>
        <w:rPr>
          <w:color w:val="BD1271"/>
        </w:rPr>
        <w:t xml:space="preserve">8. </w:t>
      </w:r>
      <w:r>
        <w:rPr>
          <w:color w:val="000000"/>
        </w:rPr>
        <w:t>Investere i uddannelse af undervisere (europæiske lærerudvekslinger, Erasmus for lærere).</w:t>
      </w:r>
    </w:p>
    <w:p>
      <w:pPr>
        <w:pStyle w:val="P68B1DB1Normal84"/>
        <w:widowControl w:val="false"/>
        <w:spacing w:lineRule="auto" w:line="240"/>
        <w:ind w:left="283" w:right="416" w:hanging="0"/>
        <w:jc w:val="left"/>
        <w:rPr/>
      </w:pPr>
      <w:r>
        <w:rPr>
          <w:color w:val="BD1271"/>
        </w:rPr>
        <w:t xml:space="preserve">9. </w:t>
      </w:r>
      <w:r>
        <w:rPr>
          <w:color w:val="000000"/>
        </w:rPr>
        <w:t>Øge de europæiske forskeres mobilitet ved at udvikle nye europæiske videnskabelige institutioner</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Fremme fremkomsten af innovative nystartede virksomheder.</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Samarbejde og partnerskaber </w:t>
      </w:r>
    </w:p>
    <w:p>
      <w:pPr>
        <w:pStyle w:val="P68B1DB1Normal76"/>
        <w:widowControl w:val="false"/>
        <w:spacing w:lineRule="auto" w:line="240" w:before="109" w:after="0"/>
        <w:ind w:left="0" w:right="2" w:hanging="0"/>
        <w:jc w:val="both"/>
        <w:rPr/>
      </w:pPr>
      <w:r>
        <w:rPr/>
        <w:t xml:space="preserve">Visionen for morgendagens Europa er ikke en fæstning, der forsvarer sin rigdom, men en hovedperson på den internationale scene, der er i stand til at føre en dialog med alle verdens lande. En dialog, der starter fra en handelsmagt og bør sigte mod økonomisk lederskab, og som kan konsolideres gennem etablering af store internationale partnerskaber og projekter. </w:t>
      </w:r>
    </w:p>
    <w:p>
      <w:pPr>
        <w:pStyle w:val="P68B1DB1Normal76"/>
        <w:widowControl w:val="false"/>
        <w:spacing w:lineRule="auto" w:line="240" w:before="78" w:after="0"/>
        <w:ind w:left="0" w:right="0" w:hanging="0"/>
        <w:jc w:val="both"/>
        <w:rPr/>
      </w:pPr>
      <w:r>
        <w:rPr/>
        <w:t xml:space="preserve">Alt dette med henblik på samarbejde og opmærksomhed over for de mest skrøbelige regioner i verden med ad hoc-projekter, der har til formål at fremhæve de fattigste lande samt kulturel og økonomisk udveksling med de østlige lande. </w:t>
      </w:r>
    </w:p>
    <w:p>
      <w:pPr>
        <w:pStyle w:val="P68B1DB1Normal76"/>
        <w:widowControl w:val="false"/>
        <w:spacing w:lineRule="auto" w:line="240" w:before="78" w:after="0"/>
        <w:ind w:left="0" w:right="3" w:hanging="0"/>
        <w:jc w:val="both"/>
        <w:rPr/>
      </w:pPr>
      <w:r>
        <w:rPr/>
        <w:t xml:space="preserve">Der lægges også særlig vægt på migration med bedre koordinering mellem landene og anvendelse af fælles procedurer for forvaltning af ansøgninger og enkeltpersoner.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ANBEFALINGER I KORTE TRÆK</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Styrkelse af eksporten.</w:t>
      </w:r>
    </w:p>
    <w:p>
      <w:pPr>
        <w:pStyle w:val="P68B1DB1Normal84"/>
        <w:widowControl w:val="false"/>
        <w:spacing w:lineRule="auto" w:line="240"/>
        <w:ind w:left="283" w:right="0" w:hanging="0"/>
        <w:jc w:val="left"/>
        <w:rPr/>
      </w:pPr>
      <w:r>
        <w:rPr>
          <w:color w:val="BD1271"/>
        </w:rPr>
        <w:t xml:space="preserve">2. </w:t>
      </w:r>
      <w:r>
        <w:rPr>
          <w:color w:val="000000"/>
        </w:rPr>
        <w:t>Fremme tværnationale europæiske turistruter.</w:t>
      </w:r>
    </w:p>
    <w:p>
      <w:pPr>
        <w:pStyle w:val="P68B1DB1Normal84"/>
        <w:widowControl w:val="false"/>
        <w:spacing w:lineRule="auto" w:line="240"/>
        <w:ind w:left="283" w:right="0" w:hanging="0"/>
        <w:jc w:val="left"/>
        <w:rPr/>
      </w:pPr>
      <w:r>
        <w:rPr>
          <w:color w:val="BD1271"/>
        </w:rPr>
        <w:t xml:space="preserve">3. </w:t>
      </w:r>
      <w:r>
        <w:rPr>
          <w:color w:val="000000"/>
        </w:rPr>
        <w:t>Udvikle et handelssystem for forhandlinger på europæisk plan (ikke individuelt som stater eller virksomheder, men som en Union) for at få større forhandlingsmagt, men med begrænsninger i forbindelse med respekt for menneskerettighederne.</w:t>
      </w:r>
    </w:p>
    <w:p>
      <w:pPr>
        <w:pStyle w:val="P68B1DB1Normal84"/>
        <w:widowControl w:val="false"/>
        <w:spacing w:lineRule="auto" w:line="240"/>
        <w:ind w:left="283" w:right="417" w:hanging="0"/>
        <w:jc w:val="left"/>
        <w:rPr/>
      </w:pPr>
      <w:r>
        <w:rPr>
          <w:color w:val="BD1271"/>
        </w:rPr>
        <w:t xml:space="preserve">4. </w:t>
      </w:r>
      <w:r>
        <w:rPr>
          <w:color w:val="000000"/>
        </w:rPr>
        <w:t>Lede store internationale projekter såsom den internationale rumstation.</w:t>
      </w:r>
    </w:p>
    <w:p>
      <w:pPr>
        <w:pStyle w:val="P68B1DB1Normal84"/>
        <w:widowControl w:val="false"/>
        <w:spacing w:lineRule="auto" w:line="240"/>
        <w:ind w:left="283" w:right="417" w:hanging="0"/>
        <w:jc w:val="left"/>
        <w:rPr/>
      </w:pPr>
      <w:r>
        <w:rPr>
          <w:color w:val="BD1271"/>
        </w:rPr>
        <w:t xml:space="preserve">5. </w:t>
      </w:r>
      <w:r>
        <w:rPr>
          <w:color w:val="000000"/>
        </w:rPr>
        <w:t>Finansiere projekter i Afrika med henblik på at bygge skoler og hospitaler uden at indtage en holdning i kolonistil, men med fokus på at respektere europæiske værdier og rettigheder.</w:t>
      </w:r>
    </w:p>
    <w:p>
      <w:pPr>
        <w:pStyle w:val="P68B1DB1Normal84"/>
        <w:widowControl w:val="false"/>
        <w:spacing w:lineRule="auto" w:line="240"/>
        <w:ind w:left="283" w:right="417" w:hanging="0"/>
        <w:jc w:val="left"/>
        <w:rPr/>
      </w:pPr>
      <w:r>
        <w:rPr>
          <w:color w:val="BD1271"/>
        </w:rPr>
        <w:t xml:space="preserve">6. </w:t>
      </w:r>
      <w:r>
        <w:rPr>
          <w:color w:val="000000"/>
        </w:rPr>
        <w:t>Investere i uddannelse på stedet (især for kvinder) i de fattigste lande.</w:t>
      </w:r>
    </w:p>
    <w:p>
      <w:pPr>
        <w:pStyle w:val="P68B1DB1Normal84"/>
        <w:widowControl w:val="false"/>
        <w:spacing w:lineRule="auto" w:line="240"/>
        <w:ind w:left="283" w:right="0" w:hanging="0"/>
        <w:jc w:val="left"/>
        <w:rPr/>
      </w:pPr>
      <w:r>
        <w:rPr>
          <w:color w:val="BD1271"/>
        </w:rPr>
        <w:t xml:space="preserve">7. </w:t>
      </w:r>
      <w:r>
        <w:rPr>
          <w:color w:val="000000"/>
        </w:rPr>
        <w:t>Fremme udveksling af teknikere og undervisere.</w:t>
      </w:r>
    </w:p>
    <w:p>
      <w:pPr>
        <w:pStyle w:val="P68B1DB1Normal84"/>
        <w:widowControl w:val="false"/>
        <w:spacing w:lineRule="auto" w:line="240"/>
        <w:ind w:left="283" w:right="0" w:hanging="0"/>
        <w:jc w:val="left"/>
        <w:rPr/>
      </w:pPr>
      <w:r>
        <w:rPr>
          <w:color w:val="BD1271"/>
        </w:rPr>
        <w:t xml:space="preserve">8. </w:t>
      </w:r>
      <w:r>
        <w:rPr>
          <w:color w:val="000000"/>
        </w:rPr>
        <w:t>Etablere et system med fælles regler for migranters adgang med forskellige processer mellem humanitær og økonomisk migration og med en ligelig fordeling mellem forskellige stater, men med fælles regler (census og kontrol med adfærd og beskæftigelse).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Politisk og kulturel reference </w:t>
      </w:r>
    </w:p>
    <w:p>
      <w:pPr>
        <w:pStyle w:val="P68B1DB1Normal76"/>
        <w:widowControl w:val="false"/>
        <w:spacing w:lineRule="auto" w:line="240" w:before="106" w:after="0"/>
        <w:ind w:left="0" w:right="145" w:hanging="0"/>
        <w:jc w:val="both"/>
        <w:rPr/>
      </w:pPr>
      <w:r>
        <w:rPr/>
        <w:t xml:space="preserve">I det ovenfor beskrevne scenario forventes Europa at udgøre en klar politisk og kulturel reference på globalt plan set ud fra et rettigheds- og etisk synspunkt og sætte et eksempel gennem beslutningstagning for at sikre et sundt miljø, respekt for borgernes rettigheder og dialog mellem øst og vest.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ANBEFALINGER I KORTE TRÆK</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Føre an som et grønt kontinent, opnå nul emissioner før andre og øge produktionen af ren energi (vind og sol).</w:t>
      </w:r>
    </w:p>
    <w:p>
      <w:pPr>
        <w:pStyle w:val="P68B1DB1Normal84"/>
        <w:widowControl w:val="false"/>
        <w:spacing w:lineRule="auto" w:line="240"/>
        <w:ind w:left="283" w:right="0" w:hanging="0"/>
        <w:jc w:val="left"/>
        <w:rPr/>
      </w:pPr>
      <w:r>
        <w:rPr>
          <w:color w:val="BD1271"/>
        </w:rPr>
        <w:t xml:space="preserve">2. </w:t>
      </w:r>
      <w:r>
        <w:rPr>
          <w:color w:val="000000"/>
        </w:rPr>
        <w:t>Eksport af teknologier til produktion af varer med nul virkning.</w:t>
      </w:r>
    </w:p>
    <w:p>
      <w:pPr>
        <w:pStyle w:val="P68B1DB1Normal84"/>
        <w:widowControl w:val="false"/>
        <w:spacing w:lineRule="auto" w:line="240"/>
        <w:ind w:left="283" w:right="0" w:hanging="0"/>
        <w:jc w:val="left"/>
        <w:rPr/>
      </w:pPr>
      <w:r>
        <w:rPr>
          <w:color w:val="BD1271"/>
        </w:rPr>
        <w:t xml:space="preserve">3. </w:t>
      </w:r>
      <w:r>
        <w:rPr>
          <w:color w:val="000000"/>
        </w:rPr>
        <w:t>Tjene som en sammenflydelse (offentlig plads, agora) mellem øst og vest, fremme kulturelle udvekslinger og fælles kulturelle initiativer (såsom World Art Days, der skal organiseres på skift i de forskellige europæiske hovedstæder, med et kunstnerisk program, herunder vestlige og østlige kunstnere).</w:t>
      </w:r>
    </w:p>
    <w:p>
      <w:pPr>
        <w:pStyle w:val="P68B1DB1Normal84"/>
        <w:widowControl w:val="false"/>
        <w:spacing w:lineRule="auto" w:line="240"/>
        <w:ind w:left="283" w:right="560" w:hanging="0"/>
        <w:jc w:val="left"/>
        <w:rPr/>
      </w:pPr>
      <w:r>
        <w:rPr>
          <w:color w:val="BD1271"/>
        </w:rPr>
        <w:t xml:space="preserve">4. </w:t>
      </w:r>
      <w:r>
        <w:rPr>
          <w:color w:val="000000"/>
        </w:rPr>
        <w:t>Skabe en europæisk etisk model for forvaltning af migrationsprocesser, der kan deles internationalt.</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Endelig evaluering foretaget af deltagerne </w:t>
      </w:r>
    </w:p>
    <w:p>
      <w:pPr>
        <w:pStyle w:val="P68B1DB1Normal76"/>
        <w:widowControl w:val="false"/>
        <w:spacing w:lineRule="auto" w:line="240" w:before="106" w:after="0"/>
        <w:ind w:left="0" w:right="0" w:hanging="0"/>
        <w:jc w:val="both"/>
        <w:rPr/>
      </w:pPr>
      <w:r>
        <w:rPr/>
        <w:t xml:space="preserve">Ved udgangen af de to arbejdsdage blev alle deltagere bedt om at udfylde et kort spørgeskema for at vurdere deres erfaringer. Evalueringsspørgeskemaet blev sendt to dage efter panelets afslutning for at give alle deltagere tid til at tage et skridt tilbage fra erfaringen og til at kunne svare mere objektivt. </w:t>
      </w:r>
    </w:p>
    <w:p>
      <w:pPr>
        <w:pStyle w:val="Normal"/>
        <w:widowControl w:val="false"/>
        <w:spacing w:lineRule="auto" w:line="240" w:before="78" w:after="0"/>
        <w:ind w:left="0" w:right="2" w:hanging="0"/>
        <w:jc w:val="left"/>
        <w:rPr/>
      </w:pPr>
      <w:r>
        <w:rPr>
          <w:color w:val="000000"/>
        </w:rPr>
        <w:t xml:space="preserve">De indsamlede resultater viser en særlig høj grad af tilfredshed, både med hensyn til interesse og let deltagelse og en følelse af lytning og inklusion. </w:t>
      </w:r>
      <w:r>
        <w:br w:type="page"/>
      </w:r>
    </w:p>
    <w:p>
      <w:pPr>
        <w:pStyle w:val="Normal"/>
        <w:widowControl w:val="false"/>
        <w:spacing w:lineRule="auto" w:line="240" w:before="4765"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940" cy="3026410"/>
                <wp:effectExtent l="0" t="0" r="0" b="0"/>
                <wp:wrapTopAndBottom/>
                <wp:docPr id="107" name="Formular8"/>
                <a:graphic xmlns:a="http://schemas.openxmlformats.org/drawingml/2006/main">
                  <a:graphicData uri="http://schemas.microsoft.com/office/word/2010/wordprocessingGroup">
                    <wpg:wgp>
                      <wpg:cNvGrpSpPr/>
                      <wpg:grpSpPr>
                        <a:xfrm>
                          <a:off x="0" y="0"/>
                          <a:ext cx="5996160" cy="3025800"/>
                        </a:xfrm>
                      </wpg:grpSpPr>
                      <pic:pic xmlns:pic="http://schemas.openxmlformats.org/drawingml/2006/picture">
                        <pic:nvPicPr>
                          <pic:cNvPr id="10" name="" descr=""/>
                          <pic:cNvPicPr/>
                        </pic:nvPicPr>
                        <pic:blipFill>
                          <a:blip r:embed="rId111"/>
                          <a:stretch/>
                        </pic:blipFill>
                        <pic:spPr>
                          <a:xfrm>
                            <a:off x="2534400" y="487080"/>
                            <a:ext cx="3379320" cy="2538720"/>
                          </a:xfrm>
                          <a:prstGeom prst="rect">
                            <a:avLst/>
                          </a:prstGeom>
                          <a:ln>
                            <a:noFill/>
                          </a:ln>
                        </pic:spPr>
                      </pic:pic>
                      <wps:wsp>
                        <wps:cNvSpPr/>
                        <wps:spPr>
                          <a:xfrm>
                            <a:off x="210240" y="0"/>
                            <a:ext cx="578628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 xml:space="preserve">Tilfredshed med deltagelse i panelet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Overordnet tilfredshed med oplevelsen</w:t>
                              </w:r>
                            </w:p>
                          </w:txbxContent>
                        </wps:txbx>
                        <wps:bodyPr lIns="90000" rIns="90000" tIns="45000" bIns="45000">
                          <a:noAutofit/>
                        </wps:bodyPr>
                      </wps:wsp>
                      <wps:wsp>
                        <wps:cNvSpPr/>
                        <wps:spPr>
                          <a:xfrm>
                            <a:off x="69120" y="1184760"/>
                            <a:ext cx="2478240" cy="381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Kvaliteten af deltagernes bidrag</w:t>
                              </w:r>
                            </w:p>
                          </w:txbxContent>
                        </wps:txbx>
                        <wps:bodyPr lIns="90000" rIns="90000" tIns="45000" bIns="45000">
                          <a:noAutofit/>
                        </wps:bodyPr>
                      </wps:wsp>
                      <wps:wsp>
                        <wps:cNvSpPr/>
                        <wps:spPr>
                          <a:xfrm>
                            <a:off x="60840" y="1469880"/>
                            <a:ext cx="2478240" cy="38160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Sammenhæng mellem de fremsatte henstillinger og debatten</w:t>
                              </w:r>
                            </w:p>
                          </w:txbxContent>
                        </wps:txbx>
                        <wps:bodyPr lIns="90000" rIns="90000" tIns="45000" bIns="45000">
                          <a:noAutofit/>
                        </wps:bodyPr>
                      </wps:wsp>
                      <wps:wsp>
                        <wps:cNvSpPr/>
                        <wps:spPr>
                          <a:xfrm>
                            <a:off x="61560" y="1861920"/>
                            <a:ext cx="2478240" cy="235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Brugervenlighed af platformen</w:t>
                              </w:r>
                            </w:p>
                          </w:txbxContent>
                        </wps:txbx>
                        <wps:bodyPr lIns="90000" rIns="90000" tIns="45000" bIns="45000">
                          <a:noAutofit/>
                        </wps:bodyPr>
                      </wps:wsp>
                      <wps:wsp>
                        <wps:cNvSpPr/>
                        <wps:spPr>
                          <a:xfrm>
                            <a:off x="0" y="2129040"/>
                            <a:ext cx="2478240" cy="23688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Respekt for forskellige meninger</w:t>
                              </w:r>
                            </w:p>
                          </w:txbxContent>
                        </wps:txbx>
                        <wps:bodyPr lIns="90000" rIns="90000" tIns="45000" bIns="45000">
                          <a:noAutofit/>
                        </wps:bodyPr>
                      </wps:wsp>
                      <wps:wsp>
                        <wps:cNvSpPr/>
                        <wps:spPr>
                          <a:xfrm>
                            <a:off x="44280" y="2344320"/>
                            <a:ext cx="2477880" cy="52776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Moderatorers evne til at give en stemme til deltagerne og lytte til deres indlæg</w:t>
                              </w:r>
                            </w:p>
                          </w:txbxContent>
                        </wps:txbx>
                        <wps:bodyPr lIns="90000" rIns="90000" tIns="45000" bIns="45000">
                          <a:noAutofit/>
                        </wps:bodyPr>
                      </wps:wsp>
                      <wps:wsp>
                        <wps:cNvSpPr/>
                        <wps:spPr>
                          <a:xfrm>
                            <a:off x="27360" y="2789640"/>
                            <a:ext cx="2477880" cy="235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Interessen for de emner, der behandles</w:t>
                              </w:r>
                            </w:p>
                          </w:txbxContent>
                        </wps:txbx>
                        <wps:bodyPr lIns="90000" rIns="90000" tIns="45000" bIns="45000">
                          <a:noAutofit/>
                        </wps:bodyPr>
                      </wps:wsp>
                    </wpg:wgp>
                  </a:graphicData>
                </a:graphic>
              </wp:anchor>
            </w:drawing>
          </mc:Choice>
          <mc:Fallback>
            <w:pict>
              <v:group id="shape_0" alt="Formular8" style="position:absolute;margin-left:0.05pt;margin-top:3.95pt;width:472.15pt;height:238.25pt" coordorigin="1,79" coordsize="9443,4765">
                <v:shape id="shape_0" stroked="f" style="position:absolute;left:3992;top:846;width:5321;height:3997" type="shapetype_75">
                  <v:imagedata r:id="rId111" o:detectmouseclick="t"/>
                  <w10:wrap type="none"/>
                  <v:stroke color="#3465a4" joinstyle="round" endcap="flat"/>
                </v:shape>
                <v:rect id="shape_0" stroked="f" style="position:absolute;left:332;top:79;width:9111;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 xml:space="preserve">Tilfredshed med deltagelse i panelet </w:t>
                        </w:r>
                      </w:p>
                    </w:txbxContent>
                  </v:textbox>
                  <w10:wrap type="square"/>
                  <v:fill o:detectmouseclick="t" on="false"/>
                  <v:stroke color="#3465a4" joinstyle="round" endcap="flat"/>
                </v:rect>
                <v:rect id="shape_0" stroked="f" style="position:absolute;left:96;top:1088;width:3901;height:59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Overordnet tilfredshed med oplevelsen</w:t>
                        </w:r>
                      </w:p>
                    </w:txbxContent>
                  </v:textbox>
                  <w10:wrap type="square"/>
                  <v:fill o:detectmouseclick="t" on="false"/>
                  <v:stroke color="#3465a4" joinstyle="round" endcap="flat"/>
                </v:rect>
                <v:rect id="shape_0" stroked="f" style="position:absolute;left:110;top:1945;width:3902;height:60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Kvaliteten af deltagernes bidrag</w:t>
                        </w:r>
                      </w:p>
                    </w:txbxContent>
                  </v:textbox>
                  <w10:wrap type="square"/>
                  <v:fill o:detectmouseclick="t" on="false"/>
                  <v:stroke color="#3465a4" joinstyle="round" endcap="flat"/>
                </v:rect>
                <v:rect id="shape_0" stroked="f" style="position:absolute;left:97;top:2394;width:3902;height:60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Sammenhæng mellem de fremsatte henstillinger og debatten</w:t>
                        </w:r>
                      </w:p>
                    </w:txbxContent>
                  </v:textbox>
                  <w10:wrap type="square"/>
                  <v:fill o:detectmouseclick="t" on="false"/>
                  <v:stroke color="#3465a4" joinstyle="round" endcap="flat"/>
                </v:rect>
                <v:rect id="shape_0" stroked="f" style="position:absolute;left:98;top:3011;width:3902;height:37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Brugervenlighed af platformen</w:t>
                        </w:r>
                      </w:p>
                    </w:txbxContent>
                  </v:textbox>
                  <w10:wrap type="square"/>
                  <v:fill o:detectmouseclick="t" on="false"/>
                  <v:stroke color="#3465a4" joinstyle="round" endcap="flat"/>
                </v:rect>
                <v:rect id="shape_0" stroked="f" style="position:absolute;left:1;top:3432;width:3902;height:372">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Respekt for forskellige meninger</w:t>
                        </w:r>
                      </w:p>
                    </w:txbxContent>
                  </v:textbox>
                  <w10:wrap type="square"/>
                  <v:fill o:detectmouseclick="t" on="false"/>
                  <v:stroke color="#3465a4" joinstyle="round" endcap="flat"/>
                </v:rect>
                <v:rect id="shape_0" stroked="f" style="position:absolute;left:71;top:3771;width:3901;height:83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Moderatorers evne til at give en stemme til deltagerne og lytte til deres indlæg</w:t>
                        </w:r>
                      </w:p>
                    </w:txbxContent>
                  </v:textbox>
                  <w10:wrap type="square"/>
                  <v:fill o:detectmouseclick="t" on="false"/>
                  <v:stroke color="#3465a4" joinstyle="round" endcap="flat"/>
                </v:rect>
                <v:rect id="shape_0" stroked="f" style="position:absolute;left:44;top:4472;width:3901;height:370">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Interessen for de emner, der behandles</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Selv om deltagerne oprindeligt havde forskellige erfaringer, færdigheder og motivationer, følte de sig stærkt involveret: 98 % af respondenterne i evalueringsspørgeskemaet mente, at de havde deltaget aktivt og bidraget positivt til debatten.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Generelt er nytten af denne erfaring, som først og fremmest er blevet opfattet som en mulighed for at deltage aktivt, og som har givet en følelse af større nærhed til de europæiske institutioner, blevet meget udtalt. Dette fik næsten alle respondenterne til at anmode om, at denne type initiativ gentages over tid. </w:t>
      </w:r>
    </w:p>
    <w:p>
      <w:pPr>
        <w:pStyle w:val="Normal"/>
        <w:widowControl w:val="false"/>
        <w:spacing w:lineRule="exact" w:line="202" w:before="4967" w:after="0"/>
        <w:ind w:left="0" w:right="0" w:hanging="0"/>
        <w:jc w:val="both"/>
        <w:rPr/>
      </w:pPr>
      <w:r>
        <mc:AlternateContent>
          <mc:Choice Requires="wpg">
            <w:drawing>
              <wp:anchor behindDoc="0" distT="0" distB="0" distL="0" distR="0" simplePos="0" locked="0" layoutInCell="1" allowOverlap="1" relativeHeight="61">
                <wp:simplePos x="0" y="0"/>
                <wp:positionH relativeFrom="column">
                  <wp:posOffset>0</wp:posOffset>
                </wp:positionH>
                <wp:positionV relativeFrom="paragraph">
                  <wp:posOffset>71120</wp:posOffset>
                </wp:positionV>
                <wp:extent cx="6048375" cy="3154680"/>
                <wp:effectExtent l="0" t="0" r="0" b="0"/>
                <wp:wrapTopAndBottom/>
                <wp:docPr id="108" name="Formular9"/>
                <a:graphic xmlns:a="http://schemas.openxmlformats.org/drawingml/2006/main">
                  <a:graphicData uri="http://schemas.microsoft.com/office/word/2010/wordprocessingGroup">
                    <wpg:wgp>
                      <wpg:cNvGrpSpPr/>
                      <wpg:grpSpPr>
                        <a:xfrm>
                          <a:off x="0" y="0"/>
                          <a:ext cx="6047640" cy="3153960"/>
                        </a:xfrm>
                      </wpg:grpSpPr>
                      <pic:pic xmlns:pic="http://schemas.openxmlformats.org/drawingml/2006/picture">
                        <pic:nvPicPr>
                          <pic:cNvPr id="11" name="" descr=""/>
                          <pic:cNvPicPr/>
                        </pic:nvPicPr>
                        <pic:blipFill>
                          <a:blip r:embed="rId112"/>
                          <a:stretch/>
                        </pic:blipFill>
                        <pic:spPr>
                          <a:xfrm>
                            <a:off x="272880" y="357480"/>
                            <a:ext cx="5774760" cy="2601720"/>
                          </a:xfrm>
                          <a:prstGeom prst="rect">
                            <a:avLst/>
                          </a:prstGeom>
                          <a:ln>
                            <a:noFill/>
                          </a:ln>
                        </pic:spPr>
                      </pic:pic>
                      <wps:wsp>
                        <wps:cNvSpPr/>
                        <wps:spPr>
                          <a:xfrm>
                            <a:off x="404640" y="0"/>
                            <a:ext cx="5615280" cy="8006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EVALUERING AF DET ITALIENSKE PANELS INTERESSE FOR KONFERENCEN OM EUROPAS FREMTID</w:t>
                              </w:r>
                            </w:p>
                          </w:txbxContent>
                        </wps:txbx>
                        <wps:bodyPr lIns="90000" rIns="90000" tIns="45000" bIns="45000">
                          <a:noAutofit/>
                        </wps:bodyPr>
                      </wps:wsp>
                      <wps:wsp>
                        <wps:cNvSpPr/>
                        <wps:spPr>
                          <a:xfrm>
                            <a:off x="47160" y="497160"/>
                            <a:ext cx="2207880" cy="27432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Skal finde sted oftere</w:t>
                              </w:r>
                            </w:p>
                          </w:txbxContent>
                        </wps:txbx>
                        <wps:bodyPr lIns="90000" rIns="90000" tIns="45000" bIns="45000">
                          <a:noAutofit/>
                        </wps:bodyPr>
                      </wps:wsp>
                      <wps:wsp>
                        <wps:cNvSpPr/>
                        <wps:spPr>
                          <a:xfrm>
                            <a:off x="47160" y="987480"/>
                            <a:ext cx="2207880" cy="4838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Er nyttig til at få borgernes stemme til at blive hørt i EU-institutionerne</w:t>
                              </w:r>
                            </w:p>
                          </w:txbxContent>
                        </wps:txbx>
                        <wps:bodyPr lIns="90000" rIns="90000" tIns="45000" bIns="45000">
                          <a:noAutofit/>
                        </wps:bodyPr>
                      </wps:wsp>
                      <wps:wsp>
                        <wps:cNvSpPr/>
                        <wps:spPr>
                          <a:xfrm>
                            <a:off x="47160" y="1493640"/>
                            <a:ext cx="220788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Kan yde et positivt bidrag til at forbedre Europas fremtid</w:t>
                              </w:r>
                            </w:p>
                          </w:txbxContent>
                        </wps:txbx>
                        <wps:bodyPr lIns="90000" rIns="90000" tIns="45000" bIns="45000">
                          <a:noAutofit/>
                        </wps:bodyPr>
                      </wps:wsp>
                      <wps:wsp>
                        <wps:cNvSpPr/>
                        <wps:spPr>
                          <a:xfrm>
                            <a:off x="0" y="1973520"/>
                            <a:ext cx="220860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At bringe de europæiske institutioner tættere på borgerne</w:t>
                              </w:r>
                            </w:p>
                          </w:txbxContent>
                        </wps:txbx>
                        <wps:bodyPr lIns="90000" rIns="90000" tIns="45000" bIns="45000">
                          <a:noAutofit/>
                        </wps:bodyPr>
                      </wps:wsp>
                      <wps:wsp>
                        <wps:cNvSpPr/>
                        <wps:spPr>
                          <a:xfrm>
                            <a:off x="0" y="2410560"/>
                            <a:ext cx="2208600" cy="7358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Var spild af tid</w:t>
                              </w:r>
                            </w:p>
                          </w:txbxContent>
                        </wps:txbx>
                        <wps:bodyPr lIns="90000" rIns="90000" tIns="45000" bIns="45000">
                          <a:noAutofit/>
                        </wps:bodyPr>
                      </wps:wsp>
                      <wps:wsp>
                        <wps:cNvSpPr/>
                        <wps:spPr>
                          <a:xfrm>
                            <a:off x="527760" y="2739240"/>
                            <a:ext cx="85932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Helt enig</w:t>
                              </w:r>
                            </w:p>
                          </w:txbxContent>
                        </wps:txbx>
                        <wps:bodyPr lIns="90000" rIns="90000" tIns="45000" bIns="45000">
                          <a:noAutofit/>
                        </wps:bodyPr>
                      </wps:wsp>
                      <wps:wsp>
                        <wps:cNvSpPr/>
                        <wps:spPr>
                          <a:xfrm>
                            <a:off x="1548720" y="2712600"/>
                            <a:ext cx="77796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Jeg vil hellere være enig.</w:t>
                              </w:r>
                            </w:p>
                          </w:txbxContent>
                        </wps:txbx>
                        <wps:bodyPr lIns="90000" rIns="90000" tIns="45000" bIns="45000">
                          <a:noAutofit/>
                        </wps:bodyPr>
                      </wps:wsp>
                      <wps:wsp>
                        <wps:cNvSpPr/>
                        <wps:spPr>
                          <a:xfrm>
                            <a:off x="2505240" y="2757240"/>
                            <a:ext cx="128772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Ingen aftale og ingen aftale</w:t>
                              </w:r>
                            </w:p>
                          </w:txbxContent>
                        </wps:txbx>
                        <wps:bodyPr lIns="90000" rIns="90000" tIns="45000" bIns="45000">
                          <a:noAutofit/>
                        </wps:bodyPr>
                      </wps:wsp>
                      <wps:wsp>
                        <wps:cNvSpPr/>
                        <wps:spPr>
                          <a:xfrm>
                            <a:off x="3935880" y="2730960"/>
                            <a:ext cx="85968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Jeg er ikke enig.</w:t>
                              </w:r>
                            </w:p>
                          </w:txbxContent>
                        </wps:txbx>
                        <wps:bodyPr lIns="90000" rIns="90000" tIns="45000" bIns="45000">
                          <a:noAutofit/>
                        </wps:bodyPr>
                      </wps:wsp>
                      <wps:wsp>
                        <wps:cNvSpPr/>
                        <wps:spPr>
                          <a:xfrm>
                            <a:off x="5045760" y="2801520"/>
                            <a:ext cx="859320" cy="352440"/>
                          </a:xfrm>
                          <a:prstGeom prst="rect">
                            <a:avLst/>
                          </a:prstGeom>
                          <a:noFill/>
                          <a:ln>
                            <a:noFill/>
                          </a:ln>
                        </wps:spPr>
                        <wps:style>
                          <a:lnRef idx="0"/>
                          <a:fillRef idx="0"/>
                          <a:effectRef idx="0"/>
                          <a:fontRef idx="minor"/>
                        </wps:style>
                        <wps:txb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Jeg er slet ikke enig.</w:t>
                              </w:r>
                            </w:p>
                          </w:txbxContent>
                        </wps:txbx>
                        <wps:bodyPr lIns="90000" rIns="90000" tIns="45000" bIns="45000">
                          <a:noAutofit/>
                        </wps:bodyPr>
                      </wps:wsp>
                    </wpg:wgp>
                  </a:graphicData>
                </a:graphic>
              </wp:anchor>
            </w:drawing>
          </mc:Choice>
          <mc:Fallback>
            <w:pict>
              <v:group id="shape_0" alt="Formular9" style="position:absolute;margin-left:0pt;margin-top:5.6pt;width:476.2pt;height:248.35pt" coordorigin="0,112" coordsize="9524,4967">
                <v:shape id="shape_0" stroked="f" style="position:absolute;left:430;top:675;width:9093;height:4096" type="shapetype_75">
                  <v:imagedata r:id="rId112" o:detectmouseclick="t"/>
                  <w10:wrap type="none"/>
                  <v:stroke color="#3465a4" joinstyle="round" endcap="flat"/>
                </v:shape>
                <v:rect id="shape_0" stroked="f" style="position:absolute;left:637;top:112;width:8842;height:1260">
                  <v:textbox>
                    <w:txbxContent>
                      <w:p>
                        <w:pPr>
                          <w:overflowPunct w:val="false"/>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EVALUERING AF DET ITALIENSKE PANELS INTERESSE FOR KONFERENCEN OM EUROPAS FREMTID</w:t>
                        </w:r>
                      </w:p>
                    </w:txbxContent>
                  </v:textbox>
                  <w10:wrap type="square"/>
                  <v:fill o:detectmouseclick="t" on="false"/>
                  <v:stroke color="#3465a4" joinstyle="round" endcap="flat"/>
                </v:rect>
                <v:rect id="shape_0" stroked="f" style="position:absolute;left:74;top:895;width:3476;height:431">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Skal finde sted oftere</w:t>
                        </w:r>
                      </w:p>
                    </w:txbxContent>
                  </v:textbox>
                  <w10:wrap type="square"/>
                  <v:fill o:detectmouseclick="t" on="false"/>
                  <v:stroke color="#3465a4" joinstyle="round" endcap="flat"/>
                </v:rect>
                <v:rect id="shape_0" stroked="f" style="position:absolute;left:74;top:1667;width:3476;height:761">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Er nyttig til at få borgernes stemme til at blive hørt i EU-institutionerne</w:t>
                        </w:r>
                      </w:p>
                    </w:txbxContent>
                  </v:textbox>
                  <w10:wrap type="square"/>
                  <v:fill o:detectmouseclick="t" on="false"/>
                  <v:stroke color="#3465a4" joinstyle="round" endcap="flat"/>
                </v:rect>
                <v:rect id="shape_0" stroked="f" style="position:absolute;left:74;top:2464;width:3476;height:554">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Kan yde et positivt bidrag til at forbedre Europas fremtid</w:t>
                        </w:r>
                      </w:p>
                    </w:txbxContent>
                  </v:textbox>
                  <w10:wrap type="square"/>
                  <v:fill o:detectmouseclick="t" on="false"/>
                  <v:stroke color="#3465a4" joinstyle="round" endcap="flat"/>
                </v:rect>
                <v:rect id="shape_0" stroked="f" style="position:absolute;left:0;top:3220;width:3477;height:554">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At bringe de europæiske institutioner tættere på borgerne</w:t>
                        </w:r>
                      </w:p>
                    </w:txbxContent>
                  </v:textbox>
                  <w10:wrap type="square"/>
                  <v:fill o:detectmouseclick="t" on="false"/>
                  <v:stroke color="#3465a4" joinstyle="round" endcap="flat"/>
                </v:rect>
                <v:rect id="shape_0" stroked="f" style="position:absolute;left:0;top:3908;width:3477;height:1158">
                  <v:textbox>
                    <w:txbxContent>
                      <w:p>
                        <w:pPr>
                          <w:overflowPunct w:val="false"/>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Var spild af tid</w:t>
                        </w:r>
                      </w:p>
                    </w:txbxContent>
                  </v:textbox>
                  <w10:wrap type="square"/>
                  <v:fill o:detectmouseclick="t" on="false"/>
                  <v:stroke color="#3465a4" joinstyle="round" endcap="flat"/>
                </v:rect>
                <v:rect id="shape_0" stroked="f" style="position:absolute;left:831;top:4426;width:1352;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Helt enig</w:t>
                        </w:r>
                      </w:p>
                    </w:txbxContent>
                  </v:textbox>
                  <w10:wrap type="square"/>
                  <v:fill o:detectmouseclick="t" on="false"/>
                  <v:stroke color="#3465a4" joinstyle="round" endcap="flat"/>
                </v:rect>
                <v:rect id="shape_0" stroked="f" style="position:absolute;left:2439;top:4384;width:1224;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Jeg vil hellere være enig.</w:t>
                        </w:r>
                      </w:p>
                    </w:txbxContent>
                  </v:textbox>
                  <w10:wrap type="square"/>
                  <v:fill o:detectmouseclick="t" on="false"/>
                  <v:stroke color="#3465a4" joinstyle="round" endcap="flat"/>
                </v:rect>
                <v:rect id="shape_0" stroked="f" style="position:absolute;left:3945;top:4454;width:2027;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Ingen aftale og ingen aftale</w:t>
                        </w:r>
                      </w:p>
                    </w:txbxContent>
                  </v:textbox>
                  <w10:wrap type="square"/>
                  <v:fill o:detectmouseclick="t" on="false"/>
                  <v:stroke color="#3465a4" joinstyle="round" endcap="flat"/>
                </v:rect>
                <v:rect id="shape_0" stroked="f" style="position:absolute;left:6198;top:4413;width:1353;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Jeg er ikke enig.</w:t>
                        </w:r>
                      </w:p>
                    </w:txbxContent>
                  </v:textbox>
                  <w10:wrap type="square"/>
                  <v:fill o:detectmouseclick="t" on="false"/>
                  <v:stroke color="#3465a4" joinstyle="round" endcap="flat"/>
                </v:rect>
                <v:rect id="shape_0" stroked="f" style="position:absolute;left:7946;top:4524;width:1352;height:554">
                  <v:textbox>
                    <w:txbxContent>
                      <w:p>
                        <w:pPr>
                          <w:overflowPunct w:val="false"/>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A"/>
                          </w:rPr>
                          <w:t>Jeg er slet ikke enig.</w:t>
                        </w:r>
                      </w:p>
                    </w:txbxContent>
                  </v:textbox>
                  <w10:wrap type="square"/>
                  <v:fill o:detectmouseclick="t" on="false"/>
                  <v:stroke color="#3465a4" joinstyle="round" endcap="flat"/>
                </v:rect>
              </v:group>
            </w:pict>
          </mc:Fallback>
        </mc:AlternateContent>
      </w:r>
      <w:r>
        <w:rPr>
          <w:color w:val="000000"/>
        </w:rPr>
        <w:t>Alle deltagere oplyste, at hvis et sådant initiativ skulle organiseres igen, ville de ikke kun være villige til at deltage, men også anbefale deres venner at deltage.</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De nationale paneler: Litauen</w:t>
      </w:r>
    </w:p>
    <w:p>
      <w:pPr>
        <w:pStyle w:val="P68B1DB1Normal95"/>
        <w:widowControl w:val="false"/>
        <w:spacing w:lineRule="exact" w:line="393"/>
        <w:ind w:left="0" w:right="0" w:hanging="0"/>
        <w:jc w:val="left"/>
        <w:rPr>
          <w:rFonts w:ascii="Arial" w:hAnsi="Arial"/>
          <w:color w:val="5A5A5A"/>
          <w:sz w:val="28"/>
        </w:rPr>
      </w:pPr>
      <w:r>
        <w:rPr/>
        <w:t xml:space="preserve">Det litauiske borgerpanel om Europas fremtid </w:t>
      </w:r>
    </w:p>
    <w:p>
      <w:pPr>
        <w:pStyle w:val="P68B1DB1Normal95"/>
        <w:widowControl w:val="false"/>
        <w:spacing w:lineRule="exact" w:line="460"/>
        <w:ind w:left="4320" w:right="0" w:hanging="0"/>
        <w:jc w:val="left"/>
        <w:rPr>
          <w:rFonts w:ascii="Arial" w:hAnsi="Arial"/>
          <w:color w:val="5A5A5A"/>
          <w:sz w:val="28"/>
        </w:rPr>
      </w:pPr>
      <w:r>
        <w:rPr/>
        <w:t xml:space="preserve">Rapport </w:t>
      </w:r>
    </w:p>
    <w:p>
      <w:pPr>
        <w:pStyle w:val="P68B1DB1Normal76"/>
        <w:widowControl w:val="false"/>
        <w:spacing w:lineRule="exact" w:line="227" w:before="87" w:after="0"/>
        <w:ind w:left="0" w:right="2" w:hanging="0"/>
        <w:jc w:val="both"/>
        <w:rPr/>
      </w:pPr>
      <w:r>
        <w:rPr/>
        <w:t xml:space="preserve">Denne rapport består af fire dele. Den første beskriver kort udviklingen i begivenheden. Den anden skitserer anbefalingerne fra deltagerne i Borgerpanelet for EU's og Litauens politikker. Den tredje indeholder en kort analyse af drøftelserne i grupperne og de vigtigste resultater af forummet. Den fjerde sammenligner resultaterne af borgerpanelet med resultaterne af litauiske borgerundersøgelser om Europas tilstand og fremtid.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Det nationale borgerpanels adfærd</w:t>
      </w:r>
    </w:p>
    <w:p>
      <w:pPr>
        <w:pStyle w:val="Normal"/>
        <w:widowControl w:val="false"/>
        <w:spacing w:lineRule="exact" w:line="253" w:before="95" w:after="0"/>
        <w:ind w:left="0" w:right="0" w:hanging="0"/>
        <w:jc w:val="both"/>
        <w:rPr/>
      </w:pPr>
      <w:r>
        <w:rPr>
          <w:color w:val="000000"/>
        </w:rPr>
        <w:t>I overensstemmelse med retningslinjerne for organisering af nationale borgerpaneler inden for rammerne af konferencen om Europas fremtid udviklede Kantar TNS LT-undersøgelsesinstituttet i december 2021 på anmodning af Udenrigsministeriet en stratificeret tilfældig udvælgelsesmetode for en repræsentativ stikprøve af den litauiske befolkning, på grundlag af hvilken Kantar TNS udvalgte 25 litauiske borgere i alderen 18-65 år, der repræsenterer forskellige socioøkonomiske grupper og alle geografiske regioner i Litauen</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Den 4. januar blev de udvalgte borgere inviteret til et virtuelt indledende møde, hvor idéen om det nationale borgerpanel blev præsenteret, og der blev afholdt udvekslinger om de emner, der er mest relevante for Europas fremtid. Ved arrangementets afslutning modtog deltagerne et baggrundspapir med en detaljeret beskrivelse af de drøftede emner og informationskilder. </w:t>
      </w:r>
    </w:p>
    <w:p>
      <w:pPr>
        <w:pStyle w:val="P68B1DB1Normal76"/>
        <w:widowControl w:val="false"/>
        <w:spacing w:lineRule="exact" w:line="253"/>
        <w:ind w:left="0" w:right="2" w:hanging="0"/>
        <w:jc w:val="both"/>
        <w:rPr/>
      </w:pPr>
      <w:r>
        <w:rPr/>
        <w:t xml:space="preserve">Den 15. januar blev der afholdt et panel af nationale borgere om Europas fremtid på den europæiske arrestordre, der blev organiseret af den europæiske arrestordres undersøgelsescenter for Østeuropa (RESC) og Kantar TNS LT-undersøgelsesinstituttet, hvor 25 udvalgte borgere deltog direkte.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Deltagerne drøftede to spørgsmål vedrørende EU's politikker: </w:t>
      </w:r>
      <w:r>
        <w:rPr>
          <w:b/>
        </w:rPr>
        <w:t>den rolle og de kompetencer, som EU kan have i udenrigspolitikken</w:t>
      </w:r>
      <w:r>
        <w:rPr/>
        <w:t xml:space="preserve">, samt </w:t>
      </w:r>
      <w:r>
        <w:rPr>
          <w:b/>
        </w:rPr>
        <w:t>EU's økonomiske rolle</w:t>
      </w:r>
      <w:r>
        <w:rPr/>
        <w:t>.</w:t>
      </w:r>
      <w:r>
        <w:rPr>
          <w:b/>
        </w:rPr>
        <w:t xml:space="preserve"> </w:t>
      </w:r>
      <w:r>
        <w:rPr/>
        <w:t xml:space="preserve">Ved dette arrangement var hvert af disse spørgsmål genstand for et særskilt møde, hvor EU's politiske eksperter Linas Kojala (RESC) og Ramūnas Vilpišauskas (professor ved Vilnius Universitet) kort introducerede borgerne til emnets aktualitet og emner. Under debatten var borgerne i stand til at stille spørgsmål og dele deres synspunkter. Efter ekspertpræsentationerne blev deltagerne opdelt i tre mindre repræsentative grupper for hver at reflektere over et andet spørgsmål vedrørende temaet for mødet. De udenrigspolitiske spørgsmål, der blev drøftet, var som følger: </w:t>
      </w:r>
    </w:p>
    <w:p>
      <w:pPr>
        <w:pStyle w:val="P68B1DB1Normal76"/>
        <w:widowControl w:val="false"/>
        <w:spacing w:lineRule="exact" w:line="253"/>
        <w:ind w:left="720" w:right="1" w:hanging="0"/>
        <w:jc w:val="left"/>
        <w:rPr/>
      </w:pPr>
      <w:r>
        <w:rPr>
          <w:b/>
        </w:rPr>
        <w:t>1.1.</w:t>
      </w:r>
      <w:r>
        <w:rPr/>
        <w:t xml:space="preserve"> Er der behov for en selvstændig EU-forsvars- og udenrigspolitik?</w:t>
      </w:r>
    </w:p>
    <w:p>
      <w:pPr>
        <w:pStyle w:val="P68B1DB1Normal76"/>
        <w:widowControl w:val="false"/>
        <w:spacing w:lineRule="exact" w:line="253"/>
        <w:ind w:left="720" w:right="1" w:hanging="0"/>
        <w:jc w:val="left"/>
        <w:rPr/>
      </w:pPr>
      <w:r>
        <w:rPr>
          <w:b/>
        </w:rPr>
        <w:t>1.2.</w:t>
      </w:r>
      <w:r>
        <w:rPr/>
        <w:t xml:space="preserve"> Hvad bør EU's forbindelser med sine østeuropæiske naboer, Nordafrika og Tyrkiet være? </w:t>
      </w:r>
    </w:p>
    <w:p>
      <w:pPr>
        <w:pStyle w:val="P68B1DB1Normal76"/>
        <w:widowControl w:val="false"/>
        <w:spacing w:lineRule="exact" w:line="379"/>
        <w:ind w:left="720" w:right="0" w:hanging="0"/>
        <w:jc w:val="left"/>
        <w:rPr/>
      </w:pPr>
      <w:r>
        <w:rPr>
          <w:b/>
        </w:rPr>
        <w:t>1.3.</w:t>
      </w:r>
      <w:r>
        <w:rPr/>
        <w:t xml:space="preserve"> Hvad skal EU's migrationspolitik være? </w:t>
      </w:r>
    </w:p>
    <w:p>
      <w:pPr>
        <w:pStyle w:val="P68B1DB1Normal76"/>
        <w:widowControl w:val="false"/>
        <w:spacing w:lineRule="exact" w:line="254"/>
        <w:ind w:left="0" w:right="0" w:hanging="0"/>
        <w:jc w:val="left"/>
        <w:rPr/>
      </w:pPr>
      <w:r>
        <w:rPr/>
        <w:t xml:space="preserve">Mødet om EU's økonomiske rolle gav anledning til overvejelser om følgende spørgsmål: </w:t>
      </w:r>
    </w:p>
    <w:p>
      <w:pPr>
        <w:pStyle w:val="P68B1DB1Normal76"/>
        <w:widowControl w:val="false"/>
        <w:spacing w:lineRule="exact" w:line="254"/>
        <w:ind w:left="720" w:right="0" w:hanging="0"/>
        <w:jc w:val="left"/>
        <w:rPr/>
      </w:pPr>
      <w:r>
        <w:rPr>
          <w:b/>
        </w:rPr>
        <w:t xml:space="preserve">2.1. </w:t>
      </w:r>
      <w:r>
        <w:rPr/>
        <w:t xml:space="preserve">Er der behov for større omfordeling af midler fra EU-budgettet fra EU's fælles gæld? </w:t>
      </w:r>
    </w:p>
    <w:p>
      <w:pPr>
        <w:pStyle w:val="P68B1DB1Normal76"/>
        <w:widowControl w:val="false"/>
        <w:spacing w:lineRule="exact" w:line="379"/>
        <w:ind w:left="720" w:right="0" w:hanging="0"/>
        <w:jc w:val="left"/>
        <w:rPr/>
      </w:pPr>
      <w:r>
        <w:rPr>
          <w:b/>
        </w:rPr>
        <w:t xml:space="preserve">2.2. </w:t>
      </w:r>
      <w:r>
        <w:rPr/>
        <w:t>Bør sociale standarder reguleres på EU-plan?</w:t>
      </w:r>
      <w:r>
        <w:rPr>
          <w:b/>
        </w:rPr>
        <w:t xml:space="preserve"> </w:t>
      </w:r>
    </w:p>
    <w:p>
      <w:pPr>
        <w:pStyle w:val="P68B1DB1Normal76"/>
        <w:widowControl w:val="false"/>
        <w:spacing w:lineRule="exact" w:line="379"/>
        <w:ind w:left="720" w:right="0" w:hanging="0"/>
        <w:jc w:val="left"/>
        <w:rPr/>
      </w:pPr>
      <w:r>
        <w:rPr>
          <w:b/>
        </w:rPr>
        <w:t>2.3.</w:t>
      </w:r>
      <w:r>
        <w:rPr/>
        <w:t xml:space="preserve"> Hvordan styrker man EU's økonomi? </w:t>
      </w:r>
    </w:p>
    <w:p>
      <w:pPr>
        <w:pStyle w:val="P68B1DB1Normal76"/>
        <w:widowControl w:val="false"/>
        <w:spacing w:lineRule="auto" w:line="240"/>
        <w:ind w:left="0" w:right="0" w:hanging="0"/>
        <w:jc w:val="both"/>
        <w:rPr/>
      </w:pPr>
      <w:r>
        <w:rPr/>
        <w:t xml:space="preserve">Ved mødets afslutning skulle hver gruppe formulere hovedkonklusionerne af drøftelserne, fremsætte principerklæringer eller konkrete forslag om EU's politiske bekymringer. Under drøftelserne med hele panelet fremlagde repræsentanten for hver gruppe disse resultater for de øvrige deltagere. De, der havde været i andre grupper, var i stand til at stille spørgsmål og færdiggøre forslagene med deres ideer. Efter præsentationerne og debatterne stemte borgerne hver især to blandt disse konklusioner med en afstemning om det vigtigste forslag eller erklæring om Litauens rolle med hensyn til at styrke EU og EU's succes selv i hele Europa; og den anden stemmer for erklæringen eller forslaget, som de synes at være vigtigst i deres personlige egenskab, i deres interesse som EU-beboer. Efter denne afstemning fandt der en debat sted i panelet, og de vigtigste idéer, der kom frem fra drøftelserne, blev drøftet. </w:t>
      </w:r>
    </w:p>
    <w:p>
      <w:pPr>
        <w:pStyle w:val="P68B1DB1Normal76"/>
        <w:widowControl w:val="false"/>
        <w:spacing w:lineRule="auto" w:line="240"/>
        <w:ind w:left="0" w:right="0" w:hanging="0"/>
        <w:jc w:val="both"/>
        <w:rPr/>
      </w:pPr>
      <w:r>
        <w:rPr/>
        <w:t xml:space="preserve">I ugen efter arrangementet undersøgte eksperterne indholdet af drøftelserne og afdækkede essensen af de idéer, som borgerne foreslog. Den 25. januar blev der afholdt et virtuelt resumé, og der blev udvekslet anbefalinger fra indholdet af deres drøftelser med borgerne. Borgerne fik mulighed for at sige, om de godkendte anbefalingerne, supplerede dem med stoffet og evaluerede dem. Alle deltagere fik denne mulighed igen en uge efter oversigtsmødet og sendte deres udtalelser og kommentarer skriftligt til panelorganisatorerne.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Resultaterne af det nationale borgerpanel</w:t>
      </w:r>
      <w:r>
        <w:rPr/>
        <w:t xml:space="preserve"> </w:t>
      </w:r>
    </w:p>
    <w:p>
      <w:pPr>
        <w:pStyle w:val="P68B1DB1Normal76"/>
        <w:widowControl w:val="false"/>
        <w:spacing w:lineRule="auto" w:line="240" w:before="70" w:after="0"/>
        <w:ind w:left="0" w:right="1" w:hanging="0"/>
        <w:jc w:val="both"/>
        <w:rPr/>
      </w:pPr>
      <w:r>
        <w:rPr/>
        <w:t xml:space="preserve">Denne del af rapporten viser resultaterne af borgerpanelet med anbefalingerne fra deltagerne i arbejdsgrupperne og deres holdninger til EU's rolle i udenrigspolitikken og økonomien.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Første session:</w:t>
      </w:r>
      <w:r>
        <w:rPr/>
        <w:t xml:space="preserve"> </w:t>
      </w:r>
      <w:r>
        <w:rPr>
          <w:b/>
        </w:rPr>
        <w:t>EU's rolle og kompetencer i udenrigspolitikken</w:t>
      </w:r>
    </w:p>
    <w:p>
      <w:pPr>
        <w:pStyle w:val="P68B1DB1Normal99"/>
        <w:widowControl w:val="false"/>
        <w:spacing w:lineRule="auto" w:line="240" w:before="39" w:after="0"/>
        <w:ind w:left="468" w:right="0" w:hanging="0"/>
        <w:jc w:val="left"/>
        <w:rPr/>
      </w:pPr>
      <w:r>
        <w:rPr/>
        <w:t xml:space="preserve">1. Vi opfordrer EU til at udvikle en mere effektiv politik over for Kina. Litauen skal støttes mere resolut, men det bør også i højere grad tilpasse sin holdning til EU's partneres holdning. For at sikre, at interesserne kan være bedre afbalancerede inden for EU, og at der kun er én politik over for Kina samt om andre udenrigspolitiske spørgsmål, anbefaler vi, at man overvejer muligheden for at oprette en EU-udenrigsminister. </w:t>
      </w:r>
    </w:p>
    <w:p>
      <w:pPr>
        <w:pStyle w:val="P68B1DB1Normal99"/>
        <w:widowControl w:val="false"/>
        <w:spacing w:lineRule="auto" w:line="240" w:before="78" w:after="0"/>
        <w:ind w:left="468" w:right="341" w:hanging="0"/>
        <w:jc w:val="left"/>
        <w:rPr/>
      </w:pPr>
      <w:r>
        <w:rPr/>
        <w:t xml:space="preserve">2. Vi anbefaler, at spørgsmålet om migrantkvoter sættes på dagsordenen på EU-plan. </w:t>
      </w:r>
    </w:p>
    <w:p>
      <w:pPr>
        <w:pStyle w:val="P68B1DB1Normal99"/>
        <w:widowControl w:val="false"/>
        <w:spacing w:lineRule="auto" w:line="240" w:before="78" w:after="0"/>
        <w:ind w:left="468" w:right="0" w:hanging="0"/>
        <w:jc w:val="left"/>
        <w:rPr/>
      </w:pPr>
      <w:r>
        <w:rPr/>
        <w:t>3. Vi anbefaler, at der nedsættes et særligt udvalg på EU-plan, der skal behandle migrationsspørgsmål, hvilket vil sikre en hurtigere reaktion på migrationskriser og medlemsstaternes ret til at forklare og forsvare deres nationale interesser og udvikle og gennemføre fælles retningslinjer for migrationsstyring.</w:t>
      </w:r>
    </w:p>
    <w:p>
      <w:pPr>
        <w:pStyle w:val="P68B1DB1Normal99"/>
        <w:widowControl w:val="false"/>
        <w:spacing w:lineRule="auto" w:line="240" w:before="78" w:after="0"/>
        <w:ind w:left="468" w:right="0" w:hanging="0"/>
        <w:jc w:val="left"/>
        <w:rPr/>
      </w:pPr>
      <w:r>
        <w:rPr/>
        <w:t xml:space="preserve">4. Vi anbefaler at styrke de økonomiske og humanitære bånd til landene i Nordafrika uden at miste de politiske realiteter af syne, især med henblik på at mindske Kinas, Ruslands og andre staters indflydelse i regionen. </w:t>
      </w:r>
    </w:p>
    <w:p>
      <w:pPr>
        <w:pStyle w:val="P68B1DB1Normal99"/>
        <w:widowControl w:val="false"/>
        <w:spacing w:lineRule="auto" w:line="240" w:before="78" w:after="0"/>
        <w:ind w:left="468" w:right="466" w:hanging="0"/>
        <w:jc w:val="left"/>
        <w:rPr/>
      </w:pPr>
      <w:r>
        <w:rPr/>
        <w:t xml:space="preserve">5. Vi anbefaler at styrke forbindelserne med Østeuropa og tilskynde til økonomiske foranstaltninger på personligt plan. </w:t>
      </w:r>
    </w:p>
    <w:p>
      <w:pPr>
        <w:pStyle w:val="P68B1DB1Normal99"/>
        <w:widowControl w:val="false"/>
        <w:spacing w:lineRule="auto" w:line="240" w:before="78" w:after="0"/>
        <w:ind w:left="468" w:right="286" w:hanging="0"/>
        <w:jc w:val="left"/>
        <w:rPr/>
      </w:pPr>
      <w:r>
        <w:rPr/>
        <w:t xml:space="preserve">6. Vi insisterer på, at de sanktioner, som EU pålægger udenlandske aktører, er strengere, mere målrettede og vedrører vigtige tal for den sanktionerede stat (f.eks. politiske ledere). </w:t>
      </w:r>
    </w:p>
    <w:p>
      <w:pPr>
        <w:pStyle w:val="P68B1DB1Normal99"/>
        <w:widowControl w:val="false"/>
        <w:spacing w:lineRule="auto" w:line="240" w:before="78" w:after="0"/>
        <w:ind w:left="466" w:right="295" w:hanging="0"/>
        <w:jc w:val="left"/>
        <w:rPr/>
      </w:pPr>
      <w:r>
        <w:rPr/>
        <w:t>7. Vi insisterer på, at EU's fælles udenrigs- og sikkerhedspolitik bygger på det grundlæggende princip om solidaritet mellem de forskellige EU-medlemsstater og de forskellige europæiske regioner og samfund.</w:t>
      </w:r>
    </w:p>
    <w:p>
      <w:pPr>
        <w:pStyle w:val="P68B1DB1Normal99"/>
        <w:widowControl w:val="false"/>
        <w:spacing w:lineRule="auto" w:line="240" w:before="78" w:after="0"/>
        <w:ind w:left="466" w:right="295" w:hanging="0"/>
        <w:jc w:val="left"/>
        <w:rPr/>
      </w:pPr>
      <w:r>
        <w:rPr/>
        <w:t xml:space="preserve">8. Vi anbefaler, at EU reviderer den hidtidige åbenhedspolitik over for migration, som skaber sikkerhedsproblemer, en stigning i kriminaliteten og etableringen af kommununitarisme i samfundet. </w:t>
      </w:r>
    </w:p>
    <w:p>
      <w:pPr>
        <w:pStyle w:val="P68B1DB1Normal99"/>
        <w:widowControl w:val="false"/>
        <w:spacing w:lineRule="auto" w:line="240" w:before="78" w:after="0"/>
        <w:ind w:left="468" w:right="0" w:hanging="0"/>
        <w:jc w:val="left"/>
        <w:rPr/>
      </w:pPr>
      <w:r>
        <w:rPr/>
        <w:t xml:space="preserve">9. Vi opfordrer Litauen til at tale mere aktivt om migrationspolitiske spørgsmål og til at indlede drøftelser om migrationsrelaterede spørgsmål. </w:t>
      </w:r>
    </w:p>
    <w:p>
      <w:pPr>
        <w:pStyle w:val="P68B1DB1Normal99"/>
        <w:widowControl w:val="false"/>
        <w:spacing w:lineRule="auto" w:line="240" w:before="78" w:after="0"/>
        <w:ind w:left="468" w:right="0" w:hanging="0"/>
        <w:jc w:val="left"/>
        <w:rPr>
          <w:rFonts w:ascii="Arial" w:hAnsi="Arial"/>
          <w:color w:val="000000"/>
          <w:sz w:val="20"/>
        </w:rPr>
      </w:pPr>
      <w:r>
        <w:rPr/>
        <w:t xml:space="preserve">10. Vi anbefaler, at EU fører en aktiv og streng politik over for stater, der bruger migrationsstrømme som våben i hybride angreb: på den ene side ved at anvende strengere sanktioner og på den anden side ved dialog med dem med henblik på nedtrapning.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Andet møde: EU's økonomiske rolle </w:t>
      </w:r>
    </w:p>
    <w:p>
      <w:pPr>
        <w:pStyle w:val="P68B1DB1Normal99"/>
        <w:widowControl w:val="false"/>
        <w:spacing w:lineRule="auto" w:line="240"/>
        <w:ind w:left="828" w:right="142" w:hanging="359"/>
        <w:jc w:val="both"/>
        <w:rPr/>
      </w:pPr>
      <w:r>
        <w:rPr/>
        <w:t xml:space="preserve">1. Vi anbefaler, at EU styrker forsyningssikkerheden for vigtige varer ved hjælp af forskellige midler: prioritering af EU's interne handel, fremme af produktionen af avancerede teknologier og yderligere diversificering af importkilderne. Vi anbefaler også at udforske nye eksportmarkeder. </w:t>
      </w:r>
    </w:p>
    <w:p>
      <w:pPr>
        <w:pStyle w:val="P68B1DB1Normal99"/>
        <w:widowControl w:val="false"/>
        <w:spacing w:lineRule="auto" w:line="240" w:before="83" w:after="0"/>
        <w:ind w:left="828" w:right="143" w:hanging="359"/>
        <w:jc w:val="both"/>
        <w:rPr/>
      </w:pPr>
      <w:r>
        <w:rPr/>
        <w:t xml:space="preserve">2. Vi anbefaler, at man reviderer forhandlingspraksis for naturgaskontrakter med henblik på både kortfristede og langsigtede kontrakter. Vi anbefaler yderligere diversificering af energiforsyningskilderne. </w:t>
      </w:r>
    </w:p>
    <w:p>
      <w:pPr>
        <w:pStyle w:val="P68B1DB1Normal99"/>
        <w:widowControl w:val="false"/>
        <w:spacing w:lineRule="auto" w:line="240" w:before="83" w:after="0"/>
        <w:ind w:left="828" w:right="143" w:hanging="359"/>
        <w:jc w:val="both"/>
        <w:rPr/>
      </w:pPr>
      <w:r>
        <w:rPr/>
        <w:t xml:space="preserve">3. Vi anbefaler, at foranstaltningerne i den grønne pagt og deres gennemførelse vurderes under hensyntagen til de potentielle negative socioøkonomiske virkninger. For at gennemføre målene i den grønne pagt anbefaler vi, at kerneenergi og naturgas anvendes ud over brugen af vedvarende energikilder. </w:t>
      </w:r>
    </w:p>
    <w:p>
      <w:pPr>
        <w:pStyle w:val="P68B1DB1Normal99"/>
        <w:widowControl w:val="false"/>
        <w:spacing w:lineRule="auto" w:line="240" w:before="83" w:after="0"/>
        <w:ind w:left="828" w:right="143" w:hanging="359"/>
        <w:jc w:val="both"/>
        <w:rPr/>
      </w:pPr>
      <w:r>
        <w:rPr/>
        <w:t xml:space="preserve">4. Vi understreger, at det er særlig vigtigt, at alle medlemsstater respekterer princippet om EU-rettens forrang. Vi anmoder f.eks. om, at Litauen har en klar principiel holdning til dette spørgsmål. </w:t>
      </w:r>
    </w:p>
    <w:p>
      <w:pPr>
        <w:pStyle w:val="P68B1DB1Normal99"/>
        <w:widowControl w:val="false"/>
        <w:spacing w:lineRule="auto" w:line="240" w:before="83" w:after="0"/>
        <w:ind w:left="828" w:right="142" w:hanging="359"/>
        <w:jc w:val="both"/>
        <w:rPr/>
      </w:pPr>
      <w:r>
        <w:rPr/>
        <w:t>5. Vi anbefaler, at Litauen gør mere aktiv brug af god praksis fra EU-landene med henblik på højere sociale standarder, økonomisk ekspansion og afbalanceret og bæredygtig udvikling.</w:t>
      </w:r>
    </w:p>
    <w:p>
      <w:pPr>
        <w:pStyle w:val="P68B1DB1Normal99"/>
        <w:widowControl w:val="false"/>
        <w:spacing w:lineRule="auto" w:line="240" w:before="83" w:after="0"/>
        <w:ind w:left="828" w:right="142" w:hanging="359"/>
        <w:jc w:val="both"/>
        <w:rPr/>
      </w:pPr>
      <w:r>
        <w:rPr/>
        <w:t xml:space="preserve">6. Vi anbefaler, at der lægges større vægt på at styrke cybersikkerheden samt beskyttelsen af data og infrastruktur. </w:t>
      </w:r>
    </w:p>
    <w:p>
      <w:pPr>
        <w:pStyle w:val="P68B1DB1Normal99"/>
        <w:widowControl w:val="false"/>
        <w:spacing w:lineRule="auto" w:line="240" w:before="83" w:after="0"/>
        <w:ind w:left="821" w:right="143" w:hanging="354"/>
        <w:jc w:val="both"/>
        <w:rPr/>
      </w:pPr>
      <w:r>
        <w:rPr/>
        <w:t xml:space="preserve">7. Vi anbefaler, at EU og medlemsstaterne prioriterer udviklingen af grundlæggende økonomisk viden blandt borgerne, uddannelse og formidling af information. </w:t>
      </w:r>
    </w:p>
    <w:p>
      <w:pPr>
        <w:pStyle w:val="P68B1DB1Normal99"/>
        <w:widowControl w:val="false"/>
        <w:spacing w:lineRule="auto" w:line="240" w:before="45" w:after="0"/>
        <w:ind w:left="821" w:right="143" w:hanging="354"/>
        <w:jc w:val="both"/>
        <w:rPr/>
      </w:pPr>
      <w:r>
        <w:rPr/>
        <w:t xml:space="preserve">8. Vi anbefaler, at EU's nye handelsaftaler indeholder ambitiøse sociale, arbejds- og sundhedsstandarder. Vi anbefaler, at der på EU-plan udarbejdes retningslinjer for, hvad de skal gøre og ikke har ret til at lave sociale medieplatforme, der håndterer forbrugernes personoplysninger og oplysninger om dem. </w:t>
      </w:r>
    </w:p>
    <w:p>
      <w:pPr>
        <w:pStyle w:val="P68B1DB1Normal99"/>
        <w:widowControl w:val="false"/>
        <w:spacing w:lineRule="auto" w:line="240" w:before="42" w:after="0"/>
        <w:ind w:left="821" w:right="143" w:hanging="354"/>
        <w:jc w:val="both"/>
        <w:rPr/>
      </w:pPr>
      <w:r>
        <w:rPr/>
        <w:t>9. Vi anbefaler yderligere overvejelser om muligheden for fælles låntagning på EU-plan for at opnå de bedst mulige lånevilkår. Vi anbefaler også, at der udvikles en økonomisk forsvarlig og ansvarlig politik for at mindske medlemsstaternes behov for gældsætning.</w:t>
      </w:r>
    </w:p>
    <w:p>
      <w:pPr>
        <w:pStyle w:val="P68B1DB1Normal99"/>
        <w:widowControl w:val="false"/>
        <w:spacing w:lineRule="auto" w:line="240" w:before="42" w:after="0"/>
        <w:ind w:left="821" w:right="143" w:hanging="354"/>
        <w:jc w:val="both"/>
        <w:rPr/>
      </w:pPr>
      <w:r>
        <w:rPr/>
        <w:t>10. Vi anbefaler at styrke overvågningen af udnyttelsen og anvendelsen af EU-midler og hjælpe de lokale myndigheder med at etablere en reel praksis med at tilpasse anvendelsen af midlerne. Da den objektive situation for modtagere af EU-midler kan ændre sig, er det af særlig betydning, at der skelnes mellem gennemsigtighed og fleksibilitetskrav.</w:t>
      </w:r>
    </w:p>
    <w:p>
      <w:pPr>
        <w:pStyle w:val="P68B1DB1Normal99"/>
        <w:widowControl w:val="false"/>
        <w:spacing w:lineRule="auto" w:line="240" w:before="42" w:after="0"/>
        <w:ind w:left="821" w:right="143" w:hanging="354"/>
        <w:jc w:val="both"/>
        <w:rPr/>
      </w:pPr>
      <w:r>
        <w:rPr/>
        <w:t xml:space="preserve">11. Vi anbefaler, at Litauen fortsætter med aktivt at fremme økonomisk udvikling og investeringer i landets regioner.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Drøftelser i det nationale borgerpanel og analyse af resultaterne </w:t>
      </w:r>
    </w:p>
    <w:p>
      <w:pPr>
        <w:pStyle w:val="P68B1DB1Normal76"/>
        <w:widowControl w:val="false"/>
        <w:spacing w:lineRule="auto" w:line="240" w:before="46" w:after="0"/>
        <w:ind w:left="0" w:right="29" w:hanging="0"/>
        <w:jc w:val="both"/>
        <w:rPr/>
      </w:pPr>
      <w:r>
        <w:rPr/>
        <w:t xml:space="preserve">Deltagerne i det nationale borgerpanel drøftede de vigtigste aktuelle spørgsmål for Litauen (som i vid udstrækning blev drøftet på nationalt plan på den politiske og mediearena), og hvordan de skal håndteres. Den generelle afstemning om panelets hovedkonklusioner viste, at næsten 45 % af alle afgivne stemmer på de to møder var afsat til forslag om to emner: forbindelserne med Kina og kontrol med migrationsstrømmene (se tabellen nedenfor). Temaet for energipolitikken har også fået stor opmærksomhed. Det var kun genstand for ét forslag, men det fik stemmer fra næsten 10 % af deltagerne. Resultatet af disse afstemninger tyder på, at borgernes opfattelse af Europas fremtid kan være afgørende for dagens politiske spørgsmål og nyheder (på nationalt plan).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175"/>
        <w:gridCol w:w="7778"/>
        <w:gridCol w:w="375"/>
        <w:gridCol w:w="1310"/>
      </w:tblGrid>
      <w:tr>
        <w:trPr>
          <w:trHeight w:val="236" w:hRule="atLeast"/>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Anbefaling</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Afstemning</w:t>
            </w:r>
          </w:p>
        </w:tc>
      </w:tr>
      <w:tr>
        <w:trPr>
          <w:trHeight w:val="251" w:hRule="atLeast"/>
        </w:trPr>
        <w:tc>
          <w:tcPr>
            <w:tcW w:w="1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C0C0C0" w:val="clear"/>
            <w:tcMar>
              <w:left w:w="-2" w:type="dxa"/>
              <w:right w:w="0" w:type="dxa"/>
            </w:tcMar>
            <w:vAlign w:val="center"/>
          </w:tcPr>
          <w:p>
            <w:pPr>
              <w:pStyle w:val="P68B1DB1Contenudetableau101"/>
              <w:spacing w:before="57" w:after="57"/>
              <w:jc w:val="left"/>
              <w:rPr>
                <w:rFonts w:ascii="Garamond" w:hAnsi="Garamond"/>
                <w:b/>
                <w:b/>
                <w:color w:val="000000"/>
              </w:rPr>
            </w:pPr>
            <w:r>
              <w:rPr/>
              <w:t>Første session: EU's rolle og kompetencer i udenrigspolitikken</w:t>
            </w:r>
          </w:p>
        </w:tc>
        <w:tc>
          <w:tcPr>
            <w:tcW w:w="131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C0C0C0" w:val="clear"/>
            <w:tcMar>
              <w:left w:w="-2" w:type="dxa"/>
            </w:tcMar>
            <w:vAlign w:val="center"/>
          </w:tcPr>
          <w:p>
            <w:pPr>
              <w:pStyle w:val="Contenudetableau"/>
              <w:spacing w:before="57" w:after="57"/>
              <w:rPr>
                <w:color w:val="000000"/>
              </w:rPr>
            </w:pPr>
            <w:r>
              <w:rPr>
                <w:color w:val="000000"/>
              </w:rPr>
            </w:r>
          </w:p>
        </w:tc>
      </w:tr>
      <w:tr>
        <w:trPr>
          <w:trHeight w:val="1541" w:hRule="atLeast"/>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Vi opfordrer EU til at udvikle en mere effektiv politik over for Kina. Den nuværende støtte til Litauen er ikke tilstrækkelig, men Litauen har heller ikke i tilstrækkelig grad tilpasset sin holdning til EU-partnernes. For at sikre, at interesserne kan være bedre afbalancerede inden for EU, og at der kun er én politik over for Kina samt om andre udenrigspolitiske spørgsmål, anbefaler vi, at man overvejer muligheden for at oprette en EU-udenrigsminister. </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er vigtige for hele Europa: 8 i en personlig egenskab: 3</w:t>
            </w:r>
          </w:p>
        </w:tc>
      </w:tr>
      <w:tr>
        <w:trPr>
          <w:trHeight w:val="791" w:hRule="atLeast"/>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Vi anbefaler, at spørgsmålet om migrantkvoter sættes på dagsordenen på EU-plan. </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af betydning for hele Europa: 9 </w:t>
            </w:r>
          </w:p>
        </w:tc>
      </w:tr>
      <w:tr>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Vi anbefaler, at der nedsættes et særligt udvalg på EU-plan, der skal behandle migrationsspørgsmål, hvilket vil sikre en hurtigere reaktion på migrationskriser og medlemsstaternes ret til at forklare og forsvare deres nationale interesser og til at udvikle og gennemføre fælles retningslinjer for migrationsstyring. </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af betydning for hele Europa: 3; i en personlig egenskab: 4 </w:t>
            </w:r>
          </w:p>
        </w:tc>
      </w:tr>
      <w:tr>
        <w:trPr>
          <w:trHeight w:val="806" w:hRule="atLeast"/>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Vi anbefaler at styrke de økonomiske og humanitære bånd til landene i Nordafrika uden at miste de politiske realiteter af syne, især med henblik på at mindske Kinas, Ruslands og andre staters indflydelse i regionen. </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vigtigt i personlig kapacitet: 6</w:t>
            </w:r>
          </w:p>
        </w:tc>
      </w:tr>
      <w:tr>
        <w:trPr>
          <w:trHeight w:val="791" w:hRule="atLeast"/>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Vi anbefaler, at forbindelserne med Østeuropa styrkes, og at der indføres økonomiske foranstaltninger på befolkningsniveau.</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vigtigt personligt: 5</w:t>
            </w:r>
          </w:p>
        </w:tc>
      </w:tr>
      <w:tr>
        <w:trPr>
          <w:trHeight w:val="251" w:hRule="atLeast"/>
        </w:trPr>
        <w:tc>
          <w:tcPr>
            <w:tcW w:w="1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C0C0C0" w:val="clear"/>
            <w:tcMar>
              <w:left w:w="-2" w:type="dxa"/>
              <w:right w:w="0" w:type="dxa"/>
            </w:tcMar>
            <w:vAlign w:val="center"/>
          </w:tcPr>
          <w:p>
            <w:pPr>
              <w:pStyle w:val="P68B1DB1Contenudetableau101"/>
              <w:spacing w:before="57" w:after="57"/>
              <w:jc w:val="left"/>
              <w:rPr>
                <w:rFonts w:ascii="Garamond" w:hAnsi="Garamond"/>
                <w:b/>
                <w:b/>
                <w:color w:val="000000"/>
              </w:rPr>
            </w:pPr>
            <w:r>
              <w:rPr/>
              <w:t xml:space="preserve">Andet møde: EU's økonomiske rolle </w:t>
            </w:r>
          </w:p>
        </w:tc>
        <w:tc>
          <w:tcPr>
            <w:tcW w:w="131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C0C0C0" w:val="clear"/>
            <w:tcMar>
              <w:left w:w="-2" w:type="dxa"/>
            </w:tcMar>
            <w:vAlign w:val="center"/>
          </w:tcPr>
          <w:p>
            <w:pPr>
              <w:pStyle w:val="Contenudetableau"/>
              <w:spacing w:before="57" w:after="57"/>
              <w:rPr>
                <w:color w:val="000000"/>
              </w:rPr>
            </w:pPr>
            <w:r>
              <w:rPr>
                <w:color w:val="000000"/>
              </w:rPr>
            </w:r>
          </w:p>
        </w:tc>
      </w:tr>
      <w:tr>
        <w:trPr>
          <w:trHeight w:val="1271" w:hRule="atLeast"/>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Vi anbefaler, at EU tager forskellige skridt til at øge forsyningssikkerheden for vigtige varer: prioritering af handelen inden for EU, fremme af produktionen af avancerede teknologier i EU og yderligere diversificering af importkilderne. Vi anbefaler også at udforske nye eksportmarkeder. </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af betydning for hele Europa: 3; personligt: 6 </w:t>
            </w:r>
          </w:p>
        </w:tc>
      </w:tr>
      <w:tr>
        <w:trPr>
          <w:trHeight w:val="911" w:hRule="atLeast"/>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Vi anbefaler, at man reviderer forhandlingspraksis for naturgaskontrakter med henblik på både kortfristede og langsigtede kontrakter. Vi anbefaler yderligere diversificering af energiforsyningskilderne. </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af betydning for hele Europa: 9</w:t>
            </w:r>
          </w:p>
        </w:tc>
      </w:tr>
      <w:tr>
        <w:trPr>
          <w:trHeight w:val="1121" w:hRule="atLeast"/>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Vi anbefaler, at foranstaltningerne i den grønne pagt og deres gennemførelse vurderes under hensyntagen til de potentielle negative socioøkonomiske virkninger. For at gennemføre målene i den grønne pagt anbefaler vi, at kerneenergi og naturgas anvendes ud over brugen af vedvarende energikilder. </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vigtige i personlig kapacitet: 6</w:t>
            </w:r>
          </w:p>
        </w:tc>
      </w:tr>
      <w:tr>
        <w:trPr>
          <w:trHeight w:val="1016" w:hRule="atLeast"/>
        </w:trPr>
        <w:tc>
          <w:tcPr>
            <w:tcW w:w="79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Vi understreger, at det er vigtigt, at alle medlemsstater respekterer princippet om EU-rettens forrang. Vi anmoder f.eks. om, at Litauen har en klar principiel holdning til dette spørgsmål. </w:t>
            </w:r>
          </w:p>
        </w:tc>
        <w:tc>
          <w:tcPr>
            <w:tcW w:w="168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af betydning for hele Europa: 2; i en personlig egenskab: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Desuden er de vigtigste spørgsmål for borgerne, nemlig forbindelserne med Kina, migration eller energi, midlertidige: deres beslutning vil få en grundlæggende indvirkning på Europas langsigtede fremtid. Derfor er sandsynligheden for, at borgere, der tænker på fremtiden, prioriterer det vigtige lige nu, ikke problematisk. Da fremtidens konstruktion begynder med en lang række små skridt i dag, er opfattelsen af borgernes forventninger på kort sigt en afgørende forudsætning for at sikre en stærk langsigtet kontrol med processer og problemløsning. Analysen nedenfor af de vigtigste resultater af panelet af nationale borgere er baseret på denne observation.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Den resolution, der får flest stemmer (11 eller næsten 12 %), er, at</w:t>
      </w:r>
      <w:r>
        <w:rPr>
          <w:b/>
        </w:rPr>
        <w:t xml:space="preserve"> EU har brug for en mere effektiv politik over for Kina</w:t>
      </w:r>
      <w:r>
        <w:rPr/>
        <w:t xml:space="preserve">. Denne generelle konklusion omfattede flere mere konkrete udsagn. For det første understregede deltagerne, at EU's støtte til Litauen i lyset af det økonomiske pres fra Kina på nuværende tidspunkt ikke havde været tilstrækkelig. For det andet understregede gruppens repræsentanter, der meddelte konklusionen, at Litauen selv bør gøre en større indsats for at harmonisere sin politik over for Kina med EU's partneres politik, navnlig fordi det er vigtigt for EU som helhed at fortsætte med at indgå i handelen med Kina. For det tredje gav borgerne udtryk for, at koordineringen af holdninger og udviklingen af en fælles politik over for Kina i særdeleshed kunne være mere effektiv, hvis der blev oprettet en EU-udenrigsminister. Otte deltagere erklærede denne konklusion særlig vigtig for hele Europa, og tre andre erklærede, at det var vigtigt for dem i deres personlige egenskab.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Spørgsmålet om forbindelserne med Kina er tæt forbundet med to andre forslag med et stort antal borgeres stemmer. Ni deltagere stemte for konklusionen på det andet møde om, at </w:t>
      </w:r>
      <w:r>
        <w:rPr>
          <w:b/>
        </w:rPr>
        <w:t>EU skal styrke forsyningssikkerheden (tre deltagere anførte, at</w:t>
      </w:r>
      <w:r>
        <w:rPr/>
        <w:t xml:space="preserve"> dette er særlig vigtigt for hele Europa, og seks andre, at dette er for dem i deres personlige kapacitet). Denne konklusion omfattede også flere aspekter. For det første understregede borgerne behovet for at prioritere EU-markeder, der er kendetegnet ved pålidelige leverandører og produkter, der opfylder krævende standarder. For det andet fremhævede deltagerne behovet for at fremme højteknologisk produktionskapacitet i selve Europa. For det tredje gav borgerne udtryk for støtte til større diversificering af importkilderne. Ved formuleringen af disse anbefalinger henviste deltagerne i diskussionen konsekvent til Kinas faktor: sikkerhedstrusler relateret til kinesiske varer, afhængighed af kinesiske råvarer, der er nødvendige for at fremstille avancerede teknologier, samt Kinas praksis med at kopiere og stjæle teknologier fra vestlige virksomheder, der opererer på sit marked. Forslaget</w:t>
      </w:r>
      <w:r>
        <w:rPr>
          <w:b/>
        </w:rPr>
        <w:t xml:space="preserve"> om at udvikle EU's økonomiske og humanitære samarbejde med landene i Nordafrika</w:t>
      </w:r>
      <w:r>
        <w:rPr/>
        <w:t xml:space="preserve"> fik også seks stemmer (vigtigt personligt) med den begrundelse, at det i denne region er vigtigt at mindske Kinas såvel som Ruslands og andre venlige staters indflydelse.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Resultatet af afstemningen afspejlede også borgernes bekymring over migrationsspørgsmål. To af de tre mest vokale resultater i udenrigspolitikken var helliget migration. Ni deltagere stemte for forslaget om</w:t>
      </w:r>
      <w:r>
        <w:rPr>
          <w:b/>
        </w:rPr>
        <w:t>, at EU vender tilbage til oprettelsen af et system med obligatoriske modtagelseskvoter for migranter for medlemsstaterne</w:t>
      </w:r>
      <w:r>
        <w:rPr/>
        <w:t xml:space="preserve"> (alle understregede, at dette forslag er af særlig betydning for hele Europa). De deltagere, der kom med denne konklusion, gav udtryk for støtte til, at de nationale kvoter fastsættes i forhold til antallet af indbyggere, og til, at EU-medfinansieringen skal dække migranternes behov i henhold til disse kvoter. Syv deltagere stemte stadig for forslaget om </w:t>
      </w:r>
      <w:r>
        <w:rPr>
          <w:b/>
        </w:rPr>
        <w:t>at nedsætte en permanent teknisk kommission på EU-plan til behandling af migrationsspørgsmål, hvor repræsentanter for medlemsstaterne ville blive udstationeret</w:t>
      </w:r>
      <w:r>
        <w:rPr/>
        <w:t xml:space="preserve"> (tre deltagere mener, at dette forslag er af særlig betydning for Europa som helhed, fire mener, at det er vigtigt for dem i deres personlige egenskab). Deltagerne understregede, at et sådant organ kunne sætte EU i stand til at reagere hurtigere på migrationskriser og samtidig sikre en balance mellem passende respekt for EU's generelle principper og medlemsstaternes ret til at forsvare deres nationale interesser og sikkerhed.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Under debatten om migrationspolitik drøftede deltagerne to særskilte kriser i forvaltningen af migrationsstrømme: i 2016 migrationskrisen i Middelhavet og i 2012 Hvideruslands hybride angreb på Litauen, Letland og Polen, hvor Minsk brugte migranter fra strømme fra Mellemøsten og Afrika. En række paneldeltagere sagde, at krisen i 2016 forekom fjern og irrelevant, både for Litauen som helhed og for dem i en personlig egenskab, og forslaget om at indføre en kvoteordning for migranter syntes ikke passende for dem. Ifølge deltagerne gjorde erfaringerne med det hybride angreb migrationsspørgsmålet tættere på i Østeuropa og tvang det til at nærme sig kvoter som et tilpasset, effektivt og solidaritetsbaseret migrationspolitisk redskab. Nogle deltagere påpegede, at det midt under krisen i 2021 var blevet vanskeligt at skelne mellem dem på landets område, flygtninge, migranter og dem, der udgør en trussel. Alle deltagere i drøftelserne var enige om, at den nuværende "åbne" EU-migrationspolitik ikke i tilstrækkelig grad tager hensyn til de trusler, som migration, medlemsstaternes nationale interesser, deres evne til at integrere migranter osv. Borgerne også kritiserede EU for dets langsommelighed eller manglende reaktion på Litauens behov, samt dets afvisning af at finansiere opførelsen af en mur ved de ydre grænser.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Sammenfattende kan det siges, at to elementer i Litauens hotteste nyheder i 2021 — forbindelserne med Kina og forvaltning af migrationsstrømmene — tilskynder litauiske borgere til at kræve, at EU griber mere ind og har en mere effektiv fælles politik. Borgerne er bekymrede over Kinas politik og dets voksende indflydelse i Europa og EU's nabolande. Det må erkendes, at Kinas økonomiske indflydelse tvinger Europa til at søge passende og afbalancerede politiske foranstaltninger. Efter borgernes mening er den vigtigste løsning at styrke EU's fælles udenrigspolitiske instrumenter, industripolitik og samarbejde med naboer. På samme måde mente borgerne, at en enkelt indsats på EU-plan samt et eventuelt nyt system med migrationskvoter sandsynligvis var den mest hensigtsmæssige måde at undslippe de sikkerhedstrusler, som migration udgør, og til at kontrollere migrationsstrømmene til Europa hurtigt og effektivt. Efter panelets opfattelse ville den bedste reaktion på Kinas voksende pres og på Hvideruslands hybride angreb være at have en dybtgående og styrket fælles EU-politik.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Denne udtalelse om de kriser, der drøftes, kan sammenlignes med forslagene fra paneldeltagerne om energi- og klimaspørgsmål. Ved udgangen af 2021 måtte mange litauiske borgere beskæftige sig direkte med stigende varmepriser, og energipriskrisen viste sig hurtigt at være blandt de vigtigste nyheder for Litauen. Bekymringen for energipriserne afspejles også i deltagernes afstemning: ni borgere stemte endda for den konklusion, at dette spørgsmål er det vigtigste for hele Europa. Deltagernes vigtigste anbefaling var</w:t>
      </w:r>
      <w:r>
        <w:rPr>
          <w:b/>
        </w:rPr>
        <w:t xml:space="preserve"> at revidere medlemsstaternes nuværende praksis ved at indgå energiforsyningskontrakter med forskellige leverandører og ved at bestræbe sig på at indgå dem både på kort sigt og på lang sigt.</w:t>
      </w:r>
      <w:r>
        <w:rPr/>
        <w:t xml:space="preserve"> Med andre ord støttede borgerne politikken om diversificering af energiforsyningskilderne, men fremsatte ingen anbefalinger om generelle EU-politikker og anbefalede ikke yderligere integration af energipolitikkerne.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Med hensyn til klimapolitikken anbefalede borgerne </w:t>
      </w:r>
      <w:r>
        <w:rPr>
          <w:b/>
        </w:rPr>
        <w:t>en vurdering af foranstaltningerne i den grønne pagt under hensyntagen til de forventede socioøkonomiske virkninger og ambitioner.</w:t>
      </w:r>
      <w:r>
        <w:rPr/>
        <w:t xml:space="preserve"> Dette forslag fik stemme fra seks deltagere, som hver især anså det for vigtigt i en personlig egenskab. Nogle deltagere udtrykte bekymring over det for hurtige tempo i den såkaldte "grønne omstilling" og sagde, at Litauen bør foretage en grundigere vurdering af, om en sådan politik vil underminere landets og dets borgeres interesser. Nogle deltagere genoplivede også behovet for at bruge ikke kun vedvarende energi, men også kerneenergi og naturgas. Til støtte for denne holdning henviste de til Tysklands beslutning om fortsat at anvende naturgas samt potentialet i en ny generation af "modulære" atomreaktorer. Med hensyn til klimapolitik prioriterede panelet derfor medlemsstaternes politikker i overensstemmelse med de nationale behov og ikke en ambitiøs fælles EU-politik for klimaforvaltning.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I betragtning af det relativt lille antal deltagere i panelet og forskellene i borgernes reaktioner (flere aktionsenhed eller mere fleksibilitet) på de forskellige kriser ville det være forkert her at overveje oversigtsforanstaltninger og bredt anvendelige foranstaltninger. Denne meningsdynamik kan imidlertid føre til forslag om emner af interesse for fremtidige opinionsundersøgelser af litauiske borgere om EU-integrationsspørgsmål, hvor der bør tages hensyn til, hvad borgerne siger om selvstændige EU-politikker, ændringer i institutionelle ordninger og forskelle.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Resultaterne af borgerpanelet i den bredere sammenhæng med den offentlige mening i Litauen </w:t>
      </w:r>
    </w:p>
    <w:p>
      <w:pPr>
        <w:pStyle w:val="Normal"/>
        <w:widowControl w:val="false"/>
        <w:spacing w:lineRule="auto" w:line="240"/>
        <w:ind w:left="0" w:right="1" w:hanging="0"/>
        <w:jc w:val="both"/>
        <w:rPr/>
      </w:pPr>
      <w:r>
        <w:rPr>
          <w:color w:val="000000"/>
        </w:rPr>
        <w:t xml:space="preserve">For at kontekstualisere resultaterne af det nationale borgerpanel sammenlignes disse kort i sidste del med resultaterne af to igangværende opinionsundersøgelser samt med de foreløbige resultater af andet forberedende arbejde i forbindelse med konferencen om Europas fremtid. Den første del af denne rapport vedrører en spørgeundersøgelse af </w:t>
      </w:r>
      <w:hyperlink r:id="rId113">
        <w:r>
          <w:rPr>
            <w:rStyle w:val="LienInternet"/>
            <w:color w:val="0563C1"/>
          </w:rPr>
          <w:t>EU-</w:t>
        </w:r>
      </w:hyperlink>
      <w:hyperlink r:id="rId114">
        <w:r>
          <w:rPr>
            <w:rStyle w:val="ListLabel29"/>
            <w:color w:val="000000"/>
          </w:rPr>
          <w:t xml:space="preserve"> </w:t>
        </w:r>
      </w:hyperlink>
      <w:hyperlink r:id="rId115">
        <w:r>
          <w:rPr>
            <w:rStyle w:val="ListLabel29"/>
            <w:color w:val="000000"/>
          </w:rPr>
          <w:t xml:space="preserve">borgernes obarometer, der blev gennemført i oktober og november 2020 om konferencen om Europas fremtid; den anden om den seneste </w:t>
        </w:r>
      </w:hyperlink>
      <w:hyperlink r:id="rId116">
        <w:r>
          <w:rPr>
            <w:rStyle w:val="LienInternet"/>
            <w:color w:val="0563C1"/>
          </w:rPr>
          <w:t>standard Eurobarometerundersøgelse</w:t>
        </w:r>
      </w:hyperlink>
      <w:r>
        <w:rPr>
          <w:color w:val="000000"/>
        </w:rPr>
        <w:t xml:space="preserve">, der blev gennemført i sommeren 2021. I det omfang nogle af spørgsmålene i disse undersøgelser fokuserede på andre politiske temaer og borgernes forventninger til selve konferencen, sammenlignes der nedenfor med de spørgsmål, der virkelig blev behandlet i panelet. Gennemgangen af resultaterne af det forberedende arbejde til konferencen om Europas fremtid var baseret på den foreløbige rapport om dette arbejde, som blev udarbejdet af RESC, og som omfattede erklæringer fra borgere, der deltog i arbejdet med forskellige EU-politiske spørgsmål.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Resultaterne af Eurobarometer-undersøgelserne tyder på, at drøftelserne og afstemningerne fra deltagerne i borgerpanelet afspejler ret godt de fremherskende synspunkter i det litauiske samfund. Paneldeltagernes anbefalinger om at styrke den fælles udenrigs- og migrationspolitik ved at tage del i beslutningerne på EU-plan svarer til resultaterne af de bredere offentlige opinionsundersøgelser: </w:t>
      </w:r>
    </w:p>
    <w:p>
      <w:pPr>
        <w:pStyle w:val="P68B1DB1Normal76"/>
        <w:widowControl w:val="false"/>
        <w:spacing w:lineRule="auto" w:line="240"/>
        <w:ind w:left="361" w:right="1" w:hanging="0"/>
        <w:jc w:val="left"/>
        <w:rPr/>
      </w:pPr>
      <w:r>
        <w:rPr>
          <w:rFonts w:ascii="Garamond" w:hAnsi="Garamond"/>
        </w:rPr>
        <w:t>Litauiske</w:t>
      </w:r>
      <w:r>
        <w:rPr/>
        <w:t xml:space="preserve"> borgere støtter EU's fælles forsvarspolitik mere end EU-gennemsnittet (90 % mod 78 %) </w:t>
      </w:r>
    </w:p>
    <w:p>
      <w:pPr>
        <w:pStyle w:val="P68B1DB1Normal76"/>
        <w:widowControl w:val="false"/>
        <w:spacing w:lineRule="auto" w:line="240"/>
        <w:ind w:left="361" w:right="3" w:hanging="0"/>
        <w:jc w:val="left"/>
        <w:rPr/>
      </w:pPr>
      <w:r>
        <w:rPr>
          <w:rFonts w:ascii="Garamond" w:hAnsi="Garamond"/>
        </w:rPr>
        <w:t>Litauiske</w:t>
      </w:r>
      <w:r>
        <w:rPr/>
        <w:t xml:space="preserve"> borgere støtter EU's fælles migrationspolitik mere end EU-gennemsnittet (76 % mod 71 %; denne forskel ligger inden for fejlmargenen) </w:t>
      </w:r>
    </w:p>
    <w:p>
      <w:pPr>
        <w:pStyle w:val="P68B1DB1Normal76"/>
        <w:widowControl w:val="false"/>
        <w:spacing w:lineRule="auto" w:line="240"/>
        <w:ind w:left="360" w:right="2" w:hanging="0"/>
        <w:jc w:val="left"/>
        <w:rPr/>
      </w:pPr>
      <w:r>
        <w:rPr>
          <w:rFonts w:ascii="Garamond" w:hAnsi="Garamond"/>
        </w:rPr>
        <w:t>Litauiske</w:t>
      </w:r>
      <w:r>
        <w:rPr/>
        <w:t xml:space="preserve"> borgere betragter migration som et af EU's to største problemer; </w:t>
      </w:r>
    </w:p>
    <w:p>
      <w:pPr>
        <w:pStyle w:val="P68B1DB1Normal76"/>
        <w:widowControl w:val="false"/>
        <w:spacing w:lineRule="auto" w:line="240"/>
        <w:ind w:left="360" w:right="3" w:hanging="0"/>
        <w:jc w:val="left"/>
        <w:rPr/>
      </w:pPr>
      <w:r>
        <w:rPr>
          <w:rFonts w:ascii="Garamond" w:hAnsi="Garamond"/>
        </w:rPr>
        <w:t>Litauiske</w:t>
      </w:r>
      <w:r>
        <w:rPr/>
        <w:t xml:space="preserve"> borgere ønsker flere problemer løst på EU-plan (49 % mod 42 %). </w:t>
      </w:r>
    </w:p>
    <w:p>
      <w:pPr>
        <w:pStyle w:val="P68B1DB1Normal76"/>
        <w:widowControl w:val="false"/>
        <w:spacing w:lineRule="auto" w:line="240" w:before="83" w:after="0"/>
        <w:ind w:left="0" w:right="3" w:hanging="0"/>
        <w:jc w:val="both"/>
        <w:rPr/>
      </w:pPr>
      <w:r>
        <w:rPr/>
        <w:t xml:space="preserve">Litauiske borgere, der deltog i de forberedende arrangementer til konferencen om Europas fremtid, understregede også betydningen af samarbejde på forsvarsområdet, og at EU's fælles migrationspolitik og EU's udenrigspolitik er områder, hvor Litauen vil drage fordel af en stærkere EU-indsats.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Eurobarometer-data kan kaste lys over paneldeltagernes synspunkter om forbindelserne med Kina og energipriserne: Litauerne er mere bekymrede end EU-gennemsnittet over fordelingen af forbindelserne mellem lande rundt om i verden og de deraf følgende voksende geopolitiske spændinger (33 % mod 18 %). Panelets konklusioner om behovet for en mere ambitiøs politik over for Kina overlapper også disse data samt ovennævnte holdning til fordel for beslutningstagningen på EU-plan og en fælles EU-forsvarspolitik. På den anden side kan paneldeltagernes bekymring over forskellige beslutninger om at sænke energipriserne skyldes, at litauerne er langt mere bekymrede end EU-gennemsnittet om stigende inflation og stigende priser (53 % mod 23 %). Følsomheden over for stigende inflation skyldes, at det synes at være vigtigere at kontrollere prisstigningerne end EU's generelle politikudformning eller andre politiske mål.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Eurobarometer-dataene tyder også på en interessant udvikling i litauernes opfattelse af migrationsspørgsmålet ud fra et politisk perspektiv. I undersøgelsen fra 2020 angav litauere migration som en vigtig udfordring for EU's fremtid (16 % mod 27 %) end EU-gennemsnittet. I undersøgelsen fra 2021 betragtede 32 % af de litauiske respondenter migration som et af de største problemer i EU (sammenlignet med 25 % i gennemsnit i EU som helhed). Selv om denne holdningsændring kan skyldes forskelle i formuleringen af ​​spørgsmålet, overlapper det med, hvad paneldeltagerne sagde i drøftelserne om udviklingen i deres synspunkter om migrationsspørgsmål.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Desuden viser en sammenligning af resultaterne fra borgerpanelet med Eurobarometer-data, at der er en kløft mellem på den ene side et relativt forsigtigt syn på paneldeltagerne om EU's politik og på den anden side de litauiske borgeres bekymring over klimaændringsspørgsmål. Selv om paneldeltagerne opfordrede til at vurdere, om den grønne pagt ikke var for ambitiøs og ikke ville skade Litauens interesser, udpegede litauerne ifølge Eurobarometer-undersøgelser konsekvent klimaændringerne som en af de største udfordringer for EU. I undersøgelsen fra 2020 anså 47 % af de litauiske respondenter klimaet for at være en af de vigtigste udfordringer for Europas fremtid (sammenlignet med 45 % i gennemsnit i EU som helhed). I 2021-undersøgelsen var dette tilfældet for 28 % af de litauiske respondenter (en stigning fra 25 % i gennemsnit i EU som helhed). Det skal bemærkes, at borgere, der deltog i de andre forberedende arrangementer til konferencen om Europas fremtid, også henviste til klimapolitikken som et af de områder, hvor Litauen ville have størst interesse i en stærkere EU-indsats. Denne uoverensstemmelse kan sandsynligvis forklares med begrundelsen for paneldeltagernes stemme: alle dem, der stemte for henstillingen om at revurdere foranstaltningerne i den grønne pagt, identificerede dette som vigtigt for dem ud fra et personligt synspunkt. Med andre ord ville personlig modstand ikke være uforenelig med en konstatering af, at klimaændringer er en af de vigtigste udfordringer for EU's politik.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De nationale paneler: Nederlandene</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8">
            <wp:simplePos x="0" y="0"/>
            <wp:positionH relativeFrom="column">
              <wp:align>center</wp:align>
            </wp:positionH>
            <wp:positionV relativeFrom="paragraph">
              <wp:posOffset>635</wp:posOffset>
            </wp:positionV>
            <wp:extent cx="3098800" cy="3129280"/>
            <wp:effectExtent l="0" t="0" r="0" b="0"/>
            <wp:wrapTopAndBottom/>
            <wp:docPr id="109" name="Billeder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leder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V</w:t>
      </w:r>
      <w:r>
        <w:rPr>
          <w:rFonts w:ascii="Calibri" w:hAnsi="Calibri"/>
          <w:b/>
          <w:i/>
          <w:color w:val="000000"/>
          <w:sz w:val="48"/>
        </w:rPr>
        <w:t>ores vision for Europa</w:t>
      </w:r>
    </w:p>
    <w:p>
      <w:pPr>
        <w:pStyle w:val="P68B1DB1Normal103"/>
        <w:widowControl w:val="false"/>
        <w:spacing w:lineRule="exact" w:line="499" w:before="100" w:after="0"/>
        <w:ind w:left="0" w:right="0" w:hanging="0"/>
        <w:jc w:val="left"/>
        <w:rPr>
          <w:rFonts w:ascii="Calibri" w:hAnsi="Calibri"/>
          <w:i/>
          <w:i/>
          <w:color w:val="000000"/>
          <w:sz w:val="32"/>
        </w:rPr>
      </w:pPr>
      <w:r>
        <w:rPr/>
        <w:t xml:space="preserve">Udtalelser, ideer og anbefalinger </w:t>
      </w:r>
    </w:p>
    <w:p>
      <w:pPr>
        <w:pStyle w:val="P68B1DB1Normal104"/>
        <w:widowControl w:val="false"/>
        <w:spacing w:lineRule="exact" w:line="339" w:before="101" w:after="0"/>
        <w:ind w:left="0" w:right="0" w:hanging="0"/>
        <w:jc w:val="left"/>
        <w:rPr>
          <w:rFonts w:ascii="Calibri" w:hAnsi="Calibri"/>
          <w:color w:val="000000"/>
          <w:sz w:val="21"/>
        </w:rPr>
      </w:pPr>
      <w:r>
        <w:rPr/>
        <w:t xml:space="preserve">Temaer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Værdier og rettigheder, retsstatsprincippet og sikkerhed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En stærkere økonomi, social retfærdighed og beskæftigelse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Det europæiske demokrati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Digital transformation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Uddannelse, kultur, ungdom og sport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december 2021 </w:t>
      </w:r>
    </w:p>
    <w:p>
      <w:pPr>
        <w:pStyle w:val="Normal"/>
        <w:widowControl w:val="false"/>
        <w:spacing w:lineRule="exact" w:line="282" w:before="1" w:after="0"/>
        <w:ind w:left="0" w:right="37" w:hanging="0"/>
        <w:jc w:val="left"/>
        <w:rPr/>
      </w:pPr>
      <w:r>
        <w:rPr>
          <w:rFonts w:ascii="Calibri" w:hAnsi="Calibri"/>
          <w:color w:val="000000"/>
          <w:sz w:val="21"/>
        </w:rPr>
        <w:t xml:space="preserve">Dette dokument er en oversættelse af rapporten med titlen "Eleven kijk op Europa; Ideeën en Aanbevelingen"("Vores vision for Europa: udtalelser, idéer og anbefalinger"), som blev offentliggjort på nederlandsk den 3. december 2021 på www.kijkopeuropa.nl. Denne oversættelse er en forenklet udgave af rapporten, hvor den oprindelige præsentation (illustrationer og andre grafiske elementer) er blevet ændret til oversættelsesformål.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Vores vision om...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Sammenfatning af rapporten: alle anbefalinger i korte træk </w:t>
      </w:r>
    </w:p>
    <w:p>
      <w:pPr>
        <w:pStyle w:val="P68B1DB1Normal104"/>
        <w:widowControl w:val="false"/>
        <w:spacing w:lineRule="exact" w:line="282" w:before="185" w:after="0"/>
        <w:ind w:left="0" w:right="25" w:hanging="0"/>
        <w:jc w:val="left"/>
        <w:rPr/>
      </w:pPr>
      <w:r>
        <w:rPr/>
        <w:t xml:space="preserve">Gennem borgerdialogen om temaet "Europas vision" har vi samlet nederlandske borgeres synspunkter og idéer om Europas fremtid. Dette førte til følgende henstillinger til Den Europæiske Union for de første fem temaer.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Værdier og rettigheder, retsstatsprincippet og sikkerhed </w:t>
      </w:r>
    </w:p>
    <w:p>
      <w:pPr>
        <w:pStyle w:val="P68B1DB1Normal104"/>
        <w:widowControl w:val="false"/>
        <w:spacing w:lineRule="exact" w:line="282" w:before="178" w:after="0"/>
        <w:ind w:left="0" w:right="105" w:hanging="0"/>
        <w:jc w:val="left"/>
        <w:rPr/>
      </w:pPr>
      <w:r>
        <w:rPr/>
        <w:t xml:space="preserve">Det er vigtigt, at EU beskytter retsstatsprincippet. Samtidig mener hollænderne, at man bør være opmærksom på den mangfoldighed af traditioner og kulturer, der findes i Europa. Samarbejdet inden for EU kan have mange fordele i forskellige former, men det skal tilføre alle interessenter merværdi. Dette gælder også for deling af sikkerhedsoplysninger. Deling af alle oplysninger gør hurtigt samarbejdet ineffektivt.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Sørg for, at alle kan føle sig frie og trygge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Udvide EU kun, hvis det tilfører merværdi</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Samarbejde primært om bekæmpelse af international kriminalitet og terrorisme</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En stærkere økonomi, social retfærdighed og beskæftigelse </w:t>
      </w:r>
    </w:p>
    <w:p>
      <w:pPr>
        <w:pStyle w:val="P68B1DB1Normal104"/>
        <w:widowControl w:val="false"/>
        <w:spacing w:lineRule="exact" w:line="282" w:before="178" w:after="0"/>
        <w:ind w:left="0" w:right="18" w:hanging="0"/>
        <w:jc w:val="left"/>
        <w:rPr/>
      </w:pPr>
      <w:r>
        <w:rPr/>
        <w:t xml:space="preserve">Hollænderne mener, at der er mange muligheder for at styrke den europæiske økonomi. Men lande kan ikke altid sammenlignes med hinanden. Især skattesystemet bør være mere retfærdigt og klarere. Og i Europa bør vi fokusere mere på vores styrker, såsom kvalitet og mangfoldighed. Desuden kan EU-landene samarbejde om at sikre lige muligheder på det europæiske arbejdsmarked.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Tage hensyn til fællestræk og forskelle</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At gøre større brug af Europas styrker</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Udvikle et retfærdigt og klart skattesystem</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Sikre, at alle kan deltage i </w:t>
      </w:r>
      <w:r>
        <w:rPr>
          <w:sz w:val="21"/>
        </w:rPr>
        <w:t>det</w:t>
      </w:r>
      <w:r>
        <w:rPr>
          <w:rFonts w:ascii="Calibri" w:hAnsi="Calibri"/>
          <w:b/>
          <w:i/>
          <w:sz w:val="24"/>
        </w:rPr>
        <w:t xml:space="preserve">europæiske demokrati </w:t>
      </w:r>
    </w:p>
    <w:p>
      <w:pPr>
        <w:pStyle w:val="P68B1DB1Normal104"/>
        <w:widowControl w:val="false"/>
        <w:spacing w:lineRule="exact" w:line="282" w:before="178" w:after="0"/>
        <w:ind w:left="0" w:right="323" w:hanging="0"/>
        <w:jc w:val="both"/>
        <w:rPr/>
      </w:pPr>
      <w:r>
        <w:rPr/>
        <w:t xml:space="preserve">Hollænderne behøver ikke at vide alt om EU, men ønsker mere gennemsigtighed og mere information. Kendskab til andre EU-landes synspunkter kan f.eks. bidrage til et bedre overblik. Desuden mener hollænderne, at EU bør engagere sig oftere og helst permanent med borgerne. I den forbindelse er det vigtigt ikke blot at tage hensyn til de forskellige interesser, men også at træffe beslutninger hurtigere, end det er tilfældet i øjeblikket.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Et bedre overblik over Europa</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Find nye måder at lytte til borgerne på</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Større gennemsigtighed og klarhed om de beslutninger, der træffes</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Sikre, at tornede problemer kan løses hurtigere</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Digital transformation </w:t>
      </w:r>
    </w:p>
    <w:p>
      <w:pPr>
        <w:pStyle w:val="P68B1DB1Normal104"/>
        <w:widowControl w:val="false"/>
        <w:spacing w:lineRule="exact" w:line="282" w:before="178" w:after="0"/>
        <w:ind w:left="0" w:right="54" w:hanging="0"/>
        <w:jc w:val="left"/>
        <w:rPr/>
      </w:pPr>
      <w:r>
        <w:rPr/>
        <w:t xml:space="preserve">Samfundet er i stigende grad afhængig af internettet, og store tech-virksomheder bliver mere og mere magtfulde. Det bekymrer ofte hollænderne meget. Det er derfor nyttigt for EU at udvikle europæiske (privacy) regler og standarder. Det er dog vigtigt, at alle kan forstå og anvende disse regler og standarder. Hollænderne foretrækker at modtage støtte og information fra de nationale myndigheder på deres eget sprog.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Sikring af et hurtigt, sikkert og stabilt internet overalt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Fastsættelse af klare regler og standarder for internetvirksomheder</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Tilføjelse af implementering og praktiske forklaringer til reglerne om privatlivets fred</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Uddannelse, kultur, ungdom og sport </w:t>
      </w:r>
    </w:p>
    <w:p>
      <w:pPr>
        <w:pStyle w:val="P68B1DB1Normal104"/>
        <w:widowControl w:val="false"/>
        <w:spacing w:lineRule="exact" w:line="282" w:before="178" w:after="0"/>
        <w:ind w:left="0" w:right="166" w:hanging="0"/>
        <w:jc w:val="left"/>
        <w:rPr/>
      </w:pPr>
      <w:r>
        <w:rPr/>
        <w:t>Unge, der studerer i udlandet, bør kunne lære mere af værtslandet, end de</w:t>
      </w:r>
      <w:r>
        <w:rPr/>
        <w:commentReference w:id="21"/>
      </w:r>
      <w:r>
        <w:rPr/>
        <w:t xml:space="preserve"> er i dag. Og lande med et lavere niveau af viden bør ikke miste alle deres talenter, som rejser til udlandet. Nederlandene mener, at emner som kultur og misbrug inden for sport er spørgsmål, der snarere bør være medlemsstaternes eget ansvar. Og de anser det for meget vigtigt at have ens eget nationale sprog. Generelt skal ethvert menneske i Europa frem for alt føle sig fri og være i stand til at være sig selv.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Opmuntre studerende til at studere i udlandet intelligent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Give medlemsstaterne mulighed for at fokusere på emner som kultur og sport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At sikre, at europæerne lærer hinanden bedre at kende og respektere hinanden</w:t>
      </w:r>
      <w:r>
        <w:rPr>
          <w:color w:val="000000"/>
          <w:sz w:val="21"/>
        </w:rPr>
        <w:t xml:space="preserve"> </w:t>
      </w:r>
      <w:r>
        <w:br w:type="page"/>
      </w:r>
    </w:p>
    <w:p>
      <w:pPr>
        <w:pStyle w:val="P68B1DB1Normal109"/>
        <w:rPr>
          <w:rFonts w:ascii="Calibri" w:hAnsi="Calibri"/>
          <w:b/>
          <w:b/>
          <w:i/>
          <w:i/>
          <w:color w:val="000000"/>
          <w:sz w:val="32"/>
        </w:rPr>
      </w:pPr>
      <w:r>
        <w:rPr/>
        <w:t xml:space="preserve">Introduktion </w:t>
      </w:r>
    </w:p>
    <w:p>
      <w:pPr>
        <w:pStyle w:val="P68B1DB1Normal110"/>
        <w:widowControl w:val="false"/>
        <w:spacing w:lineRule="exact" w:line="274" w:before="31" w:after="0"/>
        <w:ind w:left="0" w:right="113" w:hanging="0"/>
        <w:jc w:val="left"/>
        <w:rPr/>
      </w:pPr>
      <w:r>
        <w:rPr>
          <w:sz w:val="21"/>
        </w:rPr>
        <w:t xml:space="preserve">Borgerdialogen "Europas vision", der blev afholdt fra den 1. september til midten af november, gjorde det muligt for alle hollændere at udtrykke deres synspunkter og idéer om Europas fremtid. Nederlandene forelægger Den Europæiske Union (EU) de henstillinger, som dialogen har ført til, samt de idéer og synspunkter, der er givet udtryk for. I denne betænkning fokuserer vi på de første fem temaer. De øvrige fire emner vil blive behandlet i en kommende rapport i begyndelsen af 2022. </w:t>
      </w:r>
      <w:r>
        <w:rPr>
          <w:b/>
          <w:i/>
          <w:sz w:val="24"/>
        </w:rPr>
        <w:t>Om visionen for Europa</w:t>
      </w:r>
    </w:p>
    <w:p>
      <w:pPr>
        <w:pStyle w:val="P68B1DB1Normal104"/>
        <w:widowControl w:val="false"/>
        <w:spacing w:lineRule="exact" w:line="257" w:before="34" w:after="0"/>
        <w:ind w:left="0" w:right="200" w:hanging="0"/>
        <w:jc w:val="left"/>
        <w:rPr/>
      </w:pPr>
      <w:r>
        <w:rPr/>
        <w:t xml:space="preserve">Den Europæiske Union ønsker, at borgerne deler, hvad de mener om Europa. Derfor afholder EU konferencen om Europas fremtid. Borgernes holdninger og idéer i hele Den Europæiske Union vil derefter indgå i planerne for Europas fremtid. Som led i konferencen organiserede Nederlandene borgerdialogen "Vision of Europe" på nationalt plan.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Dialogen om visionen for Europa startede den 1. september med onlineindsamling af udtalelser og idéer gennem en undersøgelse foretaget af et repræsentativt panel. For at uddybe de indledende resultater af panelundersøgelsen og fremsætte konkrete anbefalinger organiserede vi tematiske onlinedialoger. Alle, der ønsker at deltage, kan deltage. Vi rejste også landet for at holde drøftelser med unge og andre grupper (svære at nå). </w:t>
      </w:r>
    </w:p>
    <w:p>
      <w:pPr>
        <w:pStyle w:val="P68B1DB1Normal111"/>
        <w:widowControl w:val="false"/>
        <w:spacing w:lineRule="exact" w:line="269" w:before="28" w:after="0"/>
        <w:ind w:left="0" w:right="113" w:hanging="0"/>
        <w:jc w:val="left"/>
        <w:rPr/>
      </w:pPr>
      <w:r>
        <w:rPr/>
        <w:t xml:space="preserve">Fra skolebørn, erhvervsskoleelever og studerende til ministeren, landmænd og indvandrere </w:t>
      </w:r>
    </w:p>
    <w:p>
      <w:pPr>
        <w:pStyle w:val="P68B1DB1Normal104"/>
        <w:widowControl w:val="false"/>
        <w:spacing w:lineRule="exact" w:line="257" w:before="26" w:after="0"/>
        <w:ind w:left="0" w:right="44" w:hanging="0"/>
        <w:jc w:val="left"/>
        <w:rPr/>
      </w:pPr>
      <w:r>
        <w:rPr/>
        <w:t xml:space="preserve">I oktober og november blev der afholdt i alt otte tematiske onlinedialoger med gennemsnitligt 30 deltagere pr. møde. Vi organiserede også en tematisk onlinedialog og syv tematiske dialoger på stedet med forskellige grupper af nederlandske borgere. Vi talte med det tyrkiske samfund i Schiedam og blev inviteret af Piëzo Foundation frivillige til Zoetermeer. Ved sidstnævnte lejlighed var udenrigsminister Ben Knapen også til stede ved afslutningen af dialogen. Ministeren havde en drøftelse med deltagerne om den dialog og synspunkter, der blev givet udtryk for om Europas fremtid. Endelig arrangerede vi seks møder med forskellige grupper af unge. For eksempel blev vi budt velkommen til en gymnasial skole i Helmond, en erhvervsskole i Doetinchem og universitetet i Leiden.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Jeg vil altid gerne udtrykke min mening foran kaffemaskinen. Det var derfor, jeg troede, jeg var nødt til at deltage. </w:t>
      </w:r>
    </w:p>
    <w:p>
      <w:pPr>
        <w:pStyle w:val="P68B1DB1Normal110"/>
        <w:widowControl w:val="false"/>
        <w:spacing w:lineRule="exact" w:line="346" w:before="41" w:after="0"/>
        <w:ind w:left="0" w:right="6639" w:hanging="0"/>
        <w:jc w:val="left"/>
        <w:rPr/>
      </w:pPr>
      <w:r>
        <w:rPr>
          <w:sz w:val="21"/>
        </w:rPr>
        <w:t xml:space="preserve">Deltager i tematisk </w:t>
      </w:r>
      <w:r>
        <w:rPr>
          <w:b/>
          <w:i/>
          <w:sz w:val="24"/>
        </w:rPr>
        <w:t xml:space="preserve">dialog om denne rapport </w:t>
      </w:r>
    </w:p>
    <w:p>
      <w:pPr>
        <w:pStyle w:val="P68B1DB1Normal104"/>
        <w:widowControl w:val="false"/>
        <w:spacing w:lineRule="exact" w:line="257" w:before="178" w:after="0"/>
        <w:ind w:left="0" w:right="56" w:hanging="0"/>
        <w:jc w:val="left"/>
        <w:rPr/>
      </w:pPr>
      <w:r>
        <w:rPr/>
        <w:t xml:space="preserve">På grundlag af de idéer og meninger, vi har samlet i de seneste måneder, har vi udarbejdet en række anbefalinger, som nederlandske borgere fremsætter til Den Europæiske Union. Under drøftelserne mellem nederlandske borgere fandt der interessante meningsudvekslinger sted, og der blev fremsat innovative idéer. Der blev også fremsat forslag gennem panelet og den offentlige undersøgelse. Nogle af disse idéer er blevet indarbejdet i denne betænkning. Indholdet af denne betænkning er derfor Nederlandenes stemme: vores vision om Europa.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Ligesom der er meningsforskelle mellem landene og de europæiske borgere, er vi heller ikke altid enige med hinanden i Nederlandene. Disse forskelle i synspunkter er netop værdifulde: det er et vigtigt element i et demokrati. Anbefalingerne stammer fra de hyppigst udtrykte idéer og holdninger fra deltagerne i undersøgelsen Vision of Europe. Vi beskriver også bekymringer, ideer og følelser, der kan være mindre udbredte, men som har fanget vores opmærksomhed under dialoger og onlineundersøgelse. </w:t>
      </w:r>
      <w:r>
        <w:br w:type="page"/>
      </w:r>
    </w:p>
    <w:p>
      <w:pPr>
        <w:pStyle w:val="P68B1DB1Normal113"/>
        <w:spacing w:lineRule="auto" w:line="240"/>
        <w:rPr/>
      </w:pPr>
      <w:r>
        <w:rPr/>
        <w:t xml:space="preserve">Det var rart at kunne tale i små grupper med tilhængere og modstandere. Det er meget forskelligt fra, hvordan diskussioner foregår på de sociale medier. </w:t>
      </w:r>
    </w:p>
    <w:p>
      <w:pPr>
        <w:pStyle w:val="P68B1DB1Normal76"/>
        <w:widowControl w:val="false"/>
        <w:spacing w:lineRule="auto" w:line="240" w:before="267" w:after="0"/>
        <w:ind w:left="0" w:right="0" w:hanging="0"/>
        <w:jc w:val="left"/>
        <w:rPr/>
      </w:pPr>
      <w:r>
        <w:rPr>
          <w:rFonts w:ascii="Calibri" w:hAnsi="Calibri"/>
          <w:sz w:val="21"/>
        </w:rPr>
        <w:t>Deltager i den tematiske dialog</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Der blev udpeget ni temaer til konferencen om Europas fremtid. Disse temaer er også kernen i dialogen om Europas vision med nederlandske borgere. I oktober offentliggjorde vi en foreløbig rapport med en indledende oversigt over resultaterne og supplerende spørgsmål baseret på panelundersøgelsen. I denne anden rapport redegjorde vi for udtalelserne, ideerne og anbefalingerne om de første fem emner på plenarmødet i konferencen om Europas fremtid i december. Følgende rapport, som omhandler de fire resterende temaer, vil blive offentliggjort i midten af januar. </w:t>
      </w:r>
    </w:p>
    <w:p>
      <w:pPr>
        <w:pStyle w:val="Normal"/>
        <w:rPr/>
      </w:pPr>
      <w:r>
        <w:rPr/>
        <w:t xml:space="preserve">Aktuel rapport — december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Værdier og rettigheder, retsstatsprincippet og sikkerhed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En stærkere økonomi, social retfærdighed og beskæftigelse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Det europæiske demokrati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Digital transformation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Uddannelse, kultur, ungdom og sport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Næste rapport — januar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Klimaændringer og miljø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Migration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Sundhed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i verden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Næste skridt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Konferencen om Europas fremtid samler alle EU-borgeres idéer, holdninger og anbefalinger. Møderne vil ikke kun blive brugt på resultaterne af alle borgerdialoger på nationalt plan, men også til resultaterne af andre initiativer, der er iværksat i forbindelse med konferencen. Der er f.eks. også paneler af europæiske borgere, og alle EU-borgere (herunder nederlandske borgere) har adgang til en europæisk digital platform. </w:t>
      </w:r>
    </w:p>
    <w:p>
      <w:pPr>
        <w:pStyle w:val="P68B1DB1Normal113"/>
        <w:widowControl w:val="false"/>
        <w:spacing w:lineRule="auto" w:line="240" w:before="203" w:after="0"/>
        <w:ind w:left="1080" w:right="1083" w:hanging="0"/>
        <w:jc w:val="center"/>
        <w:rPr/>
      </w:pPr>
      <w:r>
        <w:rPr/>
        <w:t xml:space="preserve">"Det er godt, at EU tager dette initiativ. Jeg håber, at der virkelig vil blive taget hensyn til resultaterne. </w:t>
      </w:r>
    </w:p>
    <w:p>
      <w:pPr>
        <w:pStyle w:val="P68B1DB1Normal104"/>
        <w:widowControl w:val="false"/>
        <w:spacing w:lineRule="auto" w:line="240" w:before="307" w:after="0"/>
        <w:ind w:left="0" w:right="0" w:hanging="0"/>
        <w:jc w:val="left"/>
        <w:rPr>
          <w:rFonts w:ascii="Calibri" w:hAnsi="Calibri"/>
          <w:color w:val="000000"/>
          <w:sz w:val="21"/>
        </w:rPr>
      </w:pPr>
      <w:r>
        <w:rPr/>
        <w:t xml:space="preserve">Deltager i den tematiske dialog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Konferencen slutter i foråret 2022. Nederlandene vil derefter udarbejde en endelig rapport om borgerdialogen: en samling af denne rapport og den følgende rapport (herunder andre temaer). Efter konferencen vil der blive fremsat henstillinger til formanden for konferencen: formændene for Europa-Parlamentet, Ministerrådet og Europa-Kommissionen. De forpligtede sig til at undersøge måder og midler til at gennemføre anbefalingerne. For den nederlandske regering er resultaterne også et værdifuldt bidrag til udviklingen af Nederlandenes europæiske politik.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Sammenfattende vil processen frem til foråret 2022 blive tilrettelagt som følger: </w:t>
      </w:r>
      <w:r>
        <w:br w:type="page"/>
      </w:r>
    </w:p>
    <w:p>
      <w:pPr>
        <w:pStyle w:val="P68B1DB1Normal107"/>
        <w:spacing w:lineRule="auto" w:line="240"/>
        <w:rPr/>
      </w:pPr>
      <w:r>
        <w:rPr/>
        <w:t xml:space="preserve">Kronologi </w:t>
      </w:r>
    </w:p>
    <w:p>
      <w:pPr>
        <w:pStyle w:val="P68B1DB1Normal114"/>
        <w:spacing w:lineRule="auto" w:line="240"/>
        <w:rPr/>
      </w:pPr>
      <w:r>
        <w:rPr/>
        <w:t xml:space="preserve">Vision for Europa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675"/>
        <w:gridCol w:w="1633"/>
        <w:gridCol w:w="38"/>
        <w:gridCol w:w="841"/>
        <w:gridCol w:w="719"/>
        <w:gridCol w:w="1"/>
        <w:gridCol w:w="1479"/>
        <w:gridCol w:w="1"/>
        <w:gridCol w:w="410"/>
        <w:gridCol w:w="410"/>
        <w:gridCol w:w="1"/>
        <w:gridCol w:w="1285"/>
        <w:gridCol w:w="1"/>
        <w:gridCol w:w="563"/>
        <w:gridCol w:w="1"/>
        <w:gridCol w:w="1579"/>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De første syv.</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oktober</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oktober</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Den 15. november.</w:t>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december</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januar</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april</w:t>
            </w:r>
          </w:p>
        </w:tc>
        <w:tc>
          <w:tcPr>
            <w:tcW w:w="56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Indsamling af ideer online</w:t>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2"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Tematiske dialoger</w:t>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7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Foreløbige resultater (mellemrapport)</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Interimsrapport om økonomi og demokrati</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Foreløbig rapport om "Klima" og "EU i verden"</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Endelig rapport "Vores vision for Europa"</w:t>
            </w:r>
          </w:p>
        </w:tc>
        <w:tc>
          <w:tcPr>
            <w:tcW w:w="56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HVAD ER DET?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HVAD ER DET? </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HVAD ER DET? </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HVAD ER DET? </w:t>
            </w:r>
          </w:p>
        </w:tc>
        <w:tc>
          <w:tcPr>
            <w:tcW w:w="56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Møde i konferencen</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Møde i konferencen</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Møde i konferencen</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Afslutning af konferencen</w:t>
            </w:r>
          </w:p>
        </w:tc>
        <w:tc>
          <w:tcPr>
            <w:tcW w:w="56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Anbefalinger til formændene </w:t>
              <w:br/>
              <w:t xml:space="preserve">• Europa-Parlamentet </w:t>
              <w:br/>
              <w:t xml:space="preserve">• Europa-Kommissionen </w:t>
              <w:br/>
              <w:t>• Ministerrådet</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Flere udtalelser og idéer om Europas fremtid:</w:t>
            </w:r>
          </w:p>
        </w:tc>
      </w:tr>
      <w:tr>
        <w:trPr>
          <w:trHeight w:val="851" w:hRule="atLeast"/>
        </w:trPr>
        <w:tc>
          <w:tcPr>
            <w:tcW w:w="2346"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Dialoger med borgerne</w:t>
            </w:r>
          </w:p>
        </w:tc>
        <w:tc>
          <w:tcPr>
            <w:tcW w:w="84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Europæiske borgerpaneler</w:t>
            </w:r>
          </w:p>
        </w:tc>
        <w:tc>
          <w:tcPr>
            <w:tcW w:w="3840" w:type="dxa"/>
            <w:gridSpan w:val="7"/>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Den europæiske digitale platform (også for nederlandske borgere)</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Forklaringer til at lette læsning </w:t>
      </w:r>
    </w:p>
    <w:p>
      <w:pPr>
        <w:pStyle w:val="P68B1DB1Normal104"/>
        <w:widowControl w:val="false"/>
        <w:spacing w:lineRule="auto" w:line="240" w:before="125" w:after="0"/>
        <w:ind w:left="0" w:right="0" w:hanging="0"/>
        <w:jc w:val="left"/>
        <w:rPr/>
      </w:pPr>
      <w:r>
        <w:rPr/>
        <w:t xml:space="preserve">I denne betænkning drøftede vi fem temaer. For hvert tema har vi medtaget successivt: </w:t>
      </w:r>
    </w:p>
    <w:p>
      <w:pPr>
        <w:pStyle w:val="P68B1DB1Normal104"/>
        <w:widowControl w:val="false"/>
        <w:spacing w:lineRule="auto" w:line="240"/>
        <w:ind w:left="0" w:right="0" w:hanging="0"/>
        <w:jc w:val="left"/>
        <w:rPr>
          <w:rFonts w:ascii="Calibri" w:hAnsi="Calibri"/>
          <w:color w:val="000000"/>
          <w:sz w:val="21"/>
        </w:rPr>
      </w:pPr>
      <w:r>
        <w:rPr/>
        <w:t xml:space="preserve">henstillinger baseret på alle aspekter af borgerdialogen </w:t>
      </w:r>
    </w:p>
    <w:p>
      <w:pPr>
        <w:pStyle w:val="P68B1DB1Normal104"/>
        <w:widowControl w:val="false"/>
        <w:spacing w:lineRule="auto" w:line="240" w:before="1" w:after="0"/>
        <w:ind w:left="0" w:right="0" w:hanging="0"/>
        <w:jc w:val="left"/>
        <w:rPr/>
      </w:pPr>
      <w:r>
        <w:rPr/>
        <w:t xml:space="preserve">oversigt over udvekslede udtalelser, idéer og synspunkter (online og med fysisk tilstedeværelse) under tematiske dialoger og forslag fra onlineundersøgelsen med ord og billeder.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En beskrivelse af den metode, der anvendes i undersøgelsen, findes i slutningen af denne rapport.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Værdier og rettigheder, retsstatsprincippet og sikkerhed </w:t>
      </w:r>
    </w:p>
    <w:p>
      <w:pPr>
        <w:pStyle w:val="P68B1DB1Normal104"/>
        <w:widowControl w:val="false"/>
        <w:spacing w:lineRule="auto" w:line="240" w:before="36" w:after="0"/>
        <w:ind w:left="0" w:right="0" w:hanging="0"/>
        <w:jc w:val="both"/>
        <w:rPr/>
      </w:pPr>
      <w:r>
        <w:rPr/>
        <w:t xml:space="preserve">EU overvåger retsstatsprincippet i alle EU-lande og forsøger at mindske ulighederne inden for EU. EU ønsker også at beskytte alle europæere mod terrorisme og kriminalitet. For at opnå dette indfører EU foranstaltninger og regler, og EU-landene samarbejder intensivt.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Hvad er Hollands vision for dette?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Anbefalinger — Vores vision om sikkerhed og retsstatsprincippet </w:t>
      </w:r>
    </w:p>
    <w:p>
      <w:pPr>
        <w:pStyle w:val="P68B1DB1Normal69"/>
        <w:widowControl w:val="false"/>
        <w:spacing w:lineRule="auto" w:line="240" w:before="41" w:after="0"/>
        <w:ind w:left="0" w:right="0" w:hanging="0"/>
        <w:jc w:val="left"/>
        <w:rPr/>
      </w:pPr>
      <w:r>
        <w:rPr/>
        <w:t xml:space="preserve">68 % af hollænderne mener, at sikkerhed og retsstatsprincippet er et vigtigt spørgsmål, og at EU skal gribe ind på dette område.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Sørg for, at alle kan føle sig frie og trygge </w:t>
      </w:r>
    </w:p>
    <w:p>
      <w:pPr>
        <w:pStyle w:val="P68B1DB1Normal104"/>
        <w:widowControl w:val="false"/>
        <w:spacing w:lineRule="auto" w:line="240" w:before="25" w:after="0"/>
        <w:ind w:left="0" w:right="0" w:hanging="0"/>
        <w:jc w:val="left"/>
        <w:rPr/>
      </w:pPr>
      <w:r>
        <w:rPr/>
        <w:t xml:space="preserve">78 % af hollænderne mener, at det er vigtigt for EU at beskytte retsstatsprincippet og vores grundlæggende rettigheder og frihedsrettigheder. Og vi lægger også vægt på beskyttelsen af forbrugerrettigheder: langt de fleste borgere mener, at det er godt, at EU kræver, at producenterne skal medtage de samme oplysninger på etiketter i alle lande. Et stort antal hollændere mener imidlertid, at EU skal være opmærksom på forskelle i (forvaltning) traditioner og kulturer i Europa. Og dette, blandt andet, fordi det ellers ville være vanskeligt at samarbejde effektivt. Vi mener, at det er særligt vigtigt, at alle føler sig frie og trygge i Europa. Dette omfatter at have et tag over hovedet, men også uddannelse og pleje. Og det drejer sig også om, at de produkter, der findes i europæiske butikker, er </w:t>
      </w:r>
    </w:p>
    <w:p>
      <w:pPr>
        <w:pStyle w:val="P68B1DB1Normal104"/>
        <w:widowControl w:val="false"/>
        <w:spacing w:lineRule="auto" w:line="240"/>
        <w:ind w:left="0" w:right="0" w:hanging="0"/>
        <w:jc w:val="left"/>
        <w:rPr>
          <w:rFonts w:ascii="Calibri" w:hAnsi="Calibri"/>
          <w:color w:val="000000"/>
          <w:sz w:val="21"/>
        </w:rPr>
      </w:pPr>
      <w:r>
        <w:rPr/>
        <w:t xml:space="preserve">altid sikker.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Udvide EU kun, hvis det tilfører merværdi </w:t>
      </w:r>
    </w:p>
    <w:p>
      <w:pPr>
        <w:pStyle w:val="P68B1DB1Normal104"/>
        <w:widowControl w:val="false"/>
        <w:spacing w:lineRule="auto" w:line="240" w:before="25" w:after="0"/>
        <w:ind w:left="0" w:right="0" w:hanging="0"/>
        <w:jc w:val="left"/>
        <w:rPr/>
      </w:pPr>
      <w:r>
        <w:rPr/>
        <w:t xml:space="preserve">44 % af hollænderne mener ikke, at EU bør udvide til flere lande. 25 % går derimod ind for udvidelsen. Vi bemærker, at der allerede er megen debat mellem de nuværende medlemsstater. Mange hollændere mener, at vi først skal fokusere på dette spørgsmål. Og hvis nye lande bliver medlem af Unionen, skal de virkelig være i stand til at opfylde vores betingelser. I dag og i fremtiden. Mange hollændere mener, at de nuværende medlemsstater også skal opfatte merværdien af udvidelsen. Vi mener også, at der er andre muligheder for at arbejde sammen som et land for sikkerhed og stabilitet. F.eks. er vi nogle gange bekymrede over Ruslands indflydelse på landene ved EU's østlige grænse. Det er vigtigt for EU at være opmærksom.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 xml:space="preserve">"Udvidelsen bør ikke fokusere på omkostninger og fordele, men på en vision om stabilitet." </w:t>
      </w:r>
    </w:p>
    <w:p>
      <w:pPr>
        <w:pStyle w:val="P68B1DB1Normal111"/>
        <w:widowControl w:val="false"/>
        <w:spacing w:lineRule="auto" w:line="240" w:before="40" w:after="0"/>
        <w:ind w:left="0" w:right="0" w:hanging="0"/>
        <w:jc w:val="left"/>
        <w:rPr/>
      </w:pPr>
      <w:r>
        <w:rPr/>
        <w:t xml:space="preserve">3. Samarbejde primært om bekæmpelse af international kriminalitet og terrorisme </w:t>
      </w:r>
    </w:p>
    <w:p>
      <w:pPr>
        <w:pStyle w:val="P68B1DB1Normal104"/>
        <w:widowControl w:val="false"/>
        <w:spacing w:lineRule="auto" w:line="240" w:before="26" w:after="0"/>
        <w:ind w:left="0" w:right="0" w:hanging="0"/>
        <w:jc w:val="left"/>
        <w:rPr/>
      </w:pPr>
      <w:r>
        <w:rPr/>
        <w:t xml:space="preserve">68 % af hollænderne mener, at EU's sikkerhedstjenester bør dele deres oplysninger. Vi mener imidlertid, at det er vigtigt, at landene også selv kan beslutte, hvilke oplysninger de ønsker at give eller ej. Deling af alle oplysninger gør hurtigt samarbejdet ineffektivt. Og EU er så stort i dag, at vi er nødt til at fortsætte med kritisk at undersøge, hvor følsomme oplysninger ankommer eller sandsynligvis vil ske. Vi ønsker at fortsætte med at stole på, at vores privatliv er beskyttet. Vi mener, at det først og fremmest giver mening at samarbejde om bekæmpelse af grov international kriminalitet, såsom cyberkriminalitet, narkotikahandel og terrorisme. </w:t>
      </w:r>
    </w:p>
    <w:p>
      <w:pPr>
        <w:pStyle w:val="P68B1DB1Normal113"/>
        <w:widowControl w:val="false"/>
        <w:spacing w:lineRule="auto" w:line="240" w:before="28" w:after="0"/>
        <w:ind w:left="0" w:right="0" w:hanging="0"/>
        <w:jc w:val="center"/>
        <w:rPr/>
      </w:pPr>
      <w:r>
        <w:rPr/>
        <w:t xml:space="preserve">Hvis du brænder en gang rødt lys i Holland, er der virkelig ingen grund til at være kendt i Spanien.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Online og on-site diskussioner og ideer </w:t>
      </w:r>
    </w:p>
    <w:p>
      <w:pPr>
        <w:pStyle w:val="P68B1DB1Normal118"/>
        <w:widowControl w:val="false"/>
        <w:spacing w:lineRule="auto" w:line="240" w:before="118" w:after="0"/>
        <w:ind w:left="0" w:right="0" w:hanging="0"/>
        <w:jc w:val="left"/>
        <w:rPr>
          <w:rFonts w:ascii="Calibri" w:hAnsi="Calibri"/>
          <w:i/>
          <w:i/>
          <w:color w:val="000000"/>
          <w:sz w:val="21"/>
        </w:rPr>
      </w:pPr>
      <w:r>
        <w:rPr/>
        <w:t xml:space="preserve">Hvis du sanktionerer et land, der ikke overholder reglerne, er det de fattigste indbyggere i dette land, der er de første ofre. Det er derfor, jeg synes, det er bedre at tale end sanktioner. </w:t>
      </w:r>
    </w:p>
    <w:p>
      <w:pPr>
        <w:pStyle w:val="P68B1DB1Normal118"/>
        <w:widowControl w:val="false"/>
        <w:spacing w:lineRule="auto" w:line="240" w:before="87" w:after="0"/>
        <w:ind w:left="0" w:right="0" w:hanging="0"/>
        <w:jc w:val="left"/>
        <w:rPr>
          <w:rFonts w:ascii="Calibri" w:hAnsi="Calibri"/>
          <w:i/>
          <w:i/>
          <w:color w:val="000000"/>
          <w:sz w:val="21"/>
        </w:rPr>
      </w:pPr>
      <w:r>
        <w:rPr/>
        <w:t xml:space="preserve">Vi skal først sikre stabilitet i den nuværende klub. Og så kun tænke på udvidelsen. </w:t>
      </w:r>
    </w:p>
    <w:p>
      <w:pPr>
        <w:pStyle w:val="P68B1DB1Normal118"/>
        <w:widowControl w:val="false"/>
        <w:spacing w:lineRule="auto" w:line="240" w:before="85" w:after="0"/>
        <w:ind w:left="0" w:right="392" w:hanging="0"/>
        <w:jc w:val="left"/>
        <w:rPr/>
      </w:pPr>
      <w:r>
        <w:rPr/>
        <w:t xml:space="preserve">Vi er også nødt til kritisk at undersøge vores egen retsstat. Der er bestemt den ene eller den anden funktionsfejl. </w:t>
      </w:r>
    </w:p>
    <w:p>
      <w:pPr>
        <w:pStyle w:val="P68B1DB1Normal118"/>
        <w:widowControl w:val="false"/>
        <w:spacing w:lineRule="auto" w:line="240" w:before="85" w:after="0"/>
        <w:ind w:left="0" w:right="244" w:hanging="0"/>
        <w:jc w:val="left"/>
        <w:rPr/>
      </w:pPr>
      <w:r>
        <w:rPr/>
        <w:t xml:space="preserve">IDÉ: "Fastsætte strenge integritetsregler for politikere i hele Europa for at forhindre dem i at blive for let påvirket." </w:t>
      </w:r>
    </w:p>
    <w:p>
      <w:pPr>
        <w:pStyle w:val="P68B1DB1Normal118"/>
        <w:widowControl w:val="false"/>
        <w:spacing w:lineRule="auto" w:line="240" w:before="85" w:after="0"/>
        <w:ind w:left="0" w:right="0" w:hanging="0"/>
        <w:jc w:val="left"/>
        <w:rPr>
          <w:rFonts w:ascii="Calibri" w:hAnsi="Calibri"/>
          <w:i/>
          <w:i/>
          <w:color w:val="000000"/>
          <w:sz w:val="21"/>
        </w:rPr>
      </w:pPr>
      <w:r>
        <w:rPr/>
        <w:t xml:space="preserve">IDÉ: "Styrke samarbejdet mellem politiet og retsvæsenet i EU-landene." </w:t>
      </w:r>
    </w:p>
    <w:p>
      <w:pPr>
        <w:pStyle w:val="P68B1DB1Normal111"/>
        <w:widowControl w:val="false"/>
        <w:spacing w:lineRule="auto" w:line="240" w:before="84" w:after="0"/>
        <w:ind w:left="0" w:right="67" w:hanging="0"/>
        <w:jc w:val="left"/>
        <w:rPr/>
      </w:pPr>
      <w:r>
        <w:rPr/>
        <w:t xml:space="preserve">Doetinchem erhvervsuddannelse gymnasieelever: De, der ønsker at være en del af EU, skal overholde reglerne. </w:t>
      </w:r>
    </w:p>
    <w:p>
      <w:pPr>
        <w:pStyle w:val="P68B1DB1Normal104"/>
        <w:widowControl w:val="false"/>
        <w:spacing w:lineRule="auto" w:line="240" w:before="100" w:after="0"/>
        <w:ind w:left="0" w:right="0" w:hanging="0"/>
        <w:jc w:val="left"/>
        <w:rPr/>
      </w:pPr>
      <w:r>
        <w:rPr/>
        <w:t xml:space="preserve">På Graafschap College i Doetinchem diskuterede omkring 20 sygeplejestuderende spørgsmålet om, hvad der efter deres mening var de største fordele ved EU: det frie marked, euroen som en fælles valuta og det faktum, at man som europæisk nemt kan bosætte sig og arbejde i andre EU-lande. Og det faktum, at EU-landene kan støtte hinanden. Foreningen er stærk," siger en af de studerende, der er til stede. Betydningen af reglerne blev også diskuteret. Hvis landene ikke respekterer dem, er det ofte svært at straffe dem hårdt. Ifølge de studerende kan det være nyttigt for dette at blive lidt lettere. En af dem nævnte også den afskrækkende virkning. Hvis du pålægger strenge sanktioner, andre lande se, hvad der kan ske, når du ikke følger reglerne.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Hindutanier fra Surinam til Utrecht: Tilliden til retsstaten mangler nogle gange </w:t>
      </w:r>
    </w:p>
    <w:p>
      <w:pPr>
        <w:pStyle w:val="Normal"/>
        <w:widowControl w:val="false"/>
        <w:spacing w:lineRule="auto" w:line="240" w:before="97" w:after="0"/>
        <w:ind w:left="0" w:right="34" w:hanging="0"/>
        <w:jc w:val="left"/>
        <w:rPr/>
      </w:pPr>
      <w:r>
        <w:rPr>
          <w:rFonts w:ascii="Calibri" w:hAnsi="Calibri"/>
          <w:color w:val="000000"/>
          <w:sz w:val="21"/>
        </w:rPr>
        <w:t xml:space="preserve">Asha Foundation er en organisation af hinduistiske frivillige fra Surinam i Utrecht kommune. Deltagerne i den tematiske dialog drøftede navnlig betydningen af borgernes rettigheder: retten til at have et tag over hovedet, men også for eksempel retten til ikke-diskrimination. Ifølge de tilstedeværende frivillige skal der være regler, der beskytter disse rettigheder for alle europæiske borgere. Det vides ikke altid, hvad der i øjeblikket reguleres i Nederlandene, og hvad der i øjeblikket reguleres på europæisk plan. Som følge heraf er det nogle gange vanskeligt at have tillid til de offentlige myndigheder. Især fordi der nogle gange er nogle fejl i de offentlige myndigheder. "Du kan sige, at myndighederne er nødt til at forsvare mig, men de formår nogle gange at så padle, som det har været tilfældet med godtgørelsessagen," sagde en af deltagerne. "EU bør sikre, at reglerne rent faktisk overholdes," sagde en anden deltager. </w:t>
      </w:r>
      <w:r>
        <w:br w:type="page"/>
      </w:r>
    </w:p>
    <w:p>
      <w:pPr>
        <w:pStyle w:val="P68B1DB1Normal117"/>
        <w:spacing w:lineRule="auto" w:line="240"/>
        <w:ind w:left="0" w:right="0" w:hanging="0"/>
        <w:rPr>
          <w:rFonts w:ascii="Calibri" w:hAnsi="Calibri"/>
          <w:b/>
          <w:b/>
          <w:i/>
          <w:i/>
          <w:color w:val="000000"/>
          <w:sz w:val="28"/>
        </w:rPr>
      </w:pPr>
      <w:r>
        <w:rPr/>
        <w:t xml:space="preserve">En stærkere økonomi, social retfærdighed og beskæftigelse </w:t>
      </w:r>
    </w:p>
    <w:p>
      <w:pPr>
        <w:pStyle w:val="P68B1DB1Normal104"/>
        <w:widowControl w:val="false"/>
        <w:spacing w:lineRule="auto" w:line="240" w:before="139" w:after="0"/>
        <w:ind w:left="0" w:right="0" w:hanging="0"/>
        <w:jc w:val="left"/>
        <w:rPr/>
      </w:pPr>
      <w:r>
        <w:rPr/>
        <w:t xml:space="preserve">Små og mellemstore virksomheder er rygraden i den europæiske økonomi. EU ønsker derfor, at EU-landene samarbejder om genopretningsplaner for at komme økonomisk stærkere ud af covid-19-krisen. På lang sigt er EU's mål at gøre den europæiske økonomi sundere, grønnere og digital. Hvad er Hollands vision for dette?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Anbefalinger — Vores vision om økonomi og beskæftigelse </w:t>
      </w:r>
    </w:p>
    <w:p>
      <w:pPr>
        <w:pStyle w:val="P68B1DB1Normal35"/>
        <w:widowControl w:val="false"/>
        <w:spacing w:lineRule="auto" w:line="240" w:before="123" w:after="0"/>
        <w:ind w:left="0" w:right="0" w:hanging="0"/>
        <w:jc w:val="left"/>
        <w:rPr/>
      </w:pPr>
      <w:r>
        <w:rPr>
          <w:rFonts w:ascii="Calibri" w:hAnsi="Calibri"/>
          <w:sz w:val="20"/>
        </w:rPr>
        <w:t>61 % af hollænderne mener, at økonomi og beskæftigelse er et vigtigt emne, og at EU skal gribe ind på dette område.</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Tage hensyn til fællestræk og forskelle </w:t>
      </w:r>
    </w:p>
    <w:p>
      <w:pPr>
        <w:pStyle w:val="P68B1DB1Normal104"/>
        <w:widowControl w:val="false"/>
        <w:spacing w:lineRule="auto" w:line="240" w:before="97" w:after="0"/>
        <w:ind w:left="0" w:right="0" w:hanging="0"/>
        <w:jc w:val="left"/>
        <w:rPr/>
      </w:pPr>
      <w:r>
        <w:rPr/>
        <w:t xml:space="preserve">71 % af hollænderne mener, at EU bør sikre, at virksomhederne samarbejder mere og dermed styrke den europæiske økonomi. Af disse mennesker er det dog kun en lille del, der mener, at EU skal betale flere penge til virksomhederne. Først og fremmest mener vi, at samarbejdet kan være mere effektivt. I dag ser vi, at forskellige virksomheder investerer i den samme nye teknologi, nogle gange endda med offentlige midler. Hvis vi havde en europæisk vision for økonomien, kunne vi bruge disse penge mere effektivt. I den forbindelse bør der dog lægges særlig vægt på forskelle mellem landene. </w:t>
      </w:r>
    </w:p>
    <w:p>
      <w:pPr>
        <w:pStyle w:val="P68B1DB1Normal113"/>
        <w:widowControl w:val="false"/>
        <w:spacing w:lineRule="auto" w:line="240" w:before="306" w:after="0"/>
        <w:ind w:left="0" w:right="0" w:hanging="0"/>
        <w:jc w:val="center"/>
        <w:rPr/>
      </w:pPr>
      <w:r>
        <w:rPr/>
        <w:t xml:space="preserve">Landbruget i Holland er så moderne. Det er ikke altid muligt at sammenligne det med andre landes.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At gøre større brug af Europas styrker </w:t>
      </w:r>
    </w:p>
    <w:p>
      <w:pPr>
        <w:pStyle w:val="P68B1DB1Normal104"/>
        <w:widowControl w:val="false"/>
        <w:spacing w:lineRule="auto" w:line="240" w:before="97" w:after="0"/>
        <w:ind w:left="0" w:right="0" w:hanging="0"/>
        <w:jc w:val="left"/>
        <w:rPr/>
      </w:pPr>
      <w:r>
        <w:rPr/>
        <w:t>Hollænderne mener, at der er mange muligheder for at styrke den europæiske økonomi, men at der skal træffes valg. Derfor mener vi, at EU først og fremmest bør fokusere på sine styrker. Vi mener f.eks., at Europa er godt i</w:t>
      </w:r>
    </w:p>
    <w:p>
      <w:pPr>
        <w:pStyle w:val="P68B1DB1Normal104"/>
        <w:widowControl w:val="false"/>
        <w:spacing w:lineRule="auto" w:line="240"/>
        <w:ind w:left="0" w:right="0" w:hanging="0"/>
        <w:jc w:val="left"/>
        <w:rPr/>
      </w:pPr>
      <w:r>
        <w:rPr/>
        <w:t xml:space="preserve"> </w:t>
      </w:r>
      <w:r>
        <w:rPr/>
        <w:t xml:space="preserve">områder som digital omstilling, bæredygtighed og infrastruktur. Og hvad der måske er vigtigere: vi forsvarer kvalitet og mangfoldighed. Det er netop vores kontinents mangfoldighed, med forskellige meninger og ideer, at vi må udnytte meget mere som en økonomisk fordel. Dette kan gøre det muligt for Europa at adskille sig fra f.eks. den kinesiske økonomi.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Udvikle et retfærdigt og klart skattesystem </w:t>
      </w:r>
    </w:p>
    <w:p>
      <w:pPr>
        <w:pStyle w:val="P68B1DB1Normal104"/>
        <w:widowControl w:val="false"/>
        <w:spacing w:lineRule="auto" w:line="240" w:before="95" w:after="0"/>
        <w:ind w:left="0" w:right="0" w:hanging="0"/>
        <w:jc w:val="left"/>
        <w:rPr/>
      </w:pPr>
      <w:r>
        <w:rPr/>
        <w:t xml:space="preserve">82 % af hollænderne mener, at EU-landene kollektivt skal sikre, at alle EU-virksomheder betaler fair skatter. Dette omfatter meget store virksomheder. I dag bosætter de sig nogle gange i andre lande af den simple grund, at de betaler mindre skat. EU bør bekæmpe dette fænomen, f.eks. ved at fastsætte en minimumssats for alle lande. På den anden side mener vi, at beskatning er en kompetence, der hører til lande, der har deres egne mål og sammenhænge. Vi mener, at beskatning generelt er et komplekst spørgsmål. Det er netop af denne grund, at vi ønsker et bedre skattesystem, som er retfærdigt og klart for alle i Europa. </w:t>
      </w:r>
    </w:p>
    <w:p>
      <w:pPr>
        <w:pStyle w:val="P68B1DB1Normal113"/>
        <w:widowControl w:val="false"/>
        <w:spacing w:lineRule="auto" w:line="240" w:before="256" w:after="0"/>
        <w:ind w:left="0" w:right="0" w:hanging="0"/>
        <w:jc w:val="center"/>
        <w:rPr/>
      </w:pPr>
      <w:r>
        <w:rPr/>
        <w:t xml:space="preserve">Agurker skal have samme form overalt, men skattereglerne er forskellige. Det er skørt, ikke?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Sørg for, at alle kan deltage </w:t>
      </w:r>
    </w:p>
    <w:p>
      <w:pPr>
        <w:pStyle w:val="P68B1DB1Normal104"/>
        <w:widowControl w:val="false"/>
        <w:spacing w:lineRule="auto" w:line="240" w:before="97" w:after="0"/>
        <w:ind w:left="0" w:right="0" w:hanging="0"/>
        <w:jc w:val="left"/>
        <w:rPr/>
      </w:pPr>
      <w:r>
        <w:rPr/>
        <w:t xml:space="preserve">71 % af hollænderne mener, at EU bør bidrage til at øge beskæftigelsen. I den forbindelse mener vi, at der bør lægges særlig vægt på visse grupper, f.eks. unge og mennesker, der er væk fra arbejdsmarkedet. Dette kan gøres gennem regler eller subsidier til virksomheder, men også ved at yde specifik støtte til arbejdsgivere og arbejdstagere. Vi tænker f.eks. på bevidstgørelsesaktiviteter eller meget praktiske spørgsmål. Det er muligt, at en sådan støtte i nogle tilfælde kan organiseres mere effektivt på EU-plan, og i andre tilfælde kan det være en opgave snarere end for medlemsstaterne selv. EU-landene bør i sidste ende samarbejde om at sikre lige muligheder på det europæiske arbejdsmarked.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Online og on-site diskussioner og ideer </w:t>
      </w:r>
    </w:p>
    <w:p>
      <w:pPr>
        <w:pStyle w:val="P68B1DB1Normal118"/>
        <w:widowControl w:val="false"/>
        <w:spacing w:lineRule="auto" w:line="240" w:before="115" w:after="0"/>
        <w:ind w:left="0" w:right="0" w:hanging="0"/>
        <w:jc w:val="left"/>
        <w:rPr>
          <w:rFonts w:ascii="Calibri" w:hAnsi="Calibri"/>
          <w:i/>
          <w:i/>
          <w:color w:val="000000"/>
          <w:sz w:val="21"/>
        </w:rPr>
      </w:pPr>
      <w:r>
        <w:rPr/>
        <w:t xml:space="preserve">Fremskynde automatiseringen i Europa, så de varer, der i øjeblikket kommer fra Kina, fremstilles igen her. </w:t>
      </w:r>
    </w:p>
    <w:p>
      <w:pPr>
        <w:pStyle w:val="P68B1DB1Normal118"/>
        <w:widowControl w:val="false"/>
        <w:spacing w:lineRule="auto" w:line="240" w:before="85" w:after="0"/>
        <w:ind w:left="0" w:right="0" w:hanging="0"/>
        <w:jc w:val="left"/>
        <w:rPr/>
      </w:pPr>
      <w:r>
        <w:rPr/>
        <w:t xml:space="preserve">Tag revolutionen af Bitcoins og andre cryptocurrencies alvorligt. Folk interesseret i det behandles som skattesvindlere, mens denne type blockchain teknologi er fremtiden. </w:t>
      </w:r>
    </w:p>
    <w:p>
      <w:pPr>
        <w:pStyle w:val="P68B1DB1Normal118"/>
        <w:widowControl w:val="false"/>
        <w:spacing w:lineRule="auto" w:line="240" w:before="87" w:after="0"/>
        <w:ind w:left="0" w:right="0" w:hanging="0"/>
        <w:jc w:val="left"/>
        <w:rPr/>
      </w:pPr>
      <w:r>
        <w:rPr/>
        <w:t xml:space="preserve">Aktionærerne er ikke de eneste aktører i den europæiske økonomi. Intet er muligt uden ansatte." "Europa skal gøre mere for personer med handicap. Det er alt for svært for dem at finde et passende job i dag. </w:t>
      </w:r>
    </w:p>
    <w:p>
      <w:pPr>
        <w:pStyle w:val="P68B1DB1Normal118"/>
        <w:widowControl w:val="false"/>
        <w:spacing w:lineRule="auto" w:line="240" w:before="85" w:after="0"/>
        <w:ind w:left="0" w:right="0" w:hanging="0"/>
        <w:jc w:val="left"/>
        <w:rPr/>
      </w:pPr>
      <w:r>
        <w:rPr/>
        <w:t xml:space="preserve">Mange europæiske regler er komplekse og ændrer sig regelmæssigt. Det er derfor vanskeligt for virksomhederne at innovere. </w:t>
      </w:r>
    </w:p>
    <w:p>
      <w:pPr>
        <w:pStyle w:val="P68B1DB1Normal118"/>
        <w:widowControl w:val="false"/>
        <w:spacing w:lineRule="auto" w:line="240" w:before="85" w:after="0"/>
        <w:ind w:left="0" w:right="0" w:hanging="0"/>
        <w:jc w:val="both"/>
        <w:rPr/>
      </w:pPr>
      <w:r>
        <w:rPr/>
        <w:t xml:space="preserve">I tilfælde af transformation arbejde i min virksomhed, kunne min lokale entreprenør være startet for lang tid siden. Men først måtte jeg iværksætte et europæisk udbud. Det er en skam. </w:t>
      </w:r>
    </w:p>
    <w:p>
      <w:pPr>
        <w:pStyle w:val="P68B1DB1Normal111"/>
        <w:widowControl w:val="false"/>
        <w:spacing w:lineRule="auto" w:line="240" w:before="85" w:after="0"/>
        <w:ind w:left="0" w:right="0" w:hanging="0"/>
        <w:jc w:val="both"/>
        <w:rPr>
          <w:rFonts w:ascii="Calibri" w:hAnsi="Calibri"/>
          <w:b/>
          <w:b/>
          <w:color w:val="000000"/>
          <w:sz w:val="22"/>
        </w:rPr>
      </w:pPr>
      <w:r>
        <w:rPr/>
        <w:t xml:space="preserve">Deltagere i onlinedialogen: "At tænke sammen om spørgsmålet om store virksomheder" </w:t>
      </w:r>
    </w:p>
    <w:p>
      <w:pPr>
        <w:pStyle w:val="P68B1DB1Normal104"/>
        <w:widowControl w:val="false"/>
        <w:spacing w:lineRule="auto" w:line="240" w:before="97" w:after="0"/>
        <w:ind w:left="0" w:right="0" w:hanging="0"/>
        <w:jc w:val="left"/>
        <w:rPr/>
      </w:pPr>
      <w:r>
        <w:rPr/>
        <w:t>Under en af de online tematiske dialoger opstod der en debat om de store virksomheders voksende magt. Nogle deltagere ønsker,</w:t>
      </w:r>
      <w:r>
        <w:rPr/>
        <w:commentReference w:id="22"/>
      </w:r>
      <w:r>
        <w:rPr/>
        <w:t xml:space="preserve"> at EU gør en større indsats i denne henseende. Faktisk har nogle virksomheder nogle gange betydelige overskud, som de betaler lidt skat på takket være sofistikerede ordninger. Andre deltagere opfordrede til at se på tingene som helhed: disse virksomheder skaber et højt beskæftigelsesniveau og gavner den nationale økonomi. "Du skal ikke jagte dem," sagde nogen. En anden deltager mente, at det under alle omstændigheder var vigtigt for EU-landene at overveje dette spørgsmål sammen. Store virksomheder kan i øjeblikket konkurrere mellem lande. Derfor er vi nødt til at præsentere en mere forenet front som et EU. </w:t>
      </w:r>
    </w:p>
    <w:p>
      <w:pPr>
        <w:pStyle w:val="P68B1DB1Normal111"/>
        <w:widowControl w:val="false"/>
        <w:spacing w:lineRule="auto" w:line="240" w:before="97" w:after="0"/>
        <w:ind w:left="0" w:right="0" w:hanging="0"/>
        <w:jc w:val="left"/>
        <w:rPr>
          <w:rFonts w:ascii="Calibri" w:hAnsi="Calibri"/>
          <w:b/>
          <w:b/>
          <w:color w:val="000000"/>
          <w:sz w:val="22"/>
        </w:rPr>
      </w:pPr>
      <w:r>
        <w:rPr/>
        <w:t xml:space="preserve">Landbrugere, der tager hensyn til naturen: "Fastsæt mål i stedet for kvoter" </w:t>
      </w:r>
    </w:p>
    <w:p>
      <w:pPr>
        <w:pStyle w:val="P68B1DB1Normal104"/>
        <w:widowControl w:val="false"/>
        <w:spacing w:lineRule="auto" w:line="240" w:before="95" w:after="0"/>
        <w:ind w:left="0" w:right="0" w:hanging="0"/>
        <w:jc w:val="left"/>
        <w:rPr/>
      </w:pPr>
      <w:r>
        <w:rPr/>
        <w:t xml:space="preserve">BoerenNatuur er en sammenslutning af landbrugssammenslutninger. En lille gruppe af medlemmer drøftede bl.a. EU-regler for landbrugere. På den ene side mener de, at EU bringer en masse positive ting, såsom let eksport til andre lande. På den anden side mener de, at politikkerne ofte kan være endnu mere eksplicitte. "Men alle arbejder allerede mere og mere i samme retning," sagde nogen om det. Det er navnlig muligt at forbedre procedurerne: de er ofte meget administrative og tidskrævende. Efter en deltagers opfattelse bør reglerne ikke være for detaljerede. Foretrækker klare mål, såsom rent vand. Vi kan derefter bestemme os selv som følge af bredden af en grøft.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Det europæiske demokrati </w:t>
      </w:r>
    </w:p>
    <w:p>
      <w:pPr>
        <w:pStyle w:val="P68B1DB1Normal104"/>
        <w:widowControl w:val="false"/>
        <w:spacing w:lineRule="auto" w:line="240"/>
        <w:ind w:left="0" w:right="0" w:hanging="0"/>
        <w:jc w:val="left"/>
        <w:rPr/>
      </w:pPr>
      <w:r>
        <w:rPr/>
        <w:t xml:space="preserve">EU opfordrer europæerne til at stemme og ønsker også at inddrage dem i EU's beslutningstagning og politikker uden for valgperioden. EU tager også initiativer til at styrke demokratiet, f.eks. ved at udarbejde en handlingsplan med fokus på frie og retfærdige valg og pressefrihed. Hvad er Hollands vision for dette?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Anbefalinger — Vores vision for europæisk demokrati </w:t>
      </w:r>
    </w:p>
    <w:p>
      <w:pPr>
        <w:pStyle w:val="P68B1DB1Normal69"/>
        <w:widowControl w:val="false"/>
        <w:spacing w:lineRule="auto" w:line="240"/>
        <w:ind w:left="0" w:right="0" w:hanging="0"/>
        <w:jc w:val="left"/>
        <w:rPr/>
      </w:pPr>
      <w:r>
        <w:rPr/>
        <w:t xml:space="preserve">60 % af hollænderne mener, at europæisk demokrati er et vigtigt spørgsmål, og at EU skal gribe ind på dette område.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Et bedre overblik over Europa </w:t>
      </w:r>
    </w:p>
    <w:p>
      <w:pPr>
        <w:pStyle w:val="P68B1DB1Normal104"/>
        <w:widowControl w:val="false"/>
        <w:spacing w:lineRule="auto" w:line="240"/>
        <w:ind w:left="0" w:right="0" w:hanging="0"/>
        <w:jc w:val="left"/>
        <w:rPr/>
      </w:pPr>
      <w:r>
        <w:rPr/>
        <w:t xml:space="preserve">Hollænderne påpeger, at det ofte er i tilfælde af en krise, at Europa dukker op i medierne. På den anden side har vi meget lidt information om de daglige beslutninger. Som borgere behøver vi ikke at vide alt, men for at danne os en god mening ville det være godt at have et bedre overblik. Det ville f.eks. være interessant at høre andre landes synspunkter om EU oftere. Medier og uddannelse kan spille en vigtig rolle i denne henseende. Men medierne skal være i stand til at træffe deres egne valg. Fordi hollænderne mener, at pressefrihed er meget vigtig i vores demokrati. </w:t>
      </w:r>
    </w:p>
    <w:p>
      <w:pPr>
        <w:pStyle w:val="P68B1DB1Normal113"/>
        <w:widowControl w:val="false"/>
        <w:spacing w:lineRule="auto" w:line="240" w:before="184" w:after="0"/>
        <w:ind w:left="0" w:right="0" w:hanging="0"/>
        <w:jc w:val="center"/>
        <w:rPr/>
      </w:pPr>
      <w:r>
        <w:rPr/>
        <w:t xml:space="preserve">"Det meste af tiden hører vi kun om EU i tilfælde af en krise. Det er grunden til, at stemningen over for Europa fortsat er negativ.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Find nye måder at lytte til borgerne på </w:t>
      </w:r>
    </w:p>
    <w:p>
      <w:pPr>
        <w:pStyle w:val="P68B1DB1Normal104"/>
        <w:widowControl w:val="false"/>
        <w:spacing w:lineRule="auto" w:line="240"/>
        <w:ind w:left="0" w:right="0" w:hanging="0"/>
        <w:jc w:val="left"/>
        <w:rPr/>
      </w:pPr>
      <w:r>
        <w:rPr/>
        <w:t xml:space="preserve">51 % af hollænderne mener, at EU ikke er tilstrækkeligt klar over, hvad der sker i samfundet. For at forbedre denne situation bør EU oftere og helst permanent engagere sig i en dialog med borgerne. Mange hollændere mener derfor, at konferencen om Europas fremtid er et godt initiativ. Folkeafstemninger kan også være et værdifuldt redskab, men hollænderne har forskellige holdninger til dette. For visse emner er det også nogle gange nødvendigt at have specialiseret viden. Under alle omstændigheder bør det ikke være en ren formalitet at tale med borgerne. Vi mener, at det er vigtigt, at vi bliver taget alvorligt.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Større gennemsigtighed og klarhed om de beslutninger, der træffes </w:t>
      </w:r>
    </w:p>
    <w:p>
      <w:pPr>
        <w:pStyle w:val="P68B1DB1Normal104"/>
        <w:widowControl w:val="false"/>
        <w:spacing w:lineRule="auto" w:line="240"/>
        <w:ind w:left="0" w:right="0" w:hanging="0"/>
        <w:jc w:val="left"/>
        <w:rPr/>
      </w:pPr>
      <w:r>
        <w:rPr/>
        <w:t xml:space="preserve">Nogle gange synes hollænderne, at Europa er ret kompliceret. Det er ikke alle, der har samme grundlæggende viden. EU er nødt til at tage mere hensyn til dette. Vi ønsker, at EU bliver mere gennemsigtigt og gør det lettere at holde sig ajour. De nederlandske myndigheder har også en rolle at spille i denne henseende. Mange hollændere er interesserede i europæiske beslutninger, men føler, at officielle kanaler er for vanskelige at finde eller for komplekse. Derudover har alle forskellige interesser og behov. Det vil derfor være nødvendigt at kunne vælge de emner, som vi gerne vil lære mere om. Unge er ofte interesserede i Europa, men de kan f.eks. kun få oplysninger om det på deres sociale netværk. </w:t>
      </w:r>
    </w:p>
    <w:p>
      <w:pPr>
        <w:pStyle w:val="P68B1DB1Normal113"/>
        <w:widowControl w:val="false"/>
        <w:spacing w:lineRule="auto" w:line="240" w:before="184" w:after="0"/>
        <w:ind w:left="0" w:right="0" w:hanging="0"/>
        <w:jc w:val="center"/>
        <w:rPr/>
      </w:pPr>
      <w:r>
        <w:rPr/>
        <w:t xml:space="preserve">Mens jeg var på ferie i Ungarn, så jeg et stort skilt nær en ny skovplantage med angivelse af: "Denne plantagen var mulig takket være EU." Selv om jeg er skeptisk over for Europa, følte jeg mig stadig stolt.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Sikre, at tornede problemer kan løses hurtigere </w:t>
      </w:r>
    </w:p>
    <w:p>
      <w:pPr>
        <w:pStyle w:val="P68B1DB1Normal104"/>
        <w:widowControl w:val="false"/>
        <w:spacing w:lineRule="auto" w:line="240"/>
        <w:ind w:left="0" w:right="0" w:hanging="0"/>
        <w:jc w:val="left"/>
        <w:rPr/>
      </w:pPr>
      <w:r>
        <w:rPr/>
        <w:t>Hollænderne har svært ved at forstå, hvordan det europæiske demokrati fungerer, men det forekommer dem, at beslutningstagningen i EU ofte er meget langsom. Ved valget til Europa-Parlamentet ser vi frem for alt alliancer mellem</w:t>
      </w:r>
      <w:r>
        <w:rPr/>
        <w:commentReference w:id="23"/>
      </w:r>
      <w:r>
        <w:rPr/>
        <w:t xml:space="preserve"> nationale partier. Der kan også være andre måder at håndtere europæiske interesser på. Omkring en tredjedel af hollænderne mener, at det ved valg til Europa-Parlamentet bør være muligt at stemme på udenlandske kandidater. Et stort antal borgere mener, at dette ikke bør være muligt. Det vigtigste er, at der tages tilstrækkeligt hensyn til de forskellige interesser. Samtidig er det muligt at løse tornede problemer hurtigere, end det er tilfældet i dag. </w:t>
      </w:r>
    </w:p>
    <w:p>
      <w:pPr>
        <w:pStyle w:val="P68B1DB1Normal113"/>
        <w:widowControl w:val="false"/>
        <w:spacing w:lineRule="auto" w:line="240" w:before="201" w:after="0"/>
        <w:ind w:left="0" w:right="0" w:hanging="0"/>
        <w:jc w:val="center"/>
        <w:rPr/>
      </w:pPr>
      <w:r>
        <w:rPr/>
        <w:t xml:space="preserve">Ved valg ville jeg ønske, at jeg kunne identificere mig med nogen og vide, hvad han eller hun forsvarer. Det behøver ikke nødvendigvis at være landmand.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Online og on-site diskussioner og ideer </w:t>
      </w:r>
    </w:p>
    <w:p>
      <w:pPr>
        <w:pStyle w:val="P68B1DB1Normal118"/>
        <w:widowControl w:val="false"/>
        <w:spacing w:lineRule="auto" w:line="240" w:before="3" w:after="0"/>
        <w:ind w:left="0" w:right="0" w:hanging="0"/>
        <w:jc w:val="left"/>
        <w:rPr>
          <w:rFonts w:ascii="Calibri" w:hAnsi="Calibri"/>
          <w:i/>
          <w:i/>
          <w:color w:val="000000"/>
          <w:sz w:val="21"/>
        </w:rPr>
      </w:pPr>
      <w:r>
        <w:rPr/>
        <w:t xml:space="preserve">Fjerne landenes vetoret. Flertallet skal beslutte sig. </w:t>
      </w:r>
    </w:p>
    <w:p>
      <w:pPr>
        <w:pStyle w:val="Normal"/>
        <w:widowControl w:val="false"/>
        <w:spacing w:lineRule="auto" w:line="240" w:before="85" w:after="0"/>
        <w:ind w:left="0" w:right="0" w:hanging="0"/>
        <w:jc w:val="left"/>
        <w:rPr/>
      </w:pPr>
      <w:r>
        <w:rPr>
          <w:rFonts w:ascii="Calibri" w:hAnsi="Calibri"/>
          <w:i/>
          <w:color w:val="000000"/>
          <w:sz w:val="21"/>
        </w:rPr>
        <w:t xml:space="preserve">I forbindelse med vigtige beslutninger skal der oprettes diskussionsgrupper </w:t>
      </w:r>
      <w:commentRangeStart w:id="24"/>
      <w:r>
        <w:rPr>
          <w:rFonts w:ascii="Calibri" w:hAnsi="Calibri"/>
          <w:i/>
          <w:color w:val="000000"/>
          <w:sz w:val="21"/>
        </w:rPr>
        <w:t xml:space="preserve">bestående </w:t>
      </w:r>
      <w:r>
        <w:rPr>
          <w:rFonts w:ascii="Calibri" w:hAnsi="Calibri"/>
          <w:i/>
          <w:color w:val="000000"/>
          <w:sz w:val="21"/>
        </w:rPr>
      </w:r>
      <w:commentRangeEnd w:id="24"/>
      <w:r>
        <w:commentReference w:id="24"/>
      </w:r>
      <w:r>
        <w:rPr>
          <w:rFonts w:ascii="Calibri" w:hAnsi="Calibri"/>
          <w:i/>
          <w:color w:val="000000"/>
          <w:sz w:val="21"/>
        </w:rPr>
        <w:t>af borgere, måske på et (semi) obligatorisk grundlag, som det er tilfældet for juryer i USA.</w:t>
      </w:r>
    </w:p>
    <w:p>
      <w:pPr>
        <w:pStyle w:val="P68B1DB1Normal118"/>
        <w:widowControl w:val="false"/>
        <w:spacing w:lineRule="auto" w:line="240" w:before="85" w:after="0"/>
        <w:ind w:left="0" w:right="0" w:hanging="0"/>
        <w:jc w:val="left"/>
        <w:rPr/>
      </w:pPr>
      <w:r>
        <w:rPr/>
        <w:t xml:space="preserve">"Sikre, at EU's politikere og embedsmænd regelmæssigt besøger baglandet", og at de ikke forbliver fuldstændig klostret i deres Bruxelles-boble. </w:t>
      </w:r>
    </w:p>
    <w:p>
      <w:pPr>
        <w:pStyle w:val="P68B1DB1Normal118"/>
        <w:widowControl w:val="false"/>
        <w:spacing w:lineRule="auto" w:line="240" w:before="85" w:after="0"/>
        <w:ind w:left="0" w:right="0" w:hanging="0"/>
        <w:jc w:val="left"/>
        <w:rPr/>
      </w:pPr>
      <w:r>
        <w:rPr/>
        <w:t xml:space="preserve">IDÉ: Faktisk bør tv-nyhederne afsætte et par minutter til Europa i hver af sine udgaver. Eller vi kunne lancere en daglig eller ugentlig avis dedikeret til Europa. </w:t>
      </w:r>
    </w:p>
    <w:p>
      <w:pPr>
        <w:pStyle w:val="P68B1DB1Normal118"/>
        <w:widowControl w:val="false"/>
        <w:spacing w:lineRule="auto" w:line="240" w:before="85" w:after="0"/>
        <w:ind w:left="0" w:right="0" w:hanging="0"/>
        <w:jc w:val="left"/>
        <w:rPr/>
      </w:pPr>
      <w:r>
        <w:rPr/>
        <w:t xml:space="preserve">IDÉ: Måske bør europæiske politikere oftere deltage i tv-programmer. </w:t>
      </w:r>
    </w:p>
    <w:p>
      <w:pPr>
        <w:pStyle w:val="P68B1DB1Normal118"/>
        <w:widowControl w:val="false"/>
        <w:spacing w:lineRule="auto" w:line="240" w:before="85" w:after="0"/>
        <w:ind w:left="0" w:right="0" w:hanging="0"/>
        <w:jc w:val="left"/>
        <w:rPr/>
      </w:pPr>
      <w:r>
        <w:rPr/>
        <w:t xml:space="preserve">Som ung læser jeg næsten aldrig noget om Europa. Men jeg er nysgerrig efter at vide mere, men uden at skulle gøre for meget for at få information. </w:t>
      </w:r>
    </w:p>
    <w:p>
      <w:pPr>
        <w:pStyle w:val="P68B1DB1Normal111"/>
        <w:widowControl w:val="false"/>
        <w:spacing w:lineRule="auto" w:line="240" w:before="84" w:after="0"/>
        <w:ind w:left="0" w:right="0" w:hanging="0"/>
        <w:jc w:val="left"/>
        <w:rPr>
          <w:rFonts w:ascii="Calibri" w:hAnsi="Calibri"/>
          <w:b/>
          <w:b/>
          <w:color w:val="000000"/>
          <w:sz w:val="22"/>
        </w:rPr>
      </w:pPr>
      <w:r>
        <w:rPr/>
        <w:t xml:space="preserve">Unge medlemmer af Coalitie-Y i Utrecht: debat om anvendelsen af folkeafstemninger </w:t>
      </w:r>
    </w:p>
    <w:p>
      <w:pPr>
        <w:pStyle w:val="P68B1DB1Normal104"/>
        <w:widowControl w:val="false"/>
        <w:spacing w:lineRule="auto" w:line="240"/>
        <w:ind w:left="0" w:right="0" w:hanging="0"/>
        <w:jc w:val="left"/>
        <w:rPr/>
      </w:pPr>
      <w:r>
        <w:rPr/>
        <w:t xml:space="preserve">Medlemmerne af Coalitie-Y — et samarbejde mellem forskellige ungdomsorganisationer — havde en livlig debat om anvendelsen af folkeafstemninger. Modstandere nævnte risikoen for at have debatter, hvor alt er sort eller hvidt, mens emnerne ofte er meget mere komplekse. En af deltagerne anførte endvidere: Vi kan stemme på EU og stille op som kandidater. Folkeafstemninger underminerer faktisk dette princip." Referendum tilhængere sagde, at de følte det nyttigt for politiske beslutningstagere at vide, hvad borgerne mener om et bestemt emne: det kan være med til at give vejledning. Folkeafstemninger kan også bidrage til at øge offentlighedens bevidsthed om EU som helhed: hvad er emnerne på dagsordenen, og hvad er de valg, der skal træffes? </w:t>
      </w:r>
    </w:p>
    <w:p>
      <w:pPr>
        <w:pStyle w:val="P68B1DB1Normal111"/>
        <w:widowControl w:val="false"/>
        <w:spacing w:lineRule="auto" w:line="240" w:before="38" w:after="0"/>
        <w:ind w:left="0" w:right="0" w:hanging="0"/>
        <w:jc w:val="left"/>
        <w:rPr>
          <w:rFonts w:ascii="Calibri" w:hAnsi="Calibri"/>
          <w:b/>
          <w:b/>
          <w:color w:val="000000"/>
          <w:sz w:val="22"/>
        </w:rPr>
      </w:pPr>
      <w:r>
        <w:rPr/>
        <w:t xml:space="preserve">Sociale frivillige: Der er behov for en bedre gensidig forståelse mellem landene. </w:t>
      </w:r>
    </w:p>
    <w:p>
      <w:pPr>
        <w:pStyle w:val="Normal"/>
        <w:widowControl w:val="false"/>
        <w:spacing w:lineRule="auto" w:line="240"/>
        <w:ind w:left="0" w:right="0" w:hanging="0"/>
        <w:jc w:val="left"/>
        <w:rPr/>
      </w:pPr>
      <w:r>
        <w:rPr>
          <w:rFonts w:ascii="Calibri" w:hAnsi="Calibri"/>
          <w:color w:val="000000"/>
          <w:sz w:val="21"/>
        </w:rPr>
        <w:t xml:space="preserve">Piëzo Foundation i Zoetermeer består af frivillige, der er aktive på forskellige måder inden for social deltagelse. Deltagerne i den tematiske dialog udtrykte bekymring over den voksende kløft i Europa. Det er f.eks. de synspunkter, som landene har med hensyn til LGBTIQ-samfundet. Hvis landene ikke forstår deres respektive synspunkter, er det vanskeligt at samarbejde. "Det er af denne grund, at det er vigtigt at lære hinanden bedre at kende," sagde en deltager. I dag ved vi bare ikke, hvad folk tænker i andre lande. Vi forstår ikke i tilstrækkelig grad vores respektive landes kultur og kontekst. Det er vigtigt, hvis vi sammen skal træffe gode beslutninger. </w:t>
      </w:r>
      <w:r>
        <w:br w:type="page"/>
      </w:r>
    </w:p>
    <w:p>
      <w:pPr>
        <w:pStyle w:val="P68B1DB1Normal117"/>
        <w:spacing w:lineRule="auto" w:line="240"/>
        <w:ind w:left="0" w:right="0" w:hanging="0"/>
        <w:rPr>
          <w:rFonts w:ascii="Calibri" w:hAnsi="Calibri"/>
          <w:b/>
          <w:b/>
          <w:i/>
          <w:i/>
          <w:color w:val="000000"/>
          <w:sz w:val="28"/>
        </w:rPr>
      </w:pPr>
      <w:r>
        <w:rPr/>
        <w:t xml:space="preserve">Digital transformation </w:t>
      </w:r>
    </w:p>
    <w:p>
      <w:pPr>
        <w:pStyle w:val="P68B1DB1Normal104"/>
        <w:widowControl w:val="false"/>
        <w:spacing w:lineRule="auto" w:line="240" w:before="62" w:after="0"/>
        <w:ind w:left="0" w:right="0" w:hanging="0"/>
        <w:jc w:val="left"/>
        <w:rPr/>
      </w:pPr>
      <w:r>
        <w:rPr/>
        <w:t xml:space="preserve">I den virtuelle verden er kravene til internetforbindelse, sikkerhed og privatliv stigende. EU føler sig ansvarlig i denne henseende og er fast besluttet på at sikre, at ingen lades i stikken i det digitale samfund. Desuden investerer EU i digitale løsninger på samfundsmæssige udfordringer. Hvad er Hollands vision for dette?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Anbefalinger — Vores virtuelle verdensbillede </w:t>
      </w:r>
    </w:p>
    <w:p>
      <w:pPr>
        <w:pStyle w:val="P68B1DB1Normal69"/>
        <w:widowControl w:val="false"/>
        <w:spacing w:lineRule="auto" w:line="240" w:before="65" w:after="0"/>
        <w:ind w:left="0" w:right="0" w:hanging="0"/>
        <w:jc w:val="left"/>
        <w:rPr/>
      </w:pPr>
      <w:r>
        <w:rPr/>
        <w:t xml:space="preserve">45 % af hollænderne mener, at den virtuelle verden er et vigtigt tema, og at EU skal gribe ind på dette område.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Sikring af et hurtigt, sikkert og stabilt internet overalt </w:t>
      </w:r>
    </w:p>
    <w:p>
      <w:pPr>
        <w:pStyle w:val="P68B1DB1Normal104"/>
        <w:widowControl w:val="false"/>
        <w:spacing w:lineRule="auto" w:line="240" w:before="49" w:after="0"/>
        <w:ind w:left="0" w:right="0" w:hanging="0"/>
        <w:jc w:val="left"/>
        <w:rPr/>
      </w:pPr>
      <w:r>
        <w:rPr/>
        <w:t xml:space="preserve">61 % af hollænderne mener, at EU bør sikre, at alle i Europa har adgang til et hurtigt og stabilt internet. Vi ser alle, at internettet spiller en stadig vigtigere rolle i vores liv. Vores børn vokser op med digital uddannelse. Og kommunikation går i stigende grad gennem internettet, både nationalt og internationalt. Vi er nogle gange bekymrede over den store afhængighed af internettet. Mange hollændere mener derfor, at EU er bedst i stand til at afsætte midler hertil, forudsat at de anvendes effektivt. Beskyttelse mod onlinekriminalitet er efter vores opfattelse det vigtigste spørgsmål, der skal behandles på europæisk plan. Der bør dog også lægges vægt på bekæmpelsen af internetkriminalitet på nationalt plan. </w:t>
      </w:r>
    </w:p>
    <w:p>
      <w:pPr>
        <w:pStyle w:val="P68B1DB1Normal113"/>
        <w:widowControl w:val="false"/>
        <w:spacing w:lineRule="auto" w:line="240" w:before="54" w:after="0"/>
        <w:ind w:left="0" w:right="0" w:hanging="0"/>
        <w:jc w:val="center"/>
        <w:rPr/>
      </w:pPr>
      <w:r>
        <w:rPr/>
        <w:t xml:space="preserve">Tanken om et cyberangreb på vores vandbeskyttelsessystem får mig til at føle mig sårbar.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Fastsættelse af klare regler og standarder for internetvirksomheder </w:t>
      </w:r>
    </w:p>
    <w:p>
      <w:pPr>
        <w:pStyle w:val="P68B1DB1Normal104"/>
        <w:widowControl w:val="false"/>
        <w:spacing w:lineRule="auto" w:line="240" w:before="49" w:after="0"/>
        <w:ind w:left="0" w:right="0" w:hanging="0"/>
        <w:jc w:val="left"/>
        <w:rPr/>
      </w:pPr>
      <w:r>
        <w:rPr/>
        <w:t xml:space="preserve">75 % af hollænderne mener, at EU bør sikre, at onlinekøb kan foretages med samme sikkerhedsniveau i alle EU-lande. Vi køber mere og mere i udlandet og deler følsomme personoplysninger på denne måde. Nogle gange virker det farligt. Det er svært at afgøre, hvilke hjemmesider der er troværdige. Det er godt, at EU udvikler europæiske regler og standarder for privatlivets fred, som alle kan forstå. Kraften i store internetvirksomheder er også en regelmæssig kilde til bekymring for os. Vi mener, at det er vores ansvar at udvise forsigtighed i brugen af vores data. Men vi mener også, at EU kan spille en rolle i denne henseende. EU-landene skal arbejde sammen for at sikre, at virksomheder som Google og Facebook ikke har for meget magt. </w:t>
      </w:r>
    </w:p>
    <w:p>
      <w:pPr>
        <w:pStyle w:val="P68B1DB1Normal113"/>
        <w:widowControl w:val="false"/>
        <w:spacing w:lineRule="auto" w:line="240" w:before="54" w:after="0"/>
        <w:ind w:left="0" w:right="0" w:hanging="0"/>
        <w:jc w:val="center"/>
        <w:rPr/>
      </w:pPr>
      <w:r>
        <w:rPr/>
        <w:t xml:space="preserve">Stillet over for en global spiller som Facebook, er vi relativt fattige som et lille land. </w:t>
      </w:r>
    </w:p>
    <w:p>
      <w:pPr>
        <w:pStyle w:val="P68B1DB1Normal111"/>
        <w:widowControl w:val="false"/>
        <w:spacing w:lineRule="auto" w:line="240" w:before="71" w:after="0"/>
        <w:ind w:left="0" w:right="0" w:hanging="0"/>
        <w:jc w:val="left"/>
        <w:rPr/>
      </w:pPr>
      <w:r>
        <w:rPr/>
        <w:t xml:space="preserve">3. Tilføjelse af implementering og praktiske forklaringer til reglerne om privatlivets fred </w:t>
      </w:r>
    </w:p>
    <w:p>
      <w:pPr>
        <w:pStyle w:val="Normal"/>
        <w:widowControl w:val="false"/>
        <w:spacing w:lineRule="auto" w:line="240" w:before="49" w:after="0"/>
        <w:ind w:left="0" w:right="0" w:hanging="0"/>
        <w:jc w:val="left"/>
        <w:rPr/>
      </w:pPr>
      <w:r>
        <w:rPr>
          <w:rFonts w:ascii="Calibri" w:hAnsi="Calibri"/>
          <w:color w:val="000000"/>
          <w:sz w:val="21"/>
        </w:rPr>
        <w:t xml:space="preserve">Med indførelsen af den generelle forordning om databeskyttelse (GDPR) ved hollænderne, at alle lande skal overholde de samme love og bestemmelser om privatlivets fred. Vi synes, det er godt at kunne regne med det, fordi privatlivets fred er et vigtigt spørgsmål. Nogle hollandske mener dog, at privatlivsregler undertiden er overdrevne eller ulogiske. Desuden kan denne lovgivning skabe en masse arbejde for iværksættere. Vi mener derfor, at der bør lægges større vægt på den praktiske gennemførelse af lovgivningen om privatlivets fred: støtte og information til både borgere og virksomheder. Vi mener navnlig, at medlemsstaterne har en rolle at spille. Spørgsmål om beskyttelse af privatlivets fred håndteres bedst af vores nationale myndigheder på vores eget sprog. </w:t>
      </w:r>
      <w:r>
        <w:br w:type="page"/>
      </w:r>
    </w:p>
    <w:p>
      <w:pPr>
        <w:pStyle w:val="P68B1DB1Normal108"/>
        <w:spacing w:lineRule="auto" w:line="240"/>
        <w:ind w:left="0" w:right="0" w:hanging="0"/>
        <w:rPr>
          <w:rFonts w:ascii="Calibri" w:hAnsi="Calibri"/>
          <w:b/>
          <w:b/>
          <w:i/>
          <w:i/>
          <w:color w:val="000000"/>
          <w:sz w:val="24"/>
        </w:rPr>
      </w:pPr>
      <w:r>
        <w:rPr/>
        <w:t xml:space="preserve">Online og on-site diskussioner og ideer </w:t>
      </w:r>
    </w:p>
    <w:p>
      <w:pPr>
        <w:pStyle w:val="P68B1DB1Normal118"/>
        <w:widowControl w:val="false"/>
        <w:spacing w:lineRule="auto" w:line="240" w:before="120" w:after="0"/>
        <w:ind w:left="0" w:right="889" w:hanging="0"/>
        <w:jc w:val="left"/>
        <w:rPr/>
      </w:pPr>
      <w:r>
        <w:rPr/>
        <w:t xml:space="preserve">IDÉ: Sæt strengere kriterier for programmører og virksomheder ved at forbyde farlige programmeringssprog. </w:t>
      </w:r>
    </w:p>
    <w:p>
      <w:pPr>
        <w:pStyle w:val="P68B1DB1Normal118"/>
        <w:widowControl w:val="false"/>
        <w:spacing w:lineRule="auto" w:line="240" w:before="87" w:after="0"/>
        <w:ind w:left="0" w:right="0" w:hanging="0"/>
        <w:jc w:val="left"/>
        <w:rPr>
          <w:rFonts w:ascii="Calibri" w:hAnsi="Calibri"/>
          <w:i/>
          <w:i/>
          <w:color w:val="000000"/>
          <w:sz w:val="21"/>
        </w:rPr>
      </w:pPr>
      <w:r>
        <w:rPr/>
        <w:t xml:space="preserve">Foreslå et gratis europæisk antivirusprogram til oprettelse af en europæisk firewall. </w:t>
      </w:r>
    </w:p>
    <w:p>
      <w:pPr>
        <w:pStyle w:val="P68B1DB1Normal118"/>
        <w:widowControl w:val="false"/>
        <w:spacing w:lineRule="auto" w:line="240" w:before="85" w:after="0"/>
        <w:ind w:left="0" w:right="42" w:hanging="0"/>
        <w:jc w:val="left"/>
        <w:rPr/>
      </w:pPr>
      <w:r>
        <w:rPr/>
        <w:t xml:space="preserve">Når jeg krydser grænsen til Tyskland, har jeg pludselig ikke længere et netværk på min mobiltelefon. Det burde ikke ske længere, vel? </w:t>
      </w:r>
    </w:p>
    <w:p>
      <w:pPr>
        <w:pStyle w:val="P68B1DB1Normal118"/>
        <w:widowControl w:val="false"/>
        <w:spacing w:lineRule="auto" w:line="240" w:before="85" w:after="0"/>
        <w:ind w:left="0" w:right="959" w:hanging="0"/>
        <w:jc w:val="left"/>
        <w:rPr/>
      </w:pPr>
      <w:r>
        <w:rPr/>
        <w:t xml:space="preserve">Med vores iPhones kan vi spore alle vores rejser. Vi har også vores del af ansvaret. </w:t>
      </w:r>
    </w:p>
    <w:p>
      <w:pPr>
        <w:pStyle w:val="P68B1DB1Normal118"/>
        <w:widowControl w:val="false"/>
        <w:spacing w:lineRule="auto" w:line="240" w:before="83" w:after="0"/>
        <w:ind w:left="0" w:right="0" w:hanging="0"/>
        <w:jc w:val="left"/>
        <w:rPr/>
      </w:pPr>
      <w:r>
        <w:rPr/>
        <w:t xml:space="preserve">Det er ikke praktisk at skulle udfylde en anden type privatlivsformular i hvert land. </w:t>
      </w:r>
    </w:p>
    <w:p>
      <w:pPr>
        <w:pStyle w:val="P68B1DB1Normal118"/>
        <w:widowControl w:val="false"/>
        <w:spacing w:lineRule="auto" w:line="240" w:before="87" w:after="0"/>
        <w:ind w:left="0" w:right="0" w:hanging="0"/>
        <w:jc w:val="left"/>
        <w:rPr>
          <w:rFonts w:ascii="Calibri" w:hAnsi="Calibri"/>
          <w:i/>
          <w:i/>
          <w:color w:val="000000"/>
          <w:sz w:val="21"/>
        </w:rPr>
      </w:pPr>
      <w:r>
        <w:rPr/>
        <w:t xml:space="preserve">IDÉ: Vi bør oprette et europæisk cyberpoliti. Det er helt klart noget for EU. </w:t>
      </w:r>
    </w:p>
    <w:p>
      <w:pPr>
        <w:pStyle w:val="P68B1DB1Normal111"/>
        <w:widowControl w:val="false"/>
        <w:spacing w:lineRule="auto" w:line="240" w:before="84" w:after="0"/>
        <w:ind w:left="0" w:right="823" w:hanging="0"/>
        <w:jc w:val="left"/>
        <w:rPr/>
      </w:pPr>
      <w:r>
        <w:rPr/>
        <w:t xml:space="preserve">Deltagere i onlinedialogen: At have internetadgang af høj kvalitet overalt er også i vores egen interesse. </w:t>
      </w:r>
    </w:p>
    <w:p>
      <w:pPr>
        <w:pStyle w:val="P68B1DB1Normal104"/>
        <w:widowControl w:val="false"/>
        <w:spacing w:lineRule="auto" w:line="240" w:before="97" w:after="0"/>
        <w:ind w:left="0" w:right="236" w:hanging="0"/>
        <w:jc w:val="left"/>
        <w:rPr/>
      </w:pPr>
      <w:r>
        <w:rPr/>
        <w:t xml:space="preserve">Under en af de tematiske onlinedialoger opstod der en interessant debat om EU's rolle i den virtuelle verden. Alle deltagere var enige om, at det var godt og vigtigt at have en god internetforbindelse i hele Europa. Men er det op til EU at håndtere det? Flere deltagere anførte, at dette primært var en opgave for de enkelte medlemsstater. En anden deltager understregede, at et stabilt internet af høj kvalitet i udlandet også var et aktiv for Nederlandene: Vi tjener milliarder af dollars på handel med andre EU-lande. Det er derfor i vores interesse, at disse lande fungerer godt. </w:t>
      </w:r>
    </w:p>
    <w:p>
      <w:pPr>
        <w:pStyle w:val="P68B1DB1Normal111"/>
        <w:widowControl w:val="false"/>
        <w:spacing w:lineRule="auto" w:line="240" w:before="40" w:after="0"/>
        <w:ind w:left="0" w:right="0" w:hanging="0"/>
        <w:jc w:val="left"/>
        <w:rPr>
          <w:rFonts w:ascii="Calibri" w:hAnsi="Calibri"/>
          <w:b/>
          <w:b/>
          <w:color w:val="000000"/>
          <w:sz w:val="22"/>
        </w:rPr>
      </w:pPr>
      <w:r>
        <w:rPr/>
        <w:t xml:space="preserve">Studerende i Helmond: Identiske regler og sanktioner for cyberkriminelle </w:t>
      </w:r>
    </w:p>
    <w:p>
      <w:pPr>
        <w:pStyle w:val="Normal"/>
        <w:widowControl w:val="false"/>
        <w:spacing w:lineRule="auto" w:line="240" w:before="95" w:after="0"/>
        <w:ind w:left="0" w:right="32" w:hanging="0"/>
        <w:jc w:val="left"/>
        <w:rPr/>
      </w:pPr>
      <w:r>
        <w:rPr>
          <w:rFonts w:ascii="Calibri" w:hAnsi="Calibri"/>
          <w:color w:val="000000"/>
          <w:sz w:val="21"/>
        </w:rPr>
        <w:t xml:space="preserve">På Dr. Knippenberg College i Helmond diskuterede elever i alderen 15 og 16 år problemet med internetkriminalitet. De hører jævnligt nyhederne. For eksempel, når der har været en datalækage i en virksomhed. Eller når et land som Rusland eller Kina forsøger at stjæle data. Da cyberkriminelle ofte arbejder på tværs af grænserne, finder de det logisk for europæiske lande at samarbejde. I den forbindelse overvejer de udviklingen af regler, men også definitionen af sanktioner. Hvis russiske cyberpirater forsøger at bryde ind i vores hjem, skal EU gøre en stærk indsats for at forhindre dem. </w:t>
      </w:r>
      <w:r>
        <w:br w:type="page"/>
      </w:r>
    </w:p>
    <w:p>
      <w:pPr>
        <w:pStyle w:val="P68B1DB1Normal117"/>
        <w:spacing w:lineRule="auto" w:line="240"/>
        <w:ind w:left="0" w:right="0" w:hanging="0"/>
        <w:rPr>
          <w:rFonts w:ascii="Calibri" w:hAnsi="Calibri"/>
          <w:b/>
          <w:b/>
          <w:i/>
          <w:i/>
          <w:color w:val="000000"/>
          <w:sz w:val="28"/>
        </w:rPr>
      </w:pPr>
      <w:r>
        <w:rPr/>
        <w:t xml:space="preserve">Uddannelse, kultur, ungdom og sport </w:t>
      </w:r>
    </w:p>
    <w:p>
      <w:pPr>
        <w:pStyle w:val="P68B1DB1Normal104"/>
        <w:widowControl w:val="false"/>
        <w:spacing w:lineRule="auto" w:line="240" w:before="93" w:after="0"/>
        <w:ind w:left="0" w:right="0" w:hanging="0"/>
        <w:jc w:val="left"/>
        <w:rPr/>
      </w:pPr>
      <w:r>
        <w:rPr/>
        <w:t xml:space="preserve">EU-landene er direkte ansvarlige for uddannelse, kultur, ungdom og sport. EU kan og vil gerne bistå dem i denne henseende, f.eks. ved at fremme uddannelse af høj kvalitet, flersprogethed, beskyttelse af kulturarven og støtte til kultur- og sportssektoren. Hvad er Hollands vision for dette?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Anbefalinger — Vores vision om uddannelse, kultur, ungdom og sport </w:t>
      </w:r>
    </w:p>
    <w:p>
      <w:pPr>
        <w:pStyle w:val="P68B1DB1Normal69"/>
        <w:widowControl w:val="false"/>
        <w:spacing w:lineRule="auto" w:line="240" w:before="123" w:after="0"/>
        <w:ind w:left="0" w:right="0" w:hanging="0"/>
        <w:jc w:val="left"/>
        <w:rPr/>
      </w:pPr>
      <w:r>
        <w:rPr/>
        <w:t xml:space="preserve">45 % af hollænderne mener, at uddannelse er et vigtigt spørgsmål, og at EU skal gribe ind på dette område. For unge, kultur og sport udgør dette tal henholdsvis 39 %, 23 % og 19 %.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Opmuntre studerende til at studere i udlandet intelligent </w:t>
      </w:r>
    </w:p>
    <w:p>
      <w:pPr>
        <w:pStyle w:val="P68B1DB1Normal104"/>
        <w:widowControl w:val="false"/>
        <w:spacing w:lineRule="auto" w:line="240"/>
        <w:ind w:left="0" w:right="0" w:hanging="0"/>
        <w:jc w:val="left"/>
        <w:rPr/>
      </w:pPr>
      <w:r>
        <w:rPr/>
        <w:t xml:space="preserve">Mange hollændere mener, at studier i udlandet har en positiv indvirkning på unge. Det bidrager til den personlige udvikling. Derudover kan studier i udlandet hjælpe europæerne med at forstå hinanden bedre. Det kan også bidrage til en bedre integration. Mange hollændere finder det derfor positivt, at der findes et Erasmus-program, der tilskynder til studier i udlandet. Men vi mener, at EU også bør fortsætte med kritisk at tage dette spørgsmål op. I praksis ser det f.eks. ud til, at internationale studerende for det meste bor sammen og ikke altid lærer meget om det land, de er i. EU skal også forhindre lande med et lavere vidensniveau i at "tømme", fordi alle talenter vil studere i udlandet. </w:t>
      </w:r>
    </w:p>
    <w:p>
      <w:pPr>
        <w:pStyle w:val="P68B1DB1Normal113"/>
        <w:widowControl w:val="false"/>
        <w:spacing w:lineRule="auto" w:line="240" w:before="167" w:after="0"/>
        <w:ind w:left="0" w:right="0" w:hanging="0"/>
        <w:jc w:val="center"/>
        <w:rPr/>
      </w:pPr>
      <w:r>
        <w:rPr/>
        <w:t xml:space="preserve">"Udvikling af udvekslingsprogrammer på erhvervsuddannelsesniveau også på sekundærtrinnet." </w:t>
      </w:r>
    </w:p>
    <w:p>
      <w:pPr>
        <w:pStyle w:val="Normal"/>
        <w:widowControl w:val="false"/>
        <w:spacing w:lineRule="auto" w:line="240" w:before="136" w:after="0"/>
        <w:ind w:left="0" w:right="0" w:hanging="0"/>
        <w:jc w:val="left"/>
        <w:rPr/>
      </w:pPr>
      <w:r>
        <w:rPr>
          <w:rFonts w:ascii="Calibri" w:hAnsi="Calibri"/>
          <w:b/>
          <w:color w:val="000000"/>
        </w:rPr>
        <w:t>2. Give medlemsstaterne mulighed for at fokusere på emner som kultur og sport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af hollænderne mener, at EU bør beskytte kulturarven bedre i Europa. Vi tænker f.eks. på templer i Grækenland. På den anden side finder vi, at lokal kultur primært er landenes eget ansvar. Det samme gælder f.eks. misbrug inden for sport. Vi anser dette for at være et vigtigt spørgsmål, men ikke en vigtig EU-mission. Europa skal nødvendigvis fastsætte prioriteter, og der er behov for betydelige finansielle ressourcer til andre spørgsmål. Vi kan nogle gange yde et finansielt bidrag, men nogle gange kan vi også samarbejde på andre måder, f.eks. ved at udveksle viden og ideer. </w:t>
      </w:r>
    </w:p>
    <w:p>
      <w:pPr>
        <w:pStyle w:val="P68B1DB1Normal113"/>
        <w:widowControl w:val="false"/>
        <w:spacing w:lineRule="auto" w:line="240" w:before="167" w:after="0"/>
        <w:ind w:left="0" w:right="0" w:hanging="0"/>
        <w:jc w:val="center"/>
        <w:rPr/>
      </w:pPr>
      <w:r>
        <w:rPr/>
        <w:t xml:space="preserve">Kulturbeskyttelsen ligger hos landene selv. Men hvis verdensarven forsømmes, mener jeg, at EU skal gribe ind.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At sikre, at europæerne lærer hinanden bedre at kende og respektere hinanden </w:t>
      </w:r>
    </w:p>
    <w:p>
      <w:pPr>
        <w:pStyle w:val="P68B1DB1Normal104"/>
        <w:widowControl w:val="false"/>
        <w:spacing w:lineRule="auto" w:line="240"/>
        <w:ind w:left="0" w:right="0" w:hanging="0"/>
        <w:jc w:val="left"/>
        <w:rPr/>
      </w:pPr>
      <w:r>
        <w:rPr/>
        <w:t xml:space="preserve">Hollænderne sætter pris på, at andre europæere taler engelsk godt. Det forenkler tingene, når vi er i udlandet. Og når vi f.eks. ønsker at kommunikere med vandrende arbejdstagere i Nederlandene. Samtidig finder mange hollandsk det meget vigtigt, at vi fortsætter med at tale og værdsætte vores eget sprog. Vi ønsker derfor også, at andre forskelle i Europa respekteres. Uanset om det er kultur, uddannelse eller sport, skal enhver føle sig fri og være i stand til at være sig selv. Forskelle kan undertiden forårsage spændinger, men de gør også det europæiske kontinent rigt. Mange hollændere mener, at landene bør have tid til at gøre sig bekendt med deres respektive vaner og ideer. </w:t>
      </w:r>
    </w:p>
    <w:p>
      <w:pPr>
        <w:pStyle w:val="P68B1DB1Normal113"/>
        <w:widowControl w:val="false"/>
        <w:spacing w:lineRule="auto" w:line="240" w:before="167" w:after="0"/>
        <w:ind w:left="0" w:right="0" w:hanging="0"/>
        <w:jc w:val="center"/>
        <w:rPr/>
      </w:pPr>
      <w:r>
        <w:rPr/>
        <w:t xml:space="preserve">For mig er EU som en gruppe venner. Vi respekterer vores forskelligheder, og jeg kan bede om hjælp, hvis jeg har brug for dem.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Online og on-site diskussioner og ideer </w:t>
      </w:r>
    </w:p>
    <w:p>
      <w:pPr>
        <w:pStyle w:val="P68B1DB1Normal118"/>
        <w:widowControl w:val="false"/>
        <w:spacing w:lineRule="auto" w:line="240" w:before="120" w:after="0"/>
        <w:ind w:left="0" w:right="0" w:hanging="0"/>
        <w:jc w:val="left"/>
        <w:rPr/>
      </w:pPr>
      <w:r>
        <w:rPr/>
        <w:t xml:space="preserve">IDÉ: Ud over den lokale læseplan bør der indføres en fælles europæisk læseplan på alle uddannelsesniveauer. </w:t>
      </w:r>
    </w:p>
    <w:p>
      <w:pPr>
        <w:pStyle w:val="P68B1DB1Normal118"/>
        <w:widowControl w:val="false"/>
        <w:spacing w:lineRule="auto" w:line="240" w:before="254" w:after="0"/>
        <w:ind w:left="0" w:right="0" w:hanging="0"/>
        <w:jc w:val="left"/>
        <w:rPr>
          <w:rFonts w:ascii="Calibri" w:hAnsi="Calibri"/>
          <w:i/>
          <w:i/>
          <w:color w:val="000000"/>
          <w:sz w:val="21"/>
        </w:rPr>
      </w:pPr>
      <w:r>
        <w:rPr/>
        <w:t xml:space="preserve">IDÉ: Ud over en kulturhovedstad bør du også vælge en hovedstad (eller land) hvert år inden for uddannelse, ungdom og sport. </w:t>
      </w:r>
    </w:p>
    <w:p>
      <w:pPr>
        <w:pStyle w:val="P68B1DB1Normal118"/>
        <w:widowControl w:val="false"/>
        <w:spacing w:lineRule="auto" w:line="240" w:before="85" w:after="0"/>
        <w:ind w:left="0" w:right="0" w:hanging="0"/>
        <w:jc w:val="left"/>
        <w:rPr/>
      </w:pPr>
      <w:r>
        <w:rPr/>
        <w:t xml:space="preserve">Det, der forener os i EU, er netop, at vi alle har vores egen nationale kultur. Og derfor ikke at kunne samles under banneret for en enkelt kultur. </w:t>
      </w:r>
    </w:p>
    <w:p>
      <w:pPr>
        <w:pStyle w:val="P68B1DB1Normal118"/>
        <w:widowControl w:val="false"/>
        <w:spacing w:lineRule="auto" w:line="240" w:before="87" w:after="0"/>
        <w:ind w:left="0" w:right="0" w:hanging="0"/>
        <w:jc w:val="left"/>
        <w:rPr>
          <w:rFonts w:ascii="Calibri" w:hAnsi="Calibri"/>
          <w:i/>
          <w:i/>
          <w:color w:val="000000"/>
          <w:sz w:val="21"/>
        </w:rPr>
      </w:pPr>
      <w:r>
        <w:rPr/>
        <w:t xml:space="preserve">I stedet for at fremhæve de negative ting, er det bedre at forsøge at fremme sporten. </w:t>
      </w:r>
    </w:p>
    <w:p>
      <w:pPr>
        <w:pStyle w:val="P68B1DB1Normal118"/>
        <w:widowControl w:val="false"/>
        <w:spacing w:lineRule="auto" w:line="240" w:before="85" w:after="0"/>
        <w:ind w:left="0" w:right="0" w:hanging="0"/>
        <w:jc w:val="left"/>
        <w:rPr/>
      </w:pPr>
      <w:r>
        <w:rPr/>
        <w:t xml:space="preserve">Jeg er integreret her, jeg betaler skat, men jeg er og forbliver latinamerikansk. Jeg elsker min tunge, min musik og min mad. Det handler ikke om Europa. </w:t>
      </w:r>
    </w:p>
    <w:p>
      <w:pPr>
        <w:pStyle w:val="P68B1DB1Normal118"/>
        <w:widowControl w:val="false"/>
        <w:spacing w:lineRule="auto" w:line="240" w:before="87" w:after="0"/>
        <w:ind w:left="0" w:right="0" w:hanging="0"/>
        <w:jc w:val="left"/>
        <w:rPr>
          <w:rFonts w:ascii="Calibri" w:hAnsi="Calibri"/>
          <w:i/>
          <w:i/>
          <w:color w:val="000000"/>
          <w:sz w:val="21"/>
        </w:rPr>
      </w:pPr>
      <w:r>
        <w:rPr/>
        <w:t xml:space="preserve">Vi taler for meget om økonomien i Europa. Og for lidt velvære. </w:t>
      </w:r>
    </w:p>
    <w:p>
      <w:pPr>
        <w:pStyle w:val="P68B1DB1Normal111"/>
        <w:widowControl w:val="false"/>
        <w:spacing w:lineRule="auto" w:line="240" w:before="84" w:after="0"/>
        <w:ind w:left="0" w:right="0" w:hanging="0"/>
        <w:jc w:val="left"/>
        <w:rPr>
          <w:rFonts w:ascii="Calibri" w:hAnsi="Calibri"/>
          <w:b/>
          <w:b/>
          <w:color w:val="000000"/>
          <w:sz w:val="22"/>
        </w:rPr>
      </w:pPr>
      <w:r>
        <w:rPr/>
        <w:t xml:space="preserve">Studerende fra universitetet i Leiden: Sprog er vigtigt, men det skal forblive et frit valg </w:t>
      </w:r>
    </w:p>
    <w:p>
      <w:pPr>
        <w:pStyle w:val="P68B1DB1Normal104"/>
        <w:widowControl w:val="false"/>
        <w:spacing w:lineRule="auto" w:line="240" w:before="100" w:after="0"/>
        <w:ind w:left="0" w:right="0" w:hanging="0"/>
        <w:jc w:val="left"/>
        <w:rPr/>
      </w:pPr>
      <w:r>
        <w:rPr/>
        <w:t xml:space="preserve">På Leiden University talte historiestuderende med hinanden. De føler, at det er vigtigt for folk at tale flere sprog. De mener, at beherskelse af flere sprog er stor for dets personlige udvikling og godt for handelsmæssige og politiske forbindelser inden for EU. De mener imidlertid, at sprog bør tilbydes i skolen og ikke gøres obligatoriske. De mener også, at et andet sprog ikke nødvendigvis behøver at være et europæisk sprog. "Hvis du bor i Østeuropa og vælger at lære russisk, er det din ret," sagde en af deltagerne. </w:t>
      </w:r>
    </w:p>
    <w:p>
      <w:pPr>
        <w:pStyle w:val="P68B1DB1Normal110"/>
        <w:widowControl w:val="false"/>
        <w:spacing w:lineRule="auto" w:line="240" w:before="223" w:after="0"/>
        <w:ind w:left="0" w:right="0" w:hanging="0"/>
        <w:jc w:val="left"/>
        <w:rPr/>
      </w:pPr>
      <w:r>
        <w:rPr>
          <w:b/>
        </w:rPr>
        <w:t xml:space="preserve">Det tyrkiske fællesskab af Schiedam: </w:t>
      </w:r>
      <w:r>
        <w:rPr>
          <w:sz w:val="21"/>
        </w:rPr>
        <w:t xml:space="preserve">På Hakder Foundation i Schiedam drøftede det lokale tyrkiske samfund betydningen af rimelige beskæftigelsesmuligheder for alle. Alle deltagere var enige om, at EU bør forpligte virksomheder til at tilbyde praktikophold eller job til unge med begrænsede udsigter. De anførte, at især unge migranter har svært ved at finde en praktikplads eller et job. Nogle gange tør de ikke engang gå til lægen, fordi de er bange for at skulle betale for besøget selv. For ikke at nævne at turde ansøge om en praktikplads eller et job, "sagde en af deltagerne. "Virksomhederne skal være mere opmærksomme, og EU kan tilskynde dem til at gøre det."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Beskrivelse af den metode, der er anvendt i undersøgelsen</w:t>
      </w:r>
      <w:r>
        <w:rPr>
          <w:color w:val="365F91"/>
        </w:rPr>
        <w:t xml:space="preserve"> </w:t>
      </w:r>
    </w:p>
    <w:p>
      <w:pPr>
        <w:pStyle w:val="P68B1DB1Normal104"/>
        <w:widowControl w:val="false"/>
        <w:spacing w:lineRule="auto" w:line="240" w:before="137" w:after="0"/>
        <w:ind w:left="0" w:right="0" w:hanging="0"/>
        <w:jc w:val="left"/>
        <w:rPr/>
      </w:pPr>
      <w:r>
        <w:rPr/>
        <w:t xml:space="preserve">Undersøgelsen "Vision of Europe" består af forskellige former for relateret dialog for at indsamle nederlandske borgeres synspunkter og idéer om Europas og EU's fremtid. I dette kapitel beskrives den metode, der anvendes til at sikre, at de relaterede former for dialog er i overensstemmelse med retningslinjerne for de nationale borgerpaneler i forbindelse med konferencen om Europas fremtid. </w:t>
      </w:r>
    </w:p>
    <w:p>
      <w:pPr>
        <w:pStyle w:val="P68B1DB1Normal110"/>
        <w:widowControl w:val="false"/>
        <w:spacing w:lineRule="auto" w:line="240" w:before="236" w:after="0"/>
        <w:ind w:left="0" w:right="0" w:hanging="0"/>
        <w:jc w:val="both"/>
        <w:rPr/>
      </w:pPr>
      <w:r>
        <w:rPr>
          <w:b/>
          <w:i/>
          <w:sz w:val="24"/>
        </w:rPr>
        <w:t xml:space="preserve">Design af relaterede former for dialog </w:t>
      </w:r>
      <w:r>
        <w:rPr>
          <w:sz w:val="21"/>
        </w:rPr>
        <w:t xml:space="preserve">Der anvendes følgende former for dialog: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Undersøgelse af et panel</w:t>
      </w:r>
    </w:p>
    <w:p>
      <w:pPr>
        <w:pStyle w:val="P68B1DB1Normal104"/>
        <w:widowControl w:val="false"/>
        <w:spacing w:lineRule="auto" w:line="240"/>
        <w:ind w:left="0" w:right="0" w:hanging="0"/>
        <w:jc w:val="left"/>
        <w:rPr>
          <w:rFonts w:ascii="Calibri" w:hAnsi="Calibri"/>
          <w:color w:val="000000"/>
          <w:sz w:val="21"/>
        </w:rPr>
      </w:pPr>
      <w:r>
        <w:rPr/>
        <w:t xml:space="preserve">Undersøgelse af en repræsentativ stikprøve af den nederlandske befolkning.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Tematiske onlinedialoger med henblik på uddybning</w:t>
      </w:r>
    </w:p>
    <w:p>
      <w:pPr>
        <w:pStyle w:val="P68B1DB1Normal104"/>
        <w:widowControl w:val="false"/>
        <w:spacing w:lineRule="auto" w:line="240"/>
        <w:ind w:left="0" w:right="0" w:hanging="0"/>
        <w:jc w:val="left"/>
        <w:rPr/>
      </w:pPr>
      <w:r>
        <w:rPr/>
        <w:t xml:space="preserve">Der tilrettelægges hver gang dialoger med en gruppe nederlandsk med henblik på at uddybe konklusionerne i den første interimsrapport "Vores vision for Europa" (8. oktober 2021), der giver et indledende overblik over resultaterne og supplerende spørgsmål.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Dialoger med specifikke grupper</w:t>
      </w:r>
    </w:p>
    <w:p>
      <w:pPr>
        <w:pStyle w:val="P68B1DB1Normal104"/>
        <w:widowControl w:val="false"/>
        <w:spacing w:lineRule="auto" w:line="240"/>
        <w:ind w:left="0" w:right="0" w:hanging="0"/>
        <w:jc w:val="left"/>
        <w:rPr>
          <w:rFonts w:ascii="Calibri" w:hAnsi="Calibri"/>
          <w:color w:val="000000"/>
          <w:sz w:val="21"/>
        </w:rPr>
      </w:pPr>
      <w:r>
        <w:rPr/>
        <w:t xml:space="preserve">Møder med hollandsk, som ikke er vant til at deltage i undersøgelser og paneler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Dialoger med de unge</w:t>
      </w:r>
    </w:p>
    <w:p>
      <w:pPr>
        <w:pStyle w:val="P68B1DB1Normal104"/>
        <w:widowControl w:val="false"/>
        <w:spacing w:lineRule="auto" w:line="240"/>
        <w:ind w:left="0" w:right="0" w:hanging="0"/>
        <w:jc w:val="left"/>
        <w:rPr>
          <w:rFonts w:ascii="Calibri" w:hAnsi="Calibri"/>
          <w:color w:val="000000"/>
          <w:sz w:val="21"/>
        </w:rPr>
      </w:pPr>
      <w:r>
        <w:rPr/>
        <w:t xml:space="preserve">Møder med fokus på de mest relevante europæiske temaer for unge.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Offentlig onlineundersøgelse: Spørgeskema og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to te future) </w:t>
      </w:r>
    </w:p>
    <w:p>
      <w:pPr>
        <w:pStyle w:val="P68B1DB1Normal104"/>
        <w:widowControl w:val="false"/>
        <w:spacing w:lineRule="auto" w:line="240"/>
        <w:ind w:left="0" w:right="0" w:hanging="0"/>
        <w:jc w:val="left"/>
        <w:rPr/>
      </w:pPr>
      <w:r>
        <w:rPr/>
        <w:t xml:space="preserve">Panelundersøgelsesspørgeskemaet kan også udfyldes af alle hollændere, herunder dem, der er bosiddende i udlandet. Dette spørgeskema forelå fra den 1. september 2021 til den 14. november 2021. Desuden var hver hollænder i samme periode i stand til at deltage i aktionen "Swipen naar de toekomst" (Swiper to the future), et onlineværktøj med 20 krav.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Undersøgelse af et panel </w:t>
      </w:r>
    </w:p>
    <w:p>
      <w:pPr>
        <w:pStyle w:val="P68B1DB1Normal104"/>
        <w:widowControl w:val="false"/>
        <w:spacing w:lineRule="auto" w:line="240" w:before="118" w:after="0"/>
        <w:ind w:left="0" w:right="0" w:hanging="0"/>
        <w:jc w:val="left"/>
        <w:rPr/>
      </w:pPr>
      <w:r>
        <w:rPr/>
        <w:t xml:space="preserve">Den hollandske borgerdialog "Vision of Europe" startede den 1. september med en panelundersøgelse. I denne beskrivelse af undersøgelsesmetodologien forklarer vi kort udformningen og gennemførelsen af denne undersøgelse til et panel. </w:t>
      </w:r>
    </w:p>
    <w:p>
      <w:pPr>
        <w:pStyle w:val="P68B1DB1Normal107"/>
        <w:widowControl w:val="false"/>
        <w:spacing w:lineRule="auto" w:line="240" w:before="43" w:after="0"/>
        <w:ind w:left="0" w:right="0" w:hanging="0"/>
        <w:jc w:val="left"/>
        <w:rPr>
          <w:rFonts w:ascii="Calibri" w:hAnsi="Calibri"/>
          <w:i/>
          <w:i/>
          <w:color w:val="000000"/>
          <w:sz w:val="24"/>
        </w:rPr>
      </w:pPr>
      <w:r>
        <w:rPr/>
        <w:t xml:space="preserve">Målgruppe og målgruppe </w:t>
      </w:r>
    </w:p>
    <w:p>
      <w:pPr>
        <w:pStyle w:val="Normal"/>
        <w:widowControl w:val="false"/>
        <w:spacing w:lineRule="auto" w:line="240" w:before="123" w:after="0"/>
        <w:ind w:left="0" w:right="0" w:hanging="0"/>
        <w:jc w:val="left"/>
        <w:rPr/>
      </w:pPr>
      <w:r>
        <w:rPr>
          <w:rFonts w:ascii="Calibri" w:hAnsi="Calibri"/>
          <w:color w:val="000000"/>
          <w:sz w:val="21"/>
        </w:rPr>
        <w:t>Undersøgelsen "Vision of Europe" startede med et onlinespørgeskema om, hvordan hollændere ser Europas fremtid. Dette spørgeskema er blevet sendt til et repræsentativt panel og er også åbent for alle nederlandske (herunder dem, der er bosiddende i udlandet). Desuden var hver person i stand til at deltage i aktionen "Swipen naar de toekomst"</w:t>
      </w:r>
      <w:commentRangeStart w:id="26"/>
      <w:r>
        <w:rPr>
          <w:rFonts w:ascii="Calibri" w:hAnsi="Calibri"/>
          <w:color w:val="000000"/>
          <w:sz w:val="21"/>
        </w:rPr>
        <w:t>(</w:t>
      </w:r>
      <w:r>
        <w:rPr>
          <w:rFonts w:ascii="Calibri" w:hAnsi="Calibri"/>
          <w:color w:val="000000"/>
          <w:sz w:val="21"/>
        </w:rPr>
      </w:r>
      <w:commentRangeEnd w:id="26"/>
      <w:r>
        <w:commentReference w:id="26"/>
      </w:r>
      <w:r>
        <w:rPr>
          <w:rFonts w:ascii="Calibri" w:hAnsi="Calibri"/>
          <w:color w:val="000000"/>
          <w:sz w:val="21"/>
        </w:rPr>
        <w:t xml:space="preserve"> Swiper to te future), et onlineværktøj med 20 krav. Resultaterne af panelundersøgelsen bidrog til flere tematiske dialoger, der var tilrettelagt som opfølgning på borgerdialogen "Vision of Europe".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Målpopulationen i panelundersøgelsen omfatter alle hollandske personer på 18 år eller derover, der var registreret som indbyggere i folkeregistret på det tidspunkt, hvor feltarbejdet begyndte. Ifølge det nederlandske nationale statistiske kontor (Centraal Bureau voor de Statistiek — CBS) havde denne målgruppe 14.190.874 personer pr. 1. januar 2021. Den nedre grænse på 18 år svarer til valgflertallet. Vi kalder det panelundersøgelsens befolkning.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Feltarbejde </w:t>
      </w:r>
    </w:p>
    <w:p>
      <w:pPr>
        <w:pStyle w:val="P68B1DB1Normal104"/>
        <w:widowControl w:val="false"/>
        <w:spacing w:lineRule="auto" w:line="240" w:before="127" w:after="0"/>
        <w:ind w:left="0" w:right="0" w:hanging="0"/>
        <w:jc w:val="left"/>
        <w:rPr/>
      </w:pPr>
      <w:r>
        <w:rPr/>
        <w:t xml:space="preserve">Et panel med mere end 100.000 deltagere fra hele landet (ISO-certificeret, Research Keurmerk groep, Nederlandse marktonderzoek Associatie) blev brugt til at opnå et digitalt billede af "Medium Dutch". Disse deltagere er indskrevet i undersøgelsespanelet for at give deres synspunkter om en bred vifte af emner regelmæssigt. Ud over deres egen motivation til at bidrage, betales de for at besvare spørgeskemaerne. Flere videnskabelige undersøgelser viser, at respondenter, der modtager kompensation for at udfylde et spørgeskema, ikke giver væsentligt forskellige svar (kilde: Er brugen af undersøgelsesincitamenter forringet datakvaliteten?Cole,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Feltarbejdet begyndte den 11. august 2021 og sluttede den 19. september 2021. Til gennemførelse blev der kun anvendt én metode til dataindsamling, nemlig internetundersøgelsen. Medlemmerne af undersøgelsespanelet modtog en e-mail med et personligt link til onlinespørgeskemaet. Efter to uger modtog paneldeltagerne en påmindelse. Invitationer til at deltage blev sendt i batcher og stratificeret (ved at sikre en ligelig fordeling af undergrupper), indtil det krævede antal respondenter var nået. </w:t>
      </w:r>
    </w:p>
    <w:p>
      <w:pPr>
        <w:pStyle w:val="P68B1DB1Normal107"/>
        <w:widowControl w:val="false"/>
        <w:spacing w:lineRule="auto" w:line="240" w:before="42" w:after="0"/>
        <w:ind w:left="0" w:right="0" w:hanging="0"/>
        <w:jc w:val="left"/>
        <w:rPr>
          <w:rFonts w:ascii="Calibri" w:hAnsi="Calibri"/>
          <w:i/>
          <w:i/>
          <w:color w:val="000000"/>
          <w:sz w:val="24"/>
        </w:rPr>
      </w:pPr>
      <w:r>
        <w:rPr/>
        <w:t xml:space="preserve">Prøveudtagning og distribution </w:t>
      </w:r>
    </w:p>
    <w:p>
      <w:pPr>
        <w:pStyle w:val="P68B1DB1Normal104"/>
        <w:widowControl w:val="false"/>
        <w:spacing w:lineRule="auto" w:line="240" w:before="123" w:after="0"/>
        <w:ind w:left="0" w:right="0" w:hanging="0"/>
        <w:jc w:val="left"/>
        <w:rPr/>
      </w:pPr>
      <w:r>
        <w:rPr/>
        <w:t xml:space="preserve">Udformningen af undersøgelsen er baseret på princippet om, at mindst 3.600 respondenter skal deltage i undersøgelsen for at sikre god statistisk pålidelighed. Hertil kommer, at dette tal giver en god fordeling mellem de forskellige generelle karakteristika af befolkningen. Der er ikke kun én slags hollænder. Vi har derfor på forhånd sikret, at prøven fordeles godt over en række karakteristika. Nederlandene er et relativt lille land, men meningerne kan variere fra region til region. Placeringen og betydningen af ​​temaerne kan (delvis) bestemmes af den region, hvor du bor. For eksempel kan folk, der bor i landdistrikterne, forstå et emne som f.eks. sikkerhed anderledes end i byområder. Undersøgelser foretaget af det nederlandske kontor for social- og kulturplanlægning viser også, at personer med et højere studieniveau oftere støtter EU end personer med et lavere studieniveau, og at unge støtter EU mere end ældre (kilde: Wat willen Nederlanders van de Europese Unie?Dutch Social and Cultural Office,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Derfor har vi tidligere fordelt følgende tre karakteristika forholdsmæssigt for at sikre stikprøvens repræsentativitet: (1) bopæl gennem COROP-regioner, (2) alder og 3) uddannelsesniveau. Fordelingen af stikprøven blev også præsenteret efter følgende generelle egenskaber: køn, oprindelse, hovedbeskæftigelse, politisk orientering.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COROP-regionerne er blevet udviklet på grundlag af nodalprincippet (et "hjerte" med et tiltrækningsområde eller en regional funktion) baseret på strømmen af personer, der pendler. Nogle få overtrædelser af nodalprincippet er blevet indrømmet, således at regionerne følger provinsens grænser. Efter omorganiseringen af kommunerne uden for COROP-grænserne blev fordelingen justeret (kilde: Nederlandenes nationale statistiske kontor). Inden for COROP-regionerne har vi sikret en god fordeling mellem aldersgrupperne med følgende opdeling: alderen 18-34, 35-54, 55-75 og over 75 år.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Endelig sikrede vi en repræsentativ fordeling af uddannelsesniveauerne. I stikprøven svarer fordelingen af respondenter til fordelingen på nationalt plan af det højeste uddannelsesniveau, hvilket er som følger: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Højeste uddannelsesniveau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Lav: grundskole, forberedende erhvervsuddannelse, 1.-3. klasse af almen gymnasial uddannelse/førskoleundervisning, erhvervsuddannelse på sekundærtrinnet niveau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Mellemled: almen uddannelse på gymnasialt niveau/præuniversitetsuddannelse, erhvervsuddannelse på sekundærtrinnet niveau 2-4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Høj: videregående erhvervsuddannelse eller universitetsuddannelse</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Ukendt</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Svarprocent </w:t>
      </w:r>
    </w:p>
    <w:p>
      <w:pPr>
        <w:pStyle w:val="P68B1DB1Normal104"/>
        <w:widowControl w:val="false"/>
        <w:spacing w:lineRule="exact" w:line="283" w:before="87" w:after="0"/>
        <w:ind w:left="0" w:right="368" w:hanging="0"/>
        <w:jc w:val="left"/>
        <w:rPr/>
      </w:pPr>
      <w:r>
        <w:rPr/>
        <w:t xml:space="preserve">I alt deltog 4.086 personer i undersøgelsen pr. panel. Målet om 3 600 fuldt udfyldte spørgeskemaer er derfor nået.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Svar fra COROP-regioner og alder</w:t>
            </w:r>
          </w:p>
        </w:tc>
        <w:tc>
          <w:tcPr>
            <w:tcW w:w="1348" w:type="dxa"/>
            <w:tcBorders/>
            <w:shd w:fill="auto" w:val="clear"/>
            <w:vAlign w:val="bottom"/>
          </w:tcPr>
          <w:p>
            <w:pPr>
              <w:pStyle w:val="P68B1DB1Contenudetableau122"/>
              <w:spacing w:before="57" w:after="57"/>
              <w:jc w:val="left"/>
              <w:rPr>
                <w:b/>
                <w:b/>
                <w:color w:val="000000"/>
              </w:rPr>
            </w:pPr>
            <w:r>
              <w:rPr/>
              <w:t>18-34 år gammel</w:t>
            </w:r>
          </w:p>
        </w:tc>
        <w:tc>
          <w:tcPr>
            <w:tcW w:w="1348" w:type="dxa"/>
            <w:tcBorders/>
            <w:shd w:fill="auto" w:val="clear"/>
            <w:vAlign w:val="bottom"/>
          </w:tcPr>
          <w:p>
            <w:pPr>
              <w:pStyle w:val="P68B1DB1Contenudetableau122"/>
              <w:spacing w:before="57" w:after="57"/>
              <w:jc w:val="left"/>
              <w:rPr>
                <w:b/>
                <w:b/>
                <w:color w:val="000000"/>
              </w:rPr>
            </w:pPr>
            <w:r>
              <w:rPr/>
              <w:t>35-54 år gammel</w:t>
            </w:r>
          </w:p>
        </w:tc>
        <w:tc>
          <w:tcPr>
            <w:tcW w:w="1574" w:type="dxa"/>
            <w:tcBorders/>
            <w:shd w:fill="auto" w:val="clear"/>
            <w:vAlign w:val="bottom"/>
          </w:tcPr>
          <w:p>
            <w:pPr>
              <w:pStyle w:val="P68B1DB1Contenudetableau122"/>
              <w:spacing w:before="57" w:after="57"/>
              <w:jc w:val="left"/>
              <w:rPr>
                <w:b/>
                <w:b/>
                <w:color w:val="000000"/>
              </w:rPr>
            </w:pPr>
            <w:r>
              <w:rPr/>
              <w:t>55 til 75 år</w:t>
            </w:r>
          </w:p>
        </w:tc>
        <w:tc>
          <w:tcPr>
            <w:tcW w:w="1352" w:type="dxa"/>
            <w:tcBorders/>
            <w:shd w:fill="auto" w:val="clear"/>
            <w:vAlign w:val="bottom"/>
          </w:tcPr>
          <w:p>
            <w:pPr>
              <w:pStyle w:val="P68B1DB1Contenudetableau122"/>
              <w:spacing w:before="57" w:after="57"/>
              <w:jc w:val="left"/>
              <w:rPr>
                <w:b/>
                <w:b/>
                <w:color w:val="000000"/>
              </w:rPr>
            </w:pPr>
            <w:r>
              <w:rPr/>
              <w:t xml:space="preserve"> </w:t>
            </w:r>
            <w:r>
              <w:rPr/>
              <w:t>mere end 75 år gammel</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Det nordlige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Sydøst for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Sydvest for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Det nordlige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Sydøst for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Sydvest for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Hoteller i nærheden af 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Sydvest for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Det østlige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Resten af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Hoteller i nærheden af Central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Hoteller i nærheden af Northern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Sydlige 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Seværdigheder i North Brabant</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5"/>
        <w:gridCol w:w="1393"/>
        <w:gridCol w:w="1393"/>
        <w:gridCol w:w="1370"/>
        <w:gridCol w:w="1377"/>
      </w:tblGrid>
      <w:tr>
        <w:trPr>
          <w:trHeight w:val="356" w:hRule="atLeast"/>
        </w:trPr>
        <w:tc>
          <w:tcPr>
            <w:tcW w:w="4105" w:type="dxa"/>
            <w:tcBorders/>
            <w:shd w:fill="auto" w:val="clear"/>
            <w:vAlign w:val="bottom"/>
          </w:tcPr>
          <w:p>
            <w:pPr>
              <w:pStyle w:val="P68B1DB1Contenudetableau122"/>
              <w:spacing w:before="57" w:after="57"/>
              <w:jc w:val="left"/>
              <w:rPr>
                <w:b/>
                <w:b/>
                <w:color w:val="000000"/>
              </w:rPr>
            </w:pPr>
            <w:r>
              <w:rPr/>
              <w:t xml:space="preserve">Svar fra COROP-regioner og alder </w:t>
            </w:r>
          </w:p>
        </w:tc>
        <w:tc>
          <w:tcPr>
            <w:tcW w:w="1393" w:type="dxa"/>
            <w:tcBorders/>
            <w:shd w:fill="auto" w:val="clear"/>
            <w:vAlign w:val="bottom"/>
          </w:tcPr>
          <w:p>
            <w:pPr>
              <w:pStyle w:val="P68B1DB1Contenudetableau122"/>
              <w:spacing w:before="57" w:after="57"/>
              <w:jc w:val="left"/>
              <w:rPr>
                <w:b/>
                <w:b/>
                <w:color w:val="000000"/>
              </w:rPr>
            </w:pPr>
            <w:r>
              <w:rPr/>
              <w:t>18-34 år gammel</w:t>
            </w:r>
          </w:p>
        </w:tc>
        <w:tc>
          <w:tcPr>
            <w:tcW w:w="1393" w:type="dxa"/>
            <w:tcBorders/>
            <w:shd w:fill="auto" w:val="clear"/>
            <w:vAlign w:val="bottom"/>
          </w:tcPr>
          <w:p>
            <w:pPr>
              <w:pStyle w:val="P68B1DB1Contenudetableau122"/>
              <w:spacing w:before="57" w:after="57"/>
              <w:jc w:val="left"/>
              <w:rPr>
                <w:b/>
                <w:b/>
                <w:color w:val="000000"/>
              </w:rPr>
            </w:pPr>
            <w:r>
              <w:rPr/>
              <w:t>35-54 år gammel</w:t>
            </w:r>
          </w:p>
        </w:tc>
        <w:tc>
          <w:tcPr>
            <w:tcW w:w="1370" w:type="dxa"/>
            <w:tcBorders/>
            <w:shd w:fill="auto" w:val="clear"/>
            <w:vAlign w:val="bottom"/>
          </w:tcPr>
          <w:p>
            <w:pPr>
              <w:pStyle w:val="P68B1DB1Contenudetableau122"/>
              <w:spacing w:before="57" w:after="57"/>
              <w:jc w:val="left"/>
              <w:rPr>
                <w:b/>
                <w:b/>
                <w:color w:val="000000"/>
              </w:rPr>
            </w:pPr>
            <w:r>
              <w:rPr/>
              <w:t>55 til 75 år</w:t>
            </w:r>
          </w:p>
        </w:tc>
        <w:tc>
          <w:tcPr>
            <w:tcW w:w="1377" w:type="dxa"/>
            <w:tcBorders/>
            <w:shd w:fill="auto" w:val="clear"/>
            <w:vAlign w:val="bottom"/>
          </w:tcPr>
          <w:p>
            <w:pPr>
              <w:pStyle w:val="P68B1DB1Contenudetableau122"/>
              <w:spacing w:before="57" w:after="57"/>
              <w:jc w:val="left"/>
              <w:rPr>
                <w:b/>
                <w:b/>
                <w:color w:val="000000"/>
              </w:rPr>
            </w:pPr>
            <w:r>
              <w:rPr/>
              <w:t>mere end 75 år gammel</w:t>
            </w:r>
          </w:p>
        </w:tc>
      </w:tr>
      <w:tr>
        <w:trPr>
          <w:trHeight w:val="536"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Nordøst for Nordbrabant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Vest for North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Sydøst for North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Agglomeration i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og dens omgivelser</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Fantastisk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og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Toppen af det nordlige 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Zaan Region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Det nordlige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Sydvest for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Resten af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Flandern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Agglomerering af Leiden og område af pærer</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Agglomerationen af Haag</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og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Øst for det sydlige 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Sydøst for Sydholland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Svar efter uddannelsesniveau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Lav</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Mellemled</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Høj</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Ukendt</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Pålidelighed og repræsentativitet </w:t>
      </w:r>
    </w:p>
    <w:p>
      <w:pPr>
        <w:pStyle w:val="P68B1DB1Normal104"/>
        <w:widowControl w:val="false"/>
        <w:spacing w:lineRule="auto" w:line="240" w:before="87" w:after="0"/>
        <w:ind w:left="0" w:right="0" w:hanging="0"/>
        <w:jc w:val="left"/>
        <w:rPr/>
      </w:pPr>
      <w:r>
        <w:rPr/>
        <w:t xml:space="preserve">Antallet af respondenter på 4.086 gør det muligt at foretage observationer for hele populationen med et konfidensniveau på 95 % og en fejlmargen på 1,53 %. Konfidensniveauet og fejlmargenen for resultaterne bestemmes af stikprøvestørrelsen. Jo større prøven er, jo mere pålidelig og nøjagtig kan resultaterne ekstrapoleres til hele populationen.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Konfidensniveauet defineres som 1 (100 %) minus meningsniveauet. Det er almindeligt at være baseret på en 5 % betydning niveau. Vi taler om et 95 % tillidsniveau. Med andre ord, hvis undersøgelsen blev gentaget på samme måde og under de samme betingelser, ville resultaterne være de samme i 95 % af tilfældene. </w:t>
      </w:r>
    </w:p>
    <w:p>
      <w:pPr>
        <w:pStyle w:val="P68B1DB1Normal104"/>
        <w:widowControl w:val="false"/>
        <w:spacing w:lineRule="auto" w:line="240"/>
        <w:ind w:left="0" w:right="0" w:hanging="0"/>
        <w:jc w:val="left"/>
        <w:rPr/>
      </w:pPr>
      <w:r>
        <w:rPr/>
        <w:t xml:space="preserve">Nøjagtighed (udtrykt ved fejlmargen) angiver det værdiinterval, inden for hvilket den faktiske værdi i populationen er placeret. Med andre ord: hvad ville være den maksimale forskel mellem resultaterne af stikprøven og de resultater, der ville blive opnået fra populationen som helhed? En fejlmargen på 1,53 % betyder, at den faktiske værdi inden for den samlede population kan være 1,53 % højere eller lavere end stikprøveværdien. Hvis en undersøgelse af en stikprøve af personer f.eks. viser, at 50 % af respondenterne mener, at et bestemt tema er vigtigt, er den faktiske procentdel 1,53 % højere eller lavere end 50 %, dvs. mellem 48,47 og 51,53 %. En maksimal fejlmargen på 5 % er almindelig og generelt accepteret i kvantitative undersøgelser (statistik). </w:t>
      </w:r>
    </w:p>
    <w:p>
      <w:pPr>
        <w:pStyle w:val="P68B1DB1Normal104"/>
        <w:widowControl w:val="false"/>
        <w:spacing w:lineRule="auto" w:line="240"/>
        <w:ind w:left="0" w:right="0" w:hanging="0"/>
        <w:jc w:val="left"/>
        <w:rPr/>
      </w:pPr>
      <w:r>
        <w:rPr/>
        <w:t xml:space="preserve">Ud over pålideligheden er stikprøvens repræsentativitet vigtig. Da invitationerne til at deltage er blevet sendt i batcher og stratificeret, er resultaterne repræsentative med hensyn til COROP-regionens karakteristika og aldersgrupperne i COROP-regionen. Svarene er også repræsentative for uddannelsesniveauet sammenlignet med det højeste uddannelsesniveau, der er opnået på nationalt plan. </w:t>
      </w:r>
    </w:p>
    <w:p>
      <w:pPr>
        <w:pStyle w:val="P68B1DB1Normal107"/>
        <w:widowControl w:val="false"/>
        <w:spacing w:lineRule="auto" w:line="240"/>
        <w:ind w:left="0" w:right="0" w:hanging="0"/>
        <w:jc w:val="left"/>
        <w:rPr>
          <w:rFonts w:ascii="Calibri" w:hAnsi="Calibri"/>
          <w:i/>
          <w:i/>
          <w:color w:val="000000"/>
          <w:sz w:val="24"/>
        </w:rPr>
      </w:pPr>
      <w:r>
        <w:rPr/>
        <w:t xml:space="preserve">Andre generelle egenskaber </w:t>
      </w:r>
    </w:p>
    <w:p>
      <w:pPr>
        <w:pStyle w:val="P68B1DB1Normal104"/>
        <w:widowControl w:val="false"/>
        <w:spacing w:lineRule="auto" w:line="240" w:before="5" w:after="0"/>
        <w:ind w:left="0" w:right="0" w:hanging="0"/>
        <w:jc w:val="left"/>
        <w:rPr/>
      </w:pPr>
      <w:r>
        <w:rPr/>
        <w:t xml:space="preserve">En række yderligere kontekstuelle spørgsmål blev stillet til undersøgelsesdeltagerne pr. panel. Disse omfatter køn, EU's positionering, oprindelse, hovederhverv og det politiske parti, som personen ville stemme på i tilfælde af valg. </w:t>
      </w:r>
    </w:p>
    <w:p>
      <w:pPr>
        <w:pStyle w:val="P68B1DB1Normal104"/>
        <w:widowControl w:val="false"/>
        <w:spacing w:lineRule="auto" w:line="240"/>
        <w:ind w:left="0" w:right="0" w:hanging="0"/>
        <w:jc w:val="left"/>
        <w:rPr/>
      </w:pPr>
      <w:r>
        <w:rPr/>
        <w:t xml:space="preserve">49 % af respondenterne er mænd, 50 % er kvinder, og 1 % foretrækker ikke at besvare dette spørgsmål. </w:t>
      </w:r>
    </w:p>
    <w:p>
      <w:pPr>
        <w:pStyle w:val="Normal"/>
        <w:widowControl w:val="false"/>
        <w:spacing w:lineRule="auto" w:line="240"/>
        <w:ind w:left="0" w:right="0" w:hanging="0"/>
        <w:jc w:val="left"/>
        <w:rPr/>
      </w:pPr>
      <w:r>
        <w:rPr>
          <w:rFonts w:ascii="Calibri" w:hAnsi="Calibri"/>
          <w:color w:val="000000"/>
          <w:sz w:val="21"/>
        </w:rPr>
        <w:t xml:space="preserve">51 % af respondenterne mener, at det er godt for Nederlandene at være medlem af EU, 13 % mener, at det er en dårlig ting, og 36 % er neutrale eller har ingen mening. </w:t>
      </w:r>
      <w:r>
        <w:br w:type="page"/>
      </w:r>
    </w:p>
    <w:p>
      <w:pPr>
        <w:pStyle w:val="P68B1DB1Normal104"/>
        <w:spacing w:lineRule="auto" w:line="240"/>
        <w:ind w:left="0" w:right="0" w:hanging="0"/>
        <w:rPr/>
      </w:pPr>
      <w:r>
        <w:rPr/>
        <w:t xml:space="preserve">95 % af respondenterne er født i Holland. 89 % af respondenterne oplyste, at begge forældre var født i Nederlandene. 5 % blev født af to forældre selv født i udlandet.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Respondenternes aktuelle politiske orientering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Fest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6150"/>
        <w:gridCol w:w="3487"/>
      </w:tblGrid>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(Folkepartiet for Frihed og Demokrati)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(Frihedsparti)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(socialistisk parti)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(Demokraterne 66)</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(kristne demokratiske opkald)</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(Arbejdspartiet)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(dyrepartiet)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(Grøn Venstre)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(Kristne Union)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(Farmer-borgerbevægelsen)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 for Demokrati)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(Reformed Political Party)</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Groep Van Haga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Fractie Den Haan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Andet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Hvid stemme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Jeg foretrækker ikke at svare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Jeg stemmer ikke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Hvad er dit hovederhverv i øjeblikket?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Besættelse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Studerende/studerende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Deltidsansat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Fuldtidsansat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Uafhængig entreprenør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Person hjemme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Jobsøgende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Frivillig</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Uarbejdsdygtighed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Pensioneret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Andet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Jeg foretrækker ikke at svare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Spørgeskema</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Spørgeskemaet og denne rapport blev udarbejdet af en uafhængig ekstern organisation efter anmodning fra Udenrigsministeriet. Spørgeskemaet indeholder en modulopbygget struktur og omfatter følgende spørgsmål i overensstemmelse med de temaer, der blev udpeget til konferencen om Europas fremtid: Vigtige temaer og Europas rolle </w:t>
      </w:r>
    </w:p>
    <w:p>
      <w:pPr>
        <w:pStyle w:val="P68B1DB1Normal104"/>
        <w:widowControl w:val="false"/>
        <w:spacing w:lineRule="auto" w:line="240" w:before="1" w:after="0"/>
        <w:ind w:left="0" w:right="0" w:hanging="0"/>
        <w:jc w:val="left"/>
        <w:rPr>
          <w:rFonts w:ascii="Calibri" w:hAnsi="Calibri"/>
          <w:color w:val="000000"/>
          <w:sz w:val="21"/>
        </w:rPr>
      </w:pPr>
      <w:r>
        <w:rPr/>
        <w:t xml:space="preserve">Klimaændringer og miljø </w:t>
      </w:r>
    </w:p>
    <w:p>
      <w:pPr>
        <w:pStyle w:val="P68B1DB1Normal104"/>
        <w:widowControl w:val="false"/>
        <w:spacing w:lineRule="auto" w:line="240"/>
        <w:ind w:left="0" w:right="0" w:hanging="0"/>
        <w:jc w:val="left"/>
        <w:rPr>
          <w:rFonts w:ascii="Calibri" w:hAnsi="Calibri"/>
          <w:color w:val="000000"/>
          <w:sz w:val="21"/>
        </w:rPr>
      </w:pPr>
      <w:r>
        <w:rPr/>
        <w:t xml:space="preserve">Sundhed </w:t>
      </w:r>
    </w:p>
    <w:p>
      <w:pPr>
        <w:pStyle w:val="P68B1DB1Normal104"/>
        <w:widowControl w:val="false"/>
        <w:spacing w:lineRule="auto" w:line="240" w:before="1" w:after="0"/>
        <w:ind w:left="0" w:right="0" w:hanging="0"/>
        <w:jc w:val="left"/>
        <w:rPr>
          <w:rFonts w:ascii="Calibri" w:hAnsi="Calibri"/>
          <w:color w:val="000000"/>
          <w:sz w:val="21"/>
        </w:rPr>
      </w:pPr>
      <w:r>
        <w:rPr/>
        <w:t xml:space="preserve">Økonomi og beskæftigelse </w:t>
      </w:r>
    </w:p>
    <w:p>
      <w:pPr>
        <w:pStyle w:val="P68B1DB1Normal104"/>
        <w:widowControl w:val="false"/>
        <w:spacing w:lineRule="auto" w:line="240"/>
        <w:ind w:left="0" w:right="0" w:hanging="0"/>
        <w:jc w:val="left"/>
        <w:rPr>
          <w:rFonts w:ascii="Calibri" w:hAnsi="Calibri"/>
          <w:color w:val="000000"/>
          <w:sz w:val="21"/>
        </w:rPr>
      </w:pPr>
      <w:r>
        <w:rPr/>
        <w:t xml:space="preserve">Den Europæiske Unions rolle i verden </w:t>
      </w:r>
    </w:p>
    <w:p>
      <w:pPr>
        <w:pStyle w:val="P68B1DB1Normal104"/>
        <w:widowControl w:val="false"/>
        <w:spacing w:lineRule="auto" w:line="240" w:before="1" w:after="0"/>
        <w:ind w:left="0" w:right="0" w:hanging="0"/>
        <w:jc w:val="left"/>
        <w:rPr>
          <w:rFonts w:ascii="Calibri" w:hAnsi="Calibri"/>
          <w:color w:val="000000"/>
          <w:sz w:val="21"/>
        </w:rPr>
      </w:pPr>
      <w:r>
        <w:rPr/>
        <w:t xml:space="preserve">Sikkerhed og retsstatsprincippet </w:t>
      </w:r>
    </w:p>
    <w:p>
      <w:pPr>
        <w:pStyle w:val="P68B1DB1Normal104"/>
        <w:widowControl w:val="false"/>
        <w:spacing w:lineRule="auto" w:line="240"/>
        <w:ind w:left="0" w:right="0" w:hanging="0"/>
        <w:jc w:val="left"/>
        <w:rPr>
          <w:rFonts w:ascii="Calibri" w:hAnsi="Calibri"/>
          <w:color w:val="000000"/>
          <w:sz w:val="21"/>
        </w:rPr>
      </w:pPr>
      <w:r>
        <w:rPr/>
        <w:t xml:space="preserve">Den virtuelle verden </w:t>
      </w:r>
    </w:p>
    <w:p>
      <w:pPr>
        <w:pStyle w:val="P68B1DB1Normal104"/>
        <w:widowControl w:val="false"/>
        <w:spacing w:lineRule="auto" w:line="240" w:before="1" w:after="0"/>
        <w:ind w:left="0" w:right="0" w:hanging="0"/>
        <w:jc w:val="left"/>
        <w:rPr>
          <w:rFonts w:ascii="Calibri" w:hAnsi="Calibri"/>
          <w:color w:val="000000"/>
          <w:sz w:val="21"/>
        </w:rPr>
      </w:pPr>
      <w:r>
        <w:rPr/>
        <w:t xml:space="preserve">Det europæiske demokrati </w:t>
      </w:r>
    </w:p>
    <w:p>
      <w:pPr>
        <w:pStyle w:val="P68B1DB1Normal104"/>
        <w:widowControl w:val="false"/>
        <w:spacing w:lineRule="auto" w:line="240"/>
        <w:ind w:left="0" w:right="0" w:hanging="0"/>
        <w:jc w:val="left"/>
        <w:rPr>
          <w:rFonts w:ascii="Calibri" w:hAnsi="Calibri"/>
          <w:color w:val="000000"/>
          <w:sz w:val="21"/>
        </w:rPr>
      </w:pPr>
      <w:r>
        <w:rPr/>
        <w:t xml:space="preserve">Migration og flygtninge </w:t>
      </w:r>
    </w:p>
    <w:p>
      <w:pPr>
        <w:pStyle w:val="P68B1DB1Normal104"/>
        <w:widowControl w:val="false"/>
        <w:spacing w:lineRule="auto" w:line="240" w:before="1" w:after="0"/>
        <w:ind w:left="0" w:right="0" w:hanging="0"/>
        <w:jc w:val="left"/>
        <w:rPr>
          <w:rFonts w:ascii="Calibri" w:hAnsi="Calibri"/>
          <w:color w:val="000000"/>
          <w:sz w:val="21"/>
        </w:rPr>
      </w:pPr>
      <w:r>
        <w:rPr/>
        <w:t xml:space="preserve">Uddannelse/kultur/ungdom/sport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Under udarbejdelsen af spørgeskemaet blev der lagt stor vægt på kvaliteten, pålideligheden og gyldigheden af spørgsmålene. Af denne grund blev der søgt en neutral, ikke-guidet formulering af spørgsmål, påstande og svarmuligheder, og det blev verificeret, at spørgsmålene var formuleret i forståeligt sprog (niveau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Spørgeskemaet blev underkastet kvalitetstest gennem ansigt-til-ansigt interviews med testdeltagerne i målgruppen. Dette gav os mulighed for at undersøge, hvordan spørgsmål forstås af forskellige typer respondenter. Hvis et spørgsmål syntes at repræsentere en alt for stor (for kompleks) kognitiv belastning, var det passende. </w:t>
      </w:r>
      <w:r>
        <w:br w:type="page"/>
      </w:r>
    </w:p>
    <w:p>
      <w:pPr>
        <w:pStyle w:val="P68B1DB1Normal107"/>
        <w:spacing w:lineRule="auto" w:line="240"/>
        <w:ind w:left="0" w:right="0" w:hanging="0"/>
        <w:rPr>
          <w:rFonts w:ascii="Calibri" w:hAnsi="Calibri"/>
          <w:i/>
          <w:i/>
          <w:color w:val="000000"/>
          <w:sz w:val="24"/>
        </w:rPr>
      </w:pPr>
      <w:r>
        <w:rPr/>
        <w:t xml:space="preserve">Analysemetoder </w:t>
      </w:r>
    </w:p>
    <w:p>
      <w:pPr>
        <w:pStyle w:val="P68B1DB1Normal104"/>
        <w:widowControl w:val="false"/>
        <w:spacing w:lineRule="auto" w:line="240" w:before="127" w:after="0"/>
        <w:ind w:left="0" w:right="0" w:hanging="0"/>
        <w:jc w:val="left"/>
        <w:rPr>
          <w:rFonts w:ascii="Calibri" w:hAnsi="Calibri"/>
          <w:color w:val="000000"/>
          <w:sz w:val="21"/>
        </w:rPr>
      </w:pPr>
      <w:r>
        <w:rPr/>
        <w:t xml:space="preserve">Der blev anvendt to analysemetoder i denne undersøgelse: </w:t>
      </w:r>
    </w:p>
    <w:p>
      <w:pPr>
        <w:pStyle w:val="P68B1DB1Normal111"/>
        <w:widowControl w:val="false"/>
        <w:spacing w:lineRule="auto" w:line="240" w:before="38" w:after="0"/>
        <w:ind w:left="0" w:right="0" w:hanging="0"/>
        <w:jc w:val="left"/>
        <w:rPr>
          <w:rFonts w:ascii="Calibri" w:hAnsi="Calibri"/>
          <w:b/>
          <w:b/>
          <w:color w:val="000000"/>
          <w:sz w:val="22"/>
        </w:rPr>
      </w:pPr>
      <w:r>
        <w:rPr/>
        <w:t xml:space="preserve">Univariate analyser </w:t>
      </w:r>
    </w:p>
    <w:p>
      <w:pPr>
        <w:pStyle w:val="P68B1DB1Normal104"/>
        <w:widowControl w:val="false"/>
        <w:spacing w:lineRule="auto" w:line="240" w:before="97" w:after="0"/>
        <w:ind w:left="0" w:right="0" w:hanging="0"/>
        <w:jc w:val="left"/>
        <w:rPr/>
      </w:pPr>
      <w:r>
        <w:rPr/>
        <w:t xml:space="preserve">Deskriptive statistikker bruges til at beskrive variablerne i en undersøgelse. Frekvenser og gennemsnit anvendes i denne undersøgelse. </w:t>
      </w:r>
    </w:p>
    <w:p>
      <w:pPr>
        <w:pStyle w:val="P68B1DB1Normal111"/>
        <w:widowControl w:val="false"/>
        <w:spacing w:lineRule="auto" w:line="240" w:before="41" w:after="0"/>
        <w:ind w:left="0" w:right="0" w:hanging="0"/>
        <w:jc w:val="left"/>
        <w:rPr>
          <w:rFonts w:ascii="Calibri" w:hAnsi="Calibri"/>
          <w:b/>
          <w:b/>
          <w:color w:val="000000"/>
          <w:sz w:val="22"/>
        </w:rPr>
      </w:pPr>
      <w:r>
        <w:rPr/>
        <w:t xml:space="preserve">Bivariate analyser </w:t>
      </w:r>
    </w:p>
    <w:p>
      <w:pPr>
        <w:pStyle w:val="P68B1DB1Normal104"/>
        <w:widowControl w:val="false"/>
        <w:spacing w:lineRule="auto" w:line="240" w:before="95" w:after="0"/>
        <w:ind w:left="0" w:right="0" w:hanging="0"/>
        <w:jc w:val="left"/>
        <w:rPr/>
      </w:pPr>
      <w:r>
        <w:rPr/>
        <w:t xml:space="preserve">De to forskellige analyser gør det muligt at undersøge forholdet mellem to variabler, i dette tilfælde forholdet mellem betydningen af de forskellige temaer og spørgsmålet om, hvorvidt EU skal gribe ind på dette område, og det generelle kendetegn ved alder. Der blev foretaget en gennemgang for at fastslå, om forskellige aldersgrupper tillægger et emne forskellig betydning, og om der er forskellige opfattelser af, i hvilket omfang disse er spørgsmål, som EU bør inddrages i. </w:t>
      </w:r>
    </w:p>
    <w:p>
      <w:pPr>
        <w:pStyle w:val="P68B1DB1Normal107"/>
        <w:widowControl w:val="false"/>
        <w:spacing w:lineRule="auto" w:line="240" w:before="43" w:after="0"/>
        <w:ind w:left="0" w:right="0" w:hanging="0"/>
        <w:jc w:val="left"/>
        <w:rPr>
          <w:rFonts w:ascii="Calibri" w:hAnsi="Calibri"/>
          <w:i/>
          <w:i/>
          <w:color w:val="000000"/>
          <w:sz w:val="24"/>
        </w:rPr>
      </w:pPr>
      <w:r>
        <w:rPr/>
        <w:t xml:space="preserve">Offentliggørelse af oplysninger og fuldstændighed </w:t>
      </w:r>
    </w:p>
    <w:p>
      <w:pPr>
        <w:pStyle w:val="P68B1DB1Normal104"/>
        <w:widowControl w:val="false"/>
        <w:spacing w:lineRule="auto" w:line="240" w:before="123" w:after="0"/>
        <w:ind w:left="0" w:right="0" w:hanging="0"/>
        <w:jc w:val="left"/>
        <w:rPr/>
      </w:pPr>
      <w:r>
        <w:rPr/>
        <w:t xml:space="preserve">Denne rapport indeholder en (visuel) repræsentation af resultaterne af alle spørgsmål, der stilles til respondenterne i panelet. For nogle spørgsmål fik respondenten mulighed for at give "åbne" (dvs. ikke forudbestemte) svar. Åbne svar blev derefter kategoriseret og medtaget i publikationen. De idéer, som respondenterne deler i de gratis kommentarer, bruges til at indgå i de forskellige tematiske dialoger, der er organiseret som opfølgning på borgerdialogprocessen "Vision of Europe".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Tematiske onlinedialoger med henblik på uddybning </w:t>
      </w:r>
    </w:p>
    <w:p>
      <w:pPr>
        <w:pStyle w:val="P68B1DB1Normal104"/>
        <w:widowControl w:val="false"/>
        <w:spacing w:lineRule="auto" w:line="240" w:before="17" w:after="0"/>
        <w:ind w:left="0" w:right="0" w:hanging="0"/>
        <w:jc w:val="left"/>
        <w:rPr/>
      </w:pPr>
      <w:r>
        <w:rPr/>
        <w:t xml:space="preserve">De temaer, der står i centrum for konferencen om Europas fremtid, er blevet uddybet gennem otte tematiske onlinedialoger. Formålet med disse dialoger var at finde frem til årsagerne til de udtrykte meninger samt motiverne og følelserne bag dem. Hvad er de opfattede bekymringer og muligheder? Diskussionsmøderne gav også deltagerne mulighed for at formulere forslag og ideer om disse emner samt at rejse spørgsmål, der ikke er en del af konferencen, men som fortsat er vigtige for dem.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De tematiske dialoger fandt sted den 12.-14. oktober og den 9.-11. november. I oktober blev der afholdt fire tematiske onlinedialoger om temaerne "Økonomik" og "demokrati". I november blev der afholdt fire tematiske onlinedialoger om temaerne "Klima" og "EU i verden". I gennemsnit deltog 29 personer i hver samtale (231 i alt). Deltagerne blev rekrutteret blandt panelmedlemmerne (se punkt 1) og via sociale medier.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Dialoger med specifikke grupper </w:t>
      </w:r>
    </w:p>
    <w:p>
      <w:pPr>
        <w:pStyle w:val="P68B1DB1Normal104"/>
        <w:widowControl w:val="false"/>
        <w:spacing w:lineRule="auto" w:line="240" w:before="12" w:after="0"/>
        <w:ind w:left="0" w:right="0" w:hanging="0"/>
        <w:jc w:val="left"/>
        <w:rPr/>
      </w:pPr>
      <w:r>
        <w:rPr/>
        <w:t xml:space="preserve">Nogle hollandske grupper er kendt for at være mindre vant til at deltage i undersøgelser og paneler (online). For at opnå et repræsentativt billede af "Nederlandenes stemme" var det vigtigt, at disse borgere også kunne udtrykke deres idéer og meninger. Derfor organiserede vi også en række dialoger på stedet i forbindelse med undersøgelsen "Vision of Europe". De meninger og ideer, som vi var i stand til at samle, blev brugt som grundlag (blandt andre) til at formulere anbefalingerne.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Målgrupper </w:t>
      </w:r>
    </w:p>
    <w:p>
      <w:pPr>
        <w:pStyle w:val="P68B1DB1Normal110"/>
        <w:widowControl w:val="false"/>
        <w:spacing w:lineRule="auto" w:line="240" w:before="22" w:after="0"/>
        <w:ind w:left="0" w:right="0" w:hanging="0"/>
        <w:jc w:val="left"/>
        <w:rPr/>
      </w:pPr>
      <w:r>
        <w:rPr>
          <w:sz w:val="21"/>
        </w:rPr>
        <w:t xml:space="preserve">Målgrupper, der er svære at nå, kan ikke defineres entydigt. Undersøgelser og erfaringer giver os mulighed for at vide, at hollændere </w:t>
      </w:r>
      <w:r>
        <w:rPr>
          <w:b/>
          <w:sz w:val="21"/>
        </w:rPr>
        <w:t>med ikke-vestlig oprindelse</w:t>
      </w:r>
      <w:r>
        <w:rPr>
          <w:sz w:val="21"/>
        </w:rPr>
        <w:t>deltager betydeligt mindre af sig selv i undersøgelser og diskussioner. Da dette udgør en stor gruppe (14 % af hollænderne</w:t>
      </w:r>
      <w:r>
        <w:rPr>
          <w:position w:val="6"/>
          <w:sz w:val="14"/>
        </w:rPr>
        <w:t>1</w:t>
      </w:r>
      <w:r>
        <w:rPr>
          <w:sz w:val="21"/>
        </w:rPr>
        <w:t xml:space="preserve">), blev de udvalgt til at deltage i dialogen om Europas vision. Det samme ræsonnement blev fulgt med hensyn til </w:t>
      </w:r>
      <w:r>
        <w:rPr>
          <w:b/>
          <w:sz w:val="21"/>
        </w:rPr>
        <w:t>personer med ringe uddannelse</w:t>
      </w:r>
      <w:r>
        <w:rPr>
          <w:sz w:val="21"/>
        </w:rPr>
        <w:t>. Det er også en stor gruppe (2,5 mio. hollandsk</w:t>
      </w:r>
      <w:r>
        <w:rPr>
          <w:position w:val="6"/>
          <w:sz w:val="14"/>
        </w:rPr>
        <w:t>2</w:t>
      </w:r>
      <w:r>
        <w:rPr>
          <w:sz w:val="21"/>
        </w:rPr>
        <w:t xml:space="preserve">), som til dels overlapper med indvandrergruppen (39 %). Endelig er der blevet ført en dialog med en gruppe mennesker, der sjældent findes i undersøgelser og diskussioner, </w:t>
      </w:r>
      <w:r>
        <w:rPr>
          <w:b/>
          <w:sz w:val="21"/>
        </w:rPr>
        <w:t>som er kritiske over for Europa, men for hvem Europa spiller en vigtig rolle på det faglige område.</w:t>
      </w:r>
      <w:r>
        <w:rPr>
          <w:sz w:val="21"/>
        </w:rPr>
        <w:t xml:space="preserve"> Iværksættere fra landbrugssektoren blev udvalgt.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Ovennævnte grupper er blevet kontaktet gennem organisationer, som de er medlemmer af, såsom indvandrerorganisationer, fortalerorganisationer og faglige organisationer. Da vi begrænsede antallet af dialoger til otte, kunne vi ikke være helt "udtømmende". Dette gør valget af deltagere noget vilkårligt. For at træffe dette valg tog vi også hensyn til begejstringen for at deltage og hjælpe med at mobilisere deres base samt praktiske spørgsmål såsom tilgængelighed i henhold til datoer og placering.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Der blev afholdt dialoger på stedet med medlemmer af følgende organisationer: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Foundation, Alevi samfund,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hindusamfundet, Utrecht (to diskussionsmøder)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civilsamfundsorganisation, Zoetermeer </w:t>
      </w:r>
    </w:p>
    <w:p>
      <w:pPr>
        <w:pStyle w:val="P68B1DB1Normal105"/>
        <w:widowControl w:val="false"/>
        <w:spacing w:lineRule="auto" w:line="240"/>
        <w:ind w:left="0" w:right="0" w:hanging="0"/>
        <w:jc w:val="left"/>
        <w:rPr/>
      </w:pPr>
      <w:r>
        <w:rPr>
          <w:rFonts w:ascii="Verdana" w:hAnsi="Verdana"/>
        </w:rPr>
        <w:t>Taal</w:t>
      </w:r>
      <w:r>
        <w:rPr/>
        <w:t xml:space="preserve"> </w:t>
      </w:r>
      <w:r>
        <w:rPr>
          <w:rFonts w:ascii="Calibri" w:hAnsi="Calibri"/>
        </w:rPr>
        <w:t xml:space="preserve">doet Meer, en organisation for lavtuddannede,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sammenslutning af landbrugssammenslutninger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det marokkanske samfund,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Kvinder for frihed, fortalerorganisation for kvinder med indvandrerbaggrund, Haag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I alt 110 personer deltog i disse diskussionsmøder.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Dialoger med de unge </w:t>
      </w:r>
    </w:p>
    <w:p>
      <w:pPr>
        <w:pStyle w:val="P68B1DB1Normal104"/>
        <w:widowControl w:val="false"/>
        <w:spacing w:lineRule="auto" w:line="240" w:before="118" w:after="0"/>
        <w:ind w:left="0" w:right="0" w:hanging="0"/>
        <w:jc w:val="both"/>
        <w:rPr/>
      </w:pPr>
      <w:r>
        <w:rPr/>
        <w:t xml:space="preserve">Unge er en prioriteret målgruppe for konferencen om Europas fremtid. For aktivt at tilskynde dem til at deltage i borgerdialogen "Vision of Europe" og for at gøre denne gruppes synspunkter og idéer godt hørt blev der afholdt fem fysiske diskussionsmøder specifikt for unge. Et sjette planlagt møde med unge kunne ikke finde sted på grund af de restriktive foranstaltninger vedrørende coronavirus.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Møderne fandt sted i følgende institutioner: </w:t>
      </w:r>
    </w:p>
    <w:p>
      <w:pPr>
        <w:pStyle w:val="P68B1DB1Normal104"/>
        <w:widowControl w:val="false"/>
        <w:spacing w:lineRule="auto" w:line="240"/>
        <w:ind w:left="0" w:right="0" w:hanging="0"/>
        <w:jc w:val="both"/>
        <w:rPr>
          <w:rFonts w:ascii="Calibri" w:hAnsi="Calibri"/>
          <w:color w:val="000000"/>
          <w:sz w:val="21"/>
        </w:rPr>
      </w:pPr>
      <w:r>
        <w:rPr/>
        <w:t xml:space="preserve">Sammenslutningen af Historiske Studerende, Universitetet i Leiden </w:t>
      </w:r>
    </w:p>
    <w:p>
      <w:pPr>
        <w:pStyle w:val="P68B1DB1Normal104"/>
        <w:widowControl w:val="false"/>
        <w:spacing w:lineRule="auto" w:line="240"/>
        <w:ind w:left="0" w:right="0" w:hanging="0"/>
        <w:jc w:val="both"/>
        <w:rPr>
          <w:rFonts w:ascii="Calibri" w:hAnsi="Calibri"/>
          <w:color w:val="000000"/>
          <w:sz w:val="21"/>
        </w:rPr>
      </w:pPr>
      <w:r>
        <w:rPr/>
        <w:t xml:space="preserve">Dr. Knippenberg College, High School,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Det Økonomiske og Sociale Råds ungdomsplatform </w:t>
      </w:r>
    </w:p>
    <w:p>
      <w:pPr>
        <w:pStyle w:val="P68B1DB1Normal104"/>
        <w:widowControl w:val="false"/>
        <w:spacing w:lineRule="auto" w:line="240"/>
        <w:ind w:left="0" w:right="0" w:hanging="0"/>
        <w:jc w:val="left"/>
        <w:rPr>
          <w:rFonts w:ascii="Calibri" w:hAnsi="Calibri"/>
          <w:color w:val="000000"/>
          <w:sz w:val="21"/>
        </w:rPr>
      </w:pPr>
      <w:r>
        <w:rPr/>
        <w:t xml:space="preserve">Graafschap College, erhvervsuddannelse,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gymnasial uddannelse med fokus på teknologiske fag,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I alt 95 unge deltog i diskussionsmøderne. </w:t>
      </w:r>
      <w:r>
        <w:br w:type="page"/>
      </w:r>
    </w:p>
    <w:p>
      <w:pPr>
        <w:pStyle w:val="P68B1DB1Normal107"/>
        <w:spacing w:lineRule="auto" w:line="240"/>
        <w:ind w:left="0" w:right="0" w:hanging="0"/>
        <w:rPr>
          <w:rFonts w:ascii="Calibri" w:hAnsi="Calibri"/>
          <w:i/>
          <w:i/>
          <w:color w:val="000000"/>
          <w:sz w:val="24"/>
        </w:rPr>
      </w:pPr>
      <w:r>
        <w:rPr/>
        <w:t xml:space="preserve">Anvendte vedligeholdelsesteknikker </w:t>
      </w:r>
    </w:p>
    <w:p>
      <w:pPr>
        <w:pStyle w:val="P68B1DB1Normal104"/>
        <w:widowControl w:val="false"/>
        <w:spacing w:lineRule="auto" w:line="240" w:before="10" w:after="0"/>
        <w:ind w:left="0" w:right="0" w:hanging="0"/>
        <w:jc w:val="left"/>
        <w:rPr/>
      </w:pPr>
      <w:r>
        <w:rPr/>
        <w:t xml:space="preserve">Der blev gennemført tematiske onlinedialoger, dialoger med specifikke grupper og dialoger med unge ved hjælp af den såkaldte "sokratiske" interviewmetode. Denne metode har været brugt i mange år på Dialog Day, hvor folk i hele Holland interagerer om spørgsmål, der påvirker dem. I forbindelse med den sokratiske vedligeholdelsesmetode skal moderatoren tage hensyn til følgende principper: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Lad</w:t>
      </w:r>
      <w:r>
        <w:rPr/>
        <w:t xml:space="preserve"> den anden fortælle sin historie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Svar</w:t>
      </w:r>
      <w:r>
        <w:rPr/>
        <w:t xml:space="preserve"> </w:t>
      </w:r>
      <w:r>
        <w:rPr>
          <w:rFonts w:ascii="Calibri" w:hAnsi="Calibri"/>
        </w:rPr>
        <w:t xml:space="preserve">det ikke med det samme med en anden historie </w:t>
      </w:r>
    </w:p>
    <w:p>
      <w:pPr>
        <w:pStyle w:val="P68B1DB1Normal105"/>
        <w:widowControl w:val="false"/>
        <w:spacing w:lineRule="auto" w:line="240" w:before="2" w:after="0"/>
        <w:ind w:left="0" w:right="0" w:hanging="0"/>
        <w:jc w:val="left"/>
        <w:rPr/>
      </w:pPr>
      <w:r>
        <w:rPr>
          <w:rFonts w:ascii="Verdana" w:hAnsi="Verdana"/>
        </w:rPr>
        <w:t>Forkæl</w:t>
      </w:r>
      <w:r>
        <w:rPr/>
        <w:t xml:space="preserve"> </w:t>
      </w:r>
      <w:r>
        <w:rPr>
          <w:rFonts w:ascii="Calibri" w:hAnsi="Calibri"/>
        </w:rPr>
        <w:t xml:space="preserve">dig selv med respekt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Tale om ens eget synspunkt ("Jeg finder" snarere end "de siger")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Bed om flere forklaringer, hvis de udtrykte synspunkter er begrænset til generelle forhold </w:t>
      </w:r>
    </w:p>
    <w:p>
      <w:pPr>
        <w:pStyle w:val="P68B1DB1Normal105"/>
        <w:widowControl w:val="false"/>
        <w:spacing w:lineRule="auto" w:line="240" w:before="2" w:after="0"/>
        <w:ind w:left="0" w:right="0" w:hanging="0"/>
        <w:jc w:val="left"/>
        <w:rPr/>
      </w:pPr>
      <w:r>
        <w:rPr>
          <w:rFonts w:ascii="Verdana" w:hAnsi="Verdana"/>
        </w:rPr>
        <w:t>Undgå</w:t>
      </w:r>
      <w:r>
        <w:rPr/>
        <w:t xml:space="preserve"> </w:t>
      </w:r>
      <w:r>
        <w:rPr>
          <w:rFonts w:ascii="Calibri" w:hAnsi="Calibri"/>
        </w:rPr>
        <w:t xml:space="preserve">domme og analysere dem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Giv øjeblikke af stilhed, hvis folk har brug for at tænke et øjeblik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Under dialogerne anvendes følgende rytme: divergens — konvergens — divergens. Princippet er, at du først skal afvige (direkte udtrykke individuelle følelser og meninger), før du kan konvergere (taler mulige veje) og derefter til sidst afvige igen (f.eks. indsamle individuelle anbefalinger). Erfaring og teori viser, at denne rytme sikrer en optimal strøm af dialog.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Alle dialoger blev gennemført af professionelle facilitatorer.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Offentlig onlineundersøgelse: Spørgeskema og "Swipen naar de toekomst" (Swiper to te future)</w:t>
      </w:r>
    </w:p>
    <w:p>
      <w:pPr>
        <w:pStyle w:val="P68B1DB1Normal104"/>
        <w:widowControl w:val="false"/>
        <w:spacing w:lineRule="auto" w:line="240" w:before="229" w:after="0"/>
        <w:ind w:left="0" w:right="0" w:hanging="0"/>
        <w:jc w:val="both"/>
        <w:rPr/>
      </w:pPr>
      <w:r>
        <w:rPr/>
        <w:t xml:space="preserve">Panelundersøgelsesspørgeskemaet var også åbent for alle hollændere, herunder dem, der bor i udlandet. Dette spørgeskema forelå fra den 1. september 2021 til den 14. november 2021. Desuden var hver hollænder i samme periode i stand til at deltage i aktionen "Swipen naar de toekomst" (Swiper to the future), et onlineværktøj med 20 krav. </w:t>
      </w:r>
    </w:p>
    <w:p>
      <w:pPr>
        <w:pStyle w:val="P68B1DB1Normal107"/>
        <w:widowControl w:val="false"/>
        <w:spacing w:lineRule="auto" w:line="240" w:before="41" w:after="0"/>
        <w:ind w:left="0" w:right="0" w:hanging="0"/>
        <w:jc w:val="left"/>
        <w:rPr>
          <w:rFonts w:ascii="Calibri" w:hAnsi="Calibri"/>
          <w:i/>
          <w:i/>
          <w:color w:val="000000"/>
          <w:sz w:val="24"/>
        </w:rPr>
      </w:pPr>
      <w:r>
        <w:rPr/>
        <w:t xml:space="preserve">Svar og brug </w:t>
      </w:r>
    </w:p>
    <w:p>
      <w:pPr>
        <w:pStyle w:val="P68B1DB1Normal104"/>
        <w:widowControl w:val="false"/>
        <w:spacing w:lineRule="auto" w:line="240" w:before="7" w:after="0"/>
        <w:ind w:left="0" w:right="0" w:hanging="0"/>
        <w:jc w:val="left"/>
        <w:rPr/>
      </w:pPr>
      <w:r>
        <w:rPr/>
        <w:t xml:space="preserve">I alt 1.967 deltagere udfyldte spørgeskemaet, og 6.968 var til slutningen af skærmscanningsværktøjet. Både spørgeskemaet og skærmscanningsværktøjet var åbne for alle: der var ingen forudsætninger eller udvælgelseskriterier for at deltage. I spørgeskemaet var det muligt at stille spørgsmål (der var ingen obligatoriske spørgsmål) for at maksimere svarprocenten. Deltagerne valgte "Jeg foretrækker ikke at svare" meget oftere end i den repræsentative panelundersøgelse. </w:t>
      </w:r>
    </w:p>
    <w:p>
      <w:pPr>
        <w:pStyle w:val="P68B1DB1Normal104"/>
        <w:widowControl w:val="false"/>
        <w:spacing w:lineRule="auto" w:line="240"/>
        <w:ind w:left="0" w:right="0" w:hanging="0"/>
        <w:jc w:val="left"/>
        <w:rPr/>
      </w:pPr>
      <w:r>
        <w:rPr/>
        <w:t xml:space="preserve">De generelle karakteristika for deltagerne i det åbne spørgeskema og værktøjet til skærmscanning adskiller sig i flere henseender fra deltagerne i det repræsentative panel. I modsætning til panelundersøgelsen er resultaterne af det åbne spørgeskema og værktøjet til skærmscanning ikke repræsentative. Resultaterne af den åbne onlineundersøgelse blev brugt som supplement til panelundersøgelsen. De giver et overblik over de følelser og ideer, der cirkulerer i Holland. De forslag til forbedringer, der er nævnt i inputfelterne, blev anvendt i afsnittet "Drøftelser og idéer online og på stedet". Værktøjet til skærmscanning er blevet brugt til bedre at forstå nogle af de følelser, der cirkulerer i Holland. Disse resultater blev taget i betragtning ved udarbejdelsen af henstillingerne. På grund af kravet om repræsentativitet er der i denne rapport i begrænset omfang taget hensyn til resultaterne af den undersøgelse, der er indledt online.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Denne rapport offentliggøres af Udenrigsministeriet. </w:t>
      </w:r>
      <w:hyperlink r:id="rId118">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50">
            <wp:simplePos x="0" y="0"/>
            <wp:positionH relativeFrom="column">
              <wp:align>center</wp:align>
            </wp:positionH>
            <wp:positionV relativeFrom="paragraph">
              <wp:posOffset>635</wp:posOffset>
            </wp:positionV>
            <wp:extent cx="3114040" cy="2009775"/>
            <wp:effectExtent l="0" t="0" r="0" b="0"/>
            <wp:wrapTopAndBottom/>
            <wp:docPr id="110" name="Billeder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leder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Nederlandenes nationale regering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Vores vision for Europa </w:t>
      </w:r>
    </w:p>
    <w:p>
      <w:pPr>
        <w:pStyle w:val="Titre4"/>
        <w:numPr>
          <w:ilvl w:val="3"/>
          <w:numId w:val="2"/>
        </w:numPr>
        <w:rPr/>
      </w:pPr>
      <w:bookmarkStart w:id="237" w:name="__RefHeading___Toc298386_1346298689"/>
      <w:bookmarkEnd w:id="237"/>
      <w:r>
        <w:rPr/>
        <w:t>Rapport fra januar 2022</w:t>
      </w:r>
    </w:p>
    <w:p>
      <w:pPr>
        <w:pStyle w:val="P68B1DB1Normal20"/>
        <w:widowControl w:val="false"/>
        <w:spacing w:lineRule="auto" w:line="240" w:before="105" w:after="0"/>
        <w:ind w:left="0" w:right="0" w:hanging="0"/>
        <w:jc w:val="left"/>
        <w:rPr>
          <w:rFonts w:ascii="Calibri" w:hAnsi="Calibri"/>
          <w:color w:val="000000"/>
          <w:sz w:val="24"/>
        </w:rPr>
      </w:pPr>
      <w:r>
        <w:rPr/>
        <w:t xml:space="preserve">Udtalelser, ideer og anbefalinger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Temaer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Klimaændringer og miljø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Migration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Sundhed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i verden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januar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Dette dokument er en oversættelse af rapporten med titlen "Elze kijk op Europa; Ideeën en Aanbevelingen"("Vores vision for Europa: udtalelser, idéer og anbefalinger"), som blev offentliggjort på nederlandsk den 14. januar 2022 på www.kijkopeuropa.nl. Denne oversættelse er en forenklet udgave af rapporten, hvor den oprindelige præsentation (illustrationer og andre grafiske elementer) er blevet ændret til oversættelsesformål.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Vores vision om... </w:t>
      </w:r>
    </w:p>
    <w:p>
      <w:pPr>
        <w:pStyle w:val="P68B1DB1Normal126"/>
        <w:widowControl w:val="false"/>
        <w:spacing w:lineRule="auto" w:line="240" w:before="101" w:after="0"/>
        <w:ind w:left="0" w:right="0" w:hanging="0"/>
        <w:jc w:val="left"/>
        <w:rPr>
          <w:rFonts w:ascii="Calibri" w:hAnsi="Calibri"/>
          <w:color w:val="0070C0"/>
          <w:sz w:val="24"/>
        </w:rPr>
      </w:pPr>
      <w:r>
        <w:rPr/>
        <w:t xml:space="preserve">Sammenfatning af rapporten: alle anbefalinger i korte træk </w:t>
      </w:r>
    </w:p>
    <w:p>
      <w:pPr>
        <w:pStyle w:val="P68B1DB1Normal104"/>
        <w:widowControl w:val="false"/>
        <w:spacing w:lineRule="auto" w:line="240" w:before="109" w:after="0"/>
        <w:ind w:left="0" w:right="0" w:hanging="0"/>
        <w:jc w:val="both"/>
        <w:rPr/>
      </w:pPr>
      <w:r>
        <w:rPr/>
        <w:t xml:space="preserve">Gennem borgerdialogen om temaet "Europas vision" har vi samlet nederlandske borgeres synspunkter og idéer om Europas fremtid. Dette resulterede i følgende henstillinger til Den Europæiske Union vedrørende de sidste fire temaer (ud af de ni temaer, der er identificeret i alt). </w:t>
      </w:r>
    </w:p>
    <w:p>
      <w:pPr>
        <w:pStyle w:val="P68B1DB1Normal126"/>
        <w:widowControl w:val="false"/>
        <w:spacing w:lineRule="auto" w:line="240" w:before="108" w:after="0"/>
        <w:ind w:left="0" w:right="0" w:hanging="0"/>
        <w:jc w:val="left"/>
        <w:rPr>
          <w:rFonts w:ascii="Calibri" w:hAnsi="Calibri"/>
          <w:color w:val="0070C0"/>
          <w:sz w:val="24"/>
        </w:rPr>
      </w:pPr>
      <w:r>
        <w:rPr/>
        <w:t xml:space="preserve">Klimaændringer og miljø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Vælg en klar kurs for den europæiske tilgang til klimaændringer</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Sikre, at lande og virksomheder arbejder tættere sammen om at finde målrettede løsninger 3.</w:t>
      </w:r>
      <w:r>
        <w:rPr/>
        <w:t xml:space="preserve"> </w:t>
      </w:r>
      <w:r>
        <w:rPr>
          <w:rFonts w:ascii="Calibri" w:hAnsi="Calibri"/>
        </w:rPr>
        <w:t>Skabe et CO2-system, der er retfærdigt og gennemførligt i praksis</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Kommunikere på en klarere og mere positiv måde om klimatilgangen</w:t>
      </w:r>
    </w:p>
    <w:p>
      <w:pPr>
        <w:pStyle w:val="P68B1DB1Normal104"/>
        <w:widowControl w:val="false"/>
        <w:spacing w:lineRule="auto" w:line="240" w:before="93" w:after="0"/>
        <w:ind w:left="0" w:right="0" w:hanging="0"/>
        <w:jc w:val="left"/>
        <w:rPr/>
      </w:pPr>
      <w:r>
        <w:rPr/>
        <w:t xml:space="preserve">Hollænderne mener, at EU skal spille en ledende rolle i kampen mod klimaændringer. Medlemsstaterne skal kunne træffe deres egne valg, men de skal ikke desto mindre samarbejde for at nå de samme mål. I stedet for at pege på hinanden bør EU-landene bruge mere energi på at udveksle viden og finde fælles løsninger. Et system til beskatning af CO2-emissioner kan være effektivt, men det skal også være retfærdigt, praktisk og klart. Som hovedregel mener Nederlandene, at EU bør kommunikere mere effektivt og positivt om klimaspørgsmål. </w:t>
      </w:r>
    </w:p>
    <w:p>
      <w:pPr>
        <w:pStyle w:val="P68B1DB1Normal126"/>
        <w:widowControl w:val="false"/>
        <w:spacing w:lineRule="auto" w:line="240" w:before="108" w:after="0"/>
        <w:ind w:left="0" w:right="0" w:hanging="0"/>
        <w:jc w:val="left"/>
        <w:rPr>
          <w:rFonts w:ascii="Calibri" w:hAnsi="Calibri"/>
          <w:color w:val="0070C0"/>
          <w:sz w:val="24"/>
        </w:rPr>
      </w:pPr>
      <w:r>
        <w:rPr/>
        <w:t xml:space="preserve">Migration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Forhindre, at debatten om flygtningespørgsmålet bliver mindre nuanceret</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At definere, hvad en retfærdig og praktisk fordeling af flygtninge er</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Udnyttelse af den viden og erfaring, der er opnået, til at hjælpe de regioner, hvor flygtninge kommer fra</w:t>
      </w:r>
    </w:p>
    <w:p>
      <w:pPr>
        <w:pStyle w:val="P68B1DB1Normal104"/>
        <w:widowControl w:val="false"/>
        <w:spacing w:lineRule="auto" w:line="240"/>
        <w:ind w:left="0" w:right="0" w:hanging="0"/>
        <w:jc w:val="left"/>
        <w:rPr/>
      </w:pPr>
      <w:r>
        <w:rPr/>
        <w:t xml:space="preserve">Hollænderne mener, at det er vigtigt at skelne mellem mennesker, der flygter fra farlige områder, og økonomiske flygtninge. Debatter om migration og integration mangler ofte nuancer. Hvis der skal opnås en retfærdig fordeling af flygtninge i Europa, er det nødvendigt inden for EU at nå til enighed om klare kriterier, der tager hensyn til både medlemsstaterne og dem, der er flygtet. Endelig foreslår Nederlandene, at EU støtter de regioner, hvorfra flygtninge kommer ikke kun økonomisk, men også gennem viden. </w:t>
      </w:r>
    </w:p>
    <w:p>
      <w:pPr>
        <w:pStyle w:val="P68B1DB1Normal126"/>
        <w:widowControl w:val="false"/>
        <w:spacing w:lineRule="auto" w:line="240" w:before="108" w:after="0"/>
        <w:ind w:left="0" w:right="0" w:hanging="0"/>
        <w:jc w:val="left"/>
        <w:rPr>
          <w:rFonts w:ascii="Calibri" w:hAnsi="Calibri"/>
          <w:color w:val="0070C0"/>
          <w:sz w:val="24"/>
        </w:rPr>
      </w:pPr>
      <w:r>
        <w:rPr/>
        <w:t xml:space="preserve">Sundhed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Bedre kontrol med forvaltningen af en pandemi</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Sikre tilgængeligheden af økonomisk overkommelige og pålidelige lægemidler til alle</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Landene skal fokusere på at forbedre deres sundhedssystemer og gøre dem mere retfærdige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Hollænderne mener, at EU-landene skal samarbejde mere for at bekæmpe en pandemi. Den måde, coronaviruskrisen håndteres på, skaber undertiden forvirring. Reglerne bør være mere konsekvente med hinanden, uden at skulle være de samme overalt. Når det drejer sig om vacciner eller lægemidler, ønsker hollænderne, at priserne skal forblive så lave som muligt, men ønsker at kunne stole på kvalitet og ansvarlig produktion. Derudover mener vi, at det er vigtigt, at store virksomheder ikke misbruger deres magt, og vi mener, at sundhedsplejen fortsat skal være på nationalt plan. </w:t>
      </w:r>
      <w:r>
        <w:br w:type="page"/>
      </w:r>
    </w:p>
    <w:p>
      <w:pPr>
        <w:pStyle w:val="P68B1DB1Normal126"/>
        <w:widowControl w:val="false"/>
        <w:spacing w:lineRule="auto" w:line="240"/>
        <w:ind w:left="0" w:right="0" w:hanging="0"/>
        <w:jc w:val="left"/>
        <w:rPr>
          <w:rFonts w:ascii="Calibri" w:hAnsi="Calibri"/>
          <w:color w:val="0070C0"/>
          <w:sz w:val="24"/>
        </w:rPr>
      </w:pPr>
      <w:r>
        <w:rPr/>
        <w:t xml:space="preserve">EU's rolle i verden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Udnyttelse af EU's styrke inden for centrale internationale temaer, hovedsagelig</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I og uden for Europa skal du vælge samarbejde frem for kamp</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Tilbyde, på en tankevækkende måde, hjælp i tilfælde af en konflikt</w:t>
      </w:r>
    </w:p>
    <w:p>
      <w:pPr>
        <w:pStyle w:val="P68B1DB1Normal104"/>
        <w:widowControl w:val="false"/>
        <w:spacing w:lineRule="auto" w:line="240" w:before="84" w:after="0"/>
        <w:ind w:left="0" w:right="0" w:hanging="0"/>
        <w:jc w:val="left"/>
        <w:rPr/>
      </w:pPr>
      <w:r>
        <w:rPr/>
        <w:t xml:space="preserve">Nederlandene mener, at det europæiske samarbejde først og fremmest bør fokusere på de vigtigste fælles interesser. EU's samarbejde med tredjelande skal også være en del af denne tilgang. Ud over klimaændringer og coronaviruspandemien omfatter disse f.eks. international sikkerhed og beskyttelse af den europæiske økonomi mod illoyal handelspraksis. I og uden for Europa foretrækker hollænderne samarbejde frem for kamp. Hvad angår tilgangen til konflikter, er det altid at foretrække at løse dem uden at ty til vold. </w:t>
      </w:r>
    </w:p>
    <w:p>
      <w:pPr>
        <w:pStyle w:val="P68B1DB1Normal125"/>
        <w:widowControl w:val="false"/>
        <w:spacing w:lineRule="auto" w:line="240" w:before="96" w:after="0"/>
        <w:ind w:left="0" w:right="0" w:hanging="0"/>
        <w:jc w:val="left"/>
        <w:rPr>
          <w:rFonts w:ascii="Calibri" w:hAnsi="Calibri"/>
          <w:b/>
          <w:b/>
          <w:color w:val="0070C0"/>
          <w:sz w:val="32"/>
        </w:rPr>
      </w:pPr>
      <w:r>
        <w:rPr/>
        <w:t xml:space="preserve">Introduktion </w:t>
      </w:r>
    </w:p>
    <w:p>
      <w:pPr>
        <w:pStyle w:val="P68B1DB1Normal104"/>
        <w:widowControl w:val="false"/>
        <w:spacing w:lineRule="auto" w:line="240" w:before="183" w:after="0"/>
        <w:ind w:left="0" w:right="0" w:hanging="0"/>
        <w:jc w:val="left"/>
        <w:rPr/>
      </w:pPr>
      <w:r>
        <w:rPr/>
        <w:t xml:space="preserve">Borgerdialogen "Europas vision", der blev afholdt fra den 1. september til midten af november, gjorde det muligt for alle hollændere at udtrykke deres synspunkter og idéer om Europas fremtid. Nederlandene forelægger Den Europæiske Union (EU) de henstillinger, som dialogen har ført til, samt de idéer og synspunkter, der er givet udtryk for. I denne rapport behandler vi de sidste fire temaer (ud af de ni temaer, der er identificeret i alt). De første fem emner er allerede blevet behandlet i den rapport, der blev offentliggjort den 3. december 2021. </w:t>
      </w:r>
    </w:p>
    <w:p>
      <w:pPr>
        <w:pStyle w:val="P68B1DB1Normal126"/>
        <w:widowControl w:val="false"/>
        <w:spacing w:lineRule="auto" w:line="240" w:before="79" w:after="0"/>
        <w:ind w:left="0" w:right="0" w:hanging="0"/>
        <w:jc w:val="left"/>
        <w:rPr>
          <w:rFonts w:ascii="Calibri" w:hAnsi="Calibri"/>
          <w:color w:val="0070C0"/>
          <w:sz w:val="24"/>
        </w:rPr>
      </w:pPr>
      <w:r>
        <w:rPr/>
        <w:t xml:space="preserve">Om visionen for Europa </w:t>
      </w:r>
    </w:p>
    <w:p>
      <w:pPr>
        <w:pStyle w:val="P68B1DB1Normal104"/>
        <w:widowControl w:val="false"/>
        <w:spacing w:lineRule="auto" w:line="240" w:before="78" w:after="0"/>
        <w:ind w:left="0" w:right="0" w:hanging="0"/>
        <w:jc w:val="left"/>
        <w:rPr/>
      </w:pPr>
      <w:r>
        <w:rPr/>
        <w:t xml:space="preserve">Den Europæiske Union ønsker, at borgerne deler, hvad de mener om Europa. Derfor afholder EU konferencen om Europas fremtid. Borgernes holdninger og idéer i hele Den Europæiske Union vil derefter indgå i planerne for Europas fremtid. Som led i konferencen organiserede Nederlandene borgerdialogen "Vision of Europe" på nationalt plan. </w:t>
      </w:r>
    </w:p>
    <w:p>
      <w:pPr>
        <w:pStyle w:val="P68B1DB1Normal104"/>
        <w:widowControl w:val="false"/>
        <w:spacing w:lineRule="auto" w:line="240"/>
        <w:ind w:left="0" w:right="0" w:hanging="0"/>
        <w:jc w:val="left"/>
        <w:rPr/>
      </w:pPr>
      <w:r>
        <w:rPr/>
        <w:t xml:space="preserve">Dialogen om visionen for Europa startede den 1. september med onlineindsamling af udtalelser og idéer gennem en undersøgelse foretaget af et repræsentativt panel. For at uddybe de første resultater af panelundersøgelsen og fremsætte konkrete anbefalinger organiserede vi tematiske dialoger online. Alle, der ønsker at deltage, kan deltage. Vi rejste også landet for at holde drøftelser med unge og andre grupper (svære at nå).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Fra skolebørn, erhvervsskoleelever og studerende til ministeren, landmænd og indvandrere </w:t>
      </w:r>
    </w:p>
    <w:p>
      <w:pPr>
        <w:pStyle w:val="P68B1DB1Normal104"/>
        <w:widowControl w:val="false"/>
        <w:spacing w:lineRule="auto" w:line="240" w:before="91" w:after="0"/>
        <w:ind w:left="0" w:right="0" w:hanging="0"/>
        <w:jc w:val="both"/>
        <w:rPr/>
      </w:pPr>
      <w:r>
        <w:rPr/>
        <w:t xml:space="preserve">I oktober og november blev der afholdt i alt otte tematiske onlinedialoger med gennemsnitligt 30 deltagere pr. møde. Vi organiserede også en tematisk onlinedialog og syv tematiske dialoger på stedet med forskellige grupper af nederlandske borgere. Vi talte med det tyrkiske samfund i Schiedam og blev inviteret af Piëzo Foundation frivillige til Zoetermeer. Ved sidstnævnte lejlighed var udenrigsminister Ben Knapen også til stede ved afslutningen af dialogen. Ministeren havde en drøftelse med deltagerne om den dialog og synspunkter, der blev givet udtryk for om Europas fremtid. Endelig arrangerede vi seks møder med forskellige grupper af unge. For eksempel blev vi budt velkommen til en gymnasial skole i Helmond, en erhvervsskole i Doetinchem og universitetet i Leiden. </w:t>
      </w:r>
    </w:p>
    <w:p>
      <w:pPr>
        <w:pStyle w:val="P68B1DB1Normal113"/>
        <w:widowControl w:val="false"/>
        <w:spacing w:lineRule="auto" w:line="240" w:before="160" w:after="0"/>
        <w:ind w:left="0" w:right="0" w:hanging="0"/>
        <w:jc w:val="center"/>
        <w:rPr/>
      </w:pPr>
      <w:r>
        <w:rPr/>
        <w:t xml:space="preserve">Det er fremtiden for vores børn. Derfor synes jeg, det er vigtigt at deltage. </w:t>
      </w:r>
    </w:p>
    <w:p>
      <w:pPr>
        <w:pStyle w:val="P68B1DB1Normal104"/>
        <w:widowControl w:val="false"/>
        <w:spacing w:lineRule="auto" w:line="240" w:before="127" w:after="0"/>
        <w:ind w:left="0" w:right="0" w:hanging="0"/>
        <w:jc w:val="left"/>
        <w:rPr>
          <w:rFonts w:ascii="Calibri" w:hAnsi="Calibri"/>
          <w:color w:val="000000"/>
          <w:sz w:val="21"/>
        </w:rPr>
      </w:pPr>
      <w:r>
        <w:rPr/>
        <w:t xml:space="preserve">Deltager i den tematiske dialog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Om denne rapport </w:t>
      </w:r>
    </w:p>
    <w:p>
      <w:pPr>
        <w:pStyle w:val="P68B1DB1Normal104"/>
        <w:widowControl w:val="false"/>
        <w:spacing w:lineRule="auto" w:line="240" w:before="88" w:after="0"/>
        <w:ind w:left="0" w:right="0" w:hanging="0"/>
        <w:jc w:val="left"/>
        <w:rPr/>
      </w:pPr>
      <w:r>
        <w:rPr/>
        <w:t xml:space="preserve">På grundlag af de idéer og meninger, vi har samlet i de seneste måneder, har vi udarbejdet en række anbefalinger, som nederlandske borgere fremsætter til Den Europæiske Union. Under drøftelserne mellem nederlandske borgere fandt der interessante meningsudvekslinger sted, og der blev fremsat innovative idéer og forslag. Nogle af disse idéer og forslag er blevet indarbejdet i denne betænkning. Indholdet af denne betænkning er derfor Nederlandenes stemme: vores vision om Europa.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Ligesom der er meningsforskelle mellem landene og de europæiske borgere, er vi heller ikke altid enige med hinanden i Nederlandene. Disse forskelle i synspunkter er netop værdifulde: det er et vigtigt element i et demokrati. Anbefalingerne stammer fra de hyppigst udtrykte idéer og holdninger fra deltagerne i undersøgelsen Vision of Europe. Vi beskriver også bekymringer, ideer og følelser, der kan være mindre udbredte, men som har fanget vores opmærksomhed under dialoger og onlineundersøgelse. </w:t>
      </w:r>
    </w:p>
    <w:p>
      <w:pPr>
        <w:pStyle w:val="P68B1DB1Normal113"/>
        <w:widowControl w:val="false"/>
        <w:spacing w:lineRule="auto" w:line="240" w:before="181" w:after="0"/>
        <w:ind w:left="0" w:right="0" w:hanging="0"/>
        <w:jc w:val="center"/>
        <w:rPr/>
      </w:pPr>
      <w:r>
        <w:rPr/>
        <w:t xml:space="preserve">Jeg nød at kunne give udtryk for min mening om emner, som jeg synes er vigtige. Og at have haft følelsen af at blive lyttet til. </w:t>
      </w:r>
    </w:p>
    <w:p>
      <w:pPr>
        <w:pStyle w:val="P68B1DB1Normal104"/>
        <w:widowControl w:val="false"/>
        <w:spacing w:lineRule="auto" w:line="240" w:before="300" w:after="0"/>
        <w:ind w:left="0" w:right="0" w:hanging="0"/>
        <w:jc w:val="left"/>
        <w:rPr>
          <w:rFonts w:ascii="Calibri" w:hAnsi="Calibri"/>
          <w:color w:val="000000"/>
          <w:sz w:val="21"/>
        </w:rPr>
      </w:pPr>
      <w:r>
        <w:rPr/>
        <w:t xml:space="preserve">Deltager i den tematiske dialog </w:t>
      </w:r>
    </w:p>
    <w:p>
      <w:pPr>
        <w:pStyle w:val="P68B1DB1Normal104"/>
        <w:widowControl w:val="false"/>
        <w:spacing w:lineRule="auto" w:line="240"/>
        <w:ind w:left="0" w:right="0" w:hanging="0"/>
        <w:jc w:val="left"/>
        <w:rPr/>
      </w:pPr>
      <w:r>
        <w:rPr/>
        <w:t xml:space="preserve">Der blev udpeget ni temaer til konferencen om Europas fremtid. Disse temaer er også kernen i dialogen om Europas vision med nederlandske borgere. I oktober offentliggjorde vi en foreløbig rapport med en indledende oversigt over resultaterne og supplerende spørgsmål baseret på panelundersøgelsen. I begyndelsen af december blev der offentliggjort en ny rapport med udtalelser, idéer og anbefalinger om de første fem temaer. Denne rapport omhandler de resterende fire temaer.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Tidligere rapport — december 2021 </w:t>
      </w:r>
    </w:p>
    <w:p>
      <w:pPr>
        <w:pStyle w:val="P68B1DB1Normal104"/>
        <w:widowControl w:val="false"/>
        <w:spacing w:lineRule="auto" w:line="240"/>
        <w:ind w:left="0" w:right="0" w:hanging="0"/>
        <w:jc w:val="left"/>
        <w:rPr>
          <w:rFonts w:ascii="Calibri" w:hAnsi="Calibri"/>
          <w:color w:val="000000"/>
          <w:sz w:val="21"/>
        </w:rPr>
      </w:pPr>
      <w:r>
        <w:rPr/>
        <w:t xml:space="preserve">Værdier og rettigheder, retsstatsprincippet og sikkerhed </w:t>
      </w:r>
    </w:p>
    <w:p>
      <w:pPr>
        <w:pStyle w:val="P68B1DB1Normal104"/>
        <w:widowControl w:val="false"/>
        <w:spacing w:lineRule="auto" w:line="240"/>
        <w:ind w:left="0" w:right="0" w:hanging="0"/>
        <w:jc w:val="left"/>
        <w:rPr/>
      </w:pPr>
      <w:r>
        <w:rPr/>
        <w:t xml:space="preserve">En stærkere økonomi, social retfærdighed og beskæftigelse Europæisk demokrati </w:t>
      </w:r>
    </w:p>
    <w:p>
      <w:pPr>
        <w:pStyle w:val="P68B1DB1Normal104"/>
        <w:widowControl w:val="false"/>
        <w:spacing w:lineRule="auto" w:line="240"/>
        <w:ind w:left="0" w:right="0" w:hanging="0"/>
        <w:jc w:val="left"/>
        <w:rPr>
          <w:rFonts w:ascii="Calibri" w:hAnsi="Calibri"/>
          <w:color w:val="000000"/>
          <w:sz w:val="21"/>
        </w:rPr>
      </w:pPr>
      <w:r>
        <w:rPr/>
        <w:t xml:space="preserve">Digital transformation </w:t>
      </w:r>
    </w:p>
    <w:p>
      <w:pPr>
        <w:pStyle w:val="P68B1DB1Normal104"/>
        <w:widowControl w:val="false"/>
        <w:spacing w:lineRule="auto" w:line="240"/>
        <w:ind w:left="0" w:right="0" w:hanging="0"/>
        <w:jc w:val="left"/>
        <w:rPr>
          <w:rFonts w:ascii="Calibri" w:hAnsi="Calibri"/>
          <w:color w:val="000000"/>
          <w:sz w:val="21"/>
        </w:rPr>
      </w:pPr>
      <w:r>
        <w:rPr/>
        <w:t xml:space="preserve">Uddannelse, kultur, ungdom og 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Aktuel rapport — januar 2022</w:t>
      </w:r>
    </w:p>
    <w:p>
      <w:pPr>
        <w:pStyle w:val="P68B1DB1Normal104"/>
        <w:widowControl w:val="false"/>
        <w:spacing w:lineRule="auto" w:line="240"/>
        <w:ind w:left="0" w:right="0" w:hanging="0"/>
        <w:jc w:val="left"/>
        <w:rPr/>
      </w:pPr>
      <w:r>
        <w:rPr/>
        <w:t xml:space="preserve">Klimaændringer og miljø </w:t>
      </w:r>
    </w:p>
    <w:p>
      <w:pPr>
        <w:pStyle w:val="P68B1DB1Normal104"/>
        <w:widowControl w:val="false"/>
        <w:spacing w:lineRule="auto" w:line="240"/>
        <w:ind w:left="0" w:right="0" w:hanging="0"/>
        <w:jc w:val="left"/>
        <w:rPr>
          <w:rFonts w:ascii="Calibri" w:hAnsi="Calibri"/>
          <w:color w:val="000000"/>
          <w:sz w:val="21"/>
        </w:rPr>
      </w:pPr>
      <w:r>
        <w:rPr/>
        <w:t xml:space="preserve">Migration </w:t>
      </w:r>
    </w:p>
    <w:p>
      <w:pPr>
        <w:pStyle w:val="P68B1DB1Normal104"/>
        <w:widowControl w:val="false"/>
        <w:spacing w:lineRule="auto" w:line="240"/>
        <w:ind w:left="0" w:right="0" w:hanging="0"/>
        <w:jc w:val="left"/>
        <w:rPr>
          <w:rFonts w:ascii="Calibri" w:hAnsi="Calibri"/>
          <w:color w:val="000000"/>
          <w:sz w:val="21"/>
        </w:rPr>
      </w:pPr>
      <w:r>
        <w:rPr/>
        <w:t xml:space="preserve">Sundhed </w:t>
      </w:r>
    </w:p>
    <w:p>
      <w:pPr>
        <w:pStyle w:val="P68B1DB1Normal104"/>
        <w:widowControl w:val="false"/>
        <w:spacing w:lineRule="auto" w:line="240"/>
        <w:ind w:left="0" w:right="0" w:hanging="0"/>
        <w:jc w:val="left"/>
        <w:rPr>
          <w:rFonts w:ascii="Calibri" w:hAnsi="Calibri"/>
          <w:color w:val="000000"/>
          <w:sz w:val="21"/>
        </w:rPr>
      </w:pPr>
      <w:r>
        <w:rPr/>
        <w:t xml:space="preserve">EU i verden </w:t>
      </w:r>
    </w:p>
    <w:p>
      <w:pPr>
        <w:pStyle w:val="P68B1DB1Normal126"/>
        <w:widowControl w:val="false"/>
        <w:spacing w:lineRule="auto" w:line="240" w:before="105" w:after="0"/>
        <w:ind w:left="0" w:right="0" w:hanging="0"/>
        <w:jc w:val="left"/>
        <w:rPr>
          <w:rFonts w:ascii="Calibri" w:hAnsi="Calibri"/>
          <w:color w:val="0070C0"/>
          <w:sz w:val="24"/>
        </w:rPr>
      </w:pPr>
      <w:r>
        <w:rPr/>
        <w:t xml:space="preserve">Næste skridt </w:t>
      </w:r>
    </w:p>
    <w:p>
      <w:pPr>
        <w:pStyle w:val="Normal"/>
        <w:widowControl w:val="false"/>
        <w:spacing w:lineRule="auto" w:line="240" w:before="107" w:after="0"/>
        <w:ind w:left="0" w:right="0" w:hanging="0"/>
        <w:jc w:val="left"/>
        <w:rPr/>
      </w:pPr>
      <w:r>
        <w:rPr>
          <w:rFonts w:ascii="Calibri" w:hAnsi="Calibri"/>
          <w:color w:val="000000"/>
          <w:sz w:val="21"/>
        </w:rPr>
        <w:t xml:space="preserve">Konferencen om Europas fremtid samler alle EU-borgeres idéer, holdninger og anbefalinger. Møderne vil ikke kun blive brugt på resultaterne af alle borgerdialoger på nationalt plan, men også til resultaterne af andre initiativer, der er iværksat i forbindelse med konferencen. Der er f.eks. også paneler af europæiske borgere, og alle EU-borgere (herunder nederlandske borgere) har adgang til en europæisk digital platform.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 xml:space="preserve">"Jeg håber, at EU's ledere vil tage min holdning i betragtning. Og at det vil hjælpe dem med at træffe de rigtige valg. </w:t>
      </w:r>
    </w:p>
    <w:p>
      <w:pPr>
        <w:pStyle w:val="P68B1DB1Normal104"/>
        <w:widowControl w:val="false"/>
        <w:spacing w:lineRule="auto" w:line="240" w:before="300" w:after="0"/>
        <w:ind w:left="0" w:right="0" w:hanging="0"/>
        <w:jc w:val="left"/>
        <w:rPr>
          <w:rFonts w:ascii="Calibri" w:hAnsi="Calibri"/>
          <w:color w:val="000000"/>
          <w:sz w:val="21"/>
        </w:rPr>
      </w:pPr>
      <w:r>
        <w:rPr/>
        <w:t xml:space="preserve">Deltager i den tematiske dialog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Konferencen slutter i foråret 2022. Nederlandene vil derefter udarbejde en endelig rapport om borgerdialogen: en samling af denne rapport og den foregående rapport med anbefalinger til alle ni temaer. Efter konferencen vil der blive fremsat henstillinger til formanden for konferencen: formændene for Europa-Parlamentet, Ministerrådet og Europa-Kommissionen. De forpligtede sig til at undersøge måder og midler til at gennemføre anbefalingerne. For den nederlandske regering er resultaterne også et værdifuldt bidrag til udviklingen af Nederlandenes europæiske politik.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Sammenfattende vil processen frem til foråret 2022 blive tilrettelagt som følger: </w:t>
      </w:r>
      <w:r>
        <w:br w:type="page"/>
      </w:r>
    </w:p>
    <w:p>
      <w:pPr>
        <w:pStyle w:val="P68B1DB1Normal127"/>
        <w:widowControl w:val="false"/>
        <w:spacing w:lineRule="auto" w:line="240" w:before="0" w:after="0"/>
        <w:ind w:left="0" w:right="0" w:hanging="0"/>
        <w:jc w:val="left"/>
        <w:rPr/>
      </w:pPr>
      <w:r>
        <w:rPr>
          <w:color w:val="0070C0"/>
          <w:sz w:val="24"/>
        </w:rPr>
        <w:t>Kronologi</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Vision for Europa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146"/>
        <w:gridCol w:w="355"/>
        <w:gridCol w:w="416"/>
        <w:gridCol w:w="915"/>
        <w:gridCol w:w="41"/>
        <w:gridCol w:w="512"/>
        <w:gridCol w:w="292"/>
        <w:gridCol w:w="443"/>
        <w:gridCol w:w="656"/>
        <w:gridCol w:w="854"/>
        <w:gridCol w:w="2"/>
        <w:gridCol w:w="705"/>
        <w:gridCol w:w="2"/>
        <w:gridCol w:w="853"/>
        <w:gridCol w:w="2"/>
        <w:gridCol w:w="851"/>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september</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oktober</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oktober</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november</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december</w:t>
            </w:r>
          </w:p>
        </w:tc>
        <w:tc>
          <w:tcPr>
            <w:tcW w:w="6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januar</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januar</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Februar</w:t>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februar</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marts</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april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Indsamling af ideer online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Tematiske dialoger</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Foreløbige resultater (mellemrapport)</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Interimsrapport om økonomi og demokrati</w:t>
            </w:r>
          </w:p>
        </w:tc>
        <w:tc>
          <w:tcPr>
            <w:tcW w:w="6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Foreløbig rapport om "Klima" og "EU i verden"</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Endelig rapport "Vores vision for Europa"</w:t>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HVAD ER DET?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HVAD ER DET?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HVAD ER DET?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HVAD ER DET?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HVAD ER DET?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Møde i konferencen</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Møde i konferencen</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Møde i </w:t>
              <w:br/>
              <w:t>konferencen</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(eventuelt) møde i konferencen</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Afslutning af konferencen</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Anbefalinger til formændene </w:t>
            </w:r>
          </w:p>
          <w:p>
            <w:pPr>
              <w:pStyle w:val="P68B1DB1Contenudetableau128"/>
              <w:spacing w:before="57" w:after="57"/>
              <w:jc w:val="left"/>
              <w:rPr>
                <w:color w:val="000000"/>
                <w:sz w:val="14"/>
              </w:rPr>
            </w:pPr>
            <w:r>
              <w:rPr/>
              <w:t xml:space="preserve">• </w:t>
            </w:r>
            <w:r>
              <w:rPr/>
              <w:t xml:space="preserve">Europa-Parlamentet </w:t>
              <w:br/>
              <w:t xml:space="preserve">• Europa-Kommissionen </w:t>
              <w:br/>
              <w:t>• Ministerrådet</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Flere udtalelser og idéer om Europas fremtid:</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Dialoger med borgerne</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Europæiske borgerpaneler</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Den europæiske digitale platform (også for nederlandske borgere)</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Forklaringer til at lette læsning </w:t>
      </w:r>
    </w:p>
    <w:p>
      <w:pPr>
        <w:pStyle w:val="P68B1DB1Normal104"/>
        <w:widowControl w:val="false"/>
        <w:spacing w:lineRule="exact" w:line="281" w:before="116" w:after="0"/>
        <w:ind w:left="0" w:right="772" w:hanging="0"/>
        <w:jc w:val="left"/>
        <w:rPr/>
      </w:pPr>
      <w:r>
        <w:rPr/>
        <w:t xml:space="preserve">I denne betænkning drøftede vi fire temaer. For hvert tema har vi medtaget successivt: </w:t>
      </w:r>
    </w:p>
    <w:p>
      <w:pPr>
        <w:pStyle w:val="P68B1DB1Normal104"/>
        <w:widowControl w:val="false"/>
        <w:spacing w:lineRule="exact" w:line="339" w:before="1" w:after="0"/>
        <w:ind w:left="0" w:right="0" w:hanging="0"/>
        <w:jc w:val="left"/>
        <w:rPr>
          <w:rFonts w:ascii="Calibri" w:hAnsi="Calibri"/>
          <w:color w:val="000000"/>
          <w:sz w:val="21"/>
        </w:rPr>
      </w:pPr>
      <w:r>
        <w:rPr/>
        <w:t xml:space="preserve">henstillinger baseret på alle aspekter af borgerdialogen </w:t>
      </w:r>
    </w:p>
    <w:p>
      <w:pPr>
        <w:pStyle w:val="P68B1DB1Normal104"/>
        <w:widowControl w:val="false"/>
        <w:spacing w:lineRule="exact" w:line="283"/>
        <w:ind w:left="0" w:right="137" w:hanging="0"/>
        <w:jc w:val="left"/>
        <w:rPr/>
      </w:pPr>
      <w:r>
        <w:rPr/>
        <w:t xml:space="preserve">online og on-site diskussioner og ideer: oversigt over udvekslede udtalelser, idéer og synspunkter (online og med fysisk tilstedeværelse) under tematiske dialoger.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En beskrivelse af den metode, der anvendes i undersøgelsen, findes i slutningen af denne rapport.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Klimaændringer og miljø </w:t>
      </w:r>
    </w:p>
    <w:p>
      <w:pPr>
        <w:pStyle w:val="P68B1DB1Normal126"/>
        <w:widowControl w:val="false"/>
        <w:spacing w:lineRule="auto" w:line="240" w:before="48" w:after="0"/>
        <w:ind w:left="0" w:right="0" w:hanging="0"/>
        <w:jc w:val="left"/>
        <w:rPr>
          <w:rFonts w:ascii="Calibri" w:hAnsi="Calibri"/>
          <w:color w:val="0070C0"/>
          <w:sz w:val="24"/>
        </w:rPr>
      </w:pPr>
      <w:r>
        <w:rPr/>
        <w:t xml:space="preserve">Anbefalinger — Vores vision for klimaforandringer og miljø </w:t>
      </w:r>
    </w:p>
    <w:p>
      <w:pPr>
        <w:pStyle w:val="P68B1DB1Normal120"/>
        <w:widowControl w:val="false"/>
        <w:spacing w:lineRule="auto" w:line="240" w:before="61" w:after="0"/>
        <w:ind w:left="0" w:right="0" w:hanging="0"/>
        <w:jc w:val="left"/>
        <w:rPr/>
      </w:pPr>
      <w:r>
        <w:rPr/>
        <w:t xml:space="preserve">71 % af hollænderne mener, at klimaændringer og miljø er et vigtigt spørgsmål, og at EU skal gribe ind på dette område. </w:t>
      </w:r>
    </w:p>
    <w:p>
      <w:pPr>
        <w:pStyle w:val="P68B1DB1Normal110"/>
        <w:widowControl w:val="false"/>
        <w:spacing w:lineRule="auto" w:line="240" w:before="57" w:after="0"/>
        <w:ind w:left="0" w:right="0" w:hanging="0"/>
        <w:jc w:val="left"/>
        <w:rPr/>
      </w:pPr>
      <w:r>
        <w:rPr>
          <w:b/>
        </w:rPr>
        <w:t xml:space="preserve">1. Ved at vælge en klar kurs for den europæiske tilgang til klimaændringer mener </w:t>
      </w:r>
      <w:r>
        <w:rPr>
          <w:sz w:val="21"/>
        </w:rPr>
        <w:t xml:space="preserve">68 % af hollænderne, at EU skal spille en ledende rolle i kampen mod klimaændringer. Global opvarmning er et problem, og intet land kan løse det alene. Selv om hollænderne ikke alle er enige om klimaændringerne, mener vi, at EU alligevel skal have en klarere fremtidsvision. På trods af den grønne pagt ser vi på nuværende tidspunkt, at medlemsstaterne ofte ikke er tilpasset hinanden. Selv om landene fortsat skal kunne træffe deres egne valg, skal de ikke desto mindre samarbejde om at nå de samme mål. Vi mener også, at vi som borgere også har vores egen del af ansvaret, f.eks. med hensyn til at tilpasse vores forbrugsvaner. </w:t>
      </w:r>
    </w:p>
    <w:p>
      <w:pPr>
        <w:pStyle w:val="P68B1DB1Normal113"/>
        <w:widowControl w:val="false"/>
        <w:spacing w:lineRule="auto" w:line="240" w:before="135" w:after="0"/>
        <w:ind w:left="0" w:right="0" w:hanging="0"/>
        <w:jc w:val="center"/>
        <w:rPr/>
      </w:pPr>
      <w:r>
        <w:rPr/>
        <w:t xml:space="preserve">Nederlandene ønsker at opgive naturgas, mens det i Tyskland netop opfordres til at bruge den. Nogle gange er det ikke at forstå noget. </w:t>
      </w:r>
    </w:p>
    <w:p>
      <w:pPr>
        <w:pStyle w:val="P68B1DB1Normal111"/>
        <w:widowControl w:val="false"/>
        <w:spacing w:lineRule="auto" w:line="240" w:before="109" w:after="0"/>
        <w:ind w:left="0" w:right="0" w:hanging="0"/>
        <w:jc w:val="left"/>
        <w:rPr/>
      </w:pPr>
      <w:r>
        <w:rPr/>
        <w:t xml:space="preserve">2. Sikre, at lande og virksomheder arbejder tættere sammen om at finde målrettede løsninger </w:t>
      </w:r>
    </w:p>
    <w:p>
      <w:pPr>
        <w:pStyle w:val="P68B1DB1Normal104"/>
        <w:widowControl w:val="false"/>
        <w:spacing w:lineRule="auto" w:line="240"/>
        <w:ind w:left="0" w:right="0" w:hanging="0"/>
        <w:jc w:val="left"/>
        <w:rPr/>
      </w:pPr>
      <w:r>
        <w:rPr/>
        <w:t xml:space="preserve">Når det kommer til klimaforandringer og miljø, finder hollænderne, at landene ofte peger fingre. Der fokuseres ofte på forskelle, f.eks. mellem fattige og rige lande i EU. Eller mellem stærkt industrialiserede eller svagt industrialiserede lande. Vi ville foretrække at forsøge at nå frem til aftaler. For eksempel kunne lignende virksomheder i forskellige lande udveksle viden og tænke sammen om løsninger. Hvis dette blev gjort, kunne fattigere lande være mere involveret i tilgangen til klimaændringer. De kunne deltage i overvejelserne og kunne også drage fordel af fælles løsninger. </w:t>
      </w:r>
    </w:p>
    <w:p>
      <w:pPr>
        <w:pStyle w:val="P68B1DB1Normal113"/>
        <w:widowControl w:val="false"/>
        <w:spacing w:lineRule="auto" w:line="240" w:before="143" w:after="0"/>
        <w:ind w:left="0" w:right="0" w:hanging="0"/>
        <w:jc w:val="center"/>
        <w:rPr/>
      </w:pPr>
      <w:r>
        <w:rPr/>
        <w:t xml:space="preserve">Tilgangen til klimaændringer bør ikke være et kapløb, men et samarbejde.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Skabe et CO2-system, der er retfærdigt og gennemførligt i praksis </w:t>
      </w:r>
    </w:p>
    <w:p>
      <w:pPr>
        <w:pStyle w:val="P68B1DB1Normal104"/>
        <w:widowControl w:val="false"/>
        <w:spacing w:lineRule="auto" w:line="240"/>
        <w:ind w:left="0" w:right="0" w:hanging="0"/>
        <w:jc w:val="left"/>
        <w:rPr/>
      </w:pPr>
      <w:r>
        <w:rPr/>
        <w:t xml:space="preserve">EU's tilgang til klimaændringer lægger stor vægt på at reducere CO2-emissionerne. Nederlandene mener, at der er behov for et bedre system til dette formål, som vil gøre det muligt for både producenter og forbrugere at blive beskattet retfærdigt. Hollænderne er uenige om, hvorvidt de lande, der har flest indbyggere, har ret til at udlede mere CO2. Nogle lande har f.eks. en meget forurenende industri. På den anden side har andre lande mange muligheder for at producere grøn energi. Der bør tages hensyn til disse forskelle. Uden at dette bliver for komplekst, for systemet skal være forståeligt for alle. </w:t>
      </w:r>
    </w:p>
    <w:p>
      <w:pPr>
        <w:pStyle w:val="P68B1DB1Normal129"/>
        <w:widowControl w:val="false"/>
        <w:spacing w:lineRule="auto" w:line="240" w:before="135" w:after="0"/>
        <w:ind w:left="0" w:right="0" w:hanging="0"/>
        <w:jc w:val="center"/>
        <w:rPr/>
      </w:pPr>
      <w:r>
        <w:rPr>
          <w:sz w:val="26"/>
        </w:rPr>
        <w:t>De industrialiserede lande eksporterer meget. Er det derfor nødvendigt at bære CO2-afgiften</w:t>
      </w:r>
      <w:r>
        <w:rPr>
          <w:sz w:val="17"/>
        </w:rPr>
        <w:t>alene</w:t>
      </w:r>
      <w:r>
        <w:rPr>
          <w:sz w:val="26"/>
        </w:rPr>
        <w:t xml:space="preserve">? Efter min mening bør forbrugeren også betale.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Kommuniker på en klarere og mere positiv måde om klimatilgangen </w:t>
      </w:r>
      <w:r>
        <w:rPr>
          <w:sz w:val="21"/>
        </w:rPr>
        <w:t xml:space="preserve">Det hollandske folk hører meget om klimaændringer og læser meget om det. Dette er dog stadig et abstrakt og komplekst emne for mange mennesker. Det opfattes ofte som noget, der koster mange penge, mens tilgangen til klimaændringer også skaber muligheder. Vi tænker f.eks. på at stimulere den lokale fødevareproduktion og udvikle nye og bæredygtige teknologier. EU kunne oftere og mere effektivt afsløre dette aspekt. Vi mener også, at medlemsstaternes regeringschefer selv kunne være et bedre eksempel. Rejser mindre — f.eks. mellem Bruxelles og Strasbourg — og møder oftere online, kan f.eks. bidrage til at støtte bæredygtighed. </w:t>
      </w:r>
    </w:p>
    <w:p>
      <w:pPr>
        <w:pStyle w:val="P68B1DB1Normal113"/>
        <w:widowControl w:val="false"/>
        <w:spacing w:lineRule="auto" w:line="240" w:before="61" w:after="0"/>
        <w:ind w:left="0" w:right="0" w:hanging="0"/>
        <w:jc w:val="center"/>
        <w:rPr/>
      </w:pPr>
      <w:r>
        <w:rPr/>
        <w:t xml:space="preserve">Bæredygtighed opfattes stadig alt for ofte som en omkostning. Det skal ses som en mulighed og ikke en trussel. </w:t>
      </w:r>
    </w:p>
    <w:p>
      <w:pPr>
        <w:pStyle w:val="P68B1DB1Normal126"/>
        <w:widowControl w:val="false"/>
        <w:spacing w:lineRule="auto" w:line="240" w:before="129" w:after="0"/>
        <w:ind w:left="0" w:right="0" w:hanging="0"/>
        <w:jc w:val="left"/>
        <w:rPr>
          <w:rFonts w:ascii="Calibri" w:hAnsi="Calibri"/>
          <w:color w:val="0070C0"/>
          <w:sz w:val="24"/>
        </w:rPr>
      </w:pPr>
      <w:r>
        <w:rPr/>
        <w:t xml:space="preserve">Online og on-site diskussioner og ideer </w:t>
      </w:r>
    </w:p>
    <w:p>
      <w:pPr>
        <w:pStyle w:val="P68B1DB1Normal129"/>
        <w:widowControl w:val="false"/>
        <w:spacing w:lineRule="auto" w:line="240" w:before="78" w:after="0"/>
        <w:ind w:left="0" w:right="0" w:hanging="0"/>
        <w:jc w:val="left"/>
        <w:rPr/>
      </w:pPr>
      <w:r>
        <w:rPr>
          <w:sz w:val="21"/>
        </w:rPr>
        <w:t>Vi bør ikke betragte CO2-udledning som</w:t>
      </w:r>
      <w:r>
        <w:rPr>
          <w:sz w:val="14"/>
        </w:rPr>
        <w:t>en</w:t>
      </w:r>
      <w:r>
        <w:rPr>
          <w:sz w:val="21"/>
        </w:rPr>
        <w:t xml:space="preserve"> ret, men som en akavet kurollary.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Jeg har det indtryk, at vi i Europa bruger mere tid på at tale om klimaændringer end at gøre noget ved det.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Strengere klimaregler kan i sidste ende også vise sig at være til gavn for os. Som et kontinent, der beskæftiger sig med handel, må vi forsøge at se muligheder der.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Vi kan ikke vente på andre kontinenter. Vi har ikke tid til at vente.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IDÉ:</w:t>
      </w:r>
      <w:r>
        <w:rPr>
          <w:i/>
        </w:rPr>
        <w:t xml:space="preserve"> Belønne lande økonomisk, hvis de viser, at deres natur og biodiversitet er stigende.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IDÉ:</w:t>
      </w:r>
      <w:r>
        <w:rPr>
          <w:i/>
        </w:rPr>
        <w:t xml:space="preserve"> "Stimulering af naturvenlig turisme i fattige regioner i EU."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erhvervsuddannelse gymnasieelever: Fjernrejser skal være tilgængelige for alle.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Afhandlingen om, at flyvninger inden for EU skulle blive dyrere, blev indsendt til studerende på Graafschap College i Doetinchem. Nogle studerende var enige om, at dyrere billetter ville tilskynde folk til at kigge efter billigere alternativer. Desuden blev det understreget, at EU derefter bør sikre mere miljøvenlige muligheder, f.eks. bedre jernbaneforbindelser. Andre deltagere oplyste, at de ikke gik ind for højere flybilletpriser. "Rige mennesker er dem, der rejser mest i dag, og de vil være i stand til at betale for det nemt," sagde en deltager. Høje priser vil ikke stoppe dem fra at rejse. Mens fjerne ferier bliver umulige for "almindelige" borgere. </w:t>
      </w:r>
    </w:p>
    <w:p>
      <w:pPr>
        <w:pStyle w:val="P68B1DB1Normal118"/>
        <w:widowControl w:val="false"/>
        <w:spacing w:lineRule="auto" w:line="240"/>
        <w:ind w:left="0" w:right="0" w:hanging="0"/>
        <w:jc w:val="left"/>
        <w:rPr/>
      </w:pPr>
      <w:r>
        <w:rPr/>
        <w:t xml:space="preserve">Naturvenlige landmænd: "EU kan bidrage til formidling af viden om bæredygtige løsninger."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er en sammenslutning af bondegrupper. Under den tematiske dialog fokuserede samtalen på klimaændringer og miljø. </w:t>
      </w:r>
    </w:p>
    <w:p>
      <w:pPr>
        <w:pStyle w:val="Normal"/>
        <w:widowControl w:val="false"/>
        <w:spacing w:lineRule="auto" w:line="240"/>
        <w:ind w:left="0" w:right="0" w:hanging="0"/>
        <w:jc w:val="left"/>
        <w:rPr/>
      </w:pPr>
      <w:r>
        <w:rPr>
          <w:rFonts w:ascii="Calibri" w:hAnsi="Calibri"/>
          <w:color w:val="000000"/>
          <w:sz w:val="21"/>
        </w:rPr>
        <w:t>Det, der sandsynligvis vil blive forbedret ifølge deltagerne, er forskellige landes anvendelse af EU-lovgivning og -regler. Kvælstofdossieret blev nævnt som et eksempel. "EU-lovgivningen fastslår kun, at et naturområde "ikke kan forringes". Men i Sydeuropa fortolkes dette begreb anderledes end i Nederlandene." De fleste af de tilstedeværende er enige om, at Europa skal spille en ledende rolle i kampen mod klimaændringer. Og vi må ikke være tilfredse med talen, vi skal opnå resultater. Især gennem udveksling af viden tror landmændene. I landbrugssektoren arbejder vi på løsninger for at</w:t>
      </w:r>
      <w:r>
        <w:rPr>
          <w:rFonts w:ascii="Calibri" w:hAnsi="Calibri"/>
          <w:color w:val="000000"/>
          <w:sz w:val="21"/>
        </w:rPr>
        <w:commentReference w:id="27"/>
      </w:r>
      <w:r>
        <w:rPr>
          <w:rFonts w:ascii="Calibri" w:hAnsi="Calibri"/>
          <w:color w:val="000000"/>
          <w:sz w:val="21"/>
        </w:rPr>
        <w:t xml:space="preserve"> opnå et renere landbrug. EU skal bidrage til hurtig formidling af viden på dette område." </w:t>
      </w:r>
      <w:r>
        <w:br w:type="page"/>
      </w:r>
    </w:p>
    <w:p>
      <w:pPr>
        <w:pStyle w:val="P68B1DB1Normal127"/>
        <w:widowControl w:val="false"/>
        <w:spacing w:lineRule="auto" w:line="240"/>
        <w:ind w:left="0" w:right="0" w:hanging="0"/>
        <w:jc w:val="left"/>
        <w:rPr/>
      </w:pPr>
      <w:r>
        <w:rPr>
          <w:b/>
          <w:color w:val="0070C0"/>
          <w:sz w:val="32"/>
        </w:rPr>
        <w:t>Migration</w:t>
      </w:r>
      <w:r>
        <w:rPr>
          <w:color w:val="365F91"/>
          <w:sz w:val="28"/>
        </w:rPr>
        <w:t xml:space="preserve"> </w:t>
      </w:r>
      <w:r>
        <w:rPr>
          <w:color w:val="0070C0"/>
          <w:sz w:val="21"/>
        </w:rPr>
        <w:t xml:space="preserve">(migration og flygtninge)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Grænserne mellem EU's medlemsstater er åbne. Der gennemføres derfor samarbejde inden for EU om f.eks. forvaltning af de ydre grænser og bekæmpelse af smugling af migranter. En retfærdig fordeling af flygtninge mellem de forskellige EU-medlemsstater drøftes også. Hvad er Nederlandenes holdning til dette? </w:t>
      </w:r>
    </w:p>
    <w:p>
      <w:pPr>
        <w:pStyle w:val="P68B1DB1Normal126"/>
        <w:widowControl w:val="false"/>
        <w:spacing w:lineRule="auto" w:line="240" w:before="93" w:after="0"/>
        <w:ind w:left="0" w:right="0" w:hanging="0"/>
        <w:jc w:val="left"/>
        <w:rPr>
          <w:rFonts w:ascii="Calibri" w:hAnsi="Calibri"/>
          <w:color w:val="0070C0"/>
          <w:sz w:val="24"/>
        </w:rPr>
      </w:pPr>
      <w:r>
        <w:rPr/>
        <w:t xml:space="preserve">Anbefalinger — Vores vision om migration og flygtninge </w:t>
      </w:r>
    </w:p>
    <w:p>
      <w:pPr>
        <w:pStyle w:val="P68B1DB1Normal120"/>
        <w:widowControl w:val="false"/>
        <w:spacing w:lineRule="auto" w:line="240" w:before="90" w:after="0"/>
        <w:ind w:left="0" w:right="0" w:hanging="0"/>
        <w:jc w:val="left"/>
        <w:rPr/>
      </w:pPr>
      <w:r>
        <w:rPr/>
        <w:t xml:space="preserve">65 % af hollænderne mener, at migration og flygtninge er et vigtigt spørgsmål, og at EU skal gribe ind på dette område.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Undgå, at debatten om flygtningespørgsmålet er for lidt nuanceret </w:t>
      </w:r>
    </w:p>
    <w:p>
      <w:pPr>
        <w:pStyle w:val="P68B1DB1Normal104"/>
        <w:widowControl w:val="false"/>
        <w:spacing w:lineRule="auto" w:line="240"/>
        <w:ind w:left="0" w:right="0" w:hanging="0"/>
        <w:jc w:val="left"/>
        <w:rPr/>
      </w:pPr>
      <w:r>
        <w:rPr/>
        <w:t xml:space="preserve">70 % af hollænderne mener, at Europas ydre grænser skal beskyttes bedre. Og af disse mener 72 procent også, at det betyder, at flere flygtninge skal sendes tilbage til usikre lande. Hollænderne mener, at der bør lægges større vægt på årsagerne til, at folk flygter fra et usikkert land. Disse årsager er undertiden forbundet med klimaændringer, nogle gange med krige. Disse sammenhænge nævnes ofte kun i begrænset omfang i debatten om flygtningespørgsmålet. Den merværdi, som disse flygtninge tilfører et land, behandles også sjældent. Endelig mener vi, at EU er nødt til at foretage en klarere sondring mellem mennesker fra usikre regioner, der befinder sig ved grænserne, og økonomiske flygtninge. Sammenfattende finder vi, at debatterne om migration og flygtninge generelt mangler kontekst og nuancer. Europæiske politikere kunne rette op på denne situation ved at sætte et eksempel. </w:t>
      </w:r>
    </w:p>
    <w:p>
      <w:pPr>
        <w:pStyle w:val="P68B1DB1Normal113"/>
        <w:widowControl w:val="false"/>
        <w:spacing w:lineRule="auto" w:line="240" w:before="173" w:after="0"/>
        <w:ind w:left="0" w:right="0" w:hanging="0"/>
        <w:jc w:val="center"/>
        <w:rPr/>
      </w:pPr>
      <w:r>
        <w:rPr/>
        <w:t xml:space="preserve">Vi skal først og fremmest betragte flygtninge som vores medborgere. For næsten ingen vil forlade en person i nød.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Definition af, hvad en retfærdig og praktisk fordeling af flygtninge er </w:t>
      </w:r>
    </w:p>
    <w:p>
      <w:pPr>
        <w:pStyle w:val="P68B1DB1Normal104"/>
        <w:widowControl w:val="false"/>
        <w:spacing w:lineRule="auto" w:line="240"/>
        <w:ind w:left="0" w:right="0" w:hanging="0"/>
        <w:jc w:val="both"/>
        <w:rPr/>
      </w:pPr>
      <w:r>
        <w:rPr/>
        <w:t xml:space="preserve">En europæisk indvandringstjeneste bør sikre, at flygtninge fordeles retfærdigt mellem EU's medlemsstater. Nederlandene mener også, at der bør fastsættes klare kriterier for at definere, hvad en retfærdig fordeling er. Et godt socialt system kan f.eks. gøre et land attraktivt for flygtninge, men andre faktorer er også vigtige for både flygtninge og det pågældende land. I Nederlandene står vi over for en boligmangel, mens nogle lande eller sektorer simpelthen har brug for flere vandrende arbejdstagere. Vi mener, at det er vigtigt, at EU tager højde for dette, når vi uddeler flygtninge. Klare mekanismer sikrer ikke blot gennemsigtighed, men også mindre uenighed, hvilket i sidste ende er i alles interesse. </w:t>
      </w:r>
    </w:p>
    <w:p>
      <w:pPr>
        <w:pStyle w:val="P68B1DB1Normal113"/>
        <w:widowControl w:val="false"/>
        <w:spacing w:lineRule="auto" w:line="240" w:before="173" w:after="0"/>
        <w:ind w:left="0" w:right="0" w:hanging="0"/>
        <w:jc w:val="center"/>
        <w:rPr/>
      </w:pPr>
      <w:r>
        <w:rPr/>
        <w:t xml:space="preserve">Flygtninge skal også være i stand til at udtrykke deres talenter i et destinationsland.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På grundlag af den viden og de erfaringer, der er indhøstet til at hjælpe flygtningeregioner, der kommer fra </w:t>
      </w:r>
    </w:p>
    <w:p>
      <w:pPr>
        <w:pStyle w:val="P68B1DB1Normal104"/>
        <w:widowControl w:val="false"/>
        <w:spacing w:lineRule="auto" w:line="240" w:before="86" w:after="0"/>
        <w:ind w:left="0" w:right="0" w:hanging="0"/>
        <w:jc w:val="left"/>
        <w:rPr/>
      </w:pPr>
      <w:r>
        <w:rPr/>
        <w:t xml:space="preserve">67 % af hollænderne mener, at EU er nødt til yderligere at hjælpe usikre regioner med at dæmme op for flygtningestrømmene. Vi er klar over, at flygtninge ikke forlader deres land ved blot at vælge. Så vi er nødt til at se på årsagerne, som f.eks. klimaændringer eller konflikter, der gør regionerne usikre eller ulevelige. EU kan hjælpe flygtningeregionerne ikke kun med økonomisk støtte, men også gennem viden. I Holland har vi f.eks. stærke færdigheder inden for landbruget. Med moderne landbrugsteknikker kan vi hjælpe andre lande med at klare tørke og forsaltning bedre. Og folk, der har søgt tilflugt i Europa, kan deltage i uddannelse i et europæisk land og derefter selv hjælpe deres oprindelsesland.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Online og on-site diskussioner og ideer </w:t>
      </w:r>
    </w:p>
    <w:p>
      <w:pPr>
        <w:pStyle w:val="P68B1DB1Normal118"/>
        <w:widowControl w:val="false"/>
        <w:spacing w:lineRule="auto" w:line="240" w:before="85" w:after="0"/>
        <w:ind w:left="0" w:right="0" w:hanging="0"/>
        <w:jc w:val="left"/>
        <w:rPr/>
      </w:pPr>
      <w:r>
        <w:rPr/>
        <w:t xml:space="preserve">"EU er nødt til at indføre hurtigere asylprocedurer. Så der vil være mere plads til folk, der virkelig har brug for det. </w:t>
      </w:r>
    </w:p>
    <w:p>
      <w:pPr>
        <w:pStyle w:val="P68B1DB1Normal118"/>
        <w:widowControl w:val="false"/>
        <w:spacing w:lineRule="auto" w:line="240"/>
        <w:ind w:left="0" w:right="0" w:hanging="0"/>
        <w:jc w:val="left"/>
        <w:rPr/>
      </w:pPr>
      <w:r>
        <w:rPr/>
        <w:t xml:space="preserve">Jeg kender mange unge omkring mig, der ønsker at købe et hus, men som ikke finder noget overkommeligt, mens flygtninge ser sig selv tilbyde boliger. Jeg har svært ved at acceptere det. </w:t>
      </w:r>
    </w:p>
    <w:p>
      <w:pPr>
        <w:pStyle w:val="P68B1DB1Normal118"/>
        <w:widowControl w:val="false"/>
        <w:spacing w:lineRule="auto" w:line="240"/>
        <w:ind w:left="0" w:right="0" w:hanging="0"/>
        <w:jc w:val="left"/>
        <w:rPr/>
      </w:pPr>
      <w:r>
        <w:rPr/>
        <w:t xml:space="preserve">Klimaændringerne vil under alle omstændigheder føre til befolkningsfordrivelse. Vi kan ikke stoppe disse strømme, men vi kan nok regulere dem bedre. </w:t>
      </w:r>
    </w:p>
    <w:p>
      <w:pPr>
        <w:pStyle w:val="P68B1DB1Normal118"/>
        <w:widowControl w:val="false"/>
        <w:spacing w:lineRule="auto" w:line="240"/>
        <w:ind w:left="0" w:right="0" w:hanging="0"/>
        <w:jc w:val="left"/>
        <w:rPr/>
      </w:pPr>
      <w:r>
        <w:rPr/>
        <w:t xml:space="preserve">Jeg bor i Betuwe. I løbet af pærer og æbler sæson har vi simpelthen brug for en masse vandrende arbejdstagere. </w:t>
      </w:r>
    </w:p>
    <w:p>
      <w:pPr>
        <w:pStyle w:val="P68B1DB1Normal118"/>
        <w:widowControl w:val="false"/>
        <w:spacing w:lineRule="auto" w:line="240"/>
        <w:ind w:left="0" w:right="0" w:hanging="0"/>
        <w:jc w:val="left"/>
        <w:rPr/>
      </w:pPr>
      <w:r>
        <w:rPr/>
        <w:t xml:space="preserve">Usikre regioner er ikke usikre for ingenting, de offentlige myndigheder er ofte upålidelige. Hvordan ved vi, hvor vores hjælp og penge går hen? </w:t>
      </w:r>
    </w:p>
    <w:p>
      <w:pPr>
        <w:pStyle w:val="P68B1DB1Normal104"/>
        <w:widowControl w:val="false"/>
        <w:spacing w:lineRule="auto" w:line="240"/>
        <w:ind w:left="0" w:right="0" w:hanging="0"/>
        <w:jc w:val="left"/>
        <w:rPr/>
      </w:pPr>
      <w:r>
        <w:rPr/>
        <w:t xml:space="preserve">IDÉ: </w:t>
      </w:r>
      <w:r>
        <w:rPr>
          <w:i/>
        </w:rPr>
        <w:t>Overveje også lokale strategier, såsom borgernes deltagelse i den lokale modtagelse af flygtninge og finansiering af lokale integrationsinitiativer.</w:t>
      </w:r>
    </w:p>
    <w:p>
      <w:pPr>
        <w:pStyle w:val="P68B1DB1Normal104"/>
        <w:widowControl w:val="false"/>
        <w:spacing w:lineRule="auto" w:line="240"/>
        <w:ind w:left="0" w:right="0" w:hanging="0"/>
        <w:jc w:val="left"/>
        <w:rPr/>
      </w:pPr>
      <w:r>
        <w:rPr/>
        <w:t>IDÉ:</w:t>
      </w:r>
      <w:r>
        <w:rPr>
          <w:i/>
        </w:rPr>
        <w:t xml:space="preserve"> Oprette minihuse i byer, hvor flygtninge kan bo ved ankomsten. Dette vil lette presset på boligmarkedet og øge den offentlige støtte til modtagelse af disse mennesker. </w:t>
      </w:r>
    </w:p>
    <w:p>
      <w:pPr>
        <w:pStyle w:val="P68B1DB1Normal118"/>
        <w:widowControl w:val="false"/>
        <w:spacing w:lineRule="auto" w:line="240"/>
        <w:ind w:left="0" w:right="0" w:hanging="0"/>
        <w:jc w:val="left"/>
        <w:rPr/>
      </w:pPr>
      <w:r>
        <w:rPr/>
        <w:t xml:space="preserve">Frivillige, der selv var flygtninge: I Europa holder folk sig ofte væk fra hinanden.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er en frivillig organisation, der sikrer, at de nye Allophone indbyggere i Utrecht kan deltage i samfundet. Den tematiske dialog med denne organisation fokuserede ikke kun på migration, men også og frem for alt på integration. Flere deltagere selv ankom til Holland som flygtninge, herunder en fra Syrien. Efter syv år føler jeg mig stadig ikke hollandsk. Jeg fandt heller ikke et job, selvom jeg fik en kandidatgrad. Jeg bemærker, at de europæiske lande primært bekymrer sig om sig selv og ikke er særlig åbne over for andre lande og kulturer." En anden deltager bemærkede, at europæerne ofte er langt fra hinanden. De fleste mennesker er alene; alle bliver i deres hjørne. Jeg finder, for min del, at man må tale med hinanden, og at man kan lære af hinanden.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Unge fra det nationale ungdomsråd: Du bør kun lukke folk ind, hvis du kan tage sig af dem. </w:t>
      </w:r>
    </w:p>
    <w:p>
      <w:pPr>
        <w:pStyle w:val="P68B1DB1Normal104"/>
        <w:widowControl w:val="false"/>
        <w:spacing w:lineRule="auto" w:line="240"/>
        <w:ind w:left="0" w:right="0" w:hanging="0"/>
        <w:jc w:val="both"/>
        <w:rPr/>
      </w:pPr>
      <w:r>
        <w:rPr/>
        <w:t xml:space="preserve">I Utrecht havde medlemmer af forskellige arbejdsgrupper under det nationale ungdomsråd (CNJ) en debat. Deltagerne (i alderen 16-23 år) mener, at der ved fordelingen af flygtninge i Europa skal tages hensyn til flere aspekter, såsom antallet af indbyggere, landets størrelse, velstanden og antallet af asylansøgeres centre. "Flygtninge bør kun få lov til at komme ind i landet, hvis de så kan tages hånd om," sagde en af ​​dem. </w:t>
      </w:r>
    </w:p>
    <w:p>
      <w:pPr>
        <w:pStyle w:val="Normal"/>
        <w:widowControl w:val="false"/>
        <w:spacing w:lineRule="auto" w:line="240"/>
        <w:ind w:left="0" w:right="0" w:hanging="0"/>
        <w:jc w:val="left"/>
        <w:rPr/>
      </w:pPr>
      <w:r>
        <w:rPr>
          <w:rFonts w:ascii="Calibri" w:hAnsi="Calibri"/>
          <w:color w:val="000000"/>
          <w:sz w:val="21"/>
        </w:rPr>
        <w:t xml:space="preserve">Unge mener også, at der skal være konsekvenser, hvis landene ikke lever op til deres forpligtelser over for flygtninge. De skal f.eks. have en bøde. "Og flygtninge skal også have indflydelse på, hvor de skal hen," sagde nogen. For eksempel, hvis de allerede har familie et sted, kan vi ikke sende dem et andet sted.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Sundhed </w:t>
      </w:r>
    </w:p>
    <w:p>
      <w:pPr>
        <w:pStyle w:val="P68B1DB1Normal130"/>
        <w:widowControl w:val="false"/>
        <w:spacing w:lineRule="auto" w:line="240"/>
        <w:ind w:left="0" w:right="0" w:hanging="0"/>
        <w:jc w:val="left"/>
        <w:rPr>
          <w:rFonts w:ascii="Calibri" w:hAnsi="Calibri"/>
          <w:color w:val="0070C0"/>
          <w:sz w:val="21"/>
        </w:rPr>
      </w:pPr>
      <w:r>
        <w:rPr/>
        <w:t xml:space="preserve">(Sundhedspleje) </w:t>
      </w:r>
    </w:p>
    <w:p>
      <w:pPr>
        <w:pStyle w:val="P68B1DB1Normal104"/>
        <w:widowControl w:val="false"/>
        <w:spacing w:lineRule="auto" w:line="240"/>
        <w:ind w:left="0" w:right="0" w:hanging="0"/>
        <w:jc w:val="left"/>
        <w:rPr/>
      </w:pPr>
      <w:r>
        <w:rPr/>
        <w:t xml:space="preserve">Selv om sundhedspleje primært henhører under de enkelte landes ansvar, kan den støttes og styrkes af EU's politikker, f.eks. som reaktion på covid-19-pandemien eller andre (fremtidige) sundhedskriser, eller i partnerskabsforskning i alvorlige sygdomme. Hvad er Nederlandenes holdning til dette? </w:t>
      </w:r>
    </w:p>
    <w:p>
      <w:pPr>
        <w:pStyle w:val="P68B1DB1Normal126"/>
        <w:widowControl w:val="false"/>
        <w:spacing w:lineRule="auto" w:line="240" w:before="14" w:after="0"/>
        <w:ind w:left="0" w:right="0" w:hanging="0"/>
        <w:jc w:val="left"/>
        <w:rPr>
          <w:rFonts w:ascii="Calibri" w:hAnsi="Calibri"/>
          <w:color w:val="0070C0"/>
          <w:sz w:val="24"/>
        </w:rPr>
      </w:pPr>
      <w:r>
        <w:rPr/>
        <w:t xml:space="preserve">Anbefalinger — Vores vision for sundhedspleje </w:t>
      </w:r>
    </w:p>
    <w:p>
      <w:pPr>
        <w:pStyle w:val="P68B1DB1Normal120"/>
        <w:widowControl w:val="false"/>
        <w:spacing w:lineRule="auto" w:line="240"/>
        <w:ind w:left="0" w:right="0" w:hanging="0"/>
        <w:jc w:val="left"/>
        <w:rPr/>
      </w:pPr>
      <w:r>
        <w:rPr/>
        <w:t xml:space="preserve">64 % af hollænderne mener, at sundhedspleje er et vigtigt spørgsmål, og at EU skal gribe ind på dette område. </w:t>
      </w:r>
    </w:p>
    <w:p>
      <w:pPr>
        <w:pStyle w:val="P68B1DB1Normal111"/>
        <w:widowControl w:val="false"/>
        <w:spacing w:lineRule="auto" w:line="240" w:before="2" w:after="0"/>
        <w:ind w:left="0" w:right="0" w:hanging="0"/>
        <w:jc w:val="left"/>
        <w:rPr>
          <w:rFonts w:ascii="Calibri" w:hAnsi="Calibri"/>
          <w:b/>
          <w:b/>
          <w:color w:val="000000"/>
          <w:sz w:val="22"/>
        </w:rPr>
      </w:pPr>
      <w:r>
        <w:rPr/>
        <w:t xml:space="preserve">1. Bedre kontrol med forvaltningen af en pandemi </w:t>
      </w:r>
    </w:p>
    <w:p>
      <w:pPr>
        <w:pStyle w:val="P68B1DB1Normal104"/>
        <w:widowControl w:val="false"/>
        <w:spacing w:lineRule="auto" w:line="240"/>
        <w:ind w:left="0" w:right="0" w:hanging="0"/>
        <w:jc w:val="left"/>
        <w:rPr/>
      </w:pPr>
      <w:r>
        <w:rPr/>
        <w:t xml:space="preserve">83 % af hollænderne mener, at EU-landene skal arbejde mere sammen for at forhindre, at en smitsom sygdom breder sig over hele verden. En virus kender ingen grænser. Det kan vi se under den nuværende pandemi. Politikkerne inden for EU er nogle gange forvirrede. Det er ikke godt for overholdelse af reglerne. Vi mener, at reglerne for bekæmpelse af spredningen af et virus i Europa skal koordineres bedre uden nødvendigvis at være de samme overalt. Der skal være plads til lokale valg. Ikke kun fordi antallet af forureninger kan variere, men også fordi der er forskellige kulturer i Europa. Nogle foranstaltninger fungerer bedre i nogle lande end i andre. </w:t>
      </w:r>
    </w:p>
    <w:p>
      <w:pPr>
        <w:pStyle w:val="P68B1DB1Normal113"/>
        <w:widowControl w:val="false"/>
        <w:spacing w:lineRule="auto" w:line="240" w:before="164" w:after="0"/>
        <w:ind w:left="0" w:right="0" w:hanging="0"/>
        <w:jc w:val="center"/>
        <w:rPr/>
      </w:pPr>
      <w:r>
        <w:rPr/>
        <w:t xml:space="preserve">Jeg bor i Holland ved grænsen til Tyskland. De forskellige foranstaltninger, som de to lande har truffet for at bekæmpe coronavirus, driver mig til vanvid.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Sikre tilgængeligheden af økonomisk overkommelige og pålidelige lægemidler til alle</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af hollænderne mener, at EU skal sikre, at vi har brug for færre tredjelande til udvikling, produktion og levering af lægemidler. Men hvis det betyder at vente længere på at få medicin, er meningerne delte. Hollænderne mener, at produktion og distribution af lægemidler er et komplekst spørgsmål. På den ene side stiger sundhedsudgifterne kraftigt i Holland, så vi anser det for vigtigt at holde dem på det lavest mulige niveau. På den anden side ønsker vi at være i stand til at stole på stoffer, selv når de kommer langt fra. De skal ikke kun være af kvalitet, men også være produceret på en bæredygtig og etisk ansvarlig måde. Generelt mener vi, at vigtige lægemidler skal være tilgængelige for alle, også i fattigere lande. </w:t>
      </w:r>
    </w:p>
    <w:p>
      <w:pPr>
        <w:pStyle w:val="P68B1DB1Normal113"/>
        <w:widowControl w:val="false"/>
        <w:spacing w:lineRule="auto" w:line="240" w:before="167" w:after="0"/>
        <w:ind w:left="0" w:right="0" w:hanging="0"/>
        <w:jc w:val="both"/>
        <w:rPr/>
      </w:pPr>
      <w:r>
        <w:rPr/>
        <w:t>Sundhedsudgifterne er allerede uoverkommelige. Så vi skal også forsøge at købe de nye lægemidler til den lavest mulige pris.</w:t>
      </w:r>
      <w:r>
        <w:rPr>
          <w:b/>
        </w:rPr>
        <w:t xml:space="preserve"> </w:t>
      </w:r>
    </w:p>
    <w:p>
      <w:pPr>
        <w:pStyle w:val="P68B1DB1Normal111"/>
        <w:widowControl w:val="false"/>
        <w:spacing w:lineRule="auto" w:line="240" w:before="131" w:after="0"/>
        <w:ind w:left="0" w:right="0" w:hanging="0"/>
        <w:jc w:val="left"/>
        <w:rPr/>
      </w:pPr>
      <w:r>
        <w:rPr/>
        <w:t xml:space="preserve">3. Landene skal fokusere på at forbedre deres sundhedssystemer og gøre dem mere retfærdige </w:t>
      </w:r>
    </w:p>
    <w:p>
      <w:pPr>
        <w:pStyle w:val="P68B1DB1Normal104"/>
        <w:widowControl w:val="false"/>
        <w:spacing w:lineRule="auto" w:line="240" w:before="85" w:after="0"/>
        <w:ind w:left="0" w:right="0" w:hanging="0"/>
        <w:jc w:val="left"/>
        <w:rPr/>
      </w:pPr>
      <w:r>
        <w:rPr/>
        <w:t xml:space="preserve">Hollænderne bekymrer sig meget om sundhedspleje, og denne bekymring rækker ud over konsekvenserne af covid-19-pandemien. Vi kender f.eks. de strukturelle kapacitetsproblemer på hospitalerne. Nogle hollændere har ikke tillid til virkningerne af markedskræfterne i sundhedssektoren. Vi forstår, at farmaceutiske virksomheder har brug for at genvinde deres investeringer, og at sygesikringsfonde ønsker billig sundhedspleje, men store virksomheder bør ikke misbruge deres magt. EU bør vedtage regler i denne henseende. Vi mener også, at sundhedspleje primært er et nationalt anliggende. Landene ved bedre, hvad problemerne og prioriteterne er på lokalt plan. Vi finder det imidlertid vigtigt, at de europæiske lande kan lære af hinanden for at forbedre sundhedsplejen.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Online og on-site diskussioner og ideer </w:t>
      </w:r>
    </w:p>
    <w:p>
      <w:pPr>
        <w:pStyle w:val="P68B1DB1Normal118"/>
        <w:widowControl w:val="false"/>
        <w:spacing w:lineRule="auto" w:line="240" w:before="95" w:after="0"/>
        <w:ind w:left="0" w:right="0" w:hanging="0"/>
        <w:jc w:val="left"/>
        <w:rPr/>
      </w:pPr>
      <w:r>
        <w:rPr/>
        <w:t xml:space="preserve">Hvad angår tilgængeligheden af lægemidler i Europa, kunne vi også være lidt mere økonomiske. Vi smider for meget af det i dag.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Det er meget godt, at Tyskland har modtaget patienter fra Nederlandene med covid-19. Jeg vil gerne se mere solidaritet i Europa.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Uanset hvor du bor i EU, og uanset om du er rig eller fattig, har alle ret til kvalitetspleje.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Når du køber medicin, skal du overveje ikke kun omkostninger, men også etik. Det betyder f.eks., at børnearbejde ikke bør anvendes.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IDÉ:</w:t>
      </w:r>
      <w:r>
        <w:rPr>
          <w:i/>
        </w:rPr>
        <w:t xml:space="preserve"> "Forbedring af europæernes sundhed ved at sikre, at de er under mindre stress. For eksempel reducere længden af ​​arbejdsugen."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IDÉ:</w:t>
      </w:r>
      <w:r>
        <w:rPr>
          <w:i/>
        </w:rPr>
        <w:t xml:space="preserve"> Gøre det muligt for unge at træffe sundere valg gennem seriøse augmented reality-spil.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Af indbyggerne i Utrecht af marokkansk oprindelse: Sundhed kan have en vis pris.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"Marokkaans Dialoog Overvecht" Foundation (MDO) (Marokkansk dialog i Overvecht) er dedikeret til deltagelse af det marokkanske samfund i Overvecht-distriktet Utrecht. Med henblik herpå tilskynder det til dialog i nabolandene og dermed bekæmper uligheder. Deltagerne i den tematiske dialog inden for rammerne af visionen for Europa mener, at det europæiske samarbejde er meget nyttigt. En række mener imidlertid, at Nederlandene undertiden er for afhængig af andre lande. Håndteringen af covid-19-krisen blev nævnt som et eksempel i denne henseende. De mange høringer i Europa havde ifølge deltagerne den virkning, at Nederlandene begyndte at vaccinere mod covid-19 for sent. "Måske vil det koste mere, hvis Holland ønsker at beslutte mere på egen hånd," sagde nogen. Men det handler om sundhed, det kan koste lidt mere.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Fra Helmonds elever: Det er bedre at lære intelligent af hinanden end at tage den samme tilgang.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På Dr. Knippenberg College i Helmond drøftede studerende i alderen 16 år den europæiske forvaltning af covid-19-pandemien. Nogle mener, at EU's medlemsstater burde have defineret vaccinationsprogrammet sammen. De fleste deltagere følte, at landene selv havde en bedre idé om, hvad der er behov for, og hvad der virker. De er derfor bedre i stand til at afgøre, hvad der er rigtigt for befolkningen. De ved f.eks. bedre, hvilke sektorer der først skal vaccineres, og hvilke sektorer der kan vente. "Det er naturligvis meget godt for lande at konsultere hinanden," sagde en af de studerende. Hvis mange lande har deres egen tilgang, kan de observere, hvad andre gør og lære af hinanden.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EU's rolle i verden </w:t>
      </w:r>
    </w:p>
    <w:p>
      <w:pPr>
        <w:pStyle w:val="P68B1DB1Normal104"/>
        <w:widowControl w:val="false"/>
        <w:spacing w:lineRule="auto" w:line="240" w:before="126" w:after="0"/>
        <w:ind w:left="0" w:right="0" w:hanging="0"/>
        <w:jc w:val="left"/>
        <w:rPr/>
      </w:pPr>
      <w:r>
        <w:rPr/>
        <w:t xml:space="preserve">Verden står over for store udfordringer. EU er overbevist om, at spørgsmål som klimaændringer og pandemier kun kan løses gennem globalt samarbejde. EU ønsker at gøre sin stemme hørt på verdensscenen i denne henseende, f.eks. sammen med USA og Kina. Hvad er Nederlandenes holdning til dette? </w:t>
      </w:r>
    </w:p>
    <w:p>
      <w:pPr>
        <w:pStyle w:val="P68B1DB1Normal126"/>
        <w:widowControl w:val="false"/>
        <w:spacing w:lineRule="auto" w:line="240" w:before="125" w:after="0"/>
        <w:ind w:left="0" w:right="0" w:hanging="0"/>
        <w:jc w:val="left"/>
        <w:rPr>
          <w:rFonts w:ascii="Calibri" w:hAnsi="Calibri"/>
          <w:color w:val="0070C0"/>
          <w:sz w:val="24"/>
        </w:rPr>
      </w:pPr>
      <w:r>
        <w:rPr/>
        <w:t xml:space="preserve">Anbefalinger — Vores vision om EU's rolle i verden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af hollænderne mener, at EU's rolle i verden er et vigtigt emne, og at EU skal gribe ind på dette område.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Udnyttelse af EU's magt, hovedsagelig i forbindelse med vigtige internationale temaer </w:t>
      </w:r>
    </w:p>
    <w:p>
      <w:pPr>
        <w:pStyle w:val="P68B1DB1Normal104"/>
        <w:widowControl w:val="false"/>
        <w:spacing w:lineRule="auto" w:line="240"/>
        <w:ind w:left="0" w:right="0" w:hanging="0"/>
        <w:jc w:val="left"/>
        <w:rPr/>
      </w:pPr>
      <w:r>
        <w:rPr/>
        <w:t xml:space="preserve">Det faktum, at dets oprettelse har bidraget til, at europæerne lever i fred i over 75 år, betragtes af mange hollændere som EU's vigtigste merværdi. Hollænderne mener også, at EU's magt ligger i den fælles forvaltning af store internationale udfordringer. Vi tænker f.eks. på klimaændringer, covid-19-pandemien og flygtningekrisen. EU's medlemsstater kan også få større indvirkning på tredjelande ved kollektivt at indgå internationale EU-aftaler. Vi mener, at vores land er for lille til at gøre en forskel alene på disse områder. Når det er sagt, ønsker hollænderne, at Nederlandene fortsætter med at træffe deres egne valg baseret på deres egen kultur og interesser. Samarbejdet i Europa skal derfor først og fremmest sikre effektivitet og politisk magt. </w:t>
      </w:r>
    </w:p>
    <w:p>
      <w:pPr>
        <w:pStyle w:val="P68B1DB1Normal113"/>
        <w:widowControl w:val="false"/>
        <w:spacing w:lineRule="auto" w:line="240" w:before="200" w:after="0"/>
        <w:ind w:left="0" w:right="0" w:hanging="0"/>
        <w:jc w:val="center"/>
        <w:rPr/>
      </w:pPr>
      <w:r>
        <w:rPr/>
        <w:t xml:space="preserve">Det er lettere at indgå samarbejdsaftaler inden for EU end som et isoleret land.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I og uden for Europa skal du vælge samarbejde frem for kamp </w:t>
      </w:r>
    </w:p>
    <w:p>
      <w:pPr>
        <w:pStyle w:val="P68B1DB1Normal104"/>
        <w:widowControl w:val="false"/>
        <w:spacing w:lineRule="auto" w:line="240" w:before="1" w:after="0"/>
        <w:ind w:left="0" w:right="0" w:hanging="0"/>
        <w:jc w:val="left"/>
        <w:rPr/>
      </w:pPr>
      <w:r>
        <w:rPr/>
        <w:t xml:space="preserve">66 % af hollænderne mener, at EU skal danne en stærkere blok mod andre internationale blokke. Vi er vidne til en svækkelse af balancen i verden. Lande som Kina og Rusland udvider konstant deres magt på forskellige områder. Det bekymrer os meget. EU skal derfor være mere opmærksom på f.eks. den internationale sikkerhed og beskyttelsen af den europæiske økonomi mod illoyal handelspraksis. Vi anser det i den forbindelse for vigtigt, at medlemsstaterne koordinerer bedre og hurtigere. Dette vil give os mulighed for at gøre vores stemme hørt mere klart. Det faktum, at vi er stærkere sammen som europæiske lande, betyder ikke, at vi ønsker at gå i konflikt. Vi ønsker også så vidt muligt et godt samarbejde med tredjelande. </w:t>
      </w:r>
    </w:p>
    <w:p>
      <w:pPr>
        <w:pStyle w:val="P68B1DB1Normal113"/>
        <w:widowControl w:val="false"/>
        <w:spacing w:lineRule="auto" w:line="240" w:before="200" w:after="0"/>
        <w:ind w:left="0" w:right="0" w:hanging="0"/>
        <w:jc w:val="center"/>
        <w:rPr/>
      </w:pPr>
      <w:r>
        <w:rPr/>
        <w:t xml:space="preserve">"Reduktion af interne stridigheder og konflikter vil øge EU's prestige og indflydelseskraft på den internationale scene."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Tilbyde, på en tankevækkende måde, hjælp i tilfælde af en konflikt </w:t>
      </w:r>
    </w:p>
    <w:p>
      <w:pPr>
        <w:pStyle w:val="Normal"/>
        <w:widowControl w:val="false"/>
        <w:spacing w:lineRule="auto" w:line="240"/>
        <w:ind w:left="0" w:right="0" w:hanging="0"/>
        <w:jc w:val="left"/>
        <w:rPr/>
      </w:pPr>
      <w:r>
        <w:rPr>
          <w:rFonts w:ascii="Calibri" w:hAnsi="Calibri"/>
          <w:color w:val="000000"/>
          <w:sz w:val="21"/>
        </w:rPr>
        <w:t xml:space="preserve">Som led i styrkelsen af EU's rolle på den internationale scene mener 50 % af hollænderne, at tilgangen til konflikter i verden er et vigtigt tema. Den bedste måde at reagere på konflikter er, ifølge dem, svært at afgøre. Fortiden har vist, at militær intervention i et land ikke altid er gavnlig. Det kan f.eks. føre til uforudsete høje omkostninger og skabe yderligere flygtningestrømme. I betragtning af disse lokale konsekvenser bør landene selv beslutte, om de vil deltage i en krig. Vi er generelt interesserede i øget samarbejde mellem de europæiske hære: vi finder det vigtigt, at Europa kan forsvare sig godt. Men vi foretrækker altid at løse konflikter uden at ty til vold. </w:t>
      </w:r>
      <w:r>
        <w:br w:type="page"/>
      </w:r>
    </w:p>
    <w:p>
      <w:pPr>
        <w:pStyle w:val="P68B1DB1Normal113"/>
        <w:widowControl w:val="false"/>
        <w:spacing w:lineRule="auto" w:line="240"/>
        <w:ind w:left="0" w:right="0" w:hanging="0"/>
        <w:jc w:val="left"/>
        <w:rPr/>
      </w:pPr>
      <w:r>
        <w:rPr/>
        <w:t xml:space="preserve">Under evakueringen af Afghanistan handlede hvert land i sit eget hjørne. Vi kunne stadig have gjort det bedre, ikke? </w:t>
      </w:r>
    </w:p>
    <w:p>
      <w:pPr>
        <w:pStyle w:val="P68B1DB1Normal126"/>
        <w:widowControl w:val="false"/>
        <w:spacing w:lineRule="auto" w:line="240" w:before="85" w:after="0"/>
        <w:ind w:left="0" w:right="0" w:hanging="0"/>
        <w:jc w:val="left"/>
        <w:rPr>
          <w:rFonts w:ascii="Calibri" w:hAnsi="Calibri"/>
          <w:color w:val="0070C0"/>
          <w:sz w:val="24"/>
        </w:rPr>
      </w:pPr>
      <w:r>
        <w:rPr/>
        <w:t xml:space="preserve">Online og on-site diskussioner og ideer </w:t>
      </w:r>
    </w:p>
    <w:p>
      <w:pPr>
        <w:pStyle w:val="P68B1DB1Normal118"/>
        <w:widowControl w:val="false"/>
        <w:spacing w:lineRule="auto" w:line="240" w:before="78" w:after="0"/>
        <w:ind w:left="0" w:right="0" w:hanging="0"/>
        <w:jc w:val="left"/>
        <w:rPr>
          <w:rFonts w:ascii="Calibri" w:hAnsi="Calibri"/>
          <w:i/>
          <w:i/>
          <w:color w:val="000000"/>
          <w:sz w:val="21"/>
        </w:rPr>
      </w:pPr>
      <w:r>
        <w:rPr/>
        <w:t xml:space="preserve">EU må først sætte orden i sine egne anliggender, før den konfronterer andre.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Ved massivt at købe kinesiske produkter som europæere, støtter vi Kina selv.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USA spiller fortsat en meget vigtig rolle i forsvaret af Europa.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At være medlem af EU betyder også at sidde ved forhandlingsbordet. Dette gør det muligt at diskutere vigtige beslutninger.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EU må holde op med at se sig selv som en isoleret enhed, for det er det ikke. Det er en sammenslutning af europæiske medlemsstater og bør opføre sig som sådan.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IDÉ:</w:t>
      </w:r>
      <w:r>
        <w:rPr>
          <w:i/>
        </w:rPr>
        <w:t xml:space="preserve"> Ligesom den regelmæssige globale klimakonference bør der også afholdes en konference om menneskerettigheder.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IDÉ: </w:t>
      </w:r>
      <w:r>
        <w:rPr>
          <w:i/>
        </w:rPr>
        <w:t>"Gøre de europæiske hære mere effektive, f.eks. ved at gøre større brug af det kollektive indkøb af udstyr."</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Dansk-marokkanske kvinder: Fremme af menneskerettighederne.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Kvinder for</w:t>
      </w:r>
      <w:r>
        <w:rPr>
          <w:rFonts w:ascii="Calibri" w:hAnsi="Calibri"/>
          <w:color w:val="000000"/>
          <w:sz w:val="21"/>
        </w:rPr>
      </w:r>
      <w:commentRangeEnd w:id="28"/>
      <w:r>
        <w:commentReference w:id="28"/>
      </w:r>
      <w:r>
        <w:rPr>
          <w:rFonts w:ascii="Calibri" w:hAnsi="Calibri"/>
          <w:color w:val="000000"/>
          <w:sz w:val="21"/>
        </w:rPr>
        <w:t xml:space="preserve">frihed" er en hollandsk fond, der bekæmper tvangsægteskaber, seksuel undertrykkelse og økonomisk misbrug af piger og kvinder med bikulturel baggrund. I samarbejde med denne fond blev der afholdt et møde med en gruppe hollandsk-marokkanske kvinder. Deltagerne mener, at EU i øjeblikket er for afhængig af Rusland og Kina. "Vi finder, at EU generelt ikke tør foreslå noget, af frygt for sanktioner," sagde en af dem. Narkotikaproduktion, som ofte kan være meget billigere, er blevet nævnt som et eksempel. "I tilfælde af en konflikt kan Kina lukke vandhanen, og vi vil ikke have noget," sagde en deltager. Menneskerettighedsspørgsmålet blev også rejst. Vi handler alle, som om vi finder det meget vigtigt, men vi lukker øjnene for, hvad Kina gør mod uighurerne.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Studerende fra Technasium of Alkmaar: Ingen fælles hær.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I deres tematiske dialog drøftede studerende fra Technasium Jan Arentz i Alkmaar fordele og ulemper ved en fælles europæisk hær. Deltagerne oplyste, at de ikke støttede det. Når et EU-land skændes med et tredjeland, bør vi automatisk kunne deltage i en krig. Jeg mener, at landene skal være i stand til at bestemme på egen hånd," siger en anden. Muligheden for en tredje verdenskrig blev også diskuteret. Denne mulighed betragtes ikke som særlig stor af de studerende, men de mener, at hvis vi kom dertil, kunne der alligevel hurtigt findes en løsning. Hære kan også samarbejde godt. Der er efter min mening ikke behov for en europæisk hær.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Metode anvendt i undersøgelsen </w:t>
      </w:r>
    </w:p>
    <w:p>
      <w:pPr>
        <w:pStyle w:val="P68B1DB1Normal104"/>
        <w:widowControl w:val="false"/>
        <w:spacing w:lineRule="auto" w:line="240" w:before="150" w:after="0"/>
        <w:ind w:left="0" w:right="0" w:hanging="0"/>
        <w:jc w:val="left"/>
        <w:rPr/>
      </w:pPr>
      <w:r>
        <w:rPr/>
        <w:t xml:space="preserve">Vision for Europa består af forskellige former for indbyrdes forbundne dialoger, der samler nederlandske borgeres synspunkter og idéer om Europas og EU's fremtid. Dette kapitel beskriver, hvordan disse tæt forbundne dialoger føres i overensstemmelse med de retningslinjer, der gælder for nationale borgerpaneler i forbindelse med konferencen om Europas fremtid. </w:t>
      </w:r>
    </w:p>
    <w:p>
      <w:pPr>
        <w:pStyle w:val="P68B1DB1Normal126"/>
        <w:widowControl w:val="false"/>
        <w:spacing w:lineRule="auto" w:line="240" w:before="43" w:after="0"/>
        <w:ind w:left="0" w:right="0" w:hanging="0"/>
        <w:jc w:val="left"/>
        <w:rPr>
          <w:rFonts w:ascii="Calibri" w:hAnsi="Calibri"/>
          <w:color w:val="0070C0"/>
          <w:sz w:val="24"/>
        </w:rPr>
      </w:pPr>
      <w:r>
        <w:rPr/>
        <w:t xml:space="preserve">Strukturen af nært beslægtede dialoger </w:t>
      </w:r>
    </w:p>
    <w:p>
      <w:pPr>
        <w:pStyle w:val="P68B1DB1Normal104"/>
        <w:widowControl w:val="false"/>
        <w:spacing w:lineRule="auto" w:line="240" w:before="114" w:after="0"/>
        <w:ind w:left="0" w:right="0" w:hanging="0"/>
        <w:jc w:val="left"/>
        <w:rPr>
          <w:rFonts w:ascii="Calibri" w:hAnsi="Calibri"/>
          <w:color w:val="000000"/>
          <w:sz w:val="21"/>
        </w:rPr>
      </w:pPr>
      <w:r>
        <w:rPr/>
        <w:t xml:space="preserve">Der tilrettelægges følgende former for dialog: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Undersøgelse af et panel</w:t>
      </w:r>
    </w:p>
    <w:p>
      <w:pPr>
        <w:pStyle w:val="P68B1DB1Normal104"/>
        <w:widowControl w:val="false"/>
        <w:spacing w:lineRule="auto" w:line="240"/>
        <w:ind w:left="0" w:right="0" w:hanging="0"/>
        <w:jc w:val="left"/>
        <w:rPr>
          <w:rFonts w:ascii="Calibri" w:hAnsi="Calibri"/>
          <w:color w:val="000000"/>
          <w:sz w:val="21"/>
        </w:rPr>
      </w:pPr>
      <w:r>
        <w:rPr/>
        <w:t xml:space="preserve">Online undersøgelse af en repræsentativ del af den hollandske befolkning.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Tematiske onlinedialoger med henblik på uddybning</w:t>
      </w:r>
    </w:p>
    <w:p>
      <w:pPr>
        <w:pStyle w:val="P68B1DB1Normal104"/>
        <w:widowControl w:val="false"/>
        <w:spacing w:lineRule="auto" w:line="240"/>
        <w:ind w:left="0" w:right="0" w:hanging="0"/>
        <w:jc w:val="left"/>
        <w:rPr/>
      </w:pPr>
      <w:r>
        <w:rPr/>
        <w:t xml:space="preserve">Dialoger, hvor resultaterne af den første interimsrapport "Vores vision for Europa: udtalelser, idéer og anbefalinger" (8. oktober 2021) drøftes indgående med en gruppe nederlandsk.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Dialoger med specifikke grupper</w:t>
      </w:r>
    </w:p>
    <w:p>
      <w:pPr>
        <w:pStyle w:val="P68B1DB1Normal104"/>
        <w:widowControl w:val="false"/>
        <w:spacing w:lineRule="auto" w:line="240"/>
        <w:ind w:left="0" w:right="0" w:hanging="0"/>
        <w:jc w:val="left"/>
        <w:rPr>
          <w:rFonts w:ascii="Calibri" w:hAnsi="Calibri"/>
          <w:color w:val="000000"/>
          <w:sz w:val="21"/>
        </w:rPr>
      </w:pPr>
      <w:r>
        <w:rPr/>
        <w:t xml:space="preserve">Møder med hollændere, der ikke er vant til at deltage i undersøgelser eller paneler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Dialoger med de unge</w:t>
      </w:r>
    </w:p>
    <w:p>
      <w:pPr>
        <w:pStyle w:val="P68B1DB1Normal104"/>
        <w:widowControl w:val="false"/>
        <w:spacing w:lineRule="auto" w:line="240"/>
        <w:ind w:left="0" w:right="0" w:hanging="0"/>
        <w:jc w:val="left"/>
        <w:rPr>
          <w:rFonts w:ascii="Calibri" w:hAnsi="Calibri"/>
          <w:color w:val="000000"/>
          <w:sz w:val="21"/>
        </w:rPr>
      </w:pPr>
      <w:r>
        <w:rPr/>
        <w:t xml:space="preserve">Møder, hvor de europæiske temaer, der er mest relevante for disse unge, drøftes.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Offentlig onlineundersøgelse: Spørgeskema og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to te future) </w:t>
      </w:r>
    </w:p>
    <w:p>
      <w:pPr>
        <w:pStyle w:val="P68B1DB1Normal104"/>
        <w:widowControl w:val="false"/>
        <w:spacing w:lineRule="auto" w:line="240"/>
        <w:ind w:left="0" w:right="0" w:hanging="0"/>
        <w:jc w:val="left"/>
        <w:rPr/>
      </w:pPr>
      <w:r>
        <w:rPr/>
        <w:t xml:space="preserve">Panelundersøgelsesspørgeskemaet kan også udfyldes af alle hollændere, herunder dem, der er bosiddende i udlandet. Dette spørgeskema forelå fra den 1. september 2021 til den 14. november 2021. Desuden var hver hollænder i samme periode i stand til at deltage i aktionen "Swipen naar de toekomst" (Swiper to the future), et onlineværktøj med 20 krav.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Undersøgelse af et panel </w:t>
      </w:r>
    </w:p>
    <w:p>
      <w:pPr>
        <w:pStyle w:val="P68B1DB1Normal104"/>
        <w:widowControl w:val="false"/>
        <w:spacing w:lineRule="auto" w:line="240" w:before="150" w:after="0"/>
        <w:ind w:left="0" w:right="0" w:hanging="0"/>
        <w:jc w:val="left"/>
        <w:rPr/>
      </w:pPr>
      <w:r>
        <w:rPr/>
        <w:t xml:space="preserve">Den hollandske borgerdialog "Vision of Europe" startede den 1. september med en panelundersøgelse. I denne beskrivelse af undersøgelsesmetodologien forklarer vi kort udformningen og gennemførelsen af denne undersøgelse til et panel. </w:t>
      </w:r>
    </w:p>
    <w:p>
      <w:pPr>
        <w:pStyle w:val="P68B1DB1Normal126"/>
        <w:widowControl w:val="false"/>
        <w:spacing w:lineRule="auto" w:line="240" w:before="43" w:after="0"/>
        <w:ind w:left="0" w:right="0" w:hanging="0"/>
        <w:jc w:val="left"/>
        <w:rPr>
          <w:rFonts w:ascii="Calibri" w:hAnsi="Calibri"/>
          <w:color w:val="0070C0"/>
          <w:sz w:val="24"/>
        </w:rPr>
      </w:pPr>
      <w:r>
        <w:rPr/>
        <w:t xml:space="preserve">Målgruppe og målgruppe </w:t>
      </w:r>
    </w:p>
    <w:p>
      <w:pPr>
        <w:pStyle w:val="Normal"/>
        <w:widowControl w:val="false"/>
        <w:spacing w:lineRule="auto" w:line="240" w:before="114" w:after="0"/>
        <w:ind w:left="0" w:right="0" w:hanging="0"/>
        <w:jc w:val="left"/>
        <w:rPr/>
      </w:pPr>
      <w:r>
        <w:rPr>
          <w:rFonts w:ascii="Calibri" w:hAnsi="Calibri"/>
          <w:color w:val="000000"/>
          <w:sz w:val="21"/>
        </w:rPr>
        <w:t>Undersøgelsen "Vision of Europe" startede med et onlinespørgeskema om, hvordan hollændere ser Europas fremtid. Dette spørgeskema er blevet sendt til et repræsentativt panel og er også åbent for alle nederlandske (herunder dem, der er bosiddende i udlandet). Desuden var hver person i stand til at deltage i aktionen "Swipen naar de toekomst"</w:t>
      </w:r>
      <w:commentRangeStart w:id="30"/>
      <w:r>
        <w:rPr>
          <w:rFonts w:ascii="Calibri" w:hAnsi="Calibri"/>
          <w:color w:val="000000"/>
          <w:sz w:val="21"/>
        </w:rPr>
        <w:t>(</w:t>
      </w:r>
      <w:r>
        <w:rPr>
          <w:rFonts w:ascii="Calibri" w:hAnsi="Calibri"/>
          <w:color w:val="000000"/>
          <w:sz w:val="21"/>
        </w:rPr>
      </w:r>
      <w:commentRangeEnd w:id="30"/>
      <w:r>
        <w:commentReference w:id="30"/>
      </w:r>
      <w:r>
        <w:rPr>
          <w:rFonts w:ascii="Calibri" w:hAnsi="Calibri"/>
          <w:color w:val="000000"/>
          <w:sz w:val="21"/>
        </w:rPr>
        <w:t xml:space="preserve"> Swiper to te future), et onlineværktøj med 20 krav. Resultaterne af panelundersøgelsen bidrog til flere tematiske dialoger, der var tilrettelagt som opfølgning på borgerdialogen "Vision of Europe".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Målpopulationen i panelundersøgelsen omfatter alle hollandske personer på 18 år eller derover, der var registreret som indbyggere i folkeregistret på det tidspunkt, hvor feltarbejdet begyndte. Ifølge det nederlandske nationale statistiske kontor (Centraal Bureau voor de Statistiek — CBS) havde denne målgruppe 14.190.874 personer pr. 1. januar 2021. Den nedre grænse på 18 år svarer til valgflertallet. Vi kalder det panelundersøgelsens befolkning.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Feltarbejde </w:t>
      </w:r>
    </w:p>
    <w:p>
      <w:pPr>
        <w:pStyle w:val="P68B1DB1Normal104"/>
        <w:widowControl w:val="false"/>
        <w:spacing w:lineRule="auto" w:line="240" w:before="116" w:after="0"/>
        <w:ind w:left="0" w:right="0" w:hanging="0"/>
        <w:jc w:val="left"/>
        <w:rPr/>
      </w:pPr>
      <w:r>
        <w:rPr/>
        <w:t xml:space="preserve">Et panel med mere end 100.000 deltagere fra hele landet (ISO-certificeret, Research Keurmerk groep, Nederlandse marktonderzoek Associatie) blev brugt til at opnå et digitalt billede af "Medium Dutch". Disse deltagere er indskrevet i undersøgelsespanelet for at give deres synspunkter om en bred vifte af emner regelmæssigt. Ud over deres egen motivation til at bidrage, betales de for at besvare spørgeskemaerne. Flere videnskabelige undersøgelser viser, at respondenter, der modtager kompensation for at udfylde et spørgeskema, ikke giver væsentligt forskellige svar (kilde: </w:t>
      </w:r>
      <w:r>
        <w:rPr>
          <w:i/>
        </w:rPr>
        <w:t>Forringer brugen af undersøgelsesincitamenter datakvaliteten?</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Feltarbejdet begyndte den 11. august 2021 og sluttede den 19. september 2021. Til gennemførelse blev der kun anvendt én metode til dataindsamling, nemlig internetundersøgelsen. Medlemmerne af undersøgelsespanelet modtog en e-mail med et personligt link til onlinespørgeskemaet. Efter to uger modtog paneldeltagerne en påmindelse. Invitationer til at deltage blev sendt i batcher og stratificeret (ved at sikre en ligelig fordeling af undergrupper), indtil det krævede antal respondenter var nået. </w:t>
      </w:r>
    </w:p>
    <w:p>
      <w:pPr>
        <w:pStyle w:val="P68B1DB1Normal126"/>
        <w:widowControl w:val="false"/>
        <w:spacing w:lineRule="auto" w:line="240" w:before="42" w:after="0"/>
        <w:ind w:left="0" w:right="0" w:hanging="0"/>
        <w:jc w:val="left"/>
        <w:rPr>
          <w:rFonts w:ascii="Calibri" w:hAnsi="Calibri"/>
          <w:color w:val="0070C0"/>
          <w:sz w:val="24"/>
        </w:rPr>
      </w:pPr>
      <w:r>
        <w:rPr/>
        <w:t xml:space="preserve">Prøveudtagning og distribution </w:t>
      </w:r>
    </w:p>
    <w:p>
      <w:pPr>
        <w:pStyle w:val="P68B1DB1Normal104"/>
        <w:widowControl w:val="false"/>
        <w:spacing w:lineRule="auto" w:line="240" w:before="114" w:after="0"/>
        <w:ind w:left="0" w:right="0" w:hanging="0"/>
        <w:jc w:val="left"/>
        <w:rPr/>
      </w:pPr>
      <w:r>
        <w:rPr/>
        <w:t xml:space="preserve">Udformningen af undersøgelsen er baseret på princippet om, at mindst 3.600 respondenter skal deltage i undersøgelsen for at sikre god statistisk pålidelighed. Hertil kommer, at dette tal giver en god fordeling mellem de forskellige generelle karakteristika af befolkningen. Der er ikke kun én slags hollænder. Vi har derfor på forhånd sikret, at prøven fordeles godt over en række karakteristika. Nederlandene er et relativt lille land, men meningerne kan variere fra region til region. Placeringen og betydningen af ​​temaerne kan (delvis) bestemmes af den region, hvor du bor. For eksempel kan folk, der bor i landdistrikterne, forstå et emne som f.eks. sikkerhed anderledes end i byområder. Undersøgelser foretaget af det nederlandske kontor for social- og kulturplanlægning viser også, at personer med et højere studieniveau oftere støtter EU end personer med et lavere studieniveau, og at unge støtter EU mere end ældre (kilde: </w:t>
      </w:r>
      <w:r>
        <w:rPr>
          <w:i/>
        </w:rPr>
        <w:t>Wat willen Nederlanders van de Europese Unie?</w:t>
      </w:r>
      <w:r>
        <w:rPr/>
        <w:t xml:space="preserve">, det hollandske kontor for social- og kulturplanlægning,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Derfor har vi tidligere fordelt følgende tre karakteristika forholdsmæssigt for at sikre stikprøvens repræsentativitet: (1) bopæl gennem COROP-regioner, (2) alder og 3) uddannelsesniveau. Fordelingen af stikprøven blev også præsenteret efter følgende generelle egenskaber: køn, oprindelse, hovedbeskæftigelse, politisk orientering.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COROP-regionerne er blevet udviklet på grundlag af nodalprincippet (et "hjerte" med et tiltrækningsområde eller en regional funktion) baseret på strømmen af personer, der pendler. Nogle få overtrædelser af nodalprincippet er blevet indrømmet, således at regionerne følger provinsens grænser. Efter omorganiseringen af kommunerne uden for COROP-grænserne blev fordelingen justeret (kilde: Nederlandenes nationale statistiske kontor). Inden for COROP-regionerne har vi sikret en god fordeling mellem aldersgrupperne med følgende opdeling: alderen 18-34, 35-54, 55-75 og over 75 år.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Endelig sikrede vi en repræsentativ fordeling af uddannelsesniveauerne. I stikprøven svarer fordelingen af respondenter til fordelingen på nationalt plan af det højeste uddannelsesniveau, hvilket er som følger: </w:t>
      </w:r>
      <w:r>
        <w:br w:type="page"/>
      </w:r>
    </w:p>
    <w:p>
      <w:pPr>
        <w:pStyle w:val="P68B1DB1Normal120"/>
        <w:spacing w:lineRule="auto" w:line="240"/>
        <w:ind w:left="0" w:right="0" w:hanging="0"/>
        <w:rPr>
          <w:rFonts w:ascii="Calibri" w:hAnsi="Calibri"/>
          <w:b/>
          <w:b/>
          <w:color w:val="000000"/>
          <w:sz w:val="21"/>
        </w:rPr>
      </w:pPr>
      <w:r>
        <w:rPr/>
        <w:t xml:space="preserve">Højeste uddannelsesniveau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Lav: grundskole, forberedende erhvervsuddannelse, 1.-3. klasse af almen gymnasial uddannelse/førskoleundervisning, erhvervsuddannelse på sekundærtrinnet niveau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Mellemled: almen uddannelse på gymnasialt niveau/præuniversitetsuddannelse, erhvervsuddannelse på sekundærtrinnet niveau 2-4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Høj: videregående erhvervsuddannelse eller universitetsuddannelse</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Ukendt</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Svarprocent </w:t>
      </w:r>
    </w:p>
    <w:p>
      <w:pPr>
        <w:pStyle w:val="P68B1DB1Normal104"/>
        <w:widowControl w:val="false"/>
        <w:spacing w:lineRule="exact" w:line="386" w:before="116" w:after="0"/>
        <w:ind w:left="0" w:right="368" w:hanging="0"/>
        <w:jc w:val="left"/>
        <w:rPr/>
      </w:pPr>
      <w:r>
        <w:rPr/>
        <w:t xml:space="preserve">I alt deltog 4.086 personer i undersøgelsen pr. panel. Målet om 3 600 fuldt udfyldte spørgeskemaer er derfor nået.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Svar fra COROP-regioner og alder</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18-34 år gammel</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35-54 år gammel</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 til 75 år</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mere end 75 år gammel</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Det nordlige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Sydøst for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Sydvest for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Det nordlige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Sydøst for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Sydvest for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Hoteller i nærheden af 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Sydvest for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Det østlige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Resten af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Hoteller i nærheden af Central Limburg</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Hoteller i nærheden af Northern Limburg</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Sydlige Limburg</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Seværdigheder i North Brabant</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Nordøst for Nordbrabant</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Vest for North Brabant</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Sydøst for North Brabant</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Agglomeration i Haarlem</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og dens omgivelser</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Fantastisk Amsterdam</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og Vechtstreek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Toppen af det nordlige Holland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Zaan Region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Det nordlige Overijssel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Sydvest for Overijssel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Utrecht</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Resten af Zeeland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Flandern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Agglomerering af Leiden og område af pærer</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Agglomerationen af Haag</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og Westland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Grand Rijnmond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Øst for det sydlige Holland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Sydøst for Sydholland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bottom"/>
          </w:tcPr>
          <w:p>
            <w:pPr>
              <w:pStyle w:val="Contenudetableau"/>
              <w:spacing w:before="57" w:after="57"/>
              <w:jc w:val="left"/>
              <w:rPr>
                <w:b/>
                <w:b/>
                <w:color w:val="000000"/>
              </w:rPr>
            </w:pPr>
            <w:r>
              <w:rPr>
                <w:b/>
                <w:color w:val="000000"/>
              </w:rPr>
              <w:t>Svar efter uddannelsesniveau</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bottom"/>
          </w:tcPr>
          <w:p>
            <w:pPr>
              <w:pStyle w:val="Contenudetableau"/>
              <w:spacing w:before="57" w:after="57"/>
              <w:rPr>
                <w:color w:val="000000"/>
              </w:rPr>
            </w:pPr>
            <w:r>
              <w:rPr>
                <w:color w:val="000000"/>
              </w:rPr>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Lav</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Mellemled</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Høj</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Ukendt</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Pålidelighed og repræsentativitet </w:t>
      </w:r>
    </w:p>
    <w:p>
      <w:pPr>
        <w:pStyle w:val="P68B1DB1Normal104"/>
        <w:widowControl w:val="false"/>
        <w:spacing w:lineRule="auto" w:line="240" w:before="119" w:after="0"/>
        <w:ind w:left="0" w:right="0" w:hanging="0"/>
        <w:jc w:val="left"/>
        <w:rPr/>
      </w:pPr>
      <w:r>
        <w:rPr/>
        <w:t xml:space="preserve">Antallet af respondenter på 4.086 gør det muligt at foretage observationer for hele populationen med et konfidensniveau på 95 % og en fejlmargen på 1,53 %. Konfidensniveauet og fejlmargenen for resultaterne bestemmes af stikprøvestørrelsen. Jo større prøven er, jo mere pålidelig og nøjagtig kan resultaterne ekstrapoleres til hele populationen.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Konfidensniveauet defineres som 1 (100 %) minus meningsniveauet. Det er almindeligt at være baseret på en 5 % betydning niveau. Vi taler om et 95 % tillidsniveau. Med andre ord, hvis undersøgelsen blev gentaget på samme måde og under de samme betingelser, ville resultaterne være de samme i 95 % af tilfældene. </w:t>
      </w:r>
    </w:p>
    <w:p>
      <w:pPr>
        <w:pStyle w:val="P68B1DB1Normal104"/>
        <w:widowControl w:val="false"/>
        <w:spacing w:lineRule="auto" w:line="240"/>
        <w:ind w:left="0" w:right="0" w:hanging="0"/>
        <w:jc w:val="left"/>
        <w:rPr/>
      </w:pPr>
      <w:r>
        <w:rPr/>
        <w:t xml:space="preserve">Nøjagtighed (udtrykt ved fejlmargen) angiver det værdiinterval, inden for hvilket den faktiske værdi i populationen er placeret. Med andre ord: hvad ville være den maksimale forskel mellem resultaterne af stikprøven og de resultater, der ville blive opnået fra populationen som helhed? En fejlmargen på 1,53 % betyder, at den faktiske værdi inden for den samlede population kan være 1,53 % højere eller lavere end stikprøveværdien. Hvis en undersøgelse af en stikprøve af personer f.eks. viser, at 50 % af respondenterne mener, at et bestemt tema er vigtigt, er den faktiske procentdel 1,53 % højere eller lavere end 50 %, dvs. mellem 48,47 og 51,53 %. En maksimal fejlmargen på 5 % er almindelig og generelt accepteret i kvantitative undersøgelser (statistik).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Ud over pålideligheden er stikprøvens repræsentativitet vigtig. Da invitationerne til at deltage er blevet sendt i batcher og stratificeret, er resultaterne repræsentative med hensyn til COROP-regionens karakteristika og aldersgrupperne i COROP-regionen. Svarene er også repræsentative for uddannelsesniveauet sammenlignet med det højeste uddannelsesniveau, der er opnået på nationalt plan.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Andre generelle egenskaber </w:t>
      </w:r>
    </w:p>
    <w:p>
      <w:pPr>
        <w:pStyle w:val="P68B1DB1Normal104"/>
        <w:widowControl w:val="false"/>
        <w:spacing w:lineRule="auto" w:line="240"/>
        <w:ind w:left="0" w:right="0" w:hanging="0"/>
        <w:jc w:val="left"/>
        <w:rPr/>
      </w:pPr>
      <w:r>
        <w:rPr/>
        <w:t xml:space="preserve">En række yderligere kontekstuelle spørgsmål blev stillet til undersøgelsesdeltagerne pr. panel. Disse omfatter køn, EU's positionering, oprindelse, hovederhverv og det politiske parti, som personen ville stemme på i tilfælde af valg.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af respondenterne er mænd, 50 % er kvinder, og 1 % foretrækker ikke at besvare dette spørgsmål.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af respondenterne mener, at det er godt for Nederlandene at være medlem af EU, 13 % mener, at det er en dårlig ting, og 36 % er neutrale eller har ingen mening.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af respondenterne er født i Holland. 89 % af respondenterne oplyste, at begge forældre var født i Nederlandene. 5 % blev født af to forældre selv født i udlandet.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Respondenternes aktuelle politiske orientering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6150"/>
        <w:gridCol w:w="3487"/>
      </w:tblGrid>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Fest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(Folkepartiet for Frihed og Demokrati)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(Frihedsparti)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(socialistisk parti)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(Demokraterne 66)</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(kristne demokratiske opkald)</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(Arbejdspartiet)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(dyrepartiet)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(Grøn Venstre)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(Kristne Union)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(Farmer-borgerbevægelsen)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 for Demokrati)</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(Reformed Political Party)</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Groep Van Haga</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 nærheden af Fractie Den Haan</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Andet</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Hvid stemme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Jeg foretrækker ikke at svare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5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Jeg stemmer ikke</w:t>
            </w:r>
          </w:p>
        </w:tc>
        <w:tc>
          <w:tcPr>
            <w:tcW w:w="348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Hvad er dit hovederhverv i øjeblikket?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4"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Besættelse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Studerende/studerende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Deltidsansat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Fuldtidsansat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Uafhængig entreprenør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Person hjemme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Jobsøgende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Frivillig</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Uarbejdsdygtighed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Pensioneret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Andet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Jeg foretrækker ikke at svare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Spørgeskema </w:t>
      </w:r>
    </w:p>
    <w:p>
      <w:pPr>
        <w:pStyle w:val="P68B1DB1Normal104"/>
        <w:widowControl w:val="false"/>
        <w:spacing w:lineRule="exact" w:line="339" w:before="1" w:after="0"/>
        <w:ind w:left="0" w:right="0" w:hanging="0"/>
        <w:jc w:val="left"/>
        <w:rPr/>
      </w:pPr>
      <w:r>
        <w:rPr/>
        <w:t xml:space="preserve">Spørgeskemaet og denne rapport blev udarbejdet af en uafhængig ekstern organisation efter anmodning fra Udenrigsministeriet. Spørgeskemaet indeholder en modulopbygget struktur og omfatter følgende spørgsmål i overensstemmelse med de temaer, der blev udpeget til konferencen om Europas fremtid: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Vigtige temaer og Europas rolle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Klimaændringer og miljø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Sundhed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Økonomi og beskæftigelse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Den Europæiske Unions rolle i verden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Sikkerhed og retsstatsprincippet </w:t>
      </w:r>
    </w:p>
    <w:p>
      <w:pPr>
        <w:pStyle w:val="P68B1DB1Normal105"/>
        <w:widowControl w:val="false"/>
        <w:spacing w:lineRule="exact" w:line="349" w:before="2" w:after="0"/>
        <w:ind w:left="0" w:right="0" w:hanging="0"/>
        <w:jc w:val="left"/>
        <w:rPr/>
      </w:pPr>
      <w:r>
        <w:rPr>
          <w:rFonts w:ascii="Verdana" w:hAnsi="Verdana"/>
        </w:rPr>
        <w:t>Den</w:t>
      </w:r>
      <w:r>
        <w:rPr/>
        <w:t xml:space="preserve"> </w:t>
      </w:r>
      <w:r>
        <w:rPr>
          <w:rFonts w:ascii="Calibri" w:hAnsi="Calibri"/>
        </w:rPr>
        <w:t xml:space="preserve">virtuelle verden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Det europæiske demokrati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Migration og flygtninge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Uddannelse/kultur/ungdom/sport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Under udarbejdelsen af spørgeskemaet blev der lagt stor vægt på kvaliteten, pålideligheden og gyldigheden af spørgsmålene. Af denne grund blev der søgt en neutral, ikke-guidet formulering af spørgsmål, påstande og svarmuligheder, og det blev verificeret, at spørgsmålene var formuleret i forståeligt sprog (niveau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Spørgeskemaet blev underkastet kvalitetstest gennem ansigt-til-ansigt interviews med testdeltagerne i målgruppen. Dette gav os mulighed for at undersøge, hvordan spørgsmål forstås af forskellige typer respondenter. Hvis et spørgsmål syntes at repræsentere en alt for stor (for kompleks) kognitiv belastning, var det passende. </w:t>
      </w:r>
    </w:p>
    <w:p>
      <w:pPr>
        <w:pStyle w:val="P68B1DB1Normal126"/>
        <w:widowControl w:val="false"/>
        <w:spacing w:lineRule="auto" w:line="240" w:before="333" w:after="0"/>
        <w:ind w:left="0" w:right="0" w:hanging="0"/>
        <w:jc w:val="left"/>
        <w:rPr>
          <w:rFonts w:ascii="Calibri" w:hAnsi="Calibri"/>
          <w:color w:val="0070C0"/>
          <w:sz w:val="24"/>
        </w:rPr>
      </w:pPr>
      <w:r>
        <w:rPr/>
        <w:t xml:space="preserve">Analysemetoder </w:t>
      </w:r>
    </w:p>
    <w:p>
      <w:pPr>
        <w:pStyle w:val="P68B1DB1Normal104"/>
        <w:widowControl w:val="false"/>
        <w:spacing w:lineRule="auto" w:line="240" w:before="80" w:after="0"/>
        <w:ind w:left="0" w:right="0" w:hanging="0"/>
        <w:jc w:val="left"/>
        <w:rPr>
          <w:rFonts w:ascii="Calibri" w:hAnsi="Calibri"/>
          <w:color w:val="000000"/>
          <w:sz w:val="21"/>
        </w:rPr>
      </w:pPr>
      <w:r>
        <w:rPr/>
        <w:t xml:space="preserve">Der blev anvendt to analysemetoder i denne undersøgelse: </w:t>
      </w:r>
    </w:p>
    <w:p>
      <w:pPr>
        <w:pStyle w:val="P68B1DB1Normal111"/>
        <w:widowControl w:val="false"/>
        <w:spacing w:lineRule="auto" w:line="240" w:before="48" w:after="0"/>
        <w:ind w:left="0" w:right="0" w:hanging="0"/>
        <w:jc w:val="left"/>
        <w:rPr>
          <w:rFonts w:ascii="Calibri" w:hAnsi="Calibri"/>
          <w:b/>
          <w:b/>
          <w:color w:val="000000"/>
          <w:sz w:val="22"/>
        </w:rPr>
      </w:pPr>
      <w:r>
        <w:rPr/>
        <w:t xml:space="preserve">Univariate analyser </w:t>
      </w:r>
    </w:p>
    <w:p>
      <w:pPr>
        <w:pStyle w:val="P68B1DB1Normal104"/>
        <w:widowControl w:val="false"/>
        <w:spacing w:lineRule="auto" w:line="240" w:before="6" w:after="0"/>
        <w:ind w:left="0" w:right="0" w:hanging="0"/>
        <w:jc w:val="left"/>
        <w:rPr>
          <w:rFonts w:ascii="Calibri" w:hAnsi="Calibri"/>
          <w:color w:val="000000"/>
          <w:sz w:val="21"/>
        </w:rPr>
      </w:pPr>
      <w:r>
        <w:rPr/>
        <w:t xml:space="preserve">Deskriptive statistikker bruges til at beskrive variablerne i en undersøgelse. Frekvenser og gennemsnit anvendes i denne undersøgelse. </w:t>
      </w:r>
    </w:p>
    <w:p>
      <w:pPr>
        <w:pStyle w:val="P68B1DB1Normal111"/>
        <w:widowControl w:val="false"/>
        <w:spacing w:lineRule="auto" w:line="240" w:before="48" w:after="0"/>
        <w:ind w:left="0" w:right="0" w:hanging="0"/>
        <w:jc w:val="left"/>
        <w:rPr>
          <w:rFonts w:ascii="Calibri" w:hAnsi="Calibri"/>
          <w:b/>
          <w:b/>
          <w:color w:val="000000"/>
          <w:sz w:val="22"/>
        </w:rPr>
      </w:pPr>
      <w:r>
        <w:rPr/>
        <w:t xml:space="preserve">Bivariate analyser </w:t>
      </w:r>
    </w:p>
    <w:p>
      <w:pPr>
        <w:pStyle w:val="P68B1DB1Normal104"/>
        <w:widowControl w:val="false"/>
        <w:spacing w:lineRule="auto" w:line="240" w:before="6" w:after="0"/>
        <w:ind w:left="0" w:right="0" w:hanging="0"/>
        <w:jc w:val="left"/>
        <w:rPr/>
      </w:pPr>
      <w:r>
        <w:rPr/>
        <w:t xml:space="preserve">De to forskellige analyser gør det muligt at undersøge forholdet mellem to variabler, i dette tilfælde forholdet mellem betydningen af de forskellige temaer og spørgsmålet om, hvorvidt EU skal gribe ind på dette område, og det generelle kendetegn ved alder. Der blev foretaget en gennemgang for at fastslå, om forskellige aldersgrupper tillægger et emne forskellig betydning, og om der er forskellige opfattelser af, i hvilket omfang disse er spørgsmål, som EU bør inddrages i.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Offentliggørelse af oplysninger og fuldstændighed </w:t>
      </w:r>
    </w:p>
    <w:p>
      <w:pPr>
        <w:pStyle w:val="P68B1DB1Normal76"/>
        <w:widowControl w:val="false"/>
        <w:spacing w:lineRule="auto" w:line="240" w:before="116" w:after="0"/>
        <w:ind w:left="0" w:right="0" w:hanging="0"/>
        <w:jc w:val="left"/>
        <w:rPr/>
      </w:pPr>
      <w:r>
        <w:rPr>
          <w:rFonts w:ascii="Calibri" w:hAnsi="Calibri"/>
          <w:sz w:val="21"/>
        </w:rPr>
        <w:t>Denne rapport indeholder resultaterne af alle spørgsmål, der stilles til respondenterne i panelet. For nogle spørgsmål fik respondenten mulighed for at give "åbne" (dvs. ikke forudbestemte) svar. Åbne svar blev derefter kategoriseret og medtaget i publikationen. De idéer, som respondenterne deler i de gratis kommentarer, bruges til at indgå i de forskellige tematiske dialoger, der er organiseret som opfølgning på borgerdialogprocessen "Vision of Europe".</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Tematiske onlinedialoger med henblik på uddybning </w:t>
      </w:r>
    </w:p>
    <w:p>
      <w:pPr>
        <w:pStyle w:val="P68B1DB1Normal104"/>
        <w:widowControl w:val="false"/>
        <w:spacing w:lineRule="auto" w:line="240"/>
        <w:ind w:left="0" w:right="0" w:hanging="0"/>
        <w:jc w:val="left"/>
        <w:rPr/>
      </w:pPr>
      <w:r>
        <w:rPr/>
        <w:t xml:space="preserve">De temaer, der står i centrum for konferencen om Europas fremtid, er blevet uddybet gennem otte tematiske onlinedialoger. Formålet med disse dialoger var at finde frem til </w:t>
      </w:r>
      <w:r>
        <w:rPr>
          <w:i/>
        </w:rPr>
        <w:t>årsagerne</w:t>
      </w:r>
      <w:r>
        <w:rPr/>
        <w:t xml:space="preserve"> til de udtrykte meninger samt motiverne og følelserne bag dem. Hvad er de opfattede bekymringer og muligheder? Diskussionsmøderne gav også deltagerne mulighed for at formulere forslag og ideer om disse emner samt at rejse spørgsmål, der ikke er en del af konferencen, men som fortsat er vigtige for dem.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De tematiske dialoger fandt sted den 12.-14. oktober og den 9.-11. november. I oktober blev der afholdt fire tematiske onlinedialoger om temaerne "Økonomik" og "demokrati". </w:t>
      </w:r>
    </w:p>
    <w:p>
      <w:pPr>
        <w:pStyle w:val="Normal"/>
        <w:widowControl w:val="false"/>
        <w:spacing w:lineRule="auto" w:line="240" w:before="10" w:after="0"/>
        <w:ind w:left="0" w:right="0" w:hanging="0"/>
        <w:jc w:val="left"/>
        <w:rPr/>
      </w:pPr>
      <w:r>
        <w:rPr/>
        <w:t>I november blev der afholdt</w:t>
      </w:r>
      <w:r>
        <w:rPr>
          <w:rFonts w:ascii="Calibri" w:hAnsi="Calibri"/>
          <w:color w:val="000000"/>
          <w:sz w:val="21"/>
        </w:rPr>
        <w:t xml:space="preserve">fire tematiske onlinedialoger om temaerne "Klima" og "EU i verden". I gennemsnit deltog 29 personer i hver samtale (231 i alt). Deltagerne blev rekrutteret blandt panelmedlemmerne (se punkt 1) og via sociale medier. </w:t>
      </w:r>
      <w:r>
        <w:br w:type="page"/>
      </w:r>
    </w:p>
    <w:p>
      <w:pPr>
        <w:pStyle w:val="P68B1DB1Normal125"/>
        <w:spacing w:lineRule="auto" w:line="240"/>
        <w:ind w:left="0" w:right="0" w:hanging="0"/>
        <w:rPr>
          <w:rFonts w:ascii="Calibri" w:hAnsi="Calibri"/>
          <w:b/>
          <w:b/>
          <w:color w:val="0070C0"/>
          <w:sz w:val="32"/>
        </w:rPr>
      </w:pPr>
      <w:r>
        <w:rPr/>
        <w:t xml:space="preserve">3. Dialoger med specifikke grupper </w:t>
      </w:r>
    </w:p>
    <w:p>
      <w:pPr>
        <w:pStyle w:val="P68B1DB1Normal104"/>
        <w:widowControl w:val="false"/>
        <w:spacing w:lineRule="auto" w:line="240" w:before="73" w:after="0"/>
        <w:ind w:left="0" w:right="0" w:hanging="0"/>
        <w:jc w:val="left"/>
        <w:rPr/>
      </w:pPr>
      <w:r>
        <w:rPr/>
        <w:t xml:space="preserve">Nogle hollandske grupper er kendt for at være mindre vant til at deltage i undersøgelser og paneler (online). For at opnå et repræsentativt billede af "Nederlandenes stemme" var det vigtigt, at disse borgere også kunne udtrykke deres idéer og meninger. Derfor organiserede vi også en række dialoger på stedet i forbindelse med undersøgelsen "Vision of Europe". De meninger og ideer, som vi var i stand til at samle, blev brugt som grundlag (blandt andre) til at formulere anbefalingerne. </w:t>
      </w:r>
    </w:p>
    <w:p>
      <w:pPr>
        <w:pStyle w:val="P68B1DB1Normal126"/>
        <w:widowControl w:val="false"/>
        <w:spacing w:lineRule="auto" w:line="240" w:before="94" w:after="0"/>
        <w:ind w:left="0" w:right="0" w:hanging="0"/>
        <w:jc w:val="left"/>
        <w:rPr>
          <w:rFonts w:ascii="Calibri" w:hAnsi="Calibri"/>
          <w:color w:val="0070C0"/>
          <w:sz w:val="24"/>
        </w:rPr>
      </w:pPr>
      <w:r>
        <w:rPr/>
        <w:t xml:space="preserve">Målgrupper </w:t>
      </w:r>
    </w:p>
    <w:p>
      <w:pPr>
        <w:pStyle w:val="P68B1DB1Normal110"/>
        <w:widowControl w:val="false"/>
        <w:spacing w:lineRule="auto" w:line="240" w:before="88" w:after="0"/>
        <w:ind w:left="0" w:right="0" w:hanging="0"/>
        <w:jc w:val="left"/>
        <w:rPr/>
      </w:pPr>
      <w:r>
        <w:rPr>
          <w:sz w:val="21"/>
        </w:rPr>
        <w:t xml:space="preserve">Målgrupper, der er svære at nå, kan ikke defineres entydigt. Undersøgelser og erfaringer giver os mulighed for at vide, at hollændere </w:t>
      </w:r>
      <w:r>
        <w:rPr>
          <w:b/>
          <w:sz w:val="21"/>
        </w:rPr>
        <w:t>med ikke-vestlig oprindelse</w:t>
      </w:r>
      <w:r>
        <w:rPr>
          <w:sz w:val="21"/>
        </w:rPr>
        <w:t>deltager betydeligt mindre af sig selv i undersøgelser og diskussioner. Da dette udgør en stor gruppe (14 % af hollænderne</w:t>
      </w:r>
      <w:r>
        <w:rPr>
          <w:b/>
          <w:position w:val="6"/>
          <w:sz w:val="14"/>
        </w:rPr>
        <w:t>1</w:t>
      </w:r>
      <w:r>
        <w:rPr>
          <w:sz w:val="21"/>
        </w:rPr>
        <w:t xml:space="preserve">), blev de udvalgt til at deltage i dialogen om Europas vision. Det samme ræsonnement blev fulgt med hensyn til </w:t>
      </w:r>
      <w:r>
        <w:rPr>
          <w:b/>
          <w:sz w:val="21"/>
        </w:rPr>
        <w:t>personer med ringe uddannelse</w:t>
      </w:r>
      <w:r>
        <w:rPr>
          <w:sz w:val="21"/>
        </w:rPr>
        <w:t>. Det er også en stor gruppe (2,5 mio. hollandsk</w:t>
      </w:r>
      <w:r>
        <w:rPr>
          <w:position w:val="6"/>
          <w:sz w:val="14"/>
        </w:rPr>
        <w:t>2</w:t>
      </w:r>
      <w:r>
        <w:rPr>
          <w:sz w:val="21"/>
        </w:rPr>
        <w:t xml:space="preserve">), som til dels overlapper med indvandrergruppen (39 %). Endelig er der blevet ført en dialog med en gruppe mennesker, der sjældent findes i undersøgelser og diskussioner, </w:t>
      </w:r>
      <w:r>
        <w:rPr>
          <w:b/>
          <w:sz w:val="21"/>
        </w:rPr>
        <w:t>som er kritiske over for Europa, men for hvem Europa spiller en vigtig rolle på det faglige område.</w:t>
      </w:r>
      <w:r>
        <w:rPr>
          <w:sz w:val="21"/>
        </w:rPr>
        <w:t xml:space="preserve"> Iværksættere fra landbrugssektoren blev udvalgt.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Ovennævnte grupper er blevet kontaktet gennem organisationer, som de er medlemmer af, såsom indvandrerorganisationer, fortalerorganisationer og faglige organisationer. Da vi begrænsede antallet af dialoger til otte, kunne vi ikke være helt "udtømmende". Dette gør valget af deltagere noget vilkårligt. For at træffe dette valg tog vi også hensyn til begejstringen for at deltage og hjælpe med at mobilisere deres base samt praktiske spørgsmål såsom tilgængelighed i henhold til datoer og placering.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Der blev afholdt dialoger på stedet med medlemmer af følgende organisationer: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Foundation, Alevi samfund,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hindusamfundet, Utrecht (to diskussionsmøder)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civilsamfundsorganisation, Zoetermeer </w:t>
      </w:r>
    </w:p>
    <w:p>
      <w:pPr>
        <w:pStyle w:val="P68B1DB1Normal105"/>
        <w:widowControl w:val="false"/>
        <w:spacing w:lineRule="auto" w:line="240"/>
        <w:ind w:left="0" w:right="0" w:hanging="0"/>
        <w:jc w:val="left"/>
        <w:rPr/>
      </w:pPr>
      <w:r>
        <w:rPr>
          <w:rFonts w:ascii="Verdana" w:hAnsi="Verdana"/>
        </w:rPr>
        <w:t>Taal</w:t>
      </w:r>
      <w:r>
        <w:rPr/>
        <w:t xml:space="preserve"> </w:t>
      </w:r>
      <w:r>
        <w:rPr>
          <w:rFonts w:ascii="Calibri" w:hAnsi="Calibri"/>
        </w:rPr>
        <w:t xml:space="preserve">doet Meer, en organisation for lavtuddannede,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sammenslutning af landbrugssammenslutninger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det marokkanske samfund,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Kvinder for frihed, fortalerorganisation for kvinder med indvandrerbaggrund, Haag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I alt 110 personer deltog i disse diskussionsmøder.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Dialoger med de unge </w:t>
      </w:r>
    </w:p>
    <w:p>
      <w:pPr>
        <w:pStyle w:val="P68B1DB1Normal104"/>
        <w:widowControl w:val="false"/>
        <w:spacing w:lineRule="auto" w:line="240" w:before="145" w:after="0"/>
        <w:ind w:left="0" w:right="0" w:hanging="0"/>
        <w:jc w:val="both"/>
        <w:rPr/>
      </w:pPr>
      <w:r>
        <w:rPr/>
        <w:t xml:space="preserve">Unge er en prioriteret målgruppe for konferencen om Europas fremtid. For aktivt at tilskynde dem til at deltage i borgerdialogen "Vision of Europe" og for at gøre denne gruppes synspunkter og idéer godt hørt blev der afholdt seks fysiske diskussionsmøder specifikt for unge.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Møderne fandt sted i følgende institutioner: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Sammenslutningen af Historiske Studerende, Universitetet i Leiden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High School,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Det Økonomiske og Sociale Råds ungdomsplatform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erhvervsuddannelse på sekundærtrinnet,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gymnasial uddannelse med fokus på teknologiske fag,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Det nationale ungdomsråd (mødet fandt sted uden for stedet)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I alt 110 unge deltog i diskussionsmøderne. </w:t>
      </w:r>
      <w:r>
        <w:br w:type="page"/>
      </w:r>
    </w:p>
    <w:p>
      <w:pPr>
        <w:pStyle w:val="P68B1DB1Normal126"/>
        <w:spacing w:lineRule="auto" w:line="240"/>
        <w:ind w:left="0" w:right="0" w:hanging="0"/>
        <w:rPr>
          <w:rFonts w:ascii="Calibri" w:hAnsi="Calibri"/>
          <w:color w:val="0070C0"/>
          <w:sz w:val="24"/>
        </w:rPr>
      </w:pPr>
      <w:r>
        <w:rPr/>
        <w:t xml:space="preserve">Anvendte vedligeholdelsesteknikker </w:t>
      </w:r>
    </w:p>
    <w:p>
      <w:pPr>
        <w:pStyle w:val="P68B1DB1Normal104"/>
        <w:widowControl w:val="false"/>
        <w:spacing w:lineRule="auto" w:line="240" w:before="92" w:after="0"/>
        <w:ind w:left="0" w:right="0" w:hanging="0"/>
        <w:jc w:val="left"/>
        <w:rPr/>
      </w:pPr>
      <w:r>
        <w:rPr/>
        <w:t xml:space="preserve">Der blev gennemført tematiske onlinedialoger, dialoger med specifikke grupper og dialoger med unge ved hjælp af den såkaldte "sokratiske" interviewmetode. Denne metode har været brugt i mange år på Dialog Day, hvor folk i hele Holland interagerer om spørgsmål, der påvirker dem. I forbindelse med den sokratiske vedligeholdelsesmetode skal moderatoren tage hensyn til følgende principper: </w:t>
      </w:r>
    </w:p>
    <w:p>
      <w:pPr>
        <w:pStyle w:val="P68B1DB1Normal105"/>
        <w:widowControl w:val="false"/>
        <w:spacing w:lineRule="auto" w:line="240"/>
        <w:ind w:left="0" w:right="0" w:hanging="0"/>
        <w:jc w:val="left"/>
        <w:rPr/>
      </w:pPr>
      <w:r>
        <w:rPr>
          <w:rFonts w:ascii="Verdana" w:hAnsi="Verdana"/>
        </w:rPr>
        <w:t>Lad</w:t>
      </w:r>
      <w:r>
        <w:rPr/>
        <w:t xml:space="preserve"> den anden fortælle sin historie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Svar</w:t>
      </w:r>
      <w:r>
        <w:rPr/>
        <w:t xml:space="preserve"> </w:t>
      </w:r>
      <w:r>
        <w:rPr>
          <w:rFonts w:ascii="Calibri" w:hAnsi="Calibri"/>
        </w:rPr>
        <w:t xml:space="preserve">det ikke med det samme med en anden historie </w:t>
      </w:r>
    </w:p>
    <w:p>
      <w:pPr>
        <w:pStyle w:val="P68B1DB1Normal105"/>
        <w:widowControl w:val="false"/>
        <w:spacing w:lineRule="auto" w:line="240"/>
        <w:ind w:left="0" w:right="0" w:hanging="0"/>
        <w:jc w:val="left"/>
        <w:rPr/>
      </w:pPr>
      <w:r>
        <w:rPr>
          <w:rFonts w:ascii="Verdana" w:hAnsi="Verdana"/>
        </w:rPr>
        <w:t>Forkæl</w:t>
      </w:r>
      <w:r>
        <w:rPr/>
        <w:t xml:space="preserve"> </w:t>
      </w:r>
      <w:r>
        <w:rPr>
          <w:rFonts w:ascii="Calibri" w:hAnsi="Calibri"/>
        </w:rPr>
        <w:t xml:space="preserve">dig selv med respekt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Tale om ens eget synspunkt ("Jeg finder" snarere end "de siger")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Bed om flere forklaringer, hvis de udtrykte synspunkter er begrænset til generelle forhold </w:t>
      </w:r>
    </w:p>
    <w:p>
      <w:pPr>
        <w:pStyle w:val="P68B1DB1Normal105"/>
        <w:widowControl w:val="false"/>
        <w:spacing w:lineRule="auto" w:line="240"/>
        <w:ind w:left="0" w:right="0" w:hanging="0"/>
        <w:jc w:val="left"/>
        <w:rPr/>
      </w:pPr>
      <w:r>
        <w:rPr>
          <w:rFonts w:ascii="Verdana" w:hAnsi="Verdana"/>
        </w:rPr>
        <w:t>Undgå</w:t>
      </w:r>
      <w:r>
        <w:rPr/>
        <w:t xml:space="preserve"> </w:t>
      </w:r>
      <w:r>
        <w:rPr>
          <w:rFonts w:ascii="Calibri" w:hAnsi="Calibri"/>
        </w:rPr>
        <w:t xml:space="preserve">domme og analysere dem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Giv øjeblikke af stilhed, hvis folk har brug for at tænke et øjeblik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Under dialogerne anvendes følgende rytme: divergens — konvergens — divergens. Princippet er, at du først skal afvige (direkte udtrykke individuelle følelser og meninger), før du kan konvergere (taler mulige veje) og derefter til sidst afvige igen (f.eks. indsamle individuelle anbefalinger). Erfaring og teori viser, at denne rytme sikrer en optimal strøm af dialog.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Alle dialoger blev gennemført af professionelle facilitatorer. </w:t>
      </w:r>
    </w:p>
    <w:p>
      <w:pPr>
        <w:pStyle w:val="Normal"/>
        <w:widowControl w:val="false"/>
        <w:spacing w:lineRule="auto" w:line="240" w:before="197" w:after="0"/>
        <w:ind w:left="0" w:right="0" w:hanging="0"/>
        <w:jc w:val="left"/>
        <w:rPr/>
      </w:pPr>
      <w:r>
        <w:rPr>
          <w:rFonts w:ascii="Calibri" w:hAnsi="Calibri"/>
          <w:b/>
          <w:color w:val="0070C0"/>
          <w:sz w:val="32"/>
        </w:rPr>
        <w:t>5. Offentlig onlineundersøgelse: Spørgeskema og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to te future) </w:t>
      </w:r>
    </w:p>
    <w:p>
      <w:pPr>
        <w:pStyle w:val="P68B1DB1Normal110"/>
        <w:widowControl w:val="false"/>
        <w:spacing w:lineRule="auto" w:line="240"/>
        <w:ind w:left="0" w:right="0" w:hanging="0"/>
        <w:jc w:val="left"/>
        <w:rPr/>
      </w:pPr>
      <w:r>
        <w:rPr>
          <w:sz w:val="21"/>
        </w:rPr>
        <w:t>Panelundersøgelsesspørgeskemaet var også åbent for alle hollændere, herunder dem, der bor i udlandet. Spørgeskemaet forelå fra den 1.</w:t>
      </w:r>
      <w:r>
        <w:rPr>
          <w:position w:val="6"/>
          <w:sz w:val="14"/>
        </w:rPr>
        <w:t>september</w:t>
      </w:r>
      <w:r>
        <w:rPr>
          <w:sz w:val="21"/>
        </w:rPr>
        <w:t xml:space="preserve"> 2021 til den 14. november 2021. Desuden var hver hollænder i samme periode i stand til at deltage i aktionen "Swipen naar de toekomst" (Swiper to the future), et onlineværktøj med 20 krav. </w:t>
      </w:r>
    </w:p>
    <w:p>
      <w:pPr>
        <w:pStyle w:val="P68B1DB1Normal126"/>
        <w:widowControl w:val="false"/>
        <w:spacing w:lineRule="auto" w:line="240" w:before="14" w:after="0"/>
        <w:ind w:left="0" w:right="0" w:hanging="0"/>
        <w:jc w:val="left"/>
        <w:rPr>
          <w:rFonts w:ascii="Calibri" w:hAnsi="Calibri"/>
          <w:color w:val="0070C0"/>
          <w:sz w:val="24"/>
        </w:rPr>
      </w:pPr>
      <w:r>
        <w:rPr/>
        <w:t xml:space="preserve">Svar og brug </w:t>
      </w:r>
    </w:p>
    <w:p>
      <w:pPr>
        <w:pStyle w:val="P68B1DB1Normal104"/>
        <w:widowControl w:val="false"/>
        <w:spacing w:lineRule="auto" w:line="240"/>
        <w:ind w:left="0" w:right="0" w:hanging="0"/>
        <w:jc w:val="left"/>
        <w:rPr/>
      </w:pPr>
      <w:r>
        <w:rPr/>
        <w:t xml:space="preserve">I alt 1.967 deltagere udfyldte spørgeskemaet, og 6.968 var til slutningen af skærmscanningsværktøjet. Både spørgeskemaet og skærmscanningsværktøjet var åbne for alle: der var ingen forudsætninger eller udvælgelseskriterier for at deltage. I spørgeskemaet var det muligt at stille spørgsmål (der var ingen obligatoriske spørgsmål) for at maksimere svarprocenten. Deltagerne valgte "Jeg foretrækker ikke at svare" meget oftere end i den repræsentative panelundersøgelse. </w:t>
      </w:r>
    </w:p>
    <w:p>
      <w:pPr>
        <w:pStyle w:val="P68B1DB1Normal104"/>
        <w:widowControl w:val="false"/>
        <w:spacing w:lineRule="auto" w:line="240"/>
        <w:ind w:left="0" w:right="0" w:hanging="0"/>
        <w:jc w:val="left"/>
        <w:rPr/>
      </w:pPr>
      <w:r>
        <w:rPr/>
        <w:t xml:space="preserve">De generelle karakteristika for deltagerne i det åbne spørgeskema og værktøjet til skærmscanning adskiller sig i flere henseender fra deltagerne i det repræsentative panel. I modsætning til panelundersøgelsen er resultaterne af det åbne spørgeskema og værktøjet til skærmscanning ikke repræsentative. Resultaterne af den åbne onlineundersøgelse blev brugt som supplement til panelundersøgelsen. De giver et overblik over de følelser og ideer, der cirkulerer i Holland. De forslag til forbedringer, der er nævnt i inputfelterne, blev anvendt i afsnittet "Drøftelser og idéer online og på stedet". Værktøjet til skærmscanning er blevet brugt til bedre at forstå nogle af de følelser, der cirkulerer i Holland. Disse resultater blev taget i betragtning ved udarbejdelsen af henstillingerne. På grund af kravet om repræsentativitet er der i denne rapport i begrænset omfang taget hensyn til resultaterne af den undersøgelse, der er indledt online.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Denne rapport offentliggøres af Udenrigsministeriet.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Henvisninger til resultaterne af nationale begivenheder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Belgien</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Bulgarien</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Den Tjekkiske</w:t>
        </w:r>
      </w:hyperlink>
      <w:hyperlink r:id="rId123">
        <w:r>
          <w:rPr>
            <w:rStyle w:val="LienInternet"/>
            <w:rFonts w:ascii="Times New Roman" w:hAnsi="Times New Roman"/>
            <w:b/>
            <w:color w:val="0000FF"/>
          </w:rPr>
          <w:t>Republik</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Danmark</w:t>
        </w:r>
      </w:hyperlink>
    </w:p>
    <w:p>
      <w:pPr>
        <w:pStyle w:val="Normal"/>
        <w:widowControl w:val="false"/>
        <w:spacing w:lineRule="auto" w:line="240"/>
        <w:ind w:left="360" w:right="7697" w:hanging="0"/>
        <w:jc w:val="both"/>
        <w:rPr/>
      </w:pPr>
      <w:hyperlink r:id="rId125">
        <w:r>
          <w:rPr>
            <w:rStyle w:val="LienInternet"/>
            <w:rFonts w:ascii="Times New Roman" w:hAnsi="Times New Roman"/>
            <w:b/>
            <w:color w:val="0000FF"/>
          </w:rPr>
          <w:t>I</w:t>
        </w:r>
      </w:hyperlink>
      <w:hyperlink r:id="rId126">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7">
        <w:r>
          <w:rPr>
            <w:rStyle w:val="LienInternet"/>
            <w:rFonts w:ascii="Times New Roman" w:hAnsi="Times New Roman"/>
            <w:b/>
            <w:color w:val="0000FF"/>
          </w:rPr>
          <w:t>Estland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Irland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Grækenland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Spanien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Frankrig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Kroatien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Italien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Cypern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Letland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Litauen</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Luxembourg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Ungarn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Holland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Østrig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Polen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Portugal</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Rumænien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Slovenien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Slovakiet</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Finland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Sverige</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Henvisning til rapporten fra den flersprogede digitale platform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49">
        <w:r>
          <w:rPr>
            <w:rStyle w:val="LienInternet"/>
            <w:color w:val="0000FF"/>
            <w:sz w:val="24"/>
          </w:rPr>
          <w:t>PL</w:t>
        </w:r>
      </w:hyperlink>
      <w:hyperlink r:id="rId150">
        <w:r>
          <w:rPr>
            <w:rStyle w:val="LienInternet"/>
            <w:color w:val="0000FF"/>
            <w:sz w:val="24"/>
          </w:rPr>
          <w:t>flersproget</w:t>
        </w:r>
      </w:hyperlink>
      <w:hyperlink r:id="rId151">
        <w:r>
          <w:rPr>
            <w:rStyle w:val="LienInternet"/>
            <w:color w:val="0000FF"/>
            <w:sz w:val="24"/>
          </w:rPr>
          <w:t xml:space="preserve">numeform fra konferencen om Europas fremtid — rapport frafebruar 2022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Billeder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leder48" descr=""/>
                    <pic:cNvPicPr>
                      <a:picLocks noChangeAspect="1" noChangeArrowheads="1"/>
                    </pic:cNvPicPr>
                  </pic:nvPicPr>
                  <pic:blipFill>
                    <a:blip r:embed="rId152"/>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pPr>
      <w:r>
        <w:rPr/>
        <w:t>© Den Europæiske Union, 2022 Genbrug tilladt, forudsat at kilden er angivet.</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widowControl/>
        <w:suppressAutoHyphens w:val="true"/>
        <w:overflowPunct w:val="true"/>
        <w:bidi w:val="0"/>
        <w:spacing w:before="57" w:after="57"/>
        <w:ind w:left="0" w:right="0" w:hanging="0"/>
        <w:jc w:val="left"/>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00000A"/>
          <w:kern w:val="0"/>
          <w:sz w:val="24"/>
          <w:szCs w:val="24"/>
          <w:lang w:val="en-US" w:eastAsia="en-US" w:bidi="en-US"/>
        </w:rPr>
        <w:t>Dette udtryk "intereuropæisk" er forvirret.</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00000A"/>
          <w:kern w:val="0"/>
          <w:sz w:val="24"/>
          <w:szCs w:val="24"/>
          <w:lang w:val="en-US" w:eastAsia="en-US" w:bidi="en-US"/>
        </w:rPr>
        <w:t>mærkelig gruppering</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00000A"/>
          <w:kern w:val="0"/>
          <w:sz w:val="24"/>
          <w:szCs w:val="24"/>
          <w:lang w:val="en-US" w:eastAsia="en-US" w:bidi="en-US"/>
        </w:rPr>
        <w:t>mærkelig gruppering</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00000A"/>
          <w:kern w:val="0"/>
          <w:sz w:val="24"/>
          <w:szCs w:val="24"/>
          <w:lang w:val="en-US" w:eastAsia="en-US" w:bidi="en-US"/>
        </w:rPr>
        <w:t>mærkelig gruppering</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00000A"/>
          <w:kern w:val="0"/>
          <w:sz w:val="24"/>
          <w:szCs w:val="24"/>
          <w:lang w:val="en-US" w:eastAsia="en-US" w:bidi="en-US"/>
        </w:rPr>
        <w:t>kursiv i den første rapport på fransk</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00000A"/>
          <w:kern w:val="0"/>
          <w:sz w:val="24"/>
          <w:szCs w:val="24"/>
          <w:lang w:val="en-US" w:eastAsia="en-US" w:bidi="en-US"/>
        </w:rPr>
        <w:t>originalen var "comrade"</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00000A"/>
          <w:kern w:val="0"/>
          <w:sz w:val="24"/>
          <w:szCs w:val="24"/>
          <w:lang w:val="en-US" w:eastAsia="en-US" w:bidi="en-US"/>
        </w:rPr>
        <w:t>Jeg tilføjede et "s" (flertal bevilget med skatter)</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00000A"/>
          <w:kern w:val="0"/>
          <w:sz w:val="24"/>
          <w:szCs w:val="24"/>
          <w:lang w:val="en-US" w:eastAsia="en-US" w:bidi="en-US"/>
        </w:rPr>
        <w:t>Jeg tilføjede dash</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00000A"/>
          <w:kern w:val="0"/>
          <w:sz w:val="24"/>
          <w:szCs w:val="24"/>
          <w:lang w:val="en-US" w:eastAsia="en-US" w:bidi="en-US"/>
        </w:rPr>
        <w:t>tilføjet et stort bogstav</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00000A"/>
          <w:kern w:val="0"/>
          <w:sz w:val="24"/>
          <w:szCs w:val="24"/>
          <w:lang w:val="en-US" w:eastAsia="en-US" w:bidi="en-US"/>
        </w:rPr>
        <w:t>Jeg har fjernet et "s"</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00000A"/>
          <w:kern w:val="0"/>
          <w:sz w:val="24"/>
          <w:szCs w:val="24"/>
          <w:lang w:val="en-US" w:eastAsia="en-US" w:bidi="en-US"/>
        </w:rPr>
        <w:t>originalen havde et instrumentbræt; Jeg ved ikke, hvad dashboard er. Jeg anmodede derfor om en oversættelse af den engelske tekst fra Google med angivelse af "dashboard", hvilket er forståeligt på fransk. eTranslation angiver også "dashboard".</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00000A"/>
          <w:kern w:val="0"/>
          <w:sz w:val="24"/>
          <w:szCs w:val="24"/>
          <w:lang w:val="en-US" w:eastAsia="en-US" w:bidi="en-US"/>
        </w:rPr>
        <w:t>Jeg har lagt et stort brev på.</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00000A"/>
          <w:kern w:val="0"/>
          <w:sz w:val="24"/>
          <w:szCs w:val="24"/>
          <w:lang w:val="en-US" w:eastAsia="en-US" w:bidi="en-US"/>
        </w:rPr>
        <w:t>Jeg har tilføjet "e"</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00000A"/>
          <w:kern w:val="0"/>
          <w:sz w:val="24"/>
          <w:szCs w:val="24"/>
          <w:lang w:val="en-US" w:eastAsia="en-US" w:bidi="en-US"/>
        </w:rPr>
        <w:t>Jeg har tilføjet et "s"</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00000A"/>
          <w:kern w:val="0"/>
          <w:sz w:val="24"/>
          <w:szCs w:val="24"/>
          <w:lang w:val="en-US" w:eastAsia="en-US" w:bidi="en-US"/>
        </w:rPr>
        <w:t>originalen havde "referenda". som andre steder er der en "afstemning' med accenter, flertal skal være "referenda" i brugen af ​​den latinske deklination.</w:t>
      </w:r>
    </w:p>
    <w:p>
      <w:r>
        <w:rPr>
          <w:rFonts w:ascii="Times New Roman" w:hAnsi="Times New Roman" w:eastAsia="Segoe UI" w:cs="Tahoma"/>
          <w:color w:val="00000A"/>
          <w:kern w:val="0"/>
          <w:sz w:val="24"/>
          <w:szCs w:val="24"/>
          <w:lang w:val="en-US" w:eastAsia="en-US" w:bidi="en-US"/>
        </w:rPr>
        <w:t xml:space="preserve">se https://www.larousse.fr/dictionnaires/francais/r%C3%A9f%C3%A9rendum/67445 </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00000A"/>
          <w:kern w:val="0"/>
          <w:sz w:val="24"/>
          <w:szCs w:val="24"/>
          <w:lang w:val="en-US" w:eastAsia="en-US" w:bidi="en-US"/>
        </w:rPr>
        <w:t>der var også "referenda".</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00000A"/>
          <w:kern w:val="0"/>
          <w:sz w:val="24"/>
          <w:szCs w:val="24"/>
          <w:lang w:val="en-US" w:eastAsia="en-US" w:bidi="en-US"/>
        </w:rPr>
        <w:t>Den oprindelige havde "på listerne over mekanismer i skuffen"? Jeg forstår det ikke, så jeg har oversat fra den engelske version.</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00000A"/>
          <w:kern w:val="0"/>
          <w:sz w:val="24"/>
          <w:szCs w:val="24"/>
          <w:lang w:val="en-US" w:eastAsia="en-US" w:bidi="en-US"/>
        </w:rPr>
        <w:t>Originalen på fransk var "Ombudsmandens websted er godt lavet, men er ikke europæisk mærkevare". Udtrykket "branded" er uforståeligt. Den engelske version er "Ombudsmandens websted er godt lavet, men har ikke et egentligt europæisk "billede", så jeg erstatter det med den mere forståelige direkte oversættelse af engelsk.</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00000A"/>
          <w:kern w:val="0"/>
          <w:sz w:val="24"/>
          <w:szCs w:val="24"/>
          <w:lang w:val="en-US" w:eastAsia="en-US" w:bidi="en-US"/>
        </w:rPr>
        <w:t>originalen på fransk var "offentlig", hvilket ikke blev givet med "høring". Var det en offentlig høring eller en offentlig høring?</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00000A"/>
          <w:kern w:val="0"/>
          <w:sz w:val="24"/>
          <w:szCs w:val="24"/>
          <w:lang w:val="en-US" w:eastAsia="en-US" w:bidi="en-US"/>
        </w:rPr>
        <w:t>der var "anglas"</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00000A"/>
          <w:kern w:val="0"/>
          <w:sz w:val="24"/>
          <w:szCs w:val="24"/>
          <w:lang w:val="en-US" w:eastAsia="en-US" w:bidi="en-US"/>
        </w:rPr>
        <w:t>tilføjet store bogstaver (handelsnavne)</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00000A"/>
          <w:kern w:val="0"/>
          <w:sz w:val="24"/>
          <w:szCs w:val="24"/>
          <w:lang w:val="en-US" w:eastAsia="en-US" w:bidi="en-US"/>
        </w:rPr>
        <w:t>ændres "la" til "den"</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00000A"/>
          <w:kern w:val="0"/>
          <w:sz w:val="24"/>
          <w:szCs w:val="24"/>
          <w:lang w:val="en-US" w:eastAsia="en-US" w:bidi="en-US"/>
        </w:rPr>
        <w:t>erstattet "take" med "take"</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00000A"/>
          <w:kern w:val="0"/>
          <w:sz w:val="24"/>
          <w:szCs w:val="24"/>
          <w:lang w:val="en-US" w:eastAsia="en-US" w:bidi="en-US"/>
        </w:rPr>
        <w:t>fjernede "s"</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00000A"/>
          <w:kern w:val="0"/>
          <w:sz w:val="24"/>
          <w:szCs w:val="24"/>
          <w:lang w:val="en-US" w:eastAsia="en-US" w:bidi="en-US"/>
        </w:rPr>
        <w:t>tilføjet et "s"</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00000A"/>
          <w:kern w:val="0"/>
          <w:sz w:val="24"/>
          <w:szCs w:val="24"/>
          <w:lang w:val="en-US" w:eastAsia="en-US" w:bidi="en-US"/>
        </w:rPr>
        <w:t>Jeg forstår ikke "swiper"</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00000A"/>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00000A"/>
          <w:kern w:val="0"/>
          <w:sz w:val="24"/>
          <w:szCs w:val="24"/>
          <w:lang w:val="en-US" w:eastAsia="en-US" w:bidi="en-US"/>
        </w:rPr>
        <w:t>tilføjet "s"</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00000A"/>
          <w:kern w:val="0"/>
          <w:sz w:val="24"/>
          <w:szCs w:val="24"/>
          <w:lang w:val="en-US" w:eastAsia="en-US" w:bidi="en-US"/>
        </w:rPr>
        <w:t>titel på 2 fremmedsprog: underligt</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00000A"/>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00000A"/>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00000A"/>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rStyle w:val="Caractresdenotedefin"/>
        </w:rPr>
        <w:tab/>
      </w:r>
      <w:r>
        <w:rPr/>
        <w:t>Borgernes anbefalinger, som forslaget er baseret på: #3, #17, #18, #19</w:t>
      </w:r>
    </w:p>
  </w:endnote>
  <w:endnote w:id="3">
    <w:p>
      <w:pPr>
        <w:pStyle w:val="Notedefin"/>
        <w:suppressLineNumbers/>
        <w:spacing w:before="57" w:after="57"/>
        <w:ind w:left="339" w:right="0" w:hanging="339"/>
        <w:rPr/>
      </w:pPr>
      <w:r>
        <w:rPr>
          <w:rStyle w:val="Caractresdenotedefin"/>
        </w:rPr>
        <w:endnoteRef/>
      </w:r>
      <w:r>
        <w:rPr>
          <w:rStyle w:val="Caractresdenotedefin"/>
        </w:rPr>
        <w:tab/>
      </w:r>
      <w:r>
        <w:rPr/>
        <w:t># = anbefaling fra de europæiske borgerpaneler.</w:t>
      </w:r>
    </w:p>
  </w:endnote>
  <w:endnote w:id="4">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#39, #40, #41, #42, #43, NL1, NL2, #51</w:t>
      </w:r>
    </w:p>
  </w:endnote>
  <w:endnote w:id="5">
    <w:p>
      <w:pPr>
        <w:pStyle w:val="Notedefin"/>
        <w:suppressLineNumbers/>
        <w:spacing w:before="57" w:after="57"/>
        <w:ind w:left="339" w:right="0" w:hanging="339"/>
        <w:rPr/>
      </w:pPr>
      <w:r>
        <w:rPr>
          <w:rStyle w:val="Caractresdenotedefin"/>
        </w:rPr>
        <w:endnoteRef/>
      </w:r>
      <w:r>
        <w:rPr>
          <w:rStyle w:val="Caractresdenotedefin"/>
        </w:rPr>
        <w:tab/>
      </w:r>
      <w:r>
        <w:rPr/>
        <w:t>Henstilling fra et nationalt borgerpanel</w:t>
      </w:r>
    </w:p>
  </w:endnote>
  <w:endnote w:id="6">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#44, #45, #46, #47, #50</w:t>
      </w:r>
    </w:p>
  </w:endnote>
  <w:endnote w:id="7">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#39, #40, #45, #48, #50, FRchangement8, FRswait11, #51</w:t>
      </w:r>
    </w:p>
  </w:endnote>
  <w:endnote w:id="8">
    <w:p>
      <w:pPr>
        <w:pStyle w:val="Notedefin"/>
        <w:suppressLineNumbers/>
        <w:spacing w:before="57" w:after="57"/>
        <w:ind w:left="339" w:right="0" w:hanging="339"/>
        <w:rPr/>
      </w:pPr>
      <w:r>
        <w:rPr>
          <w:rStyle w:val="Caractresdenotedefin"/>
        </w:rPr>
        <w:endnoteRef/>
      </w:r>
      <w:r>
        <w:rPr>
          <w:rStyle w:val="Caractresdenotedefin"/>
        </w:rPr>
        <w:tab/>
      </w:r>
      <w:r>
        <w:rPr/>
        <w:t>Anbefalingerne fra det nederlandske borgerpanel adskiller sig fra anbefalingerne fra det europæiske borgerpanel: han hævder, at sundhed og sundhedspleje først og fremmest bør være et nationalt ansvar [NL3].</w:t>
      </w:r>
    </w:p>
  </w:endnote>
  <w:endnote w:id="9">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1: 9, 10, 11, 12, 14; Nederlandene: 1; Italien: 1.1 Litauen: 3, 8.</w:t>
      </w:r>
    </w:p>
  </w:endnote>
  <w:endnote w:id="10">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1: 10, 11 &amp; 14; Tyskland: 2.1, 2.2; Nederlandene: 1, 2; Frankrig: 3, 9; Italien: 1,2, 1.3, 1.4, 1.5, 2.1, 2.2, 2,4, 4.a.2, 6.1; Litauen: 1, 7.</w:t>
      </w:r>
    </w:p>
  </w:endnote>
  <w:endnote w:id="11">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1: 1, 2, 7, 28, 30; Tyskland: 4.1, 4.2; Nederlandene: 4 Frankrig: 6; Italien: 5.a.1, 5.a.4, 6.1, 6.2.</w:t>
      </w:r>
    </w:p>
  </w:endnote>
  <w:endnote w:id="12">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1: 19, 20, 21, 25; Italien: 4.a.1.</w:t>
      </w:r>
    </w:p>
  </w:endnote>
  <w:endnote w:id="13">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Borgernes anbefalinger, som forslaget er baseret på: Det europæiske borgerpanel 1: 21, 22, 23, 26, 27; Italien: 5.a.1.</w:t>
      </w:r>
    </w:p>
  </w:endnote>
  <w:endnote w:id="14">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Borgernes anbefalinger, som forslaget er baseret på: Det europæiske borgerpanel 1: 13, 31; Nederlandene: 2.3. Italien: 4.b.3, 4.b.6; Litauen: 9, 10.</w:t>
      </w:r>
    </w:p>
  </w:endnote>
  <w:endnote w:id="15">
    <w:p>
      <w:pPr>
        <w:pStyle w:val="Notedefin"/>
        <w:suppressLineNumbers/>
        <w:spacing w:before="57" w:after="57"/>
        <w:ind w:left="339" w:right="0" w:hanging="339"/>
        <w:rPr/>
      </w:pPr>
      <w:r>
        <w:rPr>
          <w:rStyle w:val="Caractresdenotedefin"/>
        </w:rPr>
        <w:endnoteRef/>
      </w:r>
      <w:r>
        <w:rPr>
          <w:rStyle w:val="Caractresdenotedefin"/>
        </w:rPr>
        <w:tab/>
      </w:r>
      <w:r>
        <w:rPr/>
        <w:t>Baseret på drøftelserne i arbejdsgruppen og plenarforsamlingen.</w:t>
      </w:r>
    </w:p>
  </w:endnote>
  <w:endnote w:id="16">
    <w:p>
      <w:pPr>
        <w:pStyle w:val="Notedefin"/>
        <w:suppressLineNumbers/>
        <w:spacing w:before="57" w:after="57"/>
        <w:ind w:left="339" w:right="0" w:hanging="339"/>
        <w:rPr/>
      </w:pPr>
      <w:r>
        <w:rPr>
          <w:rStyle w:val="Caractresdenotedefin"/>
        </w:rPr>
        <w:endnoteRef/>
      </w:r>
      <w:r>
        <w:rPr>
          <w:rStyle w:val="Caractresdenotedefin"/>
        </w:rPr>
        <w:tab/>
      </w:r>
      <w:r>
        <w:rPr/>
        <w:t>Se henstilling nr. 1 i ECP4, henstilling nr. 2 fra det nationale kontaktpunkt Tyskland, panel 1 "EU i verden", og fra Italiens nationale kontaktpunkt, gruppe 2, rec. 1, udarbejdet i arbejdsgruppen.</w:t>
      </w:r>
    </w:p>
  </w:endnote>
  <w:endnote w:id="17">
    <w:p>
      <w:pPr>
        <w:pStyle w:val="Notedefin"/>
        <w:suppressLineNumbers/>
        <w:spacing w:before="57" w:after="57"/>
        <w:ind w:left="339" w:right="0" w:hanging="339"/>
        <w:rPr/>
      </w:pPr>
      <w:r>
        <w:rPr>
          <w:rStyle w:val="Caractresdenotedefin"/>
        </w:rPr>
        <w:endnoteRef/>
      </w:r>
      <w:r>
        <w:rPr>
          <w:rStyle w:val="Caractresdenotedefin"/>
        </w:rPr>
        <w:tab/>
      </w:r>
      <w:r>
        <w:rPr/>
        <w:t>Se henstilling 4 i ECP4 og anbefaling 5 og 6 fra Italiens nationale kontaktpunkt, gruppe 2, udarbejdet i arbejdsgruppen.</w:t>
      </w:r>
    </w:p>
  </w:endnote>
  <w:endnote w:id="18">
    <w:p>
      <w:pPr>
        <w:pStyle w:val="Notedefin"/>
        <w:suppressLineNumbers/>
        <w:spacing w:before="57" w:after="57"/>
        <w:ind w:left="339" w:right="0" w:hanging="339"/>
        <w:rPr/>
      </w:pPr>
      <w:r>
        <w:rPr>
          <w:rStyle w:val="Caractresdenotedefin"/>
        </w:rPr>
        <w:endnoteRef/>
      </w:r>
      <w:r>
        <w:rPr>
          <w:rStyle w:val="Caractresdenotedefin"/>
        </w:rPr>
        <w:tab/>
      </w:r>
      <w:r>
        <w:rPr/>
        <w:t xml:space="preserve">Se den digitale platform og anbefaling 2 og 3 fra det italienske nationale kontaktpunkt, Gruppe 2, udviklet i arbejdsgruppen,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rStyle w:val="Caractresdenotedefin"/>
        </w:rPr>
        <w:tab/>
      </w:r>
      <w:r>
        <w:rPr/>
        <w:t>Se henstilling 14 i ECP4, der er udarbejdet i arbejdsgruppen.</w:t>
      </w:r>
    </w:p>
  </w:endnote>
  <w:endnote w:id="20">
    <w:p>
      <w:pPr>
        <w:pStyle w:val="Notedefin"/>
        <w:suppressLineNumbers/>
        <w:spacing w:before="57" w:after="57"/>
        <w:ind w:left="339" w:right="0" w:hanging="339"/>
        <w:rPr/>
      </w:pPr>
      <w:r>
        <w:rPr>
          <w:rStyle w:val="Caractresdenotedefin"/>
        </w:rPr>
        <w:endnoteRef/>
      </w:r>
      <w:r>
        <w:rPr>
          <w:rStyle w:val="Caractresdenotedefin"/>
        </w:rPr>
        <w:tab/>
      </w:r>
      <w:r>
        <w:rPr/>
        <w:t>Se henstilling nr. 2 i ECP4 og henstilling nr. 4 fra Italiens nationale kontaktpunkt, gruppe 2, udarbejdet i arbejdsgruppen.</w:t>
      </w:r>
    </w:p>
  </w:endnote>
  <w:endnote w:id="21">
    <w:p>
      <w:pPr>
        <w:pStyle w:val="Notedefin"/>
        <w:suppressLineNumbers/>
        <w:spacing w:before="57" w:after="57"/>
        <w:ind w:left="339" w:right="0" w:hanging="339"/>
        <w:rPr/>
      </w:pPr>
      <w:r>
        <w:rPr>
          <w:rStyle w:val="Caractresdenotedefin"/>
        </w:rPr>
        <w:endnoteRef/>
      </w:r>
      <w:r>
        <w:rPr>
          <w:rStyle w:val="Caractresdenotedefin"/>
        </w:rPr>
        <w:tab/>
      </w:r>
      <w:r>
        <w:rPr/>
        <w:t>Se henstilling nr. 17 i ECP4 og henstilling nr. 4 fra Italiens nationale kontaktpunkt, gruppe 2, udarbejdet i arbejdsgruppen.</w:t>
      </w:r>
    </w:p>
  </w:endnote>
  <w:endnote w:id="22">
    <w:p>
      <w:pPr>
        <w:pStyle w:val="Notedefin"/>
        <w:suppressLineNumbers/>
        <w:spacing w:before="57" w:after="57"/>
        <w:ind w:left="339" w:right="0" w:hanging="339"/>
        <w:rPr/>
      </w:pPr>
      <w:r>
        <w:rPr>
          <w:rStyle w:val="Caractresdenotedefin"/>
        </w:rPr>
        <w:endnoteRef/>
      </w:r>
      <w:r>
        <w:rPr>
          <w:rStyle w:val="Caractresdenotedefin"/>
        </w:rPr>
        <w:tab/>
      </w:r>
      <w:r>
        <w:rPr/>
        <w:t>Se anbefaling 1 fra det nationale kontaktpunkt Tyskland, panel 1 "EU i verden", udviklet i arbejdsgruppen.</w:t>
      </w:r>
    </w:p>
  </w:endnote>
  <w:endnote w:id="23">
    <w:p>
      <w:pPr>
        <w:pStyle w:val="Notedefin"/>
        <w:suppressLineNumbers/>
        <w:spacing w:before="57" w:after="57"/>
        <w:ind w:left="339" w:right="0" w:hanging="339"/>
        <w:rPr/>
      </w:pPr>
      <w:r>
        <w:rPr>
          <w:rStyle w:val="Caractresdenotedefin"/>
        </w:rPr>
        <w:endnoteRef/>
      </w:r>
      <w:r>
        <w:rPr>
          <w:rStyle w:val="Caractresdenotedefin"/>
        </w:rPr>
        <w:tab/>
      </w:r>
      <w:r>
        <w:rPr/>
        <w:t>Se henstilling 3 i ECP 4, som er udarbejdet i arbejdsgruppen.</w:t>
      </w:r>
    </w:p>
  </w:endnote>
  <w:endnote w:id="24">
    <w:p>
      <w:pPr>
        <w:pStyle w:val="Notedefin"/>
        <w:suppressLineNumbers/>
        <w:spacing w:before="57" w:after="57"/>
        <w:ind w:left="339" w:right="0" w:hanging="339"/>
        <w:rPr/>
      </w:pPr>
      <w:r>
        <w:rPr>
          <w:rStyle w:val="Caractresdenotedefin"/>
        </w:rPr>
        <w:endnoteRef/>
      </w:r>
      <w:r>
        <w:rPr>
          <w:rStyle w:val="Caractresdenotedefin"/>
        </w:rPr>
        <w:tab/>
      </w:r>
      <w:r>
        <w:rPr/>
        <w:t>Se henstilling 11 i ECP 4, som er udarbejdet i arbejdsgruppen.</w:t>
      </w:r>
    </w:p>
  </w:endnote>
  <w:endnote w:id="25">
    <w:p>
      <w:pPr>
        <w:pStyle w:val="Notedefin"/>
        <w:suppressLineNumbers/>
        <w:spacing w:before="57" w:after="57"/>
        <w:ind w:left="339" w:right="0" w:hanging="339"/>
        <w:rPr/>
      </w:pPr>
      <w:r>
        <w:rPr>
          <w:rStyle w:val="Caractresdenotedefin"/>
        </w:rPr>
        <w:endnoteRef/>
      </w:r>
      <w:r>
        <w:rPr>
          <w:rStyle w:val="Caractresdenotedefin"/>
        </w:rPr>
        <w:tab/>
      </w:r>
      <w:r>
        <w:rPr/>
        <w:t>Se henstilling 13 i ECP4, der er udarbejdet i arbejdsgruppen.</w:t>
      </w:r>
    </w:p>
  </w:endnote>
  <w:endnote w:id="26">
    <w:p>
      <w:pPr>
        <w:pStyle w:val="Notedefin"/>
        <w:suppressLineNumbers/>
        <w:spacing w:before="57" w:after="57"/>
        <w:ind w:left="339" w:right="0" w:hanging="339"/>
        <w:rPr/>
      </w:pPr>
      <w:r>
        <w:rPr>
          <w:rStyle w:val="Caractresdenotedefin"/>
        </w:rPr>
        <w:endnoteRef/>
      </w:r>
      <w:r>
        <w:rPr>
          <w:rStyle w:val="Caractresdenotedefin"/>
        </w:rPr>
        <w:tab/>
      </w:r>
      <w:r>
        <w:rPr/>
        <w:t>Se anbefaling 15 i ECP 4, som er udarbejdet i arbejdsgruppen.</w:t>
      </w:r>
    </w:p>
  </w:endnote>
  <w:endnote w:id="27">
    <w:p>
      <w:pPr>
        <w:pStyle w:val="Notedefin"/>
        <w:suppressLineNumbers/>
        <w:spacing w:before="57" w:after="57"/>
        <w:ind w:left="339" w:right="0" w:hanging="339"/>
        <w:rPr/>
      </w:pPr>
      <w:r>
        <w:rPr>
          <w:rStyle w:val="Caractresdenotedefin"/>
        </w:rPr>
        <w:endnoteRef/>
      </w:r>
      <w:r>
        <w:rPr>
          <w:rStyle w:val="Caractresdenotedefin"/>
        </w:rPr>
        <w:tab/>
      </w:r>
      <w:r>
        <w:rPr/>
        <w:t>Se anbefaling 16 i ECP 4, som er udarbejdet i arbejdsgruppen.</w:t>
      </w:r>
    </w:p>
  </w:endnote>
  <w:endnote w:id="28">
    <w:p>
      <w:pPr>
        <w:pStyle w:val="Notedefin"/>
        <w:suppressLineNumbers/>
        <w:spacing w:before="57" w:after="57"/>
        <w:ind w:left="339" w:right="0" w:hanging="339"/>
        <w:rPr/>
      </w:pPr>
      <w:r>
        <w:rPr>
          <w:rStyle w:val="Caractresdenotedefin"/>
        </w:rPr>
        <w:endnoteRef/>
      </w:r>
      <w:r>
        <w:rPr>
          <w:rStyle w:val="Caractresdenotedefin"/>
        </w:rPr>
        <w:tab/>
      </w:r>
      <w:r>
        <w:rPr/>
        <w:t>Se henstilling 12 i ECP 4, som er udarbejdet i arbejdsgruppen.</w:t>
      </w:r>
    </w:p>
  </w:endnote>
  <w:endnote w:id="29">
    <w:p>
      <w:pPr>
        <w:pStyle w:val="Notedefin"/>
        <w:suppressLineNumbers/>
        <w:spacing w:before="57" w:after="57"/>
        <w:ind w:left="339" w:right="0" w:hanging="339"/>
        <w:rPr/>
      </w:pPr>
      <w:r>
        <w:rPr>
          <w:rStyle w:val="Caractresdenotedefin"/>
        </w:rPr>
        <w:endnoteRef/>
      </w:r>
      <w:r>
        <w:rPr>
          <w:rStyle w:val="Caractresdenotedefin"/>
        </w:rPr>
        <w:tab/>
      </w:r>
      <w:r>
        <w:rPr/>
        <w:t>Se henstilling 21 i ECP4, der er udarbejdet i arbejdsgruppen.</w:t>
      </w:r>
    </w:p>
  </w:endnote>
  <w:endnote w:id="30">
    <w:p>
      <w:pPr>
        <w:pStyle w:val="Notedefin"/>
        <w:suppressLineNumbers/>
        <w:spacing w:before="57" w:after="57"/>
        <w:ind w:left="339" w:right="0" w:hanging="339"/>
        <w:rPr/>
      </w:pPr>
      <w:r>
        <w:rPr>
          <w:rStyle w:val="Caractresdenotedefin"/>
        </w:rPr>
        <w:endnoteRef/>
      </w:r>
      <w:r>
        <w:rPr>
          <w:rStyle w:val="Caractresdenotedefin"/>
        </w:rPr>
        <w:tab/>
      </w:r>
      <w:r>
        <w:rPr/>
        <w:t>Se den digitale platform, der er udviklet i arbejdsgruppen.</w:t>
      </w:r>
    </w:p>
  </w:endnote>
  <w:endnote w:id="31">
    <w:p>
      <w:pPr>
        <w:pStyle w:val="Notedefin"/>
        <w:suppressLineNumbers/>
        <w:spacing w:before="57" w:after="57"/>
        <w:ind w:left="339" w:right="0" w:hanging="339"/>
        <w:rPr/>
      </w:pPr>
      <w:r>
        <w:rPr>
          <w:rStyle w:val="Caractresdenotedefin"/>
        </w:rPr>
        <w:endnoteRef/>
      </w:r>
      <w:r>
        <w:rPr>
          <w:rStyle w:val="Caractresdenotedefin"/>
        </w:rPr>
        <w:tab/>
      </w:r>
      <w:r>
        <w:rPr/>
        <w:t>Se den digitale platform, der er udviklet i arbejdsgruppen.</w:t>
      </w:r>
    </w:p>
  </w:endnote>
  <w:endnote w:id="32">
    <w:p>
      <w:pPr>
        <w:pStyle w:val="Notedefin"/>
        <w:suppressLineNumbers/>
        <w:spacing w:before="57" w:after="57"/>
        <w:ind w:left="339" w:right="0" w:hanging="339"/>
        <w:rPr/>
      </w:pPr>
      <w:r>
        <w:rPr>
          <w:rStyle w:val="Caractresdenotedefin"/>
        </w:rPr>
        <w:endnoteRef/>
      </w:r>
      <w:r>
        <w:rPr>
          <w:rStyle w:val="Caractresdenotedefin"/>
        </w:rPr>
        <w:tab/>
      </w:r>
      <w:r>
        <w:rPr/>
        <w:t>Se anbefaling 26 i ECP 4, som er udarbejdet i arbejdsgruppen.</w:t>
      </w:r>
    </w:p>
  </w:endnote>
  <w:endnote w:id="33">
    <w:p>
      <w:pPr>
        <w:pStyle w:val="Notedefin"/>
        <w:suppressLineNumbers/>
        <w:spacing w:before="57" w:after="57"/>
        <w:ind w:left="339" w:right="0" w:hanging="339"/>
        <w:rPr/>
      </w:pPr>
      <w:r>
        <w:rPr>
          <w:rStyle w:val="Caractresdenotedefin"/>
        </w:rPr>
        <w:endnoteRef/>
      </w:r>
      <w:r>
        <w:rPr>
          <w:rStyle w:val="Caractresdenotedefin"/>
        </w:rPr>
        <w:tab/>
      </w:r>
      <w:r>
        <w:rPr/>
        <w:t>Se anbefaling 18 i ECP 4, som er udarbejdet i arbejdsgruppen.</w:t>
      </w:r>
    </w:p>
  </w:endnote>
  <w:endnote w:id="34">
    <w:p>
      <w:pPr>
        <w:pStyle w:val="Notedefin"/>
        <w:suppressLineNumbers/>
        <w:spacing w:before="57" w:after="57"/>
        <w:ind w:left="339" w:right="0" w:hanging="339"/>
        <w:rPr/>
      </w:pPr>
      <w:r>
        <w:rPr>
          <w:rStyle w:val="Caractresdenotedefin"/>
        </w:rPr>
        <w:endnoteRef/>
      </w:r>
      <w:r>
        <w:rPr>
          <w:rStyle w:val="Caractresdenotedefin"/>
        </w:rPr>
        <w:tab/>
      </w:r>
      <w:r>
        <w:rPr/>
        <w:t>Se anbefaling 19 i ECP 4, som er udarbejdet i arbejdsgruppen.</w:t>
      </w:r>
    </w:p>
  </w:endnote>
  <w:endnote w:id="35">
    <w:p>
      <w:pPr>
        <w:pStyle w:val="Notedefin"/>
        <w:suppressLineNumbers/>
        <w:spacing w:before="57" w:after="57"/>
        <w:ind w:left="339" w:right="0" w:hanging="339"/>
        <w:rPr/>
      </w:pPr>
      <w:r>
        <w:rPr>
          <w:rStyle w:val="Caractresdenotedefin"/>
        </w:rPr>
        <w:endnoteRef/>
      </w:r>
      <w:r>
        <w:rPr>
          <w:rStyle w:val="Caractresdenotedefin"/>
        </w:rPr>
        <w:tab/>
      </w:r>
      <w:r>
        <w:rPr/>
        <w:t>Se anbefaling 19 i ECP 4, som er udarbejdet i arbejdsgruppen.</w:t>
      </w:r>
    </w:p>
  </w:endnote>
  <w:endnote w:id="36">
    <w:p>
      <w:pPr>
        <w:pStyle w:val="Notedefin"/>
        <w:suppressLineNumbers/>
        <w:spacing w:before="57" w:after="57"/>
        <w:ind w:left="339" w:right="0" w:hanging="339"/>
        <w:rPr/>
      </w:pPr>
      <w:r>
        <w:rPr>
          <w:rStyle w:val="Caractresdenotedefin"/>
        </w:rPr>
        <w:endnoteRef/>
      </w:r>
      <w:r>
        <w:rPr>
          <w:rStyle w:val="Caractresdenotedefin"/>
        </w:rPr>
        <w:tab/>
      </w:r>
      <w:r>
        <w:rPr/>
        <w:t>Se anbefaling 25 i ECP 4.</w:t>
      </w:r>
    </w:p>
  </w:endnote>
  <w:endnote w:id="37">
    <w:p>
      <w:pPr>
        <w:pStyle w:val="Notedefin"/>
        <w:suppressLineNumbers/>
        <w:spacing w:before="57" w:after="57"/>
        <w:ind w:left="339" w:right="0" w:hanging="339"/>
        <w:rPr/>
      </w:pPr>
      <w:r>
        <w:rPr>
          <w:rStyle w:val="Caractresdenotedefin"/>
        </w:rPr>
        <w:endnoteRef/>
      </w:r>
      <w:r>
        <w:rPr>
          <w:rStyle w:val="Caractresdenotedefin"/>
        </w:rPr>
        <w:tab/>
      </w:r>
      <w:r>
        <w:rPr/>
        <w:t>Baseret på drøftelserne i arbejdsgruppen og plenarforsamlingen.</w:t>
      </w:r>
    </w:p>
  </w:endnote>
  <w:endnote w:id="38">
    <w:p>
      <w:pPr>
        <w:pStyle w:val="Notedefin"/>
        <w:suppressLineNumbers/>
        <w:spacing w:before="57" w:after="57"/>
        <w:ind w:left="339" w:right="0" w:hanging="339"/>
        <w:rPr/>
      </w:pPr>
      <w:r>
        <w:rPr>
          <w:rStyle w:val="Caractresdenotedefin"/>
        </w:rPr>
        <w:endnoteRef/>
      </w:r>
      <w:r>
        <w:rPr>
          <w:rStyle w:val="Caractresdenotedefin"/>
        </w:rPr>
        <w:tab/>
      </w:r>
      <w:r>
        <w:rPr/>
        <w:t>Se ændring 2 af det/de franske nationale panel/arrangementer.</w:t>
      </w:r>
    </w:p>
  </w:endnote>
  <w:endnote w:id="39">
    <w:p>
      <w:pPr>
        <w:pStyle w:val="Notedefin"/>
        <w:suppressLineNumbers/>
        <w:spacing w:before="57" w:after="57"/>
        <w:ind w:left="339" w:right="0" w:hanging="339"/>
        <w:rPr/>
      </w:pPr>
      <w:r>
        <w:rPr>
          <w:rStyle w:val="Caractresdenotedefin"/>
        </w:rPr>
        <w:endnoteRef/>
      </w:r>
      <w:r>
        <w:rPr>
          <w:rStyle w:val="Caractresdenotedefin"/>
        </w:rPr>
        <w:tab/>
      </w:r>
      <w:r>
        <w:rPr/>
        <w:t>Se henstilling 20 i ECP4 og henstilling 7 fra Italien, Gruppe 2 NCP, udarbejdet i arbejdsgruppen.</w:t>
      </w:r>
    </w:p>
  </w:endnote>
  <w:endnote w:id="40">
    <w:p>
      <w:pPr>
        <w:pStyle w:val="Notedefin"/>
        <w:suppressLineNumbers/>
        <w:spacing w:before="57" w:after="57"/>
        <w:ind w:left="339" w:right="0" w:hanging="339"/>
        <w:rPr/>
      </w:pPr>
      <w:r>
        <w:rPr>
          <w:rStyle w:val="Caractresdenotedefin"/>
        </w:rPr>
        <w:endnoteRef/>
      </w:r>
      <w:r>
        <w:rPr>
          <w:rStyle w:val="Caractresdenotedefin"/>
        </w:rPr>
        <w:tab/>
      </w:r>
      <w:r>
        <w:rPr/>
        <w:t>Se ændring 2 af det franske borgerpanel.</w:t>
      </w:r>
    </w:p>
  </w:endnote>
  <w:endnote w:id="41">
    <w:p>
      <w:pPr>
        <w:pStyle w:val="Notedefin"/>
        <w:suppressLineNumbers/>
        <w:spacing w:before="57" w:after="57"/>
        <w:ind w:left="339" w:right="0" w:hanging="339"/>
        <w:rPr/>
      </w:pPr>
      <w:r>
        <w:rPr>
          <w:rStyle w:val="Caractresdenotedefin"/>
        </w:rPr>
        <w:endnoteRef/>
      </w:r>
      <w:r>
        <w:rPr>
          <w:rStyle w:val="Caractresdenotedefin"/>
        </w:rPr>
        <w:tab/>
      </w:r>
      <w:r>
        <w:rPr/>
        <w:t>Se henstilling 24 i ECP4 og henstilling 7 fra Italien, Gruppe 2 NCP, udarbejdet i arbejdsgruppen.</w:t>
      </w:r>
    </w:p>
  </w:endnote>
  <w:endnote w:id="42">
    <w:p>
      <w:pPr>
        <w:pStyle w:val="Notedefin"/>
        <w:suppressLineNumbers/>
        <w:spacing w:before="57" w:after="57"/>
        <w:ind w:left="339" w:right="0" w:hanging="339"/>
        <w:rPr/>
      </w:pPr>
      <w:r>
        <w:rPr>
          <w:rStyle w:val="Caractresdenotedefin"/>
        </w:rPr>
        <w:endnoteRef/>
      </w:r>
      <w:r>
        <w:rPr>
          <w:rStyle w:val="Caractresdenotedefin"/>
        </w:rPr>
        <w:tab/>
      </w:r>
      <w:r>
        <w:rPr/>
        <w:t>Se henstilling 22 i ECP4, der er udarbejdet i arbejdsgruppen.</w:t>
      </w:r>
    </w:p>
  </w:endnote>
  <w:endnote w:id="43">
    <w:p>
      <w:pPr>
        <w:pStyle w:val="Notedefin"/>
        <w:suppressLineNumbers/>
        <w:spacing w:before="57" w:after="57"/>
        <w:ind w:left="339" w:right="0" w:hanging="339"/>
        <w:rPr/>
      </w:pPr>
      <w:r>
        <w:rPr>
          <w:rStyle w:val="Caractresdenotedefin"/>
        </w:rPr>
        <w:endnoteRef/>
      </w:r>
      <w:r>
        <w:rPr>
          <w:rStyle w:val="Caractresdenotedefin"/>
        </w:rPr>
        <w:tab/>
      </w:r>
      <w:r>
        <w:rPr/>
        <w:t>Se henstilling 1 om "EU i verden" fra det nederlandske nationale borgerpanel, der er udviklet i arbejdsgruppen.</w:t>
      </w:r>
    </w:p>
  </w:endnote>
  <w:endnote w:id="44">
    <w:p>
      <w:pPr>
        <w:pStyle w:val="Notedefin"/>
        <w:suppressLineNumbers/>
        <w:spacing w:before="57" w:after="57"/>
        <w:ind w:left="339" w:right="0" w:hanging="339"/>
        <w:rPr/>
      </w:pPr>
      <w:r>
        <w:rPr>
          <w:rStyle w:val="Caractresdenotedefin"/>
        </w:rPr>
        <w:endnoteRef/>
      </w:r>
      <w:r>
        <w:rPr>
          <w:rStyle w:val="Caractresdenotedefin"/>
        </w:rPr>
        <w:tab/>
      </w:r>
      <w:r>
        <w:rPr/>
        <w:t>Se den digitale platform og plenardebatterne, der er udviklet i arbejdsgruppen.</w:t>
      </w:r>
    </w:p>
  </w:endnote>
  <w:endnote w:id="45">
    <w:p>
      <w:pPr>
        <w:pStyle w:val="Notedefin"/>
        <w:suppressLineNumbers/>
        <w:spacing w:before="57" w:after="57"/>
        <w:ind w:left="339" w:right="0" w:hanging="339"/>
        <w:rPr/>
      </w:pPr>
      <w:r>
        <w:rPr>
          <w:rStyle w:val="Caractresdenotedefin"/>
        </w:rPr>
        <w:endnoteRef/>
      </w:r>
      <w:r>
        <w:rPr>
          <w:rStyle w:val="Caractresdenotedefin"/>
        </w:rPr>
        <w:tab/>
      </w:r>
      <w:r>
        <w:rPr/>
        <w:t>Se den digitale platform, der er udviklet i arbejdsgruppen.</w:t>
      </w:r>
    </w:p>
  </w:endnote>
  <w:endnote w:id="46">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2 (CEP 2) 10, 11, 14, 30 Det belgiske nationale borgerpanel (NCP): 1.3.1, 1.4.2, 1.4.3; Tysk NCP: 5.1, 5.2; Det nederlandske nationale kontaktpunkt: 1.2.</w:t>
      </w:r>
    </w:p>
  </w:endnote>
  <w:endnote w:id="47">
    <w:p>
      <w:pPr>
        <w:pStyle w:val="Notedefin"/>
        <w:suppressLineNumbers/>
        <w:spacing w:before="57" w:after="57"/>
        <w:ind w:left="339" w:right="0" w:hanging="339"/>
        <w:rPr/>
      </w:pPr>
      <w:r>
        <w:rPr>
          <w:rStyle w:val="Caractresdenotedefin"/>
        </w:rPr>
        <w:endnoteRef/>
      </w:r>
      <w:r>
        <w:rPr>
          <w:rStyle w:val="Caractresdenotedefin"/>
        </w:rPr>
        <w:tab/>
      </w:r>
      <w:r>
        <w:rPr/>
        <w:t>Henstilling 14 i ECP2. Det belgiske nationale kontaktpunkts henstilling 1.3.1, 1.4.2 og 1.4.3 og 1.2 fra det nederlandske nationale kontaktpunkt.</w:t>
      </w:r>
    </w:p>
  </w:endnote>
  <w:endnote w:id="48">
    <w:p>
      <w:pPr>
        <w:pStyle w:val="Notedefin"/>
        <w:suppressLineNumbers/>
        <w:spacing w:before="57" w:after="57"/>
        <w:ind w:left="339" w:right="0" w:hanging="339"/>
        <w:rPr/>
      </w:pPr>
      <w:r>
        <w:rPr>
          <w:rStyle w:val="Caractresdenotedefin"/>
        </w:rPr>
        <w:endnoteRef/>
      </w:r>
      <w:r>
        <w:rPr>
          <w:rStyle w:val="Caractresdenotedefin"/>
        </w:rPr>
        <w:tab/>
      </w:r>
      <w:r>
        <w:rPr/>
        <w:t>ECP-henstilling nr. 112. Det tyske nationale kontaktpunkts anbefaling 5.1 og 5.2. Debat i arbejdsgruppen.</w:t>
      </w:r>
    </w:p>
  </w:endnote>
  <w:endnote w:id="49">
    <w:p>
      <w:pPr>
        <w:pStyle w:val="Notedefin"/>
        <w:suppressLineNumbers/>
        <w:spacing w:before="57" w:after="57"/>
        <w:ind w:left="339" w:right="0" w:hanging="339"/>
        <w:rPr/>
      </w:pPr>
      <w:r>
        <w:rPr>
          <w:rStyle w:val="Caractresdenotedefin"/>
        </w:rPr>
        <w:endnoteRef/>
      </w:r>
      <w:r>
        <w:rPr>
          <w:rStyle w:val="Caractresdenotedefin"/>
        </w:rPr>
        <w:tab/>
      </w:r>
      <w:r>
        <w:rPr/>
        <w:t>ECP-henstilling nr. 112. Debat i arbejdsgruppen. Debat på plenarmødet.</w:t>
      </w:r>
    </w:p>
  </w:endnote>
  <w:endnote w:id="50">
    <w:p>
      <w:pPr>
        <w:pStyle w:val="Notedefin"/>
        <w:suppressLineNumbers/>
        <w:spacing w:before="57" w:after="57"/>
        <w:ind w:left="339" w:right="0" w:hanging="339"/>
        <w:rPr/>
      </w:pPr>
      <w:r>
        <w:rPr>
          <w:rStyle w:val="Caractresdenotedefin"/>
        </w:rPr>
        <w:endnoteRef/>
      </w:r>
      <w:r>
        <w:rPr>
          <w:rStyle w:val="Caractresdenotedefin"/>
        </w:rPr>
        <w:tab/>
      </w:r>
      <w:r>
        <w:rPr/>
        <w:t>Anbefaling 10 i ECP2.</w:t>
      </w:r>
    </w:p>
  </w:endnote>
  <w:endnote w:id="51">
    <w:p>
      <w:pPr>
        <w:pStyle w:val="Notedefin"/>
        <w:suppressLineNumbers/>
        <w:spacing w:before="57" w:after="57"/>
        <w:ind w:left="339" w:right="0" w:hanging="339"/>
        <w:rPr/>
      </w:pPr>
      <w:r>
        <w:rPr>
          <w:rStyle w:val="Caractresdenotedefin"/>
        </w:rPr>
        <w:endnoteRef/>
      </w:r>
      <w:r>
        <w:rPr>
          <w:rStyle w:val="Caractresdenotedefin"/>
        </w:rPr>
        <w:tab/>
      </w:r>
      <w:r>
        <w:rPr/>
        <w:t>ECP-henstilling nr. 302.</w:t>
      </w:r>
    </w:p>
  </w:endnote>
  <w:endnote w:id="52">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PCE2: 7, 8, 9; Det nederlandske nationale kontaktpunkt: 1.3, 4.3.</w:t>
      </w:r>
    </w:p>
  </w:endnote>
  <w:endnote w:id="53">
    <w:p>
      <w:pPr>
        <w:pStyle w:val="Notedefin"/>
        <w:suppressLineNumbers/>
        <w:spacing w:before="57" w:after="57"/>
        <w:ind w:left="339" w:right="0" w:hanging="339"/>
        <w:rPr/>
      </w:pPr>
      <w:r>
        <w:rPr>
          <w:rStyle w:val="Caractresdenotedefin"/>
        </w:rPr>
        <w:endnoteRef/>
      </w:r>
      <w:r>
        <w:rPr>
          <w:rStyle w:val="Caractresdenotedefin"/>
        </w:rPr>
        <w:tab/>
      </w:r>
      <w:r>
        <w:rPr/>
        <w:t>Anbefaling 7 i ECP2. Debat i arbejdsgruppen.</w:t>
      </w:r>
    </w:p>
  </w:endnote>
  <w:endnote w:id="54">
    <w:p>
      <w:pPr>
        <w:pStyle w:val="Notedefin"/>
        <w:suppressLineNumbers/>
        <w:spacing w:before="57" w:after="57"/>
        <w:ind w:left="339" w:right="0" w:hanging="339"/>
        <w:rPr/>
      </w:pPr>
      <w:r>
        <w:rPr>
          <w:rStyle w:val="Caractresdenotedefin"/>
        </w:rPr>
        <w:endnoteRef/>
      </w:r>
      <w:r>
        <w:rPr>
          <w:rStyle w:val="Caractresdenotedefin"/>
        </w:rPr>
        <w:tab/>
      </w:r>
      <w:r>
        <w:rPr/>
        <w:t>Emnet blev også drøftet i arbejdsgruppen om digital omstilling.</w:t>
      </w:r>
    </w:p>
  </w:endnote>
  <w:endnote w:id="55">
    <w:p>
      <w:pPr>
        <w:pStyle w:val="Notedefin"/>
        <w:suppressLineNumbers/>
        <w:spacing w:before="57" w:after="57"/>
        <w:ind w:left="339" w:right="0" w:hanging="339"/>
        <w:rPr/>
      </w:pPr>
      <w:r>
        <w:rPr>
          <w:rStyle w:val="Caractresdenotedefin"/>
        </w:rPr>
        <w:endnoteRef/>
      </w:r>
      <w:r>
        <w:rPr>
          <w:rStyle w:val="Caractresdenotedefin"/>
        </w:rPr>
        <w:tab/>
      </w:r>
      <w:r>
        <w:rPr/>
        <w:t>Henstilling 9 i ECP2.</w:t>
      </w:r>
    </w:p>
  </w:endnote>
  <w:endnote w:id="56">
    <w:p>
      <w:pPr>
        <w:pStyle w:val="Notedefin"/>
        <w:suppressLineNumbers/>
        <w:spacing w:before="57" w:after="57"/>
        <w:ind w:left="339" w:right="0" w:hanging="339"/>
        <w:rPr/>
      </w:pPr>
      <w:r>
        <w:rPr>
          <w:rStyle w:val="Caractresdenotedefin"/>
        </w:rPr>
        <w:endnoteRef/>
      </w:r>
      <w:r>
        <w:rPr>
          <w:rStyle w:val="Caractresdenotedefin"/>
        </w:rPr>
        <w:tab/>
      </w:r>
      <w:r>
        <w:rPr/>
        <w:t>Emnet blev også drøftet i arbejdsgruppen om digital omstilling.</w:t>
      </w:r>
    </w:p>
  </w:endnote>
  <w:endnote w:id="57">
    <w:p>
      <w:pPr>
        <w:pStyle w:val="Notedefin"/>
        <w:suppressLineNumbers/>
        <w:spacing w:before="57" w:after="57"/>
        <w:ind w:left="339" w:right="0" w:hanging="339"/>
        <w:rPr/>
      </w:pPr>
      <w:r>
        <w:rPr>
          <w:rStyle w:val="Caractresdenotedefin"/>
        </w:rPr>
        <w:endnoteRef/>
      </w:r>
      <w:r>
        <w:rPr>
          <w:rStyle w:val="Caractresdenotedefin"/>
        </w:rPr>
        <w:tab/>
      </w:r>
      <w:r>
        <w:rPr/>
        <w:t>Henstilling 8 i ECP2. Det nederlandske nationale kontaktpunkts henstilling 1.3 og 4.3.</w:t>
      </w:r>
    </w:p>
  </w:endnote>
  <w:endnote w:id="58">
    <w:p>
      <w:pPr>
        <w:pStyle w:val="Notedefin"/>
        <w:suppressLineNumbers/>
        <w:spacing w:before="57" w:after="57"/>
        <w:ind w:left="339" w:right="0" w:hanging="339"/>
        <w:rPr/>
      </w:pPr>
      <w:r>
        <w:rPr>
          <w:rStyle w:val="Caractresdenotedefin"/>
        </w:rPr>
        <w:endnoteRef/>
      </w:r>
      <w:r>
        <w:rPr>
          <w:rStyle w:val="Caractresdenotedefin"/>
        </w:rPr>
        <w:tab/>
      </w:r>
      <w:r>
        <w:rPr/>
        <w:t>Henstilling nr. 7 og 8 i ECP2.</w:t>
      </w:r>
    </w:p>
  </w:endnote>
  <w:endnote w:id="59">
    <w:p>
      <w:pPr>
        <w:pStyle w:val="Notedefin"/>
        <w:suppressLineNumbers/>
        <w:spacing w:before="57" w:after="57"/>
        <w:ind w:left="339" w:right="0" w:hanging="339"/>
        <w:rPr/>
      </w:pPr>
      <w:r>
        <w:rPr>
          <w:rStyle w:val="Caractresdenotedefin"/>
        </w:rPr>
        <w:endnoteRef/>
      </w:r>
      <w:r>
        <w:rPr>
          <w:rStyle w:val="Caractresdenotedefin"/>
        </w:rPr>
        <w:tab/>
      </w:r>
      <w:r>
        <w:rPr/>
        <w:t>Emnet blev også drøftet i arbejdsgruppen om digital omstilling.</w:t>
      </w:r>
    </w:p>
  </w:endnote>
  <w:endnote w:id="60">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PCE2: 5, 12, 13, 17, 28; Det belgiske nationale kontaktpunkt: 1.5.1, 2.1.1 til 2.4.3 Det nederlandske nationale kontaktpunkt: 3.1.</w:t>
      </w:r>
    </w:p>
  </w:endnote>
  <w:endnote w:id="61">
    <w:p>
      <w:pPr>
        <w:pStyle w:val="Notedefin"/>
        <w:suppressLineNumbers/>
        <w:spacing w:before="57" w:after="57"/>
        <w:ind w:left="339" w:right="0" w:hanging="339"/>
        <w:rPr/>
      </w:pPr>
      <w:r>
        <w:rPr>
          <w:rStyle w:val="Caractresdenotedefin"/>
        </w:rPr>
        <w:endnoteRef/>
      </w:r>
      <w:r>
        <w:rPr>
          <w:rStyle w:val="Caractresdenotedefin"/>
        </w:rPr>
        <w:tab/>
      </w:r>
      <w:r>
        <w:rPr/>
        <w:t>Anbefaling 5 i ECP2. Henstilling 2.1.1 fra det belgiske nationale kontaktpunkt. Anbefaling 3.1 fra det nederlandske nationale kontaktpunkt.</w:t>
      </w:r>
    </w:p>
  </w:endnote>
  <w:endnote w:id="62">
    <w:p>
      <w:pPr>
        <w:pStyle w:val="Notedefin"/>
        <w:suppressLineNumbers/>
        <w:spacing w:before="57" w:after="57"/>
        <w:ind w:left="339" w:right="0" w:hanging="339"/>
        <w:rPr/>
      </w:pPr>
      <w:r>
        <w:rPr>
          <w:rStyle w:val="Caractresdenotedefin"/>
        </w:rPr>
        <w:endnoteRef/>
      </w:r>
      <w:r>
        <w:rPr>
          <w:rStyle w:val="Caractresdenotedefin"/>
        </w:rPr>
        <w:tab/>
      </w:r>
      <w:r>
        <w:rPr/>
        <w:t>ECP-henstilling nr. 122. Henstilling 2.1.4 fra det belgiske nationale kontaktpunkt.</w:t>
      </w:r>
    </w:p>
  </w:endnote>
  <w:endnote w:id="63">
    <w:p>
      <w:pPr>
        <w:pStyle w:val="Notedefin"/>
        <w:suppressLineNumbers/>
        <w:spacing w:before="57" w:after="57"/>
        <w:ind w:left="339" w:right="0" w:hanging="339"/>
        <w:rPr/>
      </w:pPr>
      <w:r>
        <w:rPr>
          <w:rStyle w:val="Caractresdenotedefin"/>
        </w:rPr>
        <w:endnoteRef/>
      </w:r>
      <w:r>
        <w:rPr>
          <w:rStyle w:val="Caractresdenotedefin"/>
        </w:rPr>
        <w:tab/>
      </w:r>
      <w:r>
        <w:rPr/>
        <w:t>PCE2-anbefalinger nr. 17 og 28. Det belgiske nationale kontaktpunkts henstilling 1.5.1, 2.1.3, 2.2.1 og 2.2.2.</w:t>
      </w:r>
    </w:p>
  </w:endnote>
  <w:endnote w:id="64">
    <w:p>
      <w:pPr>
        <w:pStyle w:val="Notedefin"/>
        <w:suppressLineNumbers/>
        <w:spacing w:before="57" w:after="57"/>
        <w:ind w:left="339" w:right="0" w:hanging="339"/>
        <w:rPr/>
      </w:pPr>
      <w:r>
        <w:rPr>
          <w:rStyle w:val="Caractresdenotedefin"/>
        </w:rPr>
        <w:endnoteRef/>
      </w:r>
      <w:r>
        <w:rPr>
          <w:rStyle w:val="Caractresdenotedefin"/>
        </w:rPr>
        <w:tab/>
      </w:r>
      <w:r>
        <w:rPr/>
        <w:t>Emnet blev også drøftet i arbejdsgruppen om digital omstilling.</w:t>
      </w:r>
    </w:p>
  </w:endnote>
  <w:endnote w:id="65">
    <w:p>
      <w:pPr>
        <w:pStyle w:val="Notedefin"/>
        <w:suppressLineNumbers/>
        <w:spacing w:before="57" w:after="57"/>
        <w:ind w:left="339" w:right="0" w:hanging="339"/>
        <w:rPr/>
      </w:pPr>
      <w:r>
        <w:rPr>
          <w:rStyle w:val="Caractresdenotedefin"/>
        </w:rPr>
        <w:endnoteRef/>
      </w:r>
      <w:r>
        <w:rPr>
          <w:rStyle w:val="Caractresdenotedefin"/>
        </w:rPr>
        <w:tab/>
      </w:r>
      <w:r>
        <w:rPr/>
        <w:t>PCE2-anbefalinger nr. 5 og 28. Det belgiske nationale kontaktpunkts henstilling 2.3.2 og 2.3.3.</w:t>
      </w:r>
    </w:p>
  </w:endnote>
  <w:endnote w:id="66">
    <w:p>
      <w:pPr>
        <w:pStyle w:val="Notedefin"/>
        <w:suppressLineNumbers/>
        <w:spacing w:before="57" w:after="57"/>
        <w:ind w:left="339" w:right="0" w:hanging="339"/>
        <w:rPr/>
      </w:pPr>
      <w:r>
        <w:rPr>
          <w:rStyle w:val="Caractresdenotedefin"/>
        </w:rPr>
        <w:endnoteRef/>
      </w:r>
      <w:r>
        <w:rPr>
          <w:rStyle w:val="Caractresdenotedefin"/>
        </w:rPr>
        <w:tab/>
      </w:r>
      <w:r>
        <w:rPr/>
        <w:t>ECP-henstilling nr. 282. Det belgiske nationale kontaktpunkts henstilling 2.3.1, 2.4.1 og 2.4.2.</w:t>
      </w:r>
    </w:p>
  </w:endnote>
  <w:endnote w:id="67">
    <w:p>
      <w:pPr>
        <w:pStyle w:val="Notedefin"/>
        <w:suppressLineNumbers/>
        <w:spacing w:before="57" w:after="57"/>
        <w:ind w:left="339" w:right="0" w:hanging="339"/>
        <w:rPr/>
      </w:pPr>
      <w:r>
        <w:rPr>
          <w:rStyle w:val="Caractresdenotedefin"/>
        </w:rPr>
        <w:endnoteRef/>
      </w:r>
      <w:r>
        <w:rPr>
          <w:rStyle w:val="Caractresdenotedefin"/>
        </w:rPr>
        <w:tab/>
      </w:r>
      <w:r>
        <w:rPr/>
        <w:t>Emnet blev også drøftet i arbejdsgruppen om digital omstilling.</w:t>
      </w:r>
    </w:p>
  </w:endnote>
  <w:endnote w:id="68">
    <w:p>
      <w:pPr>
        <w:pStyle w:val="Notedefin"/>
        <w:suppressLineNumbers/>
        <w:spacing w:before="57" w:after="57"/>
        <w:ind w:left="339" w:right="0" w:hanging="339"/>
        <w:rPr/>
      </w:pPr>
      <w:r>
        <w:rPr>
          <w:rStyle w:val="Caractresdenotedefin"/>
        </w:rPr>
        <w:endnoteRef/>
      </w:r>
      <w:r>
        <w:rPr>
          <w:rStyle w:val="Caractresdenotedefin"/>
        </w:rPr>
        <w:tab/>
      </w:r>
      <w:r>
        <w:rPr/>
        <w:t>ECP-henstilling nr. 132.</w:t>
      </w:r>
    </w:p>
  </w:endnote>
  <w:endnote w:id="69">
    <w:p>
      <w:pPr>
        <w:pStyle w:val="Notedefin"/>
        <w:suppressLineNumbers/>
        <w:spacing w:before="57" w:after="57"/>
        <w:ind w:left="339" w:right="0" w:hanging="339"/>
        <w:rPr/>
      </w:pPr>
      <w:r>
        <w:rPr>
          <w:rStyle w:val="Caractresdenotedefin"/>
        </w:rPr>
        <w:endnoteRef/>
      </w:r>
      <w:r>
        <w:rPr>
          <w:rStyle w:val="Caractresdenotedefin"/>
        </w:rPr>
        <w:tab/>
      </w:r>
      <w:r>
        <w:rPr/>
        <w:t>Emnet blev også drøftet i arbejdsgruppen om digital omstilling.</w:t>
      </w:r>
    </w:p>
  </w:endnote>
  <w:endnote w:id="70">
    <w:p>
      <w:pPr>
        <w:pStyle w:val="Notedefin"/>
        <w:suppressLineNumbers/>
        <w:spacing w:before="57" w:after="57"/>
        <w:ind w:left="339" w:right="0" w:hanging="339"/>
        <w:rPr/>
      </w:pPr>
      <w:r>
        <w:rPr>
          <w:rStyle w:val="Caractresdenotedefin"/>
        </w:rPr>
        <w:endnoteRef/>
      </w:r>
      <w:r>
        <w:rPr>
          <w:rStyle w:val="Caractresdenotedefin"/>
        </w:rPr>
        <w:tab/>
      </w:r>
      <w:r>
        <w:rPr/>
        <w:t>ECP-henstilling nr. 132.</w:t>
      </w:r>
    </w:p>
  </w:endnote>
  <w:endnote w:id="71">
    <w:p>
      <w:pPr>
        <w:pStyle w:val="Notedefin"/>
        <w:suppressLineNumbers/>
        <w:spacing w:before="57" w:after="57"/>
        <w:ind w:left="339" w:right="0" w:hanging="339"/>
        <w:rPr/>
      </w:pPr>
      <w:r>
        <w:rPr>
          <w:rStyle w:val="Caractresdenotedefin"/>
        </w:rPr>
        <w:endnoteRef/>
      </w:r>
      <w:r>
        <w:rPr>
          <w:rStyle w:val="Caractresdenotedefin"/>
        </w:rPr>
        <w:tab/>
      </w:r>
      <w:r>
        <w:rPr/>
        <w:t>Emnet blev også drøftet i arbejdsgruppen om digital omstilling.</w:t>
      </w:r>
    </w:p>
  </w:endnote>
  <w:endnote w:id="72">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PCE2: 1, 2, 21, 22, 23; Det nederlandske nationale kontaktpunkt: 1.1.</w:t>
      </w:r>
    </w:p>
  </w:endnote>
  <w:endnote w:id="73">
    <w:p>
      <w:pPr>
        <w:pStyle w:val="Notedefin"/>
        <w:suppressLineNumbers/>
        <w:spacing w:before="57" w:after="57"/>
        <w:ind w:left="339" w:right="0" w:hanging="339"/>
        <w:rPr/>
      </w:pPr>
      <w:r>
        <w:rPr>
          <w:rStyle w:val="Caractresdenotedefin"/>
        </w:rPr>
        <w:endnoteRef/>
      </w:r>
      <w:r>
        <w:rPr>
          <w:rStyle w:val="Caractresdenotedefin"/>
        </w:rPr>
        <w:tab/>
      </w:r>
      <w:r>
        <w:rPr/>
        <w:t>ECP-henstilling nr. 222. Debat i arbejdsgruppen.</w:t>
      </w:r>
    </w:p>
  </w:endnote>
  <w:endnote w:id="74">
    <w:p>
      <w:pPr>
        <w:pStyle w:val="Notedefin"/>
        <w:suppressLineNumbers/>
        <w:spacing w:before="57" w:after="57"/>
        <w:ind w:left="339" w:right="0" w:hanging="339"/>
        <w:rPr/>
      </w:pPr>
      <w:r>
        <w:rPr>
          <w:rStyle w:val="Caractresdenotedefin"/>
        </w:rPr>
        <w:endnoteRef/>
      </w:r>
      <w:r>
        <w:rPr>
          <w:rStyle w:val="Caractresdenotedefin"/>
        </w:rPr>
        <w:tab/>
      </w:r>
      <w:r>
        <w:rPr/>
        <w:t>Spørgsmål drøftet i arbejdsgruppen om en stærkere økonomi, social retfærdighed og beskæftigelse.</w:t>
      </w:r>
    </w:p>
  </w:endnote>
  <w:endnote w:id="75">
    <w:p>
      <w:pPr>
        <w:pStyle w:val="Notedefin"/>
        <w:suppressLineNumbers/>
        <w:spacing w:before="57" w:after="57"/>
        <w:ind w:left="339" w:right="0" w:hanging="339"/>
        <w:rPr/>
      </w:pPr>
      <w:r>
        <w:rPr>
          <w:rStyle w:val="Caractresdenotedefin"/>
        </w:rPr>
        <w:endnoteRef/>
      </w:r>
      <w:r>
        <w:rPr>
          <w:rStyle w:val="Caractresdenotedefin"/>
        </w:rPr>
        <w:tab/>
      </w:r>
      <w:r>
        <w:rPr/>
        <w:t>Henstilling nr. 212. Anbefaling 1.1 fra det nederlandske nationale kontaktpunkt.</w:t>
      </w:r>
    </w:p>
  </w:endnote>
  <w:endnote w:id="76">
    <w:p>
      <w:pPr>
        <w:pStyle w:val="Notedefin"/>
        <w:suppressLineNumbers/>
        <w:spacing w:before="57" w:after="57"/>
        <w:ind w:left="339" w:right="0" w:hanging="339"/>
        <w:rPr/>
      </w:pPr>
      <w:r>
        <w:rPr>
          <w:rStyle w:val="Caractresdenotedefin"/>
        </w:rPr>
        <w:endnoteRef/>
      </w:r>
      <w:r>
        <w:rPr>
          <w:rStyle w:val="Caractresdenotedefin"/>
        </w:rPr>
        <w:tab/>
      </w:r>
      <w:r>
        <w:rPr/>
        <w:t>ECP-henstilling nr. 232.</w:t>
      </w:r>
    </w:p>
  </w:endnote>
  <w:endnote w:id="77">
    <w:p>
      <w:pPr>
        <w:pStyle w:val="Notedefin"/>
        <w:suppressLineNumbers/>
        <w:spacing w:before="57" w:after="57"/>
        <w:ind w:left="339" w:right="0" w:hanging="339"/>
        <w:rPr/>
      </w:pPr>
      <w:r>
        <w:rPr>
          <w:rStyle w:val="Caractresdenotedefin"/>
        </w:rPr>
        <w:endnoteRef/>
      </w:r>
      <w:r>
        <w:rPr>
          <w:rStyle w:val="Caractresdenotedefin"/>
        </w:rPr>
        <w:tab/>
      </w:r>
      <w:r>
        <w:rPr/>
        <w:t>Spørgsmål drøftet i arbejdsgruppen om en stærkere økonomi, social retfærdighed og beskæftigelse.</w:t>
      </w:r>
    </w:p>
  </w:endnote>
  <w:endnote w:id="78">
    <w:p>
      <w:pPr>
        <w:pStyle w:val="Notedefin"/>
        <w:suppressLineNumbers/>
        <w:spacing w:before="57" w:after="57"/>
        <w:ind w:left="339" w:right="0" w:hanging="339"/>
        <w:rPr/>
      </w:pPr>
      <w:r>
        <w:rPr>
          <w:rStyle w:val="Caractresdenotedefin"/>
        </w:rPr>
        <w:endnoteRef/>
      </w:r>
      <w:r>
        <w:rPr>
          <w:rStyle w:val="Caractresdenotedefin"/>
        </w:rPr>
        <w:tab/>
      </w:r>
      <w:r>
        <w:rPr/>
        <w:t>Anbefaling 1 i ECP2. Debat i arbejdsgruppen.</w:t>
      </w:r>
    </w:p>
  </w:endnote>
  <w:endnote w:id="79">
    <w:p>
      <w:pPr>
        <w:pStyle w:val="Notedefin"/>
        <w:suppressLineNumbers/>
        <w:spacing w:before="57" w:after="57"/>
        <w:ind w:left="339" w:right="0" w:hanging="339"/>
        <w:rPr/>
      </w:pPr>
      <w:r>
        <w:rPr>
          <w:rStyle w:val="Caractresdenotedefin"/>
        </w:rPr>
        <w:endnoteRef/>
      </w:r>
      <w:r>
        <w:rPr>
          <w:rStyle w:val="Caractresdenotedefin"/>
        </w:rPr>
        <w:tab/>
      </w:r>
      <w:r>
        <w:rPr/>
        <w:t>Anbefaling 2 i ECP2. Debat i arbejdsgruppen.</w:t>
      </w:r>
    </w:p>
  </w:endnote>
  <w:endnote w:id="80">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PCE2: 3, 4, 6.</w:t>
      </w:r>
    </w:p>
  </w:endnote>
  <w:endnote w:id="81">
    <w:p>
      <w:pPr>
        <w:pStyle w:val="Notedefin"/>
        <w:suppressLineNumbers/>
        <w:spacing w:before="57" w:after="57"/>
        <w:ind w:left="339" w:right="0" w:hanging="339"/>
        <w:rPr/>
      </w:pPr>
      <w:r>
        <w:rPr>
          <w:rStyle w:val="Caractresdenotedefin"/>
        </w:rPr>
        <w:endnoteRef/>
      </w:r>
      <w:r>
        <w:rPr>
          <w:rStyle w:val="Caractresdenotedefin"/>
        </w:rPr>
        <w:tab/>
      </w:r>
      <w:r>
        <w:rPr/>
        <w:t>Anbefaling 3 i ECP2.</w:t>
      </w:r>
    </w:p>
  </w:endnote>
  <w:endnote w:id="82">
    <w:p>
      <w:pPr>
        <w:pStyle w:val="Notedefin"/>
        <w:suppressLineNumbers/>
        <w:spacing w:before="57" w:after="57"/>
        <w:ind w:left="339" w:right="0" w:hanging="339"/>
        <w:rPr/>
      </w:pPr>
      <w:r>
        <w:rPr>
          <w:rStyle w:val="Caractresdenotedefin"/>
        </w:rPr>
        <w:endnoteRef/>
      </w:r>
      <w:r>
        <w:rPr>
          <w:rStyle w:val="Caractresdenotedefin"/>
        </w:rPr>
        <w:tab/>
      </w:r>
      <w:r>
        <w:rPr/>
        <w:t>Spørgsmål, der også blev drøftet i arbejdsgruppen om klimaændringer og miljø.</w:t>
      </w:r>
    </w:p>
  </w:endnote>
  <w:endnote w:id="83">
    <w:p>
      <w:pPr>
        <w:pStyle w:val="Notedefin"/>
        <w:suppressLineNumbers/>
        <w:spacing w:before="57" w:after="57"/>
        <w:ind w:left="339" w:right="0" w:hanging="339"/>
        <w:rPr/>
      </w:pPr>
      <w:r>
        <w:rPr>
          <w:rStyle w:val="Caractresdenotedefin"/>
        </w:rPr>
        <w:endnoteRef/>
      </w:r>
      <w:r>
        <w:rPr>
          <w:rStyle w:val="Caractresdenotedefin"/>
        </w:rPr>
        <w:tab/>
      </w:r>
      <w:r>
        <w:rPr/>
        <w:t>Anbefaling 4 i ECP2.</w:t>
      </w:r>
    </w:p>
  </w:endnote>
  <w:endnote w:id="84">
    <w:p>
      <w:pPr>
        <w:pStyle w:val="Notedefin"/>
        <w:suppressLineNumbers/>
        <w:spacing w:before="57" w:after="57"/>
        <w:ind w:left="339" w:right="0" w:hanging="339"/>
        <w:rPr/>
      </w:pPr>
      <w:r>
        <w:rPr>
          <w:rStyle w:val="Caractresdenotedefin"/>
        </w:rPr>
        <w:endnoteRef/>
      </w:r>
      <w:r>
        <w:rPr>
          <w:rStyle w:val="Caractresdenotedefin"/>
        </w:rPr>
        <w:tab/>
      </w:r>
      <w:r>
        <w:rPr/>
        <w:t>Anbefaling 6 i ECP2.</w:t>
      </w:r>
    </w:p>
  </w:endnote>
  <w:endnote w:id="85">
    <w:p>
      <w:pPr>
        <w:pStyle w:val="Notedefin"/>
        <w:suppressLineNumbers/>
        <w:spacing w:before="57" w:after="57"/>
        <w:ind w:left="339" w:right="0" w:hanging="339"/>
        <w:rPr/>
      </w:pPr>
      <w:r>
        <w:rPr>
          <w:rStyle w:val="Caractresdenotedefin"/>
        </w:rPr>
        <w:endnoteRef/>
      </w:r>
      <w:r>
        <w:rPr>
          <w:rStyle w:val="Caractresdenotedefin"/>
        </w:rPr>
        <w:tab/>
      </w:r>
      <w:r>
        <w:rPr/>
        <w:t>Spørgsmål, der også blev drøftet i arbejdsgruppen om klimaændringer og miljø.</w:t>
      </w:r>
    </w:p>
  </w:endnote>
  <w:endnote w:id="86">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1 (ECP 1): 17, 40, 47; Det nederlandske nationale borgerpanel (NCP) nr. 1.</w:t>
      </w:r>
    </w:p>
  </w:endnote>
  <w:endnote w:id="87">
    <w:p>
      <w:pPr>
        <w:pStyle w:val="Notedefin"/>
        <w:suppressLineNumbers/>
        <w:spacing w:before="57" w:after="57"/>
        <w:ind w:left="339" w:right="0" w:hanging="339"/>
        <w:rPr/>
      </w:pPr>
      <w:r>
        <w:rPr>
          <w:rStyle w:val="Caractresdenotedefin"/>
        </w:rPr>
        <w:endnoteRef/>
      </w:r>
      <w:r>
        <w:rPr>
          <w:rStyle w:val="Caractresdenotedefin"/>
        </w:rPr>
        <w:tab/>
      </w:r>
      <w:r>
        <w:rPr/>
        <w:t>Se link til ECP 3 henstilling 38 for så vidt angår infrastruktur til elektriske køretøjer.</w:t>
      </w:r>
    </w:p>
  </w:endnote>
  <w:endnote w:id="88">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1 (ECP 1): 8, 34 og 47; Det italienske nationale borgerpanel (NCP) 5.2.</w:t>
      </w:r>
    </w:p>
  </w:endnote>
  <w:endnote w:id="89">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henstilling 39 og 46 i det europæiske borgerpanel 1 (CEP 1) og anbefaling 2.6 fra det litauiske nationale borgerpanel og Nederlandenes nationale kontaktpunkt.</w:t>
      </w:r>
    </w:p>
  </w:endnote>
  <w:endnote w:id="90">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henstilling 42, 43, 44 og 45 i det europæiske borgerpanel nr. 1 (PCE 1) og henstilling nr. 2 fra Nederlandenes nationale borgerpanel (NCP).</w:t>
      </w:r>
    </w:p>
  </w:endnote>
  <w:endnote w:id="91">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nr. 1 (PCE 1) nr. 7, 16 og 17 og de nationale borgerpaneler i Tyskland og Italien 1.3.</w:t>
      </w:r>
    </w:p>
  </w:endnote>
  <w:endnote w:id="92">
    <w:p>
      <w:pPr>
        <w:pStyle w:val="Notedefin"/>
        <w:suppressLineNumbers/>
        <w:spacing w:before="57" w:after="57"/>
        <w:ind w:left="339" w:right="0" w:hanging="339"/>
        <w:rPr/>
      </w:pPr>
      <w:r>
        <w:rPr>
          <w:rStyle w:val="Caractresdenotedefin"/>
        </w:rPr>
        <w:endnoteRef/>
      </w:r>
      <w:r>
        <w:rPr>
          <w:rStyle w:val="Caractresdenotedefin"/>
        </w:rPr>
        <w:tab/>
      </w:r>
      <w:r>
        <w:rPr/>
        <w:t>Skal behandles i forbindelse med forslagene fra arbejdsgruppen om en stærkere økonomi.</w:t>
      </w:r>
    </w:p>
  </w:endnote>
  <w:endnote w:id="93">
    <w:p>
      <w:pPr>
        <w:pStyle w:val="Notedefin"/>
        <w:suppressLineNumbers/>
        <w:spacing w:before="57" w:after="57"/>
        <w:ind w:left="339" w:right="0" w:hanging="339"/>
        <w:rPr/>
      </w:pPr>
      <w:r>
        <w:rPr>
          <w:rStyle w:val="Caractresdenotedefin"/>
        </w:rPr>
        <w:endnoteRef/>
      </w:r>
      <w:r>
        <w:rPr>
          <w:rStyle w:val="Caractresdenotedefin"/>
        </w:rPr>
        <w:tab/>
      </w:r>
      <w:r>
        <w:rPr/>
        <w:t>Ændringsforslag 3A og 3B fra arbejdsgruppen (WG).</w:t>
      </w:r>
    </w:p>
  </w:endnote>
  <w:endnote w:id="94">
    <w:p>
      <w:pPr>
        <w:pStyle w:val="Notedefin"/>
        <w:suppressLineNumbers/>
        <w:spacing w:before="57" w:after="57"/>
        <w:ind w:left="339" w:right="0" w:hanging="339"/>
        <w:rPr/>
      </w:pPr>
      <w:r>
        <w:rPr>
          <w:rStyle w:val="Caractresdenotedefin"/>
        </w:rPr>
        <w:endnoteRef/>
      </w:r>
      <w:r>
        <w:rPr>
          <w:rStyle w:val="Caractresdenotedefin"/>
        </w:rPr>
        <w:tab/>
      </w:r>
      <w:r>
        <w:rPr/>
        <w:t>Henstilling 32 og 37 i det europæiske borgerpanel 2 (PCE 2) nationale paneler BE, FR og NL.</w:t>
      </w:r>
    </w:p>
  </w:endnote>
  <w:endnote w:id="95">
    <w:p>
      <w:pPr>
        <w:pStyle w:val="Notedefin"/>
        <w:suppressLineNumbers/>
        <w:spacing w:before="57" w:after="57"/>
        <w:ind w:left="339" w:right="0" w:hanging="339"/>
        <w:rPr/>
      </w:pPr>
      <w:r>
        <w:rPr>
          <w:rStyle w:val="Caractresdenotedefin"/>
        </w:rPr>
        <w:endnoteRef/>
      </w:r>
      <w:r>
        <w:rPr>
          <w:rStyle w:val="Caractresdenotedefin"/>
        </w:rPr>
        <w:tab/>
      </w:r>
      <w:r>
        <w:rPr/>
        <w:t>Det nationale panel FR.</w:t>
      </w:r>
    </w:p>
  </w:endnote>
  <w:endnote w:id="96">
    <w:p>
      <w:pPr>
        <w:pStyle w:val="Notedefin"/>
        <w:suppressLineNumbers/>
        <w:spacing w:before="57" w:after="57"/>
        <w:ind w:left="339" w:right="0" w:hanging="339"/>
        <w:rPr/>
      </w:pPr>
      <w:r>
        <w:rPr>
          <w:rStyle w:val="Caractresdenotedefin"/>
        </w:rPr>
        <w:endnoteRef/>
      </w:r>
      <w:r>
        <w:rPr>
          <w:rStyle w:val="Caractresdenotedefin"/>
        </w:rPr>
        <w:tab/>
      </w:r>
      <w:r>
        <w:rPr/>
        <w:t>Ændringsforslag 8 i arbejdsgruppen, en mere præcis formulering.</w:t>
      </w:r>
    </w:p>
  </w:endnote>
  <w:endnote w:id="97">
    <w:p>
      <w:pPr>
        <w:pStyle w:val="Notedefin"/>
        <w:suppressLineNumbers/>
        <w:spacing w:before="57" w:after="57"/>
        <w:ind w:left="339" w:right="0" w:hanging="339"/>
        <w:rPr/>
      </w:pPr>
      <w:r>
        <w:rPr>
          <w:rStyle w:val="Caractresdenotedefin"/>
        </w:rPr>
        <w:endnoteRef/>
      </w:r>
      <w:r>
        <w:rPr>
          <w:rStyle w:val="Caractresdenotedefin"/>
        </w:rPr>
        <w:tab/>
      </w:r>
      <w:r>
        <w:rPr/>
        <w:t>ECP-henstilling nr. 29 2.</w:t>
      </w:r>
    </w:p>
  </w:endnote>
  <w:endnote w:id="98">
    <w:p>
      <w:pPr>
        <w:pStyle w:val="Notedefin"/>
        <w:suppressLineNumbers/>
        <w:spacing w:before="57" w:after="57"/>
        <w:ind w:left="339" w:right="0" w:hanging="339"/>
        <w:rPr/>
      </w:pPr>
      <w:r>
        <w:rPr>
          <w:rStyle w:val="Caractresdenotedefin"/>
        </w:rPr>
        <w:endnoteRef/>
      </w:r>
      <w:r>
        <w:rPr>
          <w:rStyle w:val="Caractresdenotedefin"/>
        </w:rPr>
        <w:tab/>
      </w:r>
      <w:r>
        <w:rPr/>
        <w:t>ECP 2-henstilling 19 og 32 nationale BE- og FR-paneler og DK's repræsentant for nationale arrangementer.</w:t>
      </w:r>
    </w:p>
  </w:endnote>
  <w:endnote w:id="99">
    <w:p>
      <w:pPr>
        <w:pStyle w:val="Notedefin"/>
        <w:suppressLineNumbers/>
        <w:spacing w:before="57" w:after="57"/>
        <w:ind w:left="339" w:right="0" w:hanging="339"/>
        <w:rPr/>
      </w:pPr>
      <w:r>
        <w:rPr>
          <w:rStyle w:val="Caractresdenotedefin"/>
        </w:rPr>
        <w:endnoteRef/>
      </w:r>
      <w:r>
        <w:rPr>
          <w:rStyle w:val="Caractresdenotedefin"/>
        </w:rPr>
        <w:tab/>
      </w:r>
      <w:r>
        <w:rPr/>
        <w:t>Det nationale panel BE.</w:t>
      </w:r>
    </w:p>
  </w:endnote>
  <w:endnote w:id="100">
    <w:p>
      <w:pPr>
        <w:pStyle w:val="Notedefin"/>
        <w:suppressLineNumbers/>
        <w:spacing w:before="57" w:after="57"/>
        <w:ind w:left="339" w:right="0" w:hanging="339"/>
        <w:rPr/>
      </w:pPr>
      <w:r>
        <w:rPr>
          <w:rStyle w:val="Caractresdenotedefin"/>
        </w:rPr>
        <w:endnoteRef/>
      </w:r>
      <w:r>
        <w:rPr>
          <w:rStyle w:val="Caractresdenotedefin"/>
        </w:rPr>
        <w:tab/>
      </w:r>
      <w:r>
        <w:rPr/>
        <w:t>Ændringsforslag nr. 7B i arbejdsgruppen.</w:t>
      </w:r>
    </w:p>
  </w:endnote>
  <w:endnote w:id="101">
    <w:p>
      <w:pPr>
        <w:pStyle w:val="Notedefin"/>
        <w:suppressLineNumbers/>
        <w:spacing w:before="57" w:after="57"/>
        <w:ind w:left="339" w:right="0" w:hanging="339"/>
        <w:rPr/>
      </w:pPr>
      <w:r>
        <w:rPr>
          <w:rStyle w:val="Caractresdenotedefin"/>
        </w:rPr>
        <w:endnoteRef/>
      </w:r>
      <w:r>
        <w:rPr>
          <w:rStyle w:val="Caractresdenotedefin"/>
        </w:rPr>
        <w:tab/>
      </w:r>
      <w:r>
        <w:rPr/>
        <w:t>Det nationale panel BE.</w:t>
      </w:r>
    </w:p>
  </w:endnote>
  <w:endnote w:id="102">
    <w:p>
      <w:pPr>
        <w:pStyle w:val="Notedefin"/>
        <w:suppressLineNumbers/>
        <w:spacing w:before="57" w:after="57"/>
        <w:ind w:left="339" w:right="0" w:hanging="339"/>
        <w:rPr/>
      </w:pPr>
      <w:r>
        <w:rPr>
          <w:rStyle w:val="Caractresdenotedefin"/>
        </w:rPr>
        <w:endnoteRef/>
      </w:r>
      <w:r>
        <w:rPr>
          <w:rStyle w:val="Caractresdenotedefin"/>
        </w:rPr>
        <w:tab/>
      </w:r>
      <w:r>
        <w:rPr/>
        <w:t>Kantars endelige rapport, s. 85.</w:t>
      </w:r>
    </w:p>
  </w:endnote>
  <w:endnote w:id="103">
    <w:p>
      <w:pPr>
        <w:pStyle w:val="Notedefin"/>
        <w:suppressLineNumbers/>
        <w:spacing w:before="57" w:after="57"/>
        <w:ind w:left="339" w:right="0" w:hanging="339"/>
        <w:rPr/>
      </w:pPr>
      <w:r>
        <w:rPr>
          <w:rStyle w:val="Caractresdenotedefin"/>
        </w:rPr>
        <w:endnoteRef/>
      </w:r>
      <w:r>
        <w:rPr>
          <w:rStyle w:val="Caractresdenotedefin"/>
        </w:rPr>
        <w:tab/>
      </w:r>
      <w:r>
        <w:rPr/>
        <w:t>Henstilling 39 i ECP 2 det nationale panel nr. 3 BE.</w:t>
      </w:r>
    </w:p>
  </w:endnote>
  <w:endnote w:id="104">
    <w:p>
      <w:pPr>
        <w:pStyle w:val="Notedefin"/>
        <w:suppressLineNumbers/>
        <w:spacing w:before="57" w:after="57"/>
        <w:ind w:left="339" w:right="0" w:hanging="339"/>
        <w:rPr/>
      </w:pPr>
      <w:r>
        <w:rPr>
          <w:rStyle w:val="Caractresdenotedefin"/>
        </w:rPr>
        <w:endnoteRef/>
      </w:r>
      <w:r>
        <w:rPr>
          <w:rStyle w:val="Caractresdenotedefin"/>
        </w:rPr>
        <w:tab/>
      </w:r>
      <w:r>
        <w:rPr/>
        <w:t>Arbejdsgruppens ændringsforslag 10A, en mere præcis formulering.</w:t>
      </w:r>
    </w:p>
  </w:endnote>
  <w:endnote w:id="105">
    <w:p>
      <w:pPr>
        <w:pStyle w:val="Notedefin"/>
        <w:suppressLineNumbers/>
        <w:spacing w:before="57" w:after="57"/>
        <w:ind w:left="339" w:right="0" w:hanging="339"/>
        <w:rPr/>
      </w:pPr>
      <w:r>
        <w:rPr>
          <w:rStyle w:val="Caractresdenotedefin"/>
        </w:rPr>
        <w:endnoteRef/>
      </w:r>
      <w:r>
        <w:rPr>
          <w:rStyle w:val="Caractresdenotedefin"/>
        </w:rPr>
        <w:tab/>
      </w:r>
      <w:r>
        <w:rPr/>
        <w:t>Dk repræsentant for nationale arrangementer.</w:t>
      </w:r>
    </w:p>
  </w:endnote>
  <w:endnote w:id="106">
    <w:p>
      <w:pPr>
        <w:pStyle w:val="Notedefin"/>
        <w:suppressLineNumbers/>
        <w:spacing w:before="57" w:after="57"/>
        <w:ind w:left="339" w:right="0" w:hanging="339"/>
        <w:rPr/>
      </w:pPr>
      <w:r>
        <w:rPr>
          <w:rStyle w:val="Caractresdenotedefin"/>
        </w:rPr>
        <w:endnoteRef/>
      </w:r>
      <w:r>
        <w:rPr>
          <w:rStyle w:val="Caractresdenotedefin"/>
        </w:rPr>
        <w:tab/>
      </w:r>
      <w:r>
        <w:rPr/>
        <w:t>Ændringsforslag nr. 54C i arbejdsgruppen.</w:t>
      </w:r>
    </w:p>
  </w:endnote>
  <w:endnote w:id="107">
    <w:p>
      <w:pPr>
        <w:pStyle w:val="Notedefin"/>
        <w:suppressLineNumbers/>
        <w:spacing w:before="57" w:after="57"/>
        <w:ind w:left="339" w:right="0" w:hanging="339"/>
        <w:rPr/>
      </w:pPr>
      <w:r>
        <w:rPr>
          <w:rStyle w:val="Caractresdenotedefin"/>
        </w:rPr>
        <w:endnoteRef/>
      </w:r>
      <w:r>
        <w:rPr>
          <w:rStyle w:val="Caractresdenotedefin"/>
        </w:rPr>
        <w:tab/>
      </w:r>
      <w:r>
        <w:rPr/>
        <w:t>Dk repræsentant for nationale arrangementer.</w:t>
      </w:r>
    </w:p>
  </w:endnote>
  <w:endnote w:id="108">
    <w:p>
      <w:pPr>
        <w:pStyle w:val="Notedefin"/>
        <w:suppressLineNumbers/>
        <w:spacing w:before="57" w:after="57"/>
        <w:ind w:left="339" w:right="0" w:hanging="339"/>
        <w:rPr/>
      </w:pPr>
      <w:r>
        <w:rPr>
          <w:rStyle w:val="Caractresdenotedefin"/>
        </w:rPr>
        <w:endnoteRef/>
      </w:r>
      <w:r>
        <w:rPr>
          <w:rStyle w:val="Caractresdenotedefin"/>
        </w:rPr>
        <w:tab/>
      </w:r>
      <w:r>
        <w:rPr/>
        <w:t>Dk repræsentant for nationale arrangementer.</w:t>
      </w:r>
    </w:p>
  </w:endnote>
  <w:endnote w:id="109">
    <w:p>
      <w:pPr>
        <w:pStyle w:val="Notedefin"/>
        <w:suppressLineNumbers/>
        <w:spacing w:before="57" w:after="57"/>
        <w:ind w:left="339" w:right="0" w:hanging="339"/>
        <w:rPr/>
      </w:pPr>
      <w:r>
        <w:rPr>
          <w:rStyle w:val="Caractresdenotedefin"/>
        </w:rPr>
        <w:endnoteRef/>
      </w:r>
      <w:r>
        <w:rPr>
          <w:rStyle w:val="Caractresdenotedefin"/>
        </w:rPr>
        <w:tab/>
      </w:r>
      <w:r>
        <w:rPr/>
        <w:t>Ændringsforslag 15A i arbejdsgruppen, kompromisformulering.</w:t>
      </w:r>
    </w:p>
  </w:endnote>
  <w:endnote w:id="110">
    <w:p>
      <w:pPr>
        <w:pStyle w:val="Notedefin"/>
        <w:suppressLineNumbers/>
        <w:spacing w:before="57" w:after="57"/>
        <w:ind w:left="339" w:right="0" w:hanging="339"/>
        <w:rPr/>
      </w:pPr>
      <w:r>
        <w:rPr>
          <w:rStyle w:val="Caractresdenotedefin"/>
        </w:rPr>
        <w:endnoteRef/>
      </w:r>
      <w:r>
        <w:rPr>
          <w:rStyle w:val="Caractresdenotedefin"/>
        </w:rPr>
        <w:tab/>
      </w:r>
      <w:r>
        <w:rPr/>
        <w:t>PCE 2 Anbefaling 24, 36 og 38 det nationale panel BE.</w:t>
      </w:r>
    </w:p>
  </w:endnote>
  <w:endnote w:id="111">
    <w:p>
      <w:pPr>
        <w:pStyle w:val="Notedefin"/>
        <w:suppressLineNumbers/>
        <w:spacing w:before="57" w:after="57"/>
        <w:ind w:left="339" w:right="0" w:hanging="339"/>
        <w:rPr/>
      </w:pPr>
      <w:r>
        <w:rPr>
          <w:rStyle w:val="Caractresdenotedefin"/>
        </w:rPr>
        <w:endnoteRef/>
      </w:r>
      <w:r>
        <w:rPr>
          <w:rStyle w:val="Caractresdenotedefin"/>
        </w:rPr>
        <w:tab/>
      </w:r>
      <w:r>
        <w:rPr/>
        <w:t>Ændringsforslag nr. 16C i arbejdsgruppen.</w:t>
      </w:r>
    </w:p>
  </w:endnote>
  <w:endnote w:id="112">
    <w:p>
      <w:pPr>
        <w:pStyle w:val="Notedefin"/>
        <w:suppressLineNumbers/>
        <w:spacing w:before="57" w:after="57"/>
        <w:ind w:left="339" w:right="0" w:hanging="339"/>
        <w:rPr/>
      </w:pPr>
      <w:r>
        <w:rPr>
          <w:rStyle w:val="Caractresdenotedefin"/>
        </w:rPr>
        <w:endnoteRef/>
      </w:r>
      <w:r>
        <w:rPr>
          <w:rStyle w:val="Caractresdenotedefin"/>
        </w:rPr>
        <w:tab/>
      </w:r>
      <w:r>
        <w:rPr/>
        <w:t>Anbefaling 33 i ECP 2 nationale paneler BE, FR og NL.</w:t>
      </w:r>
    </w:p>
  </w:endnote>
  <w:endnote w:id="113">
    <w:p>
      <w:pPr>
        <w:pStyle w:val="Notedefin"/>
        <w:suppressLineNumbers/>
        <w:spacing w:before="57" w:after="57"/>
        <w:ind w:left="339" w:right="0" w:hanging="339"/>
        <w:rPr/>
      </w:pPr>
      <w:r>
        <w:rPr>
          <w:rStyle w:val="Caractresdenotedefin"/>
        </w:rPr>
        <w:endnoteRef/>
      </w:r>
      <w:r>
        <w:rPr>
          <w:rStyle w:val="Caractresdenotedefin"/>
        </w:rPr>
        <w:tab/>
      </w:r>
      <w:r>
        <w:rPr/>
        <w:t>ECP-henstilling nr. 26 2.</w:t>
      </w:r>
    </w:p>
  </w:endnote>
  <w:endnote w:id="114">
    <w:p>
      <w:pPr>
        <w:pStyle w:val="Notedefin"/>
        <w:suppressLineNumbers/>
        <w:spacing w:before="57" w:after="57"/>
        <w:ind w:left="339" w:right="0" w:hanging="339"/>
        <w:rPr/>
      </w:pPr>
      <w:r>
        <w:rPr>
          <w:rStyle w:val="Caractresdenotedefin"/>
        </w:rPr>
        <w:endnoteRef/>
      </w:r>
      <w:r>
        <w:rPr>
          <w:rStyle w:val="Caractresdenotedefin"/>
        </w:rPr>
        <w:tab/>
      </w:r>
      <w:r>
        <w:rPr/>
        <w:t>Ændringsforslag nr. 17 i arbejdsgruppen.</w:t>
      </w:r>
    </w:p>
  </w:endnote>
  <w:endnote w:id="115">
    <w:p>
      <w:pPr>
        <w:pStyle w:val="Notedefin"/>
        <w:suppressLineNumbers/>
        <w:spacing w:before="57" w:after="57"/>
        <w:ind w:left="339" w:right="0" w:hanging="339"/>
        <w:rPr/>
      </w:pPr>
      <w:r>
        <w:rPr>
          <w:rStyle w:val="Caractresdenotedefin"/>
        </w:rPr>
        <w:endnoteRef/>
      </w:r>
      <w:r>
        <w:rPr>
          <w:rStyle w:val="Caractresdenotedefin"/>
        </w:rPr>
        <w:tab/>
      </w:r>
      <w:r>
        <w:rPr/>
        <w:t>Det nationale panel BE.</w:t>
      </w:r>
    </w:p>
  </w:endnote>
  <w:endnote w:id="116">
    <w:p>
      <w:pPr>
        <w:pStyle w:val="Notedefin"/>
        <w:suppressLineNumbers/>
        <w:spacing w:before="57" w:after="57"/>
        <w:ind w:left="339" w:right="0" w:hanging="339"/>
        <w:rPr/>
      </w:pPr>
      <w:r>
        <w:rPr>
          <w:rStyle w:val="Caractresdenotedefin"/>
        </w:rPr>
        <w:endnoteRef/>
      </w:r>
      <w:r>
        <w:rPr>
          <w:rStyle w:val="Caractresdenotedefin"/>
        </w:rPr>
        <w:tab/>
      </w:r>
      <w:r>
        <w:rPr/>
        <w:t>Ændringsforslag nr. 18A fra arbejdsgruppen.</w:t>
      </w:r>
    </w:p>
  </w:endnote>
  <w:endnote w:id="117">
    <w:p>
      <w:pPr>
        <w:pStyle w:val="Notedefin"/>
        <w:suppressLineNumbers/>
        <w:spacing w:before="57" w:after="57"/>
        <w:ind w:left="339" w:right="0" w:hanging="339"/>
        <w:rPr/>
      </w:pPr>
      <w:r>
        <w:rPr>
          <w:rStyle w:val="Caractresdenotedefin"/>
        </w:rPr>
        <w:endnoteRef/>
      </w:r>
      <w:r>
        <w:rPr>
          <w:rStyle w:val="Caractresdenotedefin"/>
        </w:rPr>
        <w:tab/>
      </w:r>
      <w:r>
        <w:rPr/>
        <w:t>ECP-henstilling nr. 252.</w:t>
      </w:r>
    </w:p>
  </w:endnote>
  <w:endnote w:id="118">
    <w:p>
      <w:pPr>
        <w:pStyle w:val="Notedefin"/>
        <w:suppressLineNumbers/>
        <w:spacing w:before="57" w:after="57"/>
        <w:ind w:left="339" w:right="0" w:hanging="339"/>
        <w:rPr/>
      </w:pPr>
      <w:r>
        <w:rPr>
          <w:rStyle w:val="Caractresdenotedefin"/>
        </w:rPr>
        <w:endnoteRef/>
      </w:r>
      <w:r>
        <w:rPr>
          <w:rStyle w:val="Caractresdenotedefin"/>
        </w:rPr>
        <w:tab/>
      </w:r>
      <w:r>
        <w:rPr/>
        <w:t>Ændringsforslag nr. 18B i arbejdsgruppen.</w:t>
      </w:r>
    </w:p>
  </w:endnote>
  <w:endnote w:id="119">
    <w:p>
      <w:pPr>
        <w:pStyle w:val="Notedefin"/>
        <w:suppressLineNumbers/>
        <w:spacing w:before="57" w:after="57"/>
        <w:ind w:left="339" w:right="0" w:hanging="339"/>
        <w:rPr/>
      </w:pPr>
      <w:r>
        <w:rPr>
          <w:rStyle w:val="Caractresdenotedefin"/>
        </w:rPr>
        <w:endnoteRef/>
      </w:r>
      <w:r>
        <w:rPr>
          <w:rStyle w:val="Caractresdenotedefin"/>
        </w:rPr>
        <w:tab/>
      </w:r>
      <w:r>
        <w:rPr/>
        <w:t>Henstilling 31 i ECP 2 nationale paneler BE og NL.</w:t>
      </w:r>
    </w:p>
  </w:endnote>
  <w:endnote w:id="120">
    <w:p>
      <w:pPr>
        <w:pStyle w:val="Notedefin"/>
        <w:suppressLineNumbers/>
        <w:spacing w:before="57" w:after="57"/>
        <w:ind w:left="339" w:right="0" w:hanging="339"/>
        <w:rPr/>
      </w:pPr>
      <w:r>
        <w:rPr>
          <w:rStyle w:val="Caractresdenotedefin"/>
        </w:rPr>
        <w:endnoteRef/>
      </w:r>
      <w:r>
        <w:rPr>
          <w:rStyle w:val="Caractresdenotedefin"/>
        </w:rPr>
        <w:tab/>
      </w:r>
      <w:r>
        <w:rPr/>
        <w:t>Ændringsforslag nr. 19A i arbejdsgruppen, som omformulerer for at udarbejde en mere fyldestgørende tekst.</w:t>
      </w:r>
    </w:p>
  </w:endnote>
  <w:endnote w:id="121">
    <w:p>
      <w:pPr>
        <w:pStyle w:val="Notedefin"/>
        <w:suppressLineNumbers/>
        <w:spacing w:before="57" w:after="57"/>
        <w:ind w:left="339" w:right="0" w:hanging="339"/>
        <w:rPr/>
      </w:pPr>
      <w:r>
        <w:rPr>
          <w:rStyle w:val="Caractresdenotedefin"/>
        </w:rPr>
        <w:endnoteRef/>
      </w:r>
      <w:r>
        <w:rPr>
          <w:rStyle w:val="Caractresdenotedefin"/>
        </w:rPr>
        <w:tab/>
      </w:r>
      <w:r>
        <w:rPr/>
        <w:t>Ændringsforslag 21 i arbejdsgruppen, kompromis.</w:t>
      </w:r>
    </w:p>
  </w:endnote>
  <w:endnote w:id="122">
    <w:p>
      <w:pPr>
        <w:pStyle w:val="Notedefin"/>
        <w:suppressLineNumbers/>
        <w:spacing w:before="57" w:after="57"/>
        <w:ind w:left="339" w:right="0" w:hanging="339"/>
        <w:rPr/>
      </w:pPr>
      <w:r>
        <w:rPr>
          <w:rStyle w:val="Caractresdenotedefin"/>
        </w:rPr>
        <w:endnoteRef/>
      </w:r>
      <w:r>
        <w:rPr>
          <w:rStyle w:val="Caractresdenotedefin"/>
        </w:rPr>
        <w:tab/>
      </w:r>
      <w:r>
        <w:rPr/>
        <w:t>Nationale paneler BE og FR.</w:t>
      </w:r>
    </w:p>
  </w:endnote>
  <w:endnote w:id="123">
    <w:p>
      <w:pPr>
        <w:pStyle w:val="Notedefin"/>
        <w:suppressLineNumbers/>
        <w:spacing w:before="57" w:after="57"/>
        <w:ind w:left="339" w:right="0" w:hanging="339"/>
        <w:rPr/>
      </w:pPr>
      <w:r>
        <w:rPr>
          <w:rStyle w:val="Caractresdenotedefin"/>
        </w:rPr>
        <w:endnoteRef/>
      </w:r>
      <w:r>
        <w:rPr>
          <w:rStyle w:val="Caractresdenotedefin"/>
        </w:rPr>
        <w:tab/>
      </w:r>
      <w:r>
        <w:rPr/>
        <w:t>Ændringsforslag nr. 23B i arbejdsgruppen.</w:t>
      </w:r>
    </w:p>
  </w:endnote>
  <w:endnote w:id="124">
    <w:p>
      <w:pPr>
        <w:pStyle w:val="Notedefin"/>
        <w:suppressLineNumbers/>
        <w:spacing w:before="57" w:after="57"/>
        <w:ind w:left="339" w:right="0" w:hanging="339"/>
        <w:rPr/>
      </w:pPr>
      <w:r>
        <w:rPr>
          <w:rStyle w:val="Caractresdenotedefin"/>
        </w:rPr>
        <w:endnoteRef/>
      </w:r>
      <w:r>
        <w:rPr>
          <w:rStyle w:val="Caractresdenotedefin"/>
        </w:rPr>
        <w:tab/>
      </w:r>
      <w:r>
        <w:rPr/>
        <w:t>Henstilling 27 i ECP 2 det nationale panel BE.</w:t>
      </w:r>
    </w:p>
  </w:endnote>
  <w:endnote w:id="125">
    <w:p>
      <w:pPr>
        <w:pStyle w:val="Notedefin"/>
        <w:suppressLineNumbers/>
        <w:spacing w:before="57" w:after="57"/>
        <w:ind w:left="339" w:right="0" w:hanging="339"/>
        <w:rPr/>
      </w:pPr>
      <w:r>
        <w:rPr>
          <w:rStyle w:val="Caractresdenotedefin"/>
        </w:rPr>
        <w:endnoteRef/>
      </w:r>
      <w:r>
        <w:rPr>
          <w:rStyle w:val="Caractresdenotedefin"/>
        </w:rPr>
        <w:tab/>
      </w:r>
      <w:r>
        <w:rPr/>
        <w:t>Ændringsforslag nr. 25C i arbejdsgruppen.</w:t>
      </w:r>
    </w:p>
  </w:endnote>
  <w:endnote w:id="126">
    <w:p>
      <w:pPr>
        <w:pStyle w:val="Notedefin"/>
        <w:suppressLineNumbers/>
        <w:spacing w:before="57" w:after="57"/>
        <w:ind w:left="339" w:right="0" w:hanging="339"/>
        <w:rPr/>
      </w:pPr>
      <w:r>
        <w:rPr>
          <w:rStyle w:val="Caractresdenotedefin"/>
        </w:rPr>
        <w:endnoteRef/>
      </w:r>
      <w:r>
        <w:rPr>
          <w:rStyle w:val="Caractresdenotedefin"/>
        </w:rPr>
        <w:tab/>
      </w:r>
      <w:r>
        <w:rPr/>
        <w:t>Henstilling 14 i ECP.</w:t>
      </w:r>
    </w:p>
  </w:endnote>
  <w:endnote w:id="127">
    <w:p>
      <w:pPr>
        <w:pStyle w:val="Notedefin"/>
        <w:suppressLineNumbers/>
        <w:spacing w:before="57" w:after="57"/>
        <w:ind w:left="339" w:right="0" w:hanging="339"/>
        <w:rPr/>
      </w:pPr>
      <w:r>
        <w:rPr>
          <w:rStyle w:val="Caractresdenotedefin"/>
        </w:rPr>
        <w:endnoteRef/>
      </w:r>
      <w:r>
        <w:rPr>
          <w:rStyle w:val="Caractresdenotedefin"/>
        </w:rPr>
        <w:tab/>
      </w:r>
      <w:r>
        <w:rPr/>
        <w:t>ECP-henstilling nr. 18. NB: Borgernes repræsentanter forklarede, at denne mekanisme bør udformes og anvendes med forsigtighed.</w:t>
      </w:r>
    </w:p>
  </w:endnote>
  <w:endnote w:id="128">
    <w:p>
      <w:pPr>
        <w:pStyle w:val="Notedefin"/>
        <w:suppressLineNumbers/>
        <w:spacing w:before="57" w:after="57"/>
        <w:ind w:left="339" w:right="0" w:hanging="339"/>
        <w:rPr/>
      </w:pPr>
      <w:r>
        <w:rPr>
          <w:rStyle w:val="Caractresdenotedefin"/>
        </w:rPr>
        <w:endnoteRef/>
      </w:r>
      <w:r>
        <w:rPr>
          <w:rStyle w:val="Caractresdenotedefin"/>
        </w:rPr>
        <w:tab/>
      </w:r>
      <w:r>
        <w:rPr/>
        <w:t>Ændringsforslag 28E, 28G og 28H i arbejdsgruppen.</w:t>
      </w:r>
    </w:p>
  </w:endnote>
  <w:endnote w:id="129">
    <w:p>
      <w:pPr>
        <w:pStyle w:val="Notedefin"/>
        <w:suppressLineNumbers/>
        <w:spacing w:before="57" w:after="57"/>
        <w:ind w:left="339" w:right="0" w:hanging="339"/>
        <w:rPr/>
      </w:pPr>
      <w:r>
        <w:rPr>
          <w:rStyle w:val="Caractresdenotedefin"/>
        </w:rPr>
        <w:endnoteRef/>
      </w:r>
      <w:r>
        <w:rPr>
          <w:rStyle w:val="Caractresdenotedefin"/>
        </w:rPr>
        <w:tab/>
      </w:r>
      <w:r>
        <w:rPr/>
        <w:t>Anbefaling 16 i ECP 2 NL Nationalpanel nr. 20, opdelt på tværnationale lister.</w:t>
      </w:r>
    </w:p>
  </w:endnote>
  <w:endnote w:id="130">
    <w:p>
      <w:pPr>
        <w:pStyle w:val="Notedefin"/>
        <w:suppressLineNumbers/>
        <w:spacing w:before="57" w:after="57"/>
        <w:ind w:left="339" w:right="0" w:hanging="339"/>
        <w:rPr/>
      </w:pPr>
      <w:r>
        <w:rPr>
          <w:rStyle w:val="Caractresdenotedefin"/>
        </w:rPr>
        <w:endnoteRef/>
      </w:r>
      <w:r>
        <w:rPr>
          <w:rStyle w:val="Caractresdenotedefin"/>
        </w:rPr>
        <w:tab/>
      </w:r>
      <w:r>
        <w:rPr/>
        <w:t>Baseret på henstilling 16 i ECP 2 diskussion i GT.</w:t>
      </w:r>
    </w:p>
  </w:endnote>
  <w:endnote w:id="131">
    <w:p>
      <w:pPr>
        <w:pStyle w:val="Notedefin"/>
        <w:suppressLineNumbers/>
        <w:spacing w:before="57" w:after="57"/>
        <w:ind w:left="339" w:right="0" w:hanging="339"/>
        <w:rPr/>
      </w:pPr>
      <w:r>
        <w:rPr>
          <w:rStyle w:val="Caractresdenotedefin"/>
        </w:rPr>
        <w:endnoteRef/>
      </w:r>
      <w:r>
        <w:rPr>
          <w:rStyle w:val="Caractresdenotedefin"/>
        </w:rPr>
        <w:tab/>
      </w:r>
      <w:r>
        <w:rPr/>
        <w:t>ECP 2-henstilling 19 og Multilingual Digital Platform (MNP).</w:t>
      </w:r>
    </w:p>
  </w:endnote>
  <w:endnote w:id="132">
    <w:p>
      <w:pPr>
        <w:pStyle w:val="Notedefin"/>
        <w:suppressLineNumbers/>
        <w:spacing w:before="57" w:after="57"/>
        <w:ind w:left="339" w:right="0" w:hanging="339"/>
        <w:rPr/>
      </w:pPr>
      <w:r>
        <w:rPr>
          <w:rStyle w:val="Caractresdenotedefin"/>
        </w:rPr>
        <w:endnoteRef/>
      </w:r>
      <w:r>
        <w:rPr>
          <w:rStyle w:val="Caractresdenotedefin"/>
        </w:rPr>
        <w:tab/>
      </w:r>
      <w:r>
        <w:rPr/>
        <w:t>EØSU.</w:t>
      </w:r>
    </w:p>
  </w:endnote>
  <w:endnote w:id="133">
    <w:p>
      <w:pPr>
        <w:pStyle w:val="Notedefin"/>
        <w:suppressLineNumbers/>
        <w:spacing w:before="57" w:after="57"/>
        <w:ind w:left="339" w:right="0" w:hanging="339"/>
        <w:rPr/>
      </w:pPr>
      <w:r>
        <w:rPr>
          <w:rStyle w:val="Caractresdenotedefin"/>
        </w:rPr>
        <w:endnoteRef/>
      </w:r>
      <w:r>
        <w:rPr>
          <w:rStyle w:val="Caractresdenotedefin"/>
        </w:rPr>
        <w:tab/>
      </w:r>
      <w:r>
        <w:rPr/>
        <w:t>Ændringsforslag nr. 32B til arbejdsgruppen.</w:t>
      </w:r>
    </w:p>
  </w:endnote>
  <w:endnote w:id="134">
    <w:p>
      <w:pPr>
        <w:pStyle w:val="Notedefin"/>
        <w:suppressLineNumbers/>
        <w:spacing w:before="57" w:after="57"/>
        <w:ind w:left="339" w:right="0" w:hanging="339"/>
        <w:rPr/>
      </w:pPr>
      <w:r>
        <w:rPr>
          <w:rStyle w:val="Caractresdenotedefin"/>
        </w:rPr>
        <w:endnoteRef/>
      </w:r>
      <w:r>
        <w:rPr>
          <w:rStyle w:val="Caractresdenotedefin"/>
        </w:rPr>
        <w:tab/>
      </w:r>
      <w:r>
        <w:rPr/>
        <w:t>Henstilling 36 i ECP 2 nationale paneler BE og FR.</w:t>
      </w:r>
    </w:p>
  </w:endnote>
  <w:endnote w:id="135">
    <w:p>
      <w:pPr>
        <w:pStyle w:val="Notedefin"/>
        <w:suppressLineNumbers/>
        <w:spacing w:before="57" w:after="57"/>
        <w:ind w:left="339" w:right="0" w:hanging="339"/>
        <w:rPr/>
      </w:pPr>
      <w:r>
        <w:rPr>
          <w:rStyle w:val="Caractresdenotedefin"/>
        </w:rPr>
        <w:endnoteRef/>
      </w:r>
      <w:r>
        <w:rPr>
          <w:rStyle w:val="Caractresdenotedefin"/>
        </w:rPr>
        <w:tab/>
      </w:r>
      <w:r>
        <w:rPr/>
        <w:t>Det nationale panel FR ("valg af formanden for Europa-Kommissionen ved almindelige valg") PNM (endelig Kantar-rapport: en gruppe bidrag vedrører borgernes direkte valg af kommissionsformanden).</w:t>
      </w:r>
    </w:p>
  </w:endnote>
  <w:endnote w:id="136">
    <w:p>
      <w:pPr>
        <w:pStyle w:val="Notedefin"/>
        <w:suppressLineNumbers/>
        <w:spacing w:before="57" w:after="57"/>
        <w:ind w:left="339" w:right="0" w:hanging="339"/>
        <w:rPr/>
      </w:pPr>
      <w:r>
        <w:rPr>
          <w:rStyle w:val="Caractresdenotedefin"/>
        </w:rPr>
        <w:endnoteRef/>
      </w:r>
      <w:r>
        <w:rPr>
          <w:rStyle w:val="Caractresdenotedefin"/>
        </w:rPr>
        <w:tab/>
      </w:r>
      <w:r>
        <w:rPr/>
        <w:t>Ændringsforslag nr. 34C i arbejdsgruppen.</w:t>
      </w:r>
    </w:p>
  </w:endnote>
  <w:endnote w:id="137">
    <w:p>
      <w:pPr>
        <w:pStyle w:val="Notedefin"/>
        <w:suppressLineNumbers/>
        <w:spacing w:before="57" w:after="57"/>
        <w:ind w:left="339" w:right="0" w:hanging="339"/>
        <w:rPr/>
      </w:pPr>
      <w:r>
        <w:rPr>
          <w:rStyle w:val="Caractresdenotedefin"/>
        </w:rPr>
        <w:endnoteRef/>
      </w:r>
      <w:r>
        <w:rPr>
          <w:rStyle w:val="Caractresdenotedefin"/>
        </w:rPr>
        <w:tab/>
      </w:r>
      <w:r>
        <w:rPr/>
        <w:t>Det nationale panel BE (3.2), det nationale panel FR (11) PNM (endelig rapport Kantar: "For Europa-Parlamentets vedkommende kræver bidragyderne oftest, at det får reel lovgivningsinitiativbeføjelse".</w:t>
      </w:r>
    </w:p>
  </w:endnote>
  <w:endnote w:id="138">
    <w:p>
      <w:pPr>
        <w:pStyle w:val="Notedefin"/>
        <w:suppressLineNumbers/>
        <w:spacing w:before="57" w:after="57"/>
        <w:ind w:left="339" w:right="0" w:hanging="339"/>
        <w:rPr/>
      </w:pPr>
      <w:r>
        <w:rPr>
          <w:rStyle w:val="Caractresdenotedefin"/>
        </w:rPr>
        <w:endnoteRef/>
      </w:r>
      <w:r>
        <w:rPr>
          <w:rStyle w:val="Caractresdenotedefin"/>
        </w:rPr>
        <w:tab/>
      </w:r>
      <w:r>
        <w:rPr/>
        <w:t>PNM (endelig Kantar-rapport: "Med hensyn til Europa-Parlamentet (...) anmodes der også om at tildele det budgetbeføjelser").</w:t>
      </w:r>
    </w:p>
  </w:endnote>
  <w:endnote w:id="139">
    <w:p>
      <w:pPr>
        <w:pStyle w:val="Notedefin"/>
        <w:suppressLineNumbers/>
        <w:spacing w:before="57" w:after="57"/>
        <w:ind w:left="339" w:right="0" w:hanging="339"/>
        <w:rPr/>
      </w:pPr>
      <w:r>
        <w:rPr>
          <w:rStyle w:val="Caractresdenotedefin"/>
        </w:rPr>
        <w:endnoteRef/>
      </w:r>
      <w:r>
        <w:rPr>
          <w:rStyle w:val="Caractresdenotedefin"/>
        </w:rPr>
        <w:tab/>
      </w:r>
      <w:r>
        <w:rPr/>
        <w:t>PNM (endelig Kantar-rapport: Ifølge et andet bidrag bør parterne gøres mere tilgængelige for personer med forskellig kulturel eller socioøkonomisk baggrund.</w:t>
      </w:r>
    </w:p>
  </w:endnote>
  <w:endnote w:id="140">
    <w:p>
      <w:pPr>
        <w:pStyle w:val="Notedefin"/>
        <w:suppressLineNumbers/>
        <w:spacing w:before="57" w:after="57"/>
        <w:ind w:left="339" w:right="0" w:hanging="339"/>
        <w:rPr/>
      </w:pPr>
      <w:r>
        <w:rPr>
          <w:rStyle w:val="Caractresdenotedefin"/>
        </w:rPr>
        <w:endnoteRef/>
      </w:r>
      <w:r>
        <w:rPr>
          <w:rStyle w:val="Caractresdenotedefin"/>
        </w:rPr>
        <w:tab/>
      </w:r>
      <w:r>
        <w:rPr/>
        <w:t>RU i arbejdsgruppen.</w:t>
      </w:r>
    </w:p>
  </w:endnote>
  <w:endnote w:id="141">
    <w:p>
      <w:pPr>
        <w:pStyle w:val="Notedefin"/>
        <w:suppressLineNumbers/>
        <w:spacing w:before="57" w:after="57"/>
        <w:ind w:left="339" w:right="0" w:hanging="339"/>
        <w:rPr/>
      </w:pPr>
      <w:r>
        <w:rPr>
          <w:rStyle w:val="Caractresdenotedefin"/>
        </w:rPr>
        <w:endnoteRef/>
      </w:r>
      <w:r>
        <w:rPr>
          <w:rStyle w:val="Caractresdenotedefin"/>
        </w:rPr>
        <w:tab/>
      </w:r>
      <w:r>
        <w:rPr/>
        <w:t>Ændringsforslag 38 i arbejdsgruppen, kompromisformulering.</w:t>
      </w:r>
    </w:p>
  </w:endnote>
  <w:endnote w:id="142">
    <w:p>
      <w:pPr>
        <w:pStyle w:val="Notedefin"/>
        <w:suppressLineNumbers/>
        <w:spacing w:before="57" w:after="57"/>
        <w:ind w:left="339" w:right="0" w:hanging="339"/>
        <w:rPr/>
      </w:pPr>
      <w:r>
        <w:rPr>
          <w:rStyle w:val="Caractresdenotedefin"/>
        </w:rPr>
        <w:endnoteRef/>
      </w:r>
      <w:r>
        <w:rPr>
          <w:rStyle w:val="Caractresdenotedefin"/>
        </w:rPr>
        <w:tab/>
      </w:r>
      <w:r>
        <w:rPr/>
        <w:t>ECP-henstilling nr. 20 2.</w:t>
      </w:r>
    </w:p>
  </w:endnote>
  <w:endnote w:id="143">
    <w:p>
      <w:pPr>
        <w:pStyle w:val="Notedefin"/>
        <w:suppressLineNumbers/>
        <w:spacing w:before="57" w:after="57"/>
        <w:ind w:left="339" w:right="0" w:hanging="339"/>
        <w:rPr/>
      </w:pPr>
      <w:r>
        <w:rPr>
          <w:rStyle w:val="Caractresdenotedefin"/>
        </w:rPr>
        <w:endnoteRef/>
      </w:r>
      <w:r>
        <w:rPr>
          <w:rStyle w:val="Caractresdenotedefin"/>
        </w:rPr>
        <w:tab/>
      </w:r>
      <w:r>
        <w:rPr/>
        <w:t>ECP-henstilling nr. 21 4.</w:t>
      </w:r>
    </w:p>
  </w:endnote>
  <w:endnote w:id="144">
    <w:p>
      <w:pPr>
        <w:pStyle w:val="Notedefin"/>
        <w:suppressLineNumbers/>
        <w:spacing w:before="57" w:after="57"/>
        <w:ind w:left="339" w:right="0" w:hanging="339"/>
        <w:rPr/>
      </w:pPr>
      <w:r>
        <w:rPr>
          <w:rStyle w:val="Caractresdenotedefin"/>
        </w:rPr>
        <w:endnoteRef/>
      </w:r>
      <w:r>
        <w:rPr>
          <w:rStyle w:val="Caractresdenotedefin"/>
        </w:rPr>
        <w:tab/>
      </w:r>
      <w:r>
        <w:rPr/>
        <w:t>Ændringsforslag 43 i arbejdsgruppen.</w:t>
      </w:r>
    </w:p>
  </w:endnote>
  <w:endnote w:id="145">
    <w:p>
      <w:pPr>
        <w:pStyle w:val="Notedefin"/>
        <w:suppressLineNumbers/>
        <w:spacing w:before="57" w:after="57"/>
        <w:ind w:left="339" w:right="0" w:hanging="339"/>
        <w:rPr/>
      </w:pPr>
      <w:r>
        <w:rPr>
          <w:rStyle w:val="Caractresdenotedefin"/>
        </w:rPr>
        <w:endnoteRef/>
      </w:r>
      <w:r>
        <w:rPr>
          <w:rStyle w:val="Caractresdenotedefin"/>
        </w:rPr>
        <w:tab/>
      </w:r>
      <w:r>
        <w:rPr/>
        <w:t>Henstilling 34 i ECP 2 det nationale panel NL.</w:t>
      </w:r>
    </w:p>
  </w:endnote>
  <w:endnote w:id="146">
    <w:p>
      <w:pPr>
        <w:pStyle w:val="Notedefin"/>
        <w:suppressLineNumbers/>
        <w:spacing w:before="57" w:after="57"/>
        <w:ind w:left="339" w:right="0" w:hanging="339"/>
        <w:rPr/>
      </w:pPr>
      <w:r>
        <w:rPr>
          <w:rStyle w:val="Caractresdenotedefin"/>
        </w:rPr>
        <w:endnoteRef/>
      </w:r>
      <w:r>
        <w:rPr>
          <w:rStyle w:val="Caractresdenotedefin"/>
        </w:rPr>
        <w:tab/>
      </w:r>
      <w:r>
        <w:rPr/>
        <w:t>Arbejdsgruppens debat på grundlag af henstilling 34 i ECP 2 det nationale panel NL PNM (endelig Kantar-rapport: "At øge gennemsigtigheden og øge borgernes deltagelse i EU's beslutningsproces støttes også".</w:t>
      </w:r>
    </w:p>
  </w:endnote>
  <w:endnote w:id="147">
    <w:p>
      <w:pPr>
        <w:pStyle w:val="Notedefin"/>
        <w:suppressLineNumbers/>
        <w:spacing w:before="57" w:after="57"/>
        <w:ind w:left="339" w:right="0" w:hanging="339"/>
        <w:rPr/>
      </w:pPr>
      <w:r>
        <w:rPr>
          <w:rStyle w:val="Caractresdenotedefin"/>
        </w:rPr>
        <w:endnoteRef/>
      </w:r>
      <w:r>
        <w:rPr>
          <w:rStyle w:val="Caractresdenotedefin"/>
        </w:rPr>
        <w:tab/>
      </w:r>
      <w:r>
        <w:rPr/>
        <w:t>Ændringsforslag nr. 44A i arbejdsgruppen.</w:t>
      </w:r>
    </w:p>
  </w:endnote>
  <w:endnote w:id="148">
    <w:p>
      <w:pPr>
        <w:pStyle w:val="Notedefin"/>
        <w:suppressLineNumbers/>
        <w:spacing w:before="57" w:after="57"/>
        <w:ind w:left="339" w:right="0" w:hanging="339"/>
        <w:rPr/>
      </w:pPr>
      <w:r>
        <w:rPr>
          <w:rStyle w:val="Caractresdenotedefin"/>
        </w:rPr>
        <w:endnoteRef/>
      </w:r>
      <w:r>
        <w:rPr>
          <w:rStyle w:val="Caractresdenotedefin"/>
        </w:rPr>
        <w:tab/>
      </w:r>
      <w:r>
        <w:rPr/>
        <w:t>Arbejdsgruppens debat (præsentation ved de nationale parlamenter og RU).</w:t>
      </w:r>
    </w:p>
  </w:endnote>
  <w:endnote w:id="149">
    <w:p>
      <w:pPr>
        <w:pStyle w:val="Notedefin"/>
        <w:suppressLineNumbers/>
        <w:spacing w:before="57" w:after="57"/>
        <w:ind w:left="339" w:right="0" w:hanging="339"/>
        <w:rPr/>
      </w:pPr>
      <w:r>
        <w:rPr>
          <w:rStyle w:val="Caractresdenotedefin"/>
        </w:rPr>
        <w:endnoteRef/>
      </w:r>
      <w:r>
        <w:rPr>
          <w:rStyle w:val="Caractresdenotedefin"/>
        </w:rPr>
        <w:tab/>
      </w:r>
      <w:r>
        <w:rPr/>
        <w:t>Ændringsforslag nr. 45C i arbejdsgruppen.</w:t>
      </w:r>
    </w:p>
  </w:endnote>
  <w:endnote w:id="150">
    <w:p>
      <w:pPr>
        <w:pStyle w:val="Notedefin"/>
        <w:suppressLineNumbers/>
        <w:spacing w:before="57" w:after="57"/>
        <w:ind w:left="339" w:right="0" w:hanging="339"/>
        <w:rPr/>
      </w:pPr>
      <w:r>
        <w:rPr>
          <w:rStyle w:val="Caractresdenotedefin"/>
        </w:rPr>
        <w:endnoteRef/>
      </w:r>
      <w:r>
        <w:rPr>
          <w:rStyle w:val="Caractresdenotedefin"/>
        </w:rPr>
        <w:tab/>
      </w:r>
      <w:r>
        <w:rPr/>
        <w:t>Ændringsforslag 46B til arbejdsgruppen.</w:t>
      </w:r>
    </w:p>
  </w:endnote>
  <w:endnote w:id="151">
    <w:p>
      <w:pPr>
        <w:pStyle w:val="Notedefin"/>
        <w:suppressLineNumbers/>
        <w:spacing w:before="57" w:after="57"/>
        <w:ind w:left="339" w:right="0" w:hanging="339"/>
        <w:rPr/>
      </w:pPr>
      <w:r>
        <w:rPr>
          <w:rStyle w:val="Caractresdenotedefin"/>
        </w:rPr>
        <w:endnoteRef/>
      </w:r>
      <w:r>
        <w:rPr>
          <w:rStyle w:val="Caractresdenotedefin"/>
        </w:rPr>
        <w:tab/>
      </w:r>
      <w:r>
        <w:rPr/>
        <w:t>ECP-henstilling nr. 15 2.</w:t>
      </w:r>
    </w:p>
  </w:endnote>
  <w:endnote w:id="152">
    <w:p>
      <w:pPr>
        <w:pStyle w:val="Notedefin"/>
        <w:suppressLineNumbers/>
        <w:spacing w:before="57" w:after="57"/>
        <w:ind w:left="339" w:right="0" w:hanging="339"/>
        <w:rPr/>
      </w:pPr>
      <w:r>
        <w:rPr>
          <w:rStyle w:val="Caractresdenotedefin"/>
        </w:rPr>
        <w:endnoteRef/>
      </w:r>
      <w:r>
        <w:rPr>
          <w:rStyle w:val="Caractresdenotedefin"/>
        </w:rPr>
        <w:tab/>
      </w:r>
      <w:r>
        <w:rPr/>
        <w:t>Arbejdsgruppens debat baseret på det behov, der er udtrykt i henstilling 15 i ECP 2 for at "præcisere EU-institutionernes funktioner" PNM (endelig Kantar-rapport: "Der er også forslag om at uddybe lovgivningsmagten med to kamre i EU.")</w:t>
      </w:r>
    </w:p>
  </w:endnote>
  <w:endnote w:id="153">
    <w:p>
      <w:pPr>
        <w:pStyle w:val="Notedefin"/>
        <w:suppressLineNumbers/>
        <w:spacing w:before="57" w:after="57"/>
        <w:ind w:left="339" w:right="0" w:hanging="339"/>
        <w:rPr/>
      </w:pPr>
      <w:r>
        <w:rPr>
          <w:rStyle w:val="Caractresdenotedefin"/>
        </w:rPr>
        <w:endnoteRef/>
      </w:r>
      <w:r>
        <w:rPr>
          <w:rStyle w:val="Caractresdenotedefin"/>
        </w:rPr>
        <w:tab/>
      </w:r>
      <w:r>
        <w:rPr/>
        <w:t>Ændringsforslag 48B til arbejdsgruppen.</w:t>
      </w:r>
    </w:p>
  </w:endnote>
  <w:endnote w:id="154">
    <w:p>
      <w:pPr>
        <w:pStyle w:val="Notedefin"/>
        <w:suppressLineNumbers/>
        <w:spacing w:before="57" w:after="57"/>
        <w:ind w:left="339" w:right="0" w:hanging="339"/>
        <w:rPr/>
      </w:pPr>
      <w:r>
        <w:rPr>
          <w:rStyle w:val="Caractresdenotedefin"/>
        </w:rPr>
        <w:endnoteRef/>
      </w:r>
      <w:r>
        <w:rPr>
          <w:rStyle w:val="Caractresdenotedefin"/>
        </w:rPr>
        <w:tab/>
      </w:r>
      <w:r>
        <w:rPr/>
        <w:t>ECP-henstilling nr. 15 2.</w:t>
      </w:r>
    </w:p>
  </w:endnote>
  <w:endnote w:id="155">
    <w:p>
      <w:pPr>
        <w:pStyle w:val="Notedefin"/>
        <w:suppressLineNumbers/>
        <w:spacing w:before="57" w:after="57"/>
        <w:ind w:left="339" w:right="0" w:hanging="339"/>
        <w:rPr/>
      </w:pPr>
      <w:r>
        <w:rPr>
          <w:rStyle w:val="Caractresdenotedefin"/>
        </w:rPr>
        <w:endnoteRef/>
      </w:r>
      <w:r>
        <w:rPr>
          <w:rStyle w:val="Caractresdenotedefin"/>
        </w:rPr>
        <w:tab/>
      </w:r>
      <w:r>
        <w:rPr/>
        <w:t>Diskussioner i arbejdsgruppen.</w:t>
      </w:r>
    </w:p>
  </w:endnote>
  <w:endnote w:id="156">
    <w:p>
      <w:pPr>
        <w:pStyle w:val="Notedefin"/>
        <w:suppressLineNumbers/>
        <w:spacing w:before="57" w:after="57"/>
        <w:ind w:left="339" w:right="0" w:hanging="339"/>
        <w:rPr/>
      </w:pPr>
      <w:r>
        <w:rPr>
          <w:rStyle w:val="Caractresdenotedefin"/>
        </w:rPr>
        <w:endnoteRef/>
      </w:r>
      <w:r>
        <w:rPr>
          <w:rStyle w:val="Caractresdenotedefin"/>
        </w:rPr>
        <w:tab/>
      </w:r>
      <w:r>
        <w:rPr/>
        <w:t>Ændringsforslag nr. 52A i arbejdsgruppen.</w:t>
      </w:r>
    </w:p>
  </w:endnote>
  <w:endnote w:id="157">
    <w:p>
      <w:pPr>
        <w:pStyle w:val="Notedefin"/>
        <w:suppressLineNumbers/>
        <w:spacing w:before="57" w:after="57"/>
        <w:ind w:left="339" w:right="0" w:hanging="339"/>
        <w:rPr/>
      </w:pPr>
      <w:r>
        <w:rPr>
          <w:rStyle w:val="Caractresdenotedefin"/>
        </w:rPr>
        <w:endnoteRef/>
      </w:r>
      <w:r>
        <w:rPr>
          <w:rStyle w:val="Caractresdenotedefin"/>
        </w:rPr>
        <w:tab/>
      </w:r>
      <w:r>
        <w:rPr/>
        <w:t>EØSU, kompromisformulering.</w:t>
      </w:r>
    </w:p>
  </w:endnote>
  <w:endnote w:id="158">
    <w:p>
      <w:pPr>
        <w:pStyle w:val="Notedefin"/>
        <w:suppressLineNumbers/>
        <w:spacing w:before="57" w:after="57"/>
        <w:ind w:left="339" w:right="0" w:hanging="339"/>
        <w:rPr/>
      </w:pPr>
      <w:r>
        <w:rPr>
          <w:rStyle w:val="Caractresdenotedefin"/>
        </w:rPr>
        <w:endnoteRef/>
      </w:r>
      <w:r>
        <w:rPr>
          <w:rStyle w:val="Caractresdenotedefin"/>
        </w:rPr>
        <w:tab/>
      </w:r>
      <w:r>
        <w:rPr/>
        <w:t>ECP-henstilling 35, FR's nationale panel og kombinerede WG 51C- og 51D-ændringer.</w:t>
      </w:r>
    </w:p>
  </w:endnote>
  <w:endnote w:id="159">
    <w:p>
      <w:pPr>
        <w:pStyle w:val="Notedefin"/>
        <w:suppressLineNumbers/>
        <w:spacing w:before="57" w:after="57"/>
        <w:ind w:left="339" w:right="0" w:hanging="339"/>
        <w:rPr/>
      </w:pPr>
      <w:r>
        <w:rPr>
          <w:rStyle w:val="Caractresdenotedefin"/>
        </w:rPr>
        <w:endnoteRef/>
      </w:r>
      <w:r>
        <w:rPr>
          <w:rStyle w:val="Caractresdenotedefin"/>
        </w:rPr>
        <w:tab/>
      </w:r>
      <w:r>
        <w:rPr/>
        <w:t>Ændringsforslag 53D i arbejdsgruppen.</w:t>
      </w:r>
    </w:p>
  </w:endnote>
  <w:endnote w:id="160">
    <w:p>
      <w:pPr>
        <w:pStyle w:val="Notedefin"/>
        <w:suppressLineNumbers/>
        <w:spacing w:before="57" w:after="57"/>
        <w:ind w:left="339" w:right="0" w:hanging="339"/>
        <w:rPr/>
      </w:pPr>
      <w:r>
        <w:rPr>
          <w:rStyle w:val="Caractresdenotedefin"/>
        </w:rPr>
        <w:endnoteRef/>
      </w:r>
      <w:r>
        <w:rPr>
          <w:rStyle w:val="Caractresdenotedefin"/>
        </w:rPr>
        <w:tab/>
      </w:r>
      <w:r>
        <w:rPr/>
        <w:t>Diskussion i arbejdsgruppen; de nationale parlamenter.</w:t>
      </w:r>
    </w:p>
  </w:endnote>
  <w:endnote w:id="161">
    <w:p>
      <w:pPr>
        <w:pStyle w:val="Notedefin"/>
        <w:spacing w:before="57" w:after="57"/>
        <w:rPr/>
      </w:pPr>
      <w:r>
        <w:rPr>
          <w:rStyle w:val="Caractresdenotedefin"/>
        </w:rPr>
        <w:endnoteRef/>
      </w:r>
      <w:r>
        <w:rPr>
          <w:rStyle w:val="Caractresdenotedefin"/>
        </w:rPr>
        <w:tab/>
      </w:r>
      <w:r>
        <w:rPr/>
        <w:t>Diskussion i arbejdsgruppen; RU og EØSU; Kantars endelige rapport, s. 85.</w:t>
      </w:r>
    </w:p>
  </w:endnote>
  <w:endnote w:id="162">
    <w:p>
      <w:pPr>
        <w:pStyle w:val="Notedefin"/>
        <w:suppressLineNumbers/>
        <w:spacing w:before="57" w:after="57"/>
        <w:ind w:left="339" w:right="0" w:hanging="339"/>
        <w:rPr/>
      </w:pPr>
      <w:r>
        <w:rPr>
          <w:rStyle w:val="Caractresdenotedefin"/>
        </w:rPr>
        <w:endnoteRef/>
      </w:r>
      <w:r>
        <w:rPr>
          <w:rStyle w:val="Caractresdenotedefin"/>
        </w:rPr>
        <w:tab/>
      </w:r>
      <w:r>
        <w:rPr/>
        <w:t>Ændringsforslag 58B til arbejdsgruppen.</w:t>
      </w:r>
    </w:p>
  </w:endnote>
  <w:endnote w:id="163">
    <w:p>
      <w:pPr>
        <w:pStyle w:val="Notedefin"/>
        <w:suppressLineNumbers/>
        <w:spacing w:before="57" w:after="57"/>
        <w:ind w:left="339" w:right="0" w:hanging="339"/>
        <w:rPr/>
      </w:pPr>
      <w:r>
        <w:rPr>
          <w:rStyle w:val="Caractresdenotedefin"/>
        </w:rPr>
        <w:endnoteRef/>
      </w:r>
      <w:r>
        <w:rPr>
          <w:rStyle w:val="Caractresdenotedefin"/>
        </w:rPr>
        <w:tab/>
      </w:r>
      <w:r>
        <w:rPr/>
        <w:t>Ændringsforslag 59B til arbejdsgruppen.</w:t>
      </w:r>
    </w:p>
  </w:endnote>
  <w:endnote w:id="164">
    <w:p>
      <w:pPr>
        <w:pStyle w:val="Notedefin"/>
        <w:suppressLineNumbers/>
        <w:spacing w:before="57" w:after="57"/>
        <w:ind w:left="339" w:right="0" w:hanging="339"/>
        <w:rPr/>
      </w:pPr>
      <w:r>
        <w:rPr>
          <w:rStyle w:val="Caractresdenotedefin"/>
        </w:rPr>
        <w:endnoteRef/>
      </w:r>
      <w:r>
        <w:rPr>
          <w:rStyle w:val="Caractresdenotedefin"/>
        </w:rPr>
        <w:tab/>
      </w:r>
      <w:r>
        <w:rPr/>
        <w:t>Diskussion i arbejdsgruppen; arbejdsmarkedets parter og andre medlemmer.</w:t>
      </w:r>
    </w:p>
  </w:endnote>
  <w:endnote w:id="165">
    <w:p>
      <w:pPr>
        <w:pStyle w:val="Notedefin"/>
        <w:suppressLineNumbers/>
        <w:spacing w:before="57" w:after="57"/>
        <w:ind w:left="339" w:right="0" w:hanging="339"/>
        <w:rPr/>
      </w:pPr>
      <w:r>
        <w:rPr>
          <w:rStyle w:val="Caractresdenotedefin"/>
        </w:rPr>
        <w:endnoteRef/>
      </w:r>
      <w:r>
        <w:rPr>
          <w:rStyle w:val="Caractresdenotedefin"/>
        </w:rPr>
        <w:tab/>
      </w:r>
      <w:r>
        <w:rPr/>
        <w:t>Ændringsforslag 63A i arbejdsgruppen, kompromisformulering.</w:t>
      </w:r>
    </w:p>
  </w:endnote>
  <w:endnote w:id="166">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nr. 4 (ECP 4) nr.</w:t>
      </w:r>
      <w:r>
        <w:rPr>
          <w:vertAlign w:val="superscript"/>
        </w:rPr>
        <w:t>6</w:t>
      </w:r>
      <w:r>
        <w:rPr/>
        <w:t>, 7, 9, 28 og 30, Litauen nr. 9.</w:t>
      </w:r>
    </w:p>
  </w:endnote>
  <w:endnote w:id="167">
    <w:p>
      <w:pPr>
        <w:pStyle w:val="Notedefin"/>
        <w:suppressLineNumbers/>
        <w:spacing w:before="57" w:after="57"/>
        <w:ind w:left="339" w:right="0" w:hanging="339"/>
        <w:rPr/>
      </w:pPr>
      <w:r>
        <w:rPr>
          <w:rStyle w:val="Caractresdenotedefin"/>
        </w:rPr>
        <w:endnoteRef/>
      </w:r>
      <w:r>
        <w:rPr>
          <w:rStyle w:val="Caractresdenotedefin"/>
        </w:rPr>
        <w:tab/>
      </w:r>
      <w:r>
        <w:rPr/>
        <w:t>Borgernes anbefalinger, som forslaget er baseret på: Det europæiske borgerpanel nr. 4 (ECP 4) nr.</w:t>
      </w:r>
      <w:r>
        <w:rPr>
          <w:vertAlign w:val="superscript"/>
        </w:rPr>
        <w:t>8</w:t>
      </w:r>
      <w:r>
        <w:rPr/>
        <w:t xml:space="preserve"> og 27, Litauen nr. 10, Nederlandene nr. 3.</w:t>
      </w:r>
    </w:p>
  </w:endnote>
  <w:endnote w:id="168">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Borgernes anbefalinger, som forslaget er baseret på: Det europæiske borgerpanel nr. 4 (PCE 4)</w:t>
      </w:r>
      <w:r>
        <w:rPr>
          <w:vertAlign w:val="superscript"/>
        </w:rPr>
        <w:t>nr.</w:t>
      </w:r>
      <w:r>
        <w:rPr/>
        <w:t xml:space="preserve"> 10, 35 og 38.</w:t>
      </w:r>
    </w:p>
  </w:endnote>
  <w:endnote w:id="169">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Borgernes anbefalinger, som forslaget er baseret på: EU-borgerpanel nr. 4 (ECP 4) nr.</w:t>
      </w:r>
      <w:r>
        <w:rPr>
          <w:vertAlign w:val="superscript"/>
        </w:rPr>
        <w:t>29</w:t>
      </w:r>
      <w:r>
        <w:rPr/>
        <w:t>, 31, 33, 36, 37, 38, 39 og 40, Italien</w:t>
      </w:r>
      <w:r>
        <w:rPr>
          <w:vertAlign w:val="superscript"/>
        </w:rPr>
        <w:t>nr.</w:t>
      </w:r>
      <w:r>
        <w:rPr/>
        <w:t xml:space="preserve"> 3.8, 4.4 (s. 15) og 5.6 (s. 11), Litauen</w:t>
      </w:r>
      <w:r>
        <w:rPr>
          <w:vertAlign w:val="superscript"/>
        </w:rPr>
        <w:t>nr.</w:t>
      </w:r>
      <w:r>
        <w:rPr/>
        <w:t xml:space="preserve"> 2 og 3, Nederlandene nr. 1 og 2.</w:t>
      </w:r>
    </w:p>
  </w:endnote>
  <w:endnote w:id="170">
    <w:p>
      <w:pPr>
        <w:pStyle w:val="Notedefin"/>
        <w:spacing w:before="57" w:after="57"/>
        <w:rPr/>
      </w:pPr>
      <w:r>
        <w:rPr>
          <w:rStyle w:val="Caractresdenotedefin"/>
        </w:rPr>
        <w:endnoteRef/>
      </w:r>
      <w:r>
        <w:rPr>
          <w:rStyle w:val="Caractresdenotedefin"/>
        </w:rPr>
        <w:tab/>
      </w:r>
      <w:r>
        <w:rPr/>
        <w:t xml:space="preserve"> </w:t>
      </w:r>
      <w:r>
        <w:rPr/>
        <w:t>Borgernes anbefalinger, som forslaget er baseret på: Det europæiske borgerpanel nr. 4 (PCE 4)</w:t>
      </w:r>
      <w:r>
        <w:rPr>
          <w:vertAlign w:val="superscript"/>
        </w:rPr>
        <w:t>nr.</w:t>
      </w:r>
      <w:r>
        <w:rPr/>
        <w:t xml:space="preserve"> 7 og 32, Frankrig nr. 13.</w:t>
      </w:r>
    </w:p>
  </w:endnote>
  <w:endnote w:id="171">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Fransk PCN, ændring 6.</w:t>
      </w:r>
    </w:p>
  </w:endnote>
  <w:endnote w:id="172">
    <w:p>
      <w:pPr>
        <w:pStyle w:val="Notedefin"/>
        <w:suppressLineNumbers/>
        <w:spacing w:before="57" w:after="57"/>
        <w:ind w:left="339" w:right="0" w:hanging="339"/>
        <w:rPr/>
      </w:pPr>
      <w:r>
        <w:rPr>
          <w:rStyle w:val="Caractresdenotedefin"/>
        </w:rPr>
        <w:endnoteRef/>
      </w:r>
      <w:r>
        <w:rPr>
          <w:rStyle w:val="Caractresdenotedefin"/>
        </w:rPr>
        <w:tab/>
      </w:r>
      <w:r>
        <w:rPr/>
        <w:t>Henstilling 37 1.</w:t>
      </w:r>
    </w:p>
  </w:endnote>
  <w:endnote w:id="173">
    <w:p>
      <w:pPr>
        <w:pStyle w:val="Notedefin"/>
        <w:suppressLineNumbers/>
        <w:spacing w:before="57" w:after="57"/>
        <w:ind w:left="339" w:right="0" w:hanging="339"/>
        <w:rPr/>
      </w:pPr>
      <w:r>
        <w:rPr>
          <w:rStyle w:val="Caractresdenotedefin"/>
        </w:rPr>
        <w:endnoteRef/>
      </w:r>
      <w:r>
        <w:rPr>
          <w:rStyle w:val="Caractresdenotedefin"/>
        </w:rPr>
        <w:tab/>
      </w:r>
      <w:r>
        <w:rPr/>
        <w:t>Henstilling 3 i ECP. Fransk PCN, ændring 6.</w:t>
      </w:r>
    </w:p>
  </w:endnote>
  <w:endnote w:id="174">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ECP-henstilling 41 1.</w:t>
      </w:r>
    </w:p>
  </w:endnote>
  <w:endnote w:id="175">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Dette drøftes nærmere i arbejdsgruppen om europæisk demokrati. Se henstilling nr. 24 i ECP 2, henstilling 1.1, 1.2 og 2.12 fra det belgiske nationale kontaktpunkt og den italienske NCP-henstilling om "integrationspolitikker".</w:t>
      </w:r>
    </w:p>
  </w:endnote>
  <w:endnote w:id="176">
    <w:p>
      <w:pPr>
        <w:pStyle w:val="Notedefin"/>
        <w:suppressLineNumbers/>
        <w:spacing w:before="57" w:after="57"/>
        <w:ind w:left="339" w:right="0" w:hanging="339"/>
        <w:rPr/>
      </w:pPr>
      <w:r>
        <w:rPr>
          <w:rStyle w:val="Caractresdenotedefin"/>
        </w:rPr>
        <w:endnoteRef/>
      </w:r>
      <w:r>
        <w:rPr>
          <w:rStyle w:val="Caractresdenotedefin"/>
        </w:rPr>
        <w:tab/>
      </w:r>
      <w:r>
        <w:rPr/>
        <w:t>Det italienske nationale kontaktpunkts henstilling om inklusionspolitik.</w:t>
      </w:r>
    </w:p>
  </w:endnote>
  <w:endnote w:id="177">
    <w:p>
      <w:pPr>
        <w:pStyle w:val="Notedefin"/>
        <w:suppressLineNumbers/>
        <w:spacing w:before="57" w:after="57"/>
        <w:ind w:left="339" w:right="0" w:hanging="339"/>
        <w:rPr/>
      </w:pPr>
      <w:r>
        <w:rPr>
          <w:rStyle w:val="Caractresdenotedefin"/>
        </w:rPr>
        <w:endnoteRef/>
      </w:r>
      <w:r>
        <w:rPr>
          <w:rStyle w:val="Caractresdenotedefin"/>
        </w:rPr>
        <w:tab/>
      </w:r>
      <w:r>
        <w:rPr/>
        <w:t>Dette drøftes mere indgående af arbejdsgruppen om digital omstilling. Se henstilling nr. 8 og 34 i ECP 1.</w:t>
      </w:r>
    </w:p>
  </w:endnote>
  <w:endnote w:id="178">
    <w:p>
      <w:pPr>
        <w:pStyle w:val="Notedefin"/>
        <w:suppressLineNumbers/>
        <w:spacing w:before="57" w:after="57"/>
        <w:ind w:left="339" w:right="0" w:hanging="339"/>
        <w:rPr/>
      </w:pPr>
      <w:r>
        <w:rPr>
          <w:rStyle w:val="Caractresdenotedefin"/>
        </w:rPr>
        <w:endnoteRef/>
      </w:r>
      <w:r>
        <w:rPr>
          <w:rStyle w:val="Caractresdenotedefin"/>
        </w:rPr>
        <w:tab/>
      </w:r>
      <w:r>
        <w:rPr/>
        <w:t>Henstilling fra det italienske nationale kontaktpunkt "Tilskynde unge til at studere videnskabelige emner".</w:t>
      </w:r>
    </w:p>
  </w:endnote>
  <w:endnote w:id="179">
    <w:p>
      <w:pPr>
        <w:pStyle w:val="Notedefin"/>
        <w:suppressLineNumbers/>
        <w:spacing w:before="57" w:after="57"/>
        <w:ind w:left="339" w:right="0" w:hanging="339"/>
        <w:rPr/>
      </w:pPr>
      <w:r>
        <w:rPr>
          <w:rStyle w:val="Caractresdenotedefin"/>
        </w:rPr>
        <w:endnoteRef/>
      </w:r>
      <w:r>
        <w:rPr>
          <w:rStyle w:val="Caractresdenotedefin"/>
        </w:rPr>
        <w:tab/>
      </w:r>
      <w:r>
        <w:rPr/>
        <w:t>PCE-henstilling 33 og 48 1. Også behandlet af arbejdsgruppen om digital omstilling. Se henstilling 47 i ECP 1 om sund brug af internettet.</w:t>
      </w:r>
    </w:p>
  </w:endnote>
  <w:endnote w:id="180">
    <w:p>
      <w:pPr>
        <w:pStyle w:val="Notedefin"/>
        <w:suppressLineNumbers/>
        <w:spacing w:before="57" w:after="57"/>
        <w:ind w:left="339" w:right="0" w:hanging="339"/>
        <w:rPr/>
      </w:pPr>
      <w:r>
        <w:rPr>
          <w:rStyle w:val="Caractresdenotedefin"/>
        </w:rPr>
        <w:endnoteRef/>
      </w:r>
      <w:r>
        <w:rPr>
          <w:rStyle w:val="Caractresdenotedefin"/>
        </w:rPr>
        <w:tab/>
      </w:r>
      <w:r>
        <w:rPr/>
        <w:t>Anbefaling 5 i ECP 1.</w:t>
      </w:r>
    </w:p>
  </w:endnote>
  <w:endnote w:id="181">
    <w:p>
      <w:pPr>
        <w:pStyle w:val="Notedefin"/>
        <w:suppressLineNumbers/>
        <w:spacing w:before="57" w:after="57"/>
        <w:ind w:left="339" w:right="0" w:hanging="339"/>
        <w:rPr/>
      </w:pPr>
      <w:r>
        <w:rPr>
          <w:rStyle w:val="Caractresdenotedefin"/>
        </w:rPr>
        <w:endnoteRef/>
      </w:r>
      <w:r>
        <w:rPr>
          <w:rStyle w:val="Caractresdenotedefin"/>
        </w:rPr>
        <w:tab/>
      </w:r>
      <w:r>
        <w:rPr/>
        <w:t>Henstilling nr. 15 og 18 i ECP 1.</w:t>
      </w:r>
    </w:p>
  </w:endnote>
  <w:endnote w:id="182">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Det italienske nationale kontaktpunkts henstilling om "Europa i verden"</w:t>
      </w:r>
    </w:p>
  </w:endnote>
  <w:endnote w:id="183">
    <w:p>
      <w:pPr>
        <w:pStyle w:val="Notedefin"/>
        <w:suppressLineNumbers/>
        <w:spacing w:before="57" w:after="57"/>
        <w:ind w:left="339" w:right="0" w:hanging="339"/>
        <w:rPr/>
      </w:pPr>
      <w:r>
        <w:rPr>
          <w:rStyle w:val="Caractresdenotedefin"/>
        </w:rPr>
        <w:endnoteRef/>
      </w:r>
      <w:r>
        <w:rPr>
          <w:rStyle w:val="Caractresdenotedefin"/>
        </w:rPr>
        <w:tab/>
      </w:r>
      <w:r>
        <w:rPr/>
        <w:t>Henstilling nr.</w:t>
      </w:r>
      <w:r>
        <w:rPr>
          <w:vertAlign w:val="superscript"/>
        </w:rPr>
        <w:t>18</w:t>
      </w:r>
      <w:r>
        <w:rPr/>
        <w:t xml:space="preserve"> og 41 i ECP 1 og henstilling fra det italienske nationale kontaktpunkt om "Investering i uddannelse af undervisere".</w:t>
      </w:r>
    </w:p>
  </w:endnote>
  <w:endnote w:id="184">
    <w:p>
      <w:pPr>
        <w:pStyle w:val="Notedefin"/>
        <w:suppressLineNumbers/>
        <w:spacing w:before="57" w:after="57"/>
        <w:ind w:left="339" w:right="0" w:hanging="339"/>
        <w:rPr/>
      </w:pPr>
      <w:r>
        <w:rPr>
          <w:rStyle w:val="Caractresdenotedefin"/>
        </w:rPr>
        <w:endnoteRef/>
      </w:r>
      <w:r>
        <w:rPr>
          <w:rStyle w:val="Caractresdenotedefin"/>
        </w:rPr>
        <w:tab/>
      </w:r>
      <w:r>
        <w:rPr/>
        <w:t>Henstilling nr. 17 af PCE 1 rettes fuldt ud til den digitale arbejdsgruppe.</w:t>
      </w:r>
    </w:p>
  </w:endnote>
  <w:endnote w:id="185">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ECP-henstilling nr. 15 1. Henstilling fra det tyske nationale kontaktpunkt om en "informationsplatform for udveksling af viden og erfaringer på EU-plan".</w:t>
      </w:r>
    </w:p>
  </w:endnote>
  <w:endnote w:id="186">
    <w:p>
      <w:pPr>
        <w:pStyle w:val="Notedefin"/>
        <w:suppressLineNumbers/>
        <w:spacing w:before="57" w:after="57"/>
        <w:ind w:left="339" w:right="0" w:hanging="339"/>
        <w:rPr/>
      </w:pPr>
      <w:r>
        <w:rPr>
          <w:rStyle w:val="Caractresdenotedefin"/>
        </w:rPr>
        <w:endnoteRef/>
      </w:r>
      <w:r>
        <w:rPr>
          <w:rStyle w:val="Caractresdenotedefin"/>
        </w:rPr>
        <w:tab/>
      </w:r>
      <w:r>
        <w:rPr/>
        <w:t>Henstilling 6.1 fra det belgiske nationale kontaktpunkt. Fransk PCN, ændring 7.</w:t>
      </w:r>
    </w:p>
  </w:endnote>
  <w:endnote w:id="187">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Henstilling 7.2 fra det belgiske nationale kontaktpunkt.</w:t>
      </w:r>
    </w:p>
  </w:endnote>
  <w:endnote w:id="188">
    <w:p>
      <w:pPr>
        <w:pStyle w:val="Notedefin"/>
        <w:suppressLineNumbers/>
        <w:spacing w:before="57" w:after="57"/>
        <w:ind w:left="339" w:right="0" w:hanging="339"/>
        <w:rPr/>
      </w:pPr>
      <w:r>
        <w:rPr>
          <w:rStyle w:val="Caractresdenotedefin"/>
        </w:rPr>
        <w:endnoteRef/>
      </w:r>
      <w:r>
        <w:rPr>
          <w:rStyle w:val="Caractresdenotedefin"/>
        </w:rPr>
        <w:tab/>
      </w:r>
      <w:r>
        <w:rPr/>
        <w:t>Anbefaling 4 i ECP 1.</w:t>
      </w:r>
    </w:p>
  </w:endnote>
  <w:endnote w:id="189">
    <w:p>
      <w:pPr>
        <w:pStyle w:val="Notedefin"/>
        <w:suppressLineNumbers/>
        <w:spacing w:before="57" w:after="57"/>
        <w:ind w:left="339" w:right="0" w:hanging="339"/>
        <w:rPr/>
      </w:pPr>
      <w:r>
        <w:rPr>
          <w:rStyle w:val="Caractresdenotedefin"/>
        </w:rPr>
        <w:endnoteRef/>
      </w:r>
      <w:r>
        <w:rPr>
          <w:rStyle w:val="Caractresdenotedefin"/>
        </w:rPr>
        <w:tab/>
      </w:r>
      <w:r>
        <w:rPr/>
        <w:t>Forslag til supplering af</w:t>
      </w:r>
      <w:r>
        <w:rPr>
          <w:vertAlign w:val="superscript"/>
        </w:rPr>
        <w:t>henstilling</w:t>
      </w:r>
      <w:r>
        <w:rPr/>
        <w:t xml:space="preserve"> nr. 1 og 30 i ECP 1, der er omfattet af Gruppen vedrørende en stærkere Økonomi, Social Retfærdighed og Beskæftigelse.</w:t>
      </w:r>
    </w:p>
  </w:endnote>
  <w:endnote w:id="190">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Forslag om at supplere henstilling 25 i ECP 1, som er omfattet af Gruppen vedrørende en stærkere Økonomi, Social Retfærdighed og Beskæftigelse.</w:t>
      </w:r>
    </w:p>
  </w:endnote>
  <w:endnote w:id="191">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ECP-henstilling nr. 28 4. Det nederlandske nationale kontaktpunkt ("Vores vision for kultur, ungdom og sport"), henstilling 1. Fransk PCN, ændring 6.</w:t>
      </w:r>
    </w:p>
  </w:endnote>
  <w:endnote w:id="192">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Anbefaling 6 i ECP 1.</w:t>
      </w:r>
    </w:p>
  </w:endnote>
  <w:endnote w:id="193">
    <w:p>
      <w:pPr>
        <w:pStyle w:val="Notedefin"/>
        <w:suppressLineNumbers/>
        <w:spacing w:before="57" w:after="57"/>
        <w:ind w:left="339" w:right="0" w:hanging="339"/>
        <w:rPr/>
      </w:pPr>
      <w:r>
        <w:rPr>
          <w:rStyle w:val="Caractresdenotedefin"/>
        </w:rPr>
        <w:endnoteRef/>
      </w:r>
      <w:r>
        <w:rPr>
          <w:rStyle w:val="Caractresdenotedefin"/>
        </w:rPr>
        <w:tab/>
      </w:r>
      <w:r>
        <w:rPr/>
        <w:t>Det nederlandske nationale kontaktpunkt ("Vores vision for kultur, ungdom og sport"), henstilling nr. 2.</w:t>
      </w:r>
    </w:p>
  </w:endnote>
  <w:endnote w:id="194">
    <w:p>
      <w:pPr>
        <w:pStyle w:val="Notedefin"/>
        <w:suppressLineNumbers/>
        <w:spacing w:before="57" w:after="57"/>
        <w:ind w:left="339" w:right="0" w:hanging="339"/>
        <w:rPr/>
      </w:pPr>
      <w:r>
        <w:rPr>
          <w:rStyle w:val="Caractresdenotedefin"/>
        </w:rPr>
        <w:endnoteRef/>
      </w:r>
      <w:r>
        <w:rPr>
          <w:rStyle w:val="Caractresdenotedefin"/>
        </w:rPr>
        <w:tab/>
      </w:r>
      <w:r>
        <w:rPr/>
        <w:t>Henstilling 36 1. Fransk PCN, ændring 6. Det belgiske nationale kontaktpunkts henstilling nr. 2.10 og 2.11. Tysk NCP, "Oprettelse af flere udvekslingsmuligheder for studerende i Europa". Det nederlandske nationale kontaktpunkt ("Vores vision for kultur, ungdom og sport"), anbefaling</w:t>
      </w:r>
      <w:r>
        <w:rPr>
          <w:vertAlign w:val="superscript"/>
        </w:rPr>
        <w:t>1</w:t>
      </w:r>
      <w:r>
        <w:rPr/>
        <w:t xml:space="preserve"> og 3. Italiens nationale kontaktpunkt, henstilling om at "gøre et konfluencekontor mellem øst eller vest, fremme kulturelle udvekslinger og fælles kulturelle initiativer".</w:t>
      </w:r>
    </w:p>
  </w:endnote>
  <w:endnote w:id="195">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ECP-</w:t>
      </w:r>
      <w:r>
        <w:rPr>
          <w:vertAlign w:val="superscript"/>
        </w:rPr>
        <w:t>henstilling</w:t>
      </w:r>
      <w:r>
        <w:rPr/>
        <w:t xml:space="preserve"> 32 og 38 1. Det nederlandske nationale kontaktpunkt ("Vores vision for kultur, ungdom og sport"), henstilling 3.</w:t>
      </w:r>
    </w:p>
  </w:endnote>
  <w:endnote w:id="196">
    <w:p>
      <w:pPr>
        <w:pStyle w:val="Notedefin"/>
        <w:suppressLineNumbers/>
        <w:spacing w:before="57" w:after="57"/>
        <w:ind w:left="339" w:right="0" w:hanging="339"/>
        <w:rPr/>
      </w:pPr>
      <w:r>
        <w:rPr>
          <w:rStyle w:val="Caractresdenotedefin"/>
        </w:rPr>
        <w:endnoteRef/>
      </w:r>
      <w:r>
        <w:rPr>
          <w:rStyle w:val="Caractresdenotedefin"/>
        </w:rPr>
        <w:tab/>
      </w:r>
      <w:r>
        <w:rPr/>
        <w:t>Det italienske nationale kontaktpunkts henstilling om "Europa i verden"</w:t>
      </w:r>
    </w:p>
  </w:endnote>
  <w:endnote w:id="197">
    <w:p>
      <w:pPr>
        <w:pStyle w:val="Notedefin"/>
        <w:suppressLineNumbers/>
        <w:spacing w:before="57" w:after="57"/>
        <w:ind w:left="339" w:right="0" w:hanging="339"/>
        <w:rPr/>
      </w:pPr>
      <w:r>
        <w:rPr>
          <w:rStyle w:val="Caractresdenotedefin"/>
        </w:rPr>
        <w:endnoteRef/>
      </w:r>
      <w:r>
        <w:rPr>
          <w:rStyle w:val="Caractresdenotedefin"/>
        </w:rPr>
        <w:tab/>
      </w:r>
      <w:r>
        <w:rPr/>
        <w:t>Fransk PCN, ændring 7. Henstilling</w:t>
      </w:r>
      <w:r>
        <w:rPr>
          <w:vertAlign w:val="superscript"/>
        </w:rPr>
        <w:t>2.5</w:t>
      </w:r>
      <w:r>
        <w:rPr/>
        <w:t>, 6.1 og 8.7 fra det belgiske nationale kontaktpunkt. Italienske nationale kontaktpunkter, henstilling om "Styrkelse af europæiske kulturelle værdier og karakteristika samt regionale særtræk".</w:t>
      </w:r>
    </w:p>
  </w:endnote>
  <w:endnote w:id="198">
    <w:p>
      <w:pPr>
        <w:pStyle w:val="Notedefin"/>
        <w:suppressLineNumbers/>
        <w:spacing w:before="57" w:after="57"/>
        <w:ind w:left="339" w:right="0" w:hanging="339"/>
        <w:rPr/>
      </w:pPr>
      <w:r>
        <w:rPr>
          <w:rStyle w:val="Caractresdenotedefin"/>
        </w:rPr>
        <w:endnoteRef/>
      </w:r>
      <w:r>
        <w:rPr>
          <w:rStyle w:val="Caractresdenotedefin"/>
        </w:rPr>
        <w:tab/>
      </w:r>
      <w:r>
        <w:rPr/>
        <w:t>Det nederlandske nationale kontaktpunkt ("Vores vision for kultur, ungdom og sport"), henstilling nr. 2.</w:t>
      </w:r>
    </w:p>
  </w:endnote>
  <w:endnote w:id="199">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Det italienske nationale kontaktpunkts anbefaling om "overskridelse af produktionsmodellen i det forgangne århundrede"</w:t>
      </w:r>
    </w:p>
  </w:endnote>
  <w:endnote w:id="200">
    <w:p>
      <w:pPr>
        <w:pStyle w:val="Notedefin"/>
        <w:suppressLineNumbers/>
        <w:spacing w:before="57" w:after="57"/>
        <w:ind w:left="339" w:right="0" w:hanging="339"/>
        <w:rPr/>
      </w:pPr>
      <w:r>
        <w:rPr>
          <w:rStyle w:val="Caractresdenotedefin"/>
        </w:rPr>
        <w:endnoteRef/>
      </w:r>
      <w:r>
        <w:rPr>
          <w:rStyle w:val="Caractresdenotedefin"/>
        </w:rPr>
        <w:tab/>
      </w:r>
      <w:r>
        <w:rPr/>
        <w:t>ECP-henstilling nr. 29 1.</w:t>
      </w:r>
    </w:p>
  </w:endnote>
  <w:endnote w:id="201">
    <w:p>
      <w:pPr>
        <w:pStyle w:val="Notedefin"/>
        <w:suppressLineNumbers/>
        <w:spacing w:before="57" w:after="57"/>
        <w:ind w:left="339" w:right="0" w:hanging="339"/>
        <w:rPr/>
      </w:pPr>
      <w:r>
        <w:rPr>
          <w:rStyle w:val="Caractresdenotedefin"/>
        </w:rPr>
        <w:endnoteRef/>
      </w:r>
      <w:r>
        <w:rPr>
          <w:rStyle w:val="Caractresdenotedefin"/>
        </w:rPr>
        <w:tab/>
      </w:r>
      <w:r>
        <w:rPr/>
        <w:t>Henstilling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Times New Roman">
    <w:charset w:val="00"/>
    <w:family w:val="auto"/>
    <w:pitch w:val="default"/>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290</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289</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III OECD, Innovative Citizen Participation and New Democratic Institutions,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 </w:t>
      </w:r>
      <w:r>
        <w:rPr/>
        <w:t xml:space="preserve">OECD, innovative borgeres deltagelse og nye demokratiske institutioner,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rStyle w:val="Caractresdenotedebasdepage"/>
        </w:rPr>
        <w:tab/>
      </w:r>
      <w:r>
        <w:rPr/>
        <w:t>Besøg den flersprogede digitale platform for at få adgang til alle oplysninger om disse begivenheder.</w:t>
      </w:r>
    </w:p>
  </w:footnote>
  <w:footnote w:id="7">
    <w:p>
      <w:pPr>
        <w:pStyle w:val="Notedebasdepage"/>
        <w:suppressLineNumbers/>
        <w:spacing w:before="57" w:after="57"/>
        <w:ind w:left="339" w:right="0" w:hanging="339"/>
        <w:rPr/>
      </w:pPr>
      <w:r>
        <w:rPr>
          <w:rStyle w:val="Caractresdenotedebasdepage"/>
        </w:rPr>
        <w:footnoteRef/>
      </w:r>
      <w:r>
        <w:rPr>
          <w:rStyle w:val="Caractresdenotedebasdepage"/>
        </w:rPr>
        <w:tab/>
      </w:r>
      <w:r>
        <w:rPr/>
        <w:t>Der skulle i det mindste opnås enighed mellem repræsentanter for Europa-Parlamentet, Rådet, Europa-Kommissionen og repræsentanter for de nationale parlamenter på lige fod. Hvis holdningen for borgerrepræsentanter for nationale arrangementer og/eller europæiske eller nationale borgerpaneler var åbenbart divergerende, bør denne holdning medtages i denne rapport.</w:t>
      </w:r>
    </w:p>
  </w:footnote>
  <w:footnote w:id="8">
    <w:p>
      <w:pPr>
        <w:pStyle w:val="Notedebasdepage"/>
        <w:suppressLineNumbers/>
        <w:spacing w:before="57" w:after="57"/>
        <w:ind w:left="339" w:right="0" w:hanging="339"/>
        <w:rPr/>
      </w:pPr>
      <w:r>
        <w:rPr>
          <w:rStyle w:val="Caractresdenotedebasdepage"/>
        </w:rPr>
        <w:footnoteRef/>
      </w:r>
      <w:r>
        <w:rPr>
          <w:rStyle w:val="Caractresdenotedebasdepage"/>
        </w:rPr>
        <w:tab/>
      </w:r>
      <w:r>
        <w:rPr/>
        <w:t>Andre medlemmer af Europa-Kommissionen blev inviteret til plenarforsamlingen, især når spørgsmål inden for deres ansvarsområder blev drøftet.</w:t>
      </w:r>
    </w:p>
  </w:footnote>
  <w:footnote w:id="9">
    <w:p>
      <w:pPr>
        <w:pStyle w:val="Notedebasdepage"/>
        <w:suppressLineNumbers/>
        <w:spacing w:before="57" w:after="57"/>
        <w:ind w:left="339" w:right="0" w:hanging="339"/>
        <w:rPr/>
      </w:pPr>
      <w:r>
        <w:rPr>
          <w:rStyle w:val="Caractresdenotedebasdepage"/>
        </w:rPr>
        <w:footnoteRef/>
      </w:r>
      <w:r>
        <w:rPr>
          <w:rStyle w:val="Caractresdenotedebasdepage"/>
        </w:rPr>
        <w:tab/>
      </w:r>
      <w:r>
        <w:rPr/>
        <w:t>En pr. medlemsstat.</w:t>
      </w:r>
    </w:p>
  </w:footnote>
  <w:footnote w:id="10">
    <w:p>
      <w:pPr>
        <w:pStyle w:val="Notedebasdepage"/>
        <w:suppressLineNumbers/>
        <w:spacing w:before="57" w:after="57"/>
        <w:ind w:left="339" w:right="0" w:hanging="339"/>
        <w:rPr/>
      </w:pPr>
      <w:r>
        <w:rPr>
          <w:rStyle w:val="Caractresdenotedebasdepage"/>
        </w:rPr>
        <w:footnoteRef/>
      </w:r>
      <w:r>
        <w:rPr>
          <w:rStyle w:val="Caractresdenotedebasdepage"/>
        </w:rPr>
        <w:tab/>
      </w:r>
      <w:r>
        <w:rPr/>
        <w:t>Et første arrangement for europæiske borgere fandt sted den 17. juni 2021 i Lissabon i hybridt format forud for den konstituerende plenarforsamling den 19. juni med henblik på at lancere borgernes deltagelse i konferencen.</w:t>
      </w:r>
    </w:p>
  </w:footnote>
  <w:footnote w:id="11">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 </w:t>
      </w:r>
      <w:r>
        <w:rPr/>
        <w:t>Repræsentanterne for Europa-Kommissionen forklarede, at det ville være nødvendigt at gennemgå en overgangsperiode for at undgå en alt for pludselig udvikling.</w:t>
      </w:r>
    </w:p>
  </w:footnote>
  <w:footnote w:id="12">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Europa-Parlamentets holdning: den øverste liste over det europæiske politiske parti med det højeste antal stemmer ved valget til Europa-Parlamentet og støtte fra et flertal af MEP'erne bør vælges som formand for Europa-Kommissionen. Hvis der ikke opstår et koalitionsbaseret flertal, bør stillingen vende tilbage til den næste top på listen. Med henblik herpå kan europæiske politiske partier indstille kandidater til at stille op til posten som formand for Kommissionen. Paulo Rangel: for at styrke processen med de ledende kandidater bør Europa-Parlamentets og Det Europæiske Råds roller vendes, hvilket indebærer en ændring af traktaterne: formanden for Kommissionen ville blive foreslået af Parlamentet og godkendt af Det Europæiske Råd. PNM (endelig Kantar-rapport: "en gruppe bidrag dækker valget af Kommissionens formand og udnævnelsen af kommissærer, herunder systemet med topkandidater.") EYE, s. 23: Kandidater til posten som formand for Kommissionen bør ikke vælges i forhandlinger bag kulisserne mellem de vindende partier. Vi bør anvende det ledende kandidatsystem, hvor hvert parti inden valgkampen meddeler den kandidat, der vil være formand for Kommissionen, hvis dette parti vinder et flertal. Ved at deltage aktivt i kampagnen og interagere direkte med de europæiske borgere kan den kommende formand være tættere på dem." diskussion i GT. </w:t>
      </w:r>
    </w:p>
  </w:footnote>
  <w:footnote w:id="13">
    <w:p>
      <w:pPr>
        <w:pStyle w:val="Notedebasdepage"/>
        <w:suppressLineNumbers/>
        <w:spacing w:before="57" w:after="57"/>
        <w:ind w:left="339" w:right="0" w:hanging="339"/>
        <w:rPr/>
      </w:pPr>
      <w:r>
        <w:rPr>
          <w:rStyle w:val="Caractresdenotedebasdepage"/>
        </w:rPr>
        <w:footnoteRef/>
      </w:r>
      <w:r>
        <w:rPr>
          <w:rStyle w:val="Caractresdenotedebasdepage"/>
        </w:rPr>
        <w:tab/>
      </w:r>
      <w:r>
        <w:rPr/>
        <w:t>Rådet mener, at dette forslag ikke er baseret på en henstilling fra borgerne. Den er derfor ikke i overensstemmelse med den aftalte metode. Se også borgerkomponentens stilling på side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 </w:t>
      </w:r>
      <w:r>
        <w:rPr/>
        <w:t xml:space="preserve">Stikprøve af borgere, der repræsenterer Vilnius, Kaunas, Klaipėda, Šiauliai og Panevėžys og distrikterne (apskritis) Vilnius, Kaunas, Klaipėda, Šiauliai, Panevėžys, Alytus, Marijampolė, Tauragė, Telšiai og Utena, baseret på data fra det litauiske statistikministerium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Konference om Europas fremtid | Rapport om de endelige resultater</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da" w:eastAsia="zh-CN" w:bidi="hi-IN"/>
      </w:rPr>
    </w:rPrDefault>
    <w:pPrDefault>
      <w:pPr/>
    </w:pPrDefault>
  </w:docDefaults>
  <w:style w:type="paragraph" w:styleId="Normal">
    <w:name w:val="Normal"/>
    <w:qFormat/>
    <w:pPr>
      <w:widowControl/>
      <w:suppressAutoHyphens w:val="true"/>
      <w:overflowPunct w:val="true"/>
      <w:bidi w:val="0"/>
      <w:spacing w:before="57" w:after="57"/>
      <w:ind w:left="0" w:right="0" w:hanging="0"/>
      <w:jc w:val="left"/>
    </w:pPr>
    <w:rPr>
      <w:rFonts w:ascii="Arial" w:hAnsi="Arial" w:eastAsia="SimSun" w:cs="Mangal"/>
      <w:color w:val="00000A"/>
      <w:kern w:val="2"/>
      <w:sz w:val="22"/>
      <w:szCs w:val="20"/>
      <w:lang w:val="da"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character" w:styleId="ListLabel16">
    <w:name w:val="ListLabel 16"/>
    <w:qFormat/>
    <w:rPr>
      <w:rFonts w:cs="Symbol"/>
    </w:rPr>
  </w:style>
  <w:style w:type="character" w:styleId="ListLabel17">
    <w:name w:val="ListLabel 17"/>
    <w:qFormat/>
    <w:rPr>
      <w:rFonts w:cs="Symbol"/>
    </w:rPr>
  </w:style>
  <w:style w:type="character" w:styleId="ListLabel18">
    <w:name w:val="ListLabel 18"/>
    <w:qFormat/>
    <w:rPr>
      <w:rFonts w:cs="Symbol"/>
    </w:rPr>
  </w:style>
  <w:style w:type="character" w:styleId="ListLabel19">
    <w:name w:val="ListLabel 19"/>
    <w:qFormat/>
    <w:rPr>
      <w:rFonts w:cs="Symbol"/>
    </w:rPr>
  </w:style>
  <w:style w:type="character" w:styleId="ListLabel20">
    <w:name w:val="ListLabel 20"/>
    <w:qFormat/>
    <w:rPr>
      <w:rFonts w:cs="Symbol"/>
    </w:rPr>
  </w:style>
  <w:style w:type="character" w:styleId="ListLabel21">
    <w:name w:val="ListLabel 21"/>
    <w:qFormat/>
    <w:rPr>
      <w:rFonts w:cs="Symbol"/>
    </w:rPr>
  </w:style>
  <w:style w:type="character" w:styleId="ListLabel22">
    <w:name w:val="ListLabel 22"/>
    <w:qFormat/>
    <w:rPr>
      <w:rFonts w:cs="Symbol"/>
    </w:rPr>
  </w:style>
  <w:style w:type="character" w:styleId="ListLabel23">
    <w:name w:val="ListLabel 23"/>
    <w:qFormat/>
    <w:rPr>
      <w:rFonts w:cs="Symbol"/>
    </w:rPr>
  </w:style>
  <w:style w:type="character" w:styleId="ListLabel24">
    <w:name w:val="ListLabel 24"/>
    <w:qFormat/>
    <w:rPr>
      <w:rFonts w:cs="Symbol"/>
    </w:rPr>
  </w:style>
  <w:style w:type="character" w:styleId="ListLabel25">
    <w:name w:val="ListLabel 25"/>
    <w:qFormat/>
    <w:rPr>
      <w:rFonts w:ascii="Times New Roman" w:hAnsi="Times New Roman"/>
      <w:color w:val="00000A"/>
      <w:sz w:val="24"/>
    </w:rPr>
  </w:style>
  <w:style w:type="character" w:styleId="ListLabel26">
    <w:name w:val="ListLabel 26"/>
    <w:qFormat/>
    <w:rPr/>
  </w:style>
  <w:style w:type="character" w:styleId="ListLabel27">
    <w:name w:val="ListLabel 27"/>
    <w:qFormat/>
    <w:rPr>
      <w:color w:val="00000A"/>
    </w:rPr>
  </w:style>
  <w:style w:type="character" w:styleId="ListLabel28">
    <w:name w:val="ListLabel 28"/>
    <w:qFormat/>
    <w:rPr>
      <w:color w:val="0563C1"/>
    </w:rPr>
  </w:style>
  <w:style w:type="character" w:styleId="ListLabel29">
    <w:name w:val="ListLabel 29"/>
    <w:qFormat/>
    <w:rPr>
      <w:color w:val="000000"/>
    </w:rPr>
  </w:style>
  <w:style w:type="character" w:styleId="ListLabel30">
    <w:name w:val="ListLabel 30"/>
    <w:qFormat/>
    <w:rPr>
      <w:rFonts w:ascii="Times New Roman" w:hAnsi="Times New Roman"/>
      <w:b/>
      <w:color w:val="0000FF"/>
    </w:rPr>
  </w:style>
  <w:style w:type="character" w:styleId="ListLabel31">
    <w:name w:val="ListLabel 31"/>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ListBullet4">
    <w:name w:val="List Bullet 4"/>
    <w:basedOn w:val="Liste"/>
    <w:qFormat/>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da"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da"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da"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da"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da"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da"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da"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da"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da"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da"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da"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da"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da"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da"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2" Type="http://schemas.openxmlformats.org/officeDocument/2006/relationships/hyperlink" Target="https://cor.europa.eu/en/summits/2022" TargetMode="External"/><Relationship Id="rId63" Type="http://schemas.openxmlformats.org/officeDocument/2006/relationships/hyperlink" Target="https://cor.europa.eu/en/engage/brochures/Documents/Citizens, local politicians and the future of Europe/4666-final report lowres FIN.pdf" TargetMode="External"/><Relationship Id="rId64"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5"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6"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7"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8" Type="http://schemas.openxmlformats.org/officeDocument/2006/relationships/hyperlink" Target="https://urldefense.com/v3/__https:/europeanmovement.eu/__;!!DOxrgLBm!USrgw0ykk4Rr_7OEucFYoNO-h98D1sH5xfD-7Qmm48-t_TKrps6LcRBXC7_VkAjjVVGY7-cLezPKmw$" TargetMode="External"/><Relationship Id="rId69"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0"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1"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2" Type="http://schemas.openxmlformats.org/officeDocument/2006/relationships/hyperlink" Target="https://urldefense.com/v3/__https:/europeanmovement.eu/conference-on-the-future-of-europe/__;!!DOxrgLBm!USrgw0ykk4Rr_7OEucFYoNO-h98D1sH5xfD-7Qmm48-t_TKrps6LcRBXC7_VkAjjVVGY7-coTvKNzA$" TargetMode="External"/><Relationship Id="rId73" Type="http://schemas.openxmlformats.org/officeDocument/2006/relationships/image" Target="media/image21.png"/><Relationship Id="rId74" Type="http://schemas.openxmlformats.org/officeDocument/2006/relationships/image" Target="media/image22.png"/><Relationship Id="rId75" Type="http://schemas.openxmlformats.org/officeDocument/2006/relationships/image" Target="media/image23.png"/><Relationship Id="rId76" Type="http://schemas.openxmlformats.org/officeDocument/2006/relationships/image" Target="media/image24.png"/><Relationship Id="rId77" Type="http://schemas.openxmlformats.org/officeDocument/2006/relationships/image" Target="media/image25.png"/><Relationship Id="rId78" Type="http://schemas.openxmlformats.org/officeDocument/2006/relationships/image" Target="media/image26.png"/><Relationship Id="rId79" Type="http://schemas.openxmlformats.org/officeDocument/2006/relationships/image" Target="media/image27.png"/><Relationship Id="rId80" Type="http://schemas.openxmlformats.org/officeDocument/2006/relationships/image" Target="media/image28.png"/><Relationship Id="rId81" Type="http://schemas.openxmlformats.org/officeDocument/2006/relationships/image" Target="media/image29.png"/><Relationship Id="rId82" Type="http://schemas.openxmlformats.org/officeDocument/2006/relationships/image" Target="media/image30.png"/><Relationship Id="rId83" Type="http://schemas.openxmlformats.org/officeDocument/2006/relationships/image" Target="media/image31.png"/><Relationship Id="rId84" Type="http://schemas.openxmlformats.org/officeDocument/2006/relationships/image" Target="media/image32.png"/><Relationship Id="rId85" Type="http://schemas.openxmlformats.org/officeDocument/2006/relationships/image" Target="media/image33.png"/><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image" Target="media/image34.png"/><Relationship Id="rId89" Type="http://schemas.openxmlformats.org/officeDocument/2006/relationships/image" Target="media/image35.png"/><Relationship Id="rId90" Type="http://schemas.openxmlformats.org/officeDocument/2006/relationships/image" Target="media/image36.png"/><Relationship Id="rId91" Type="http://schemas.openxmlformats.org/officeDocument/2006/relationships/image" Target="media/image37.png"/><Relationship Id="rId92" Type="http://schemas.openxmlformats.org/officeDocument/2006/relationships/image" Target="media/image38.png"/><Relationship Id="rId93" Type="http://schemas.openxmlformats.org/officeDocument/2006/relationships/image" Target="media/image39.png"/><Relationship Id="rId94" Type="http://schemas.openxmlformats.org/officeDocument/2006/relationships/image" Target="media/image40.png"/><Relationship Id="rId95" Type="http://schemas.openxmlformats.org/officeDocument/2006/relationships/image" Target="media/image41.png"/><Relationship Id="rId96" Type="http://schemas.openxmlformats.org/officeDocument/2006/relationships/image" Target="media/image42.png"/><Relationship Id="rId97" Type="http://schemas.openxmlformats.org/officeDocument/2006/relationships/image" Target="media/image43.png"/><Relationship Id="rId98" Type="http://schemas.openxmlformats.org/officeDocument/2006/relationships/image" Target="media/image44.png"/><Relationship Id="rId99" Type="http://schemas.openxmlformats.org/officeDocument/2006/relationships/image" Target="media/image45.wmf"/><Relationship Id="rId100" Type="http://schemas.openxmlformats.org/officeDocument/2006/relationships/image" Target="media/image46.png"/><Relationship Id="rId101" Type="http://schemas.openxmlformats.org/officeDocument/2006/relationships/image" Target="media/image47.png"/><Relationship Id="rId102" Type="http://schemas.openxmlformats.org/officeDocument/2006/relationships/image" Target="media/image48.png"/><Relationship Id="rId103" Type="http://schemas.openxmlformats.org/officeDocument/2006/relationships/image" Target="media/image49.png"/><Relationship Id="rId104" Type="http://schemas.openxmlformats.org/officeDocument/2006/relationships/image" Target="media/image50.png"/><Relationship Id="rId105" Type="http://schemas.openxmlformats.org/officeDocument/2006/relationships/image" Target="media/image51.png"/><Relationship Id="rId106" Type="http://schemas.openxmlformats.org/officeDocument/2006/relationships/image" Target="media/image52.png"/><Relationship Id="rId107" Type="http://schemas.openxmlformats.org/officeDocument/2006/relationships/image" Target="media/image53.png"/><Relationship Id="rId108" Type="http://schemas.openxmlformats.org/officeDocument/2006/relationships/image" Target="media/image54.png"/><Relationship Id="rId109" Type="http://schemas.openxmlformats.org/officeDocument/2006/relationships/image" Target="media/image55.png"/><Relationship Id="rId110" Type="http://schemas.openxmlformats.org/officeDocument/2006/relationships/image" Target="media/image56.png"/><Relationship Id="rId111" Type="http://schemas.openxmlformats.org/officeDocument/2006/relationships/image" Target="media/image57.png"/><Relationship Id="rId112" Type="http://schemas.openxmlformats.org/officeDocument/2006/relationships/image" Target="media/image58.png"/><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59.png"/><Relationship Id="rId118" Type="http://schemas.openxmlformats.org/officeDocument/2006/relationships/hyperlink" Target="http://www.kijkopeuropa.nl/" TargetMode="External"/><Relationship Id="rId119" Type="http://schemas.openxmlformats.org/officeDocument/2006/relationships/image" Target="media/image60.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denmark"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estonia" TargetMode="External"/><Relationship Id="rId128" Type="http://schemas.openxmlformats.org/officeDocument/2006/relationships/hyperlink" Target="https://futureu.europa.eu/pages/ireland" TargetMode="External"/><Relationship Id="rId129" Type="http://schemas.openxmlformats.org/officeDocument/2006/relationships/hyperlink" Target="https://futureu.europa.eu/pages/greece" TargetMode="External"/><Relationship Id="rId130" Type="http://schemas.openxmlformats.org/officeDocument/2006/relationships/hyperlink" Target="https://futureu.europa.eu/pages/spain" TargetMode="External"/><Relationship Id="rId131" Type="http://schemas.openxmlformats.org/officeDocument/2006/relationships/hyperlink" Target="https://futureu.europa.eu/pages/france" TargetMode="External"/><Relationship Id="rId132" Type="http://schemas.openxmlformats.org/officeDocument/2006/relationships/hyperlink" Target="https://futureu.europa.eu/pages/croatia" TargetMode="External"/><Relationship Id="rId133" Type="http://schemas.openxmlformats.org/officeDocument/2006/relationships/hyperlink" Target="https://futureu.europa.eu/pages/italy" TargetMode="External"/><Relationship Id="rId134" Type="http://schemas.openxmlformats.org/officeDocument/2006/relationships/hyperlink" Target="https://futureu.europa.eu/pages/cyprus" TargetMode="External"/><Relationship Id="rId135" Type="http://schemas.openxmlformats.org/officeDocument/2006/relationships/hyperlink" Target="https://futureu.europa.eu/pages/latvia" TargetMode="External"/><Relationship Id="rId136" Type="http://schemas.openxmlformats.org/officeDocument/2006/relationships/hyperlink" Target="https://futureu.europa.eu/pages/lithuania" TargetMode="External"/><Relationship Id="rId137" Type="http://schemas.openxmlformats.org/officeDocument/2006/relationships/hyperlink" Target="https://futureu.europa.eu/pages/luxembourg" TargetMode="External"/><Relationship Id="rId138" Type="http://schemas.openxmlformats.org/officeDocument/2006/relationships/hyperlink" Target="https://futureu.europa.eu/pages/hungary" TargetMode="External"/><Relationship Id="rId139" Type="http://schemas.openxmlformats.org/officeDocument/2006/relationships/hyperlink" Target="https://futureu.europa.eu/pages/malta" TargetMode="External"/><Relationship Id="rId140" Type="http://schemas.openxmlformats.org/officeDocument/2006/relationships/hyperlink" Target="https://futureu.europa.eu/pages/netherlands" TargetMode="External"/><Relationship Id="rId141" Type="http://schemas.openxmlformats.org/officeDocument/2006/relationships/hyperlink" Target="https://futureu.europa.eu/pages/austria" TargetMode="External"/><Relationship Id="rId142" Type="http://schemas.openxmlformats.org/officeDocument/2006/relationships/hyperlink" Target="https://futureu.europa.eu/pages/poland" TargetMode="External"/><Relationship Id="rId143" Type="http://schemas.openxmlformats.org/officeDocument/2006/relationships/hyperlink" Target="https://futureu.europa.eu/pages/portugal" TargetMode="External"/><Relationship Id="rId144" Type="http://schemas.openxmlformats.org/officeDocument/2006/relationships/hyperlink" Target="https://futureu.europa.eu/pages/romania" TargetMode="External"/><Relationship Id="rId145" Type="http://schemas.openxmlformats.org/officeDocument/2006/relationships/hyperlink" Target="https://futureu.europa.eu/pages/slovenia" TargetMode="External"/><Relationship Id="rId146" Type="http://schemas.openxmlformats.org/officeDocument/2006/relationships/hyperlink" Target="https://futureu.europa.eu/pages/slovakia" TargetMode="External"/><Relationship Id="rId147" Type="http://schemas.openxmlformats.org/officeDocument/2006/relationships/hyperlink" Target="https://futureu.europa.eu/pages/finland" TargetMode="External"/><Relationship Id="rId148" Type="http://schemas.openxmlformats.org/officeDocument/2006/relationships/hyperlink" Target="https://futureu.europa.eu/pages/sweden"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image" Target="media/image61.png"/><Relationship Id="rId153" Type="http://schemas.openxmlformats.org/officeDocument/2006/relationships/footnotes" Target="footnotes.xml"/><Relationship Id="rId154" Type="http://schemas.openxmlformats.org/officeDocument/2006/relationships/endnotes" Target="endnotes.xml"/><Relationship Id="rId155" Type="http://schemas.openxmlformats.org/officeDocument/2006/relationships/comments" Target="comments.xml"/><Relationship Id="rId156" Type="http://schemas.openxmlformats.org/officeDocument/2006/relationships/numbering" Target="numbering.xml"/><Relationship Id="rId157" Type="http://schemas.openxmlformats.org/officeDocument/2006/relationships/fontTable" Target="fontTable.xml"/><Relationship Id="rId158"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2160</TotalTime>
  <Application>LibreOffice/6.0.2.1$Windows_x86 LibreOffice_project/f7f06a8f319e4b62f9bc5095aa112a65d2f3ac89</Application>
  <Pages>296</Pages>
  <Words>102719</Words>
  <Characters>608598</Characters>
  <CharactersWithSpaces>708268</CharactersWithSpaces>
  <Paragraphs>6018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2022-09-01T16:39:27Z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